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11520" w:firstLineChars="800"/>
        <w:jc w:val="center"/>
        <w:rPr>
          <w:sz w:val="144"/>
          <w:szCs w:val="144"/>
        </w:rPr>
      </w:pPr>
    </w:p>
    <w:p>
      <w:pPr>
        <w:widowControl/>
        <w:jc w:val="left"/>
        <w:rPr>
          <w:sz w:val="32"/>
          <w:szCs w:val="32"/>
        </w:rPr>
      </w:pPr>
    </w:p>
    <w:p>
      <w:pPr>
        <w:widowControl/>
        <w:jc w:val="center"/>
        <w:rPr>
          <w:rFonts w:ascii="仿宋" w:hAnsi="仿宋" w:eastAsia="仿宋" w:cs="仿宋"/>
          <w:sz w:val="52"/>
          <w:szCs w:val="52"/>
        </w:rPr>
      </w:pPr>
      <w:r>
        <w:rPr>
          <w:rFonts w:hint="eastAsia" w:ascii="仿宋" w:hAnsi="仿宋" w:eastAsia="仿宋" w:cs="仿宋"/>
          <w:sz w:val="52"/>
          <w:szCs w:val="52"/>
          <w:lang w:eastAsia="zh-CN"/>
        </w:rPr>
        <w:t>中北大学</w:t>
      </w:r>
      <w:r>
        <w:rPr>
          <w:rFonts w:hint="eastAsia" w:ascii="仿宋" w:hAnsi="仿宋" w:eastAsia="仿宋" w:cs="仿宋"/>
          <w:sz w:val="52"/>
          <w:szCs w:val="52"/>
        </w:rPr>
        <w:t>仪器与电子学院</w:t>
      </w:r>
    </w:p>
    <w:p>
      <w:pPr>
        <w:widowControl/>
        <w:spacing w:before="480" w:beforeLines="200"/>
        <w:jc w:val="center"/>
        <w:rPr>
          <w:rFonts w:ascii="微软雅黑" w:hAnsi="微软雅黑" w:eastAsia="微软雅黑" w:cs="微软雅黑"/>
          <w:b/>
          <w:bCs/>
          <w:spacing w:val="85"/>
          <w:sz w:val="72"/>
          <w:szCs w:val="72"/>
        </w:rPr>
      </w:pPr>
      <w:r>
        <w:rPr>
          <w:rFonts w:hint="eastAsia" w:ascii="微软雅黑" w:hAnsi="微软雅黑" w:eastAsia="微软雅黑" w:cs="微软雅黑"/>
          <w:b/>
          <w:bCs/>
          <w:spacing w:val="85"/>
          <w:sz w:val="72"/>
          <w:szCs w:val="72"/>
        </w:rPr>
        <w:t>课程教学大纲</w:t>
      </w:r>
    </w:p>
    <w:p>
      <w:pPr>
        <w:widowControl/>
        <w:ind w:firstLine="1680" w:firstLineChars="800"/>
        <w:jc w:val="left"/>
      </w:pPr>
    </w:p>
    <w:p>
      <w:pPr>
        <w:widowControl/>
        <w:ind w:firstLine="1680" w:firstLineChars="800"/>
        <w:jc w:val="left"/>
      </w:pPr>
    </w:p>
    <w:p>
      <w:pPr>
        <w:widowControl/>
        <w:jc w:val="center"/>
        <w:rPr>
          <w:rFonts w:ascii="仿宋" w:hAnsi="仿宋" w:eastAsia="仿宋" w:cs="仿宋"/>
          <w:sz w:val="28"/>
          <w:szCs w:val="24"/>
        </w:rPr>
      </w:pPr>
      <w:r>
        <w:rPr>
          <w:rFonts w:hint="eastAsia" w:ascii="仿宋" w:hAnsi="仿宋" w:eastAsia="仿宋" w:cs="仿宋"/>
          <w:sz w:val="28"/>
          <w:szCs w:val="24"/>
        </w:rPr>
        <w:t>（适用于20</w:t>
      </w:r>
      <w:r>
        <w:rPr>
          <w:rFonts w:ascii="仿宋" w:hAnsi="仿宋" w:eastAsia="仿宋" w:cs="仿宋"/>
          <w:sz w:val="28"/>
          <w:szCs w:val="24"/>
        </w:rPr>
        <w:t>2</w:t>
      </w:r>
      <w:r>
        <w:rPr>
          <w:rFonts w:hint="eastAsia" w:ascii="仿宋" w:hAnsi="仿宋" w:eastAsia="仿宋" w:cs="仿宋"/>
          <w:sz w:val="28"/>
          <w:szCs w:val="24"/>
          <w:lang w:val="en-US" w:eastAsia="zh-CN"/>
        </w:rPr>
        <w:t>1</w:t>
      </w:r>
      <w:r>
        <w:rPr>
          <w:rFonts w:hint="eastAsia" w:ascii="仿宋" w:hAnsi="仿宋" w:eastAsia="仿宋" w:cs="仿宋"/>
          <w:sz w:val="28"/>
          <w:szCs w:val="24"/>
        </w:rPr>
        <w:t>版智能感知工程专业培养方案）</w:t>
      </w:r>
    </w:p>
    <w:p>
      <w:pPr>
        <w:widowControl/>
        <w:ind w:firstLine="1680" w:firstLineChars="800"/>
        <w:jc w:val="left"/>
        <w:rPr>
          <w:rFonts w:ascii="仿宋" w:hAnsi="仿宋" w:eastAsia="仿宋" w:cs="仿宋"/>
        </w:rPr>
      </w:pPr>
    </w:p>
    <w:p>
      <w:pPr>
        <w:widowControl/>
        <w:ind w:firstLine="1680" w:firstLineChars="800"/>
        <w:jc w:val="left"/>
        <w:rPr>
          <w:rFonts w:ascii="仿宋" w:hAnsi="仿宋" w:eastAsia="仿宋" w:cs="仿宋"/>
        </w:rPr>
      </w:pPr>
    </w:p>
    <w:p>
      <w:pPr>
        <w:widowControl/>
        <w:ind w:firstLine="1680" w:firstLineChars="800"/>
        <w:jc w:val="left"/>
        <w:rPr>
          <w:rFonts w:ascii="仿宋" w:hAnsi="仿宋" w:eastAsia="仿宋" w:cs="仿宋"/>
        </w:rPr>
      </w:pPr>
    </w:p>
    <w:p>
      <w:pPr>
        <w:widowControl/>
        <w:ind w:firstLine="2240" w:firstLineChars="800"/>
        <w:jc w:val="left"/>
        <w:rPr>
          <w:rFonts w:ascii="仿宋" w:hAnsi="仿宋" w:eastAsia="仿宋" w:cs="仿宋"/>
          <w:sz w:val="28"/>
          <w:szCs w:val="24"/>
        </w:rPr>
      </w:pPr>
    </w:p>
    <w:p>
      <w:pPr>
        <w:widowControl/>
        <w:ind w:firstLine="1680" w:firstLineChars="800"/>
        <w:jc w:val="left"/>
        <w:rPr>
          <w:rFonts w:ascii="仿宋" w:hAnsi="仿宋" w:eastAsia="仿宋" w:cs="仿宋"/>
        </w:rPr>
      </w:pPr>
    </w:p>
    <w:p>
      <w:pPr>
        <w:widowControl/>
        <w:ind w:firstLine="1680" w:firstLineChars="800"/>
        <w:jc w:val="left"/>
        <w:rPr>
          <w:rFonts w:ascii="仿宋" w:hAnsi="仿宋" w:eastAsia="仿宋" w:cs="仿宋"/>
        </w:rPr>
      </w:pPr>
    </w:p>
    <w:p>
      <w:pPr>
        <w:widowControl/>
        <w:ind w:firstLine="1680" w:firstLineChars="800"/>
        <w:jc w:val="left"/>
        <w:rPr>
          <w:rFonts w:ascii="仿宋" w:hAnsi="仿宋" w:eastAsia="仿宋" w:cs="仿宋"/>
        </w:rPr>
      </w:pPr>
    </w:p>
    <w:p>
      <w:pPr>
        <w:widowControl/>
        <w:ind w:firstLine="1680" w:firstLineChars="800"/>
        <w:jc w:val="left"/>
        <w:rPr>
          <w:rFonts w:ascii="仿宋" w:hAnsi="仿宋" w:eastAsia="仿宋" w:cs="仿宋"/>
        </w:rPr>
      </w:pPr>
    </w:p>
    <w:p>
      <w:pPr>
        <w:widowControl/>
        <w:ind w:firstLine="1680" w:firstLineChars="800"/>
        <w:jc w:val="left"/>
        <w:rPr>
          <w:rFonts w:ascii="仿宋" w:hAnsi="仿宋" w:eastAsia="仿宋" w:cs="仿宋"/>
        </w:rPr>
      </w:pPr>
    </w:p>
    <w:p>
      <w:pPr>
        <w:widowControl/>
        <w:ind w:firstLine="1680" w:firstLineChars="800"/>
        <w:jc w:val="left"/>
        <w:rPr>
          <w:rFonts w:ascii="仿宋" w:hAnsi="仿宋" w:eastAsia="仿宋" w:cs="仿宋"/>
        </w:rPr>
      </w:pPr>
    </w:p>
    <w:p>
      <w:pPr>
        <w:widowControl/>
        <w:ind w:firstLine="1680" w:firstLineChars="800"/>
        <w:jc w:val="left"/>
        <w:rPr>
          <w:rFonts w:ascii="仿宋" w:hAnsi="仿宋" w:eastAsia="仿宋" w:cs="仿宋"/>
        </w:rPr>
      </w:pPr>
    </w:p>
    <w:p>
      <w:pPr>
        <w:widowControl/>
        <w:ind w:firstLine="1680" w:firstLineChars="800"/>
        <w:jc w:val="left"/>
        <w:rPr>
          <w:rFonts w:ascii="仿宋" w:hAnsi="仿宋" w:eastAsia="仿宋" w:cs="仿宋"/>
        </w:rPr>
      </w:pPr>
    </w:p>
    <w:p>
      <w:pPr>
        <w:widowControl/>
        <w:ind w:firstLine="2240" w:firstLineChars="800"/>
        <w:jc w:val="left"/>
        <w:rPr>
          <w:rFonts w:ascii="仿宋" w:hAnsi="仿宋" w:eastAsia="仿宋" w:cs="仿宋"/>
          <w:sz w:val="28"/>
          <w:szCs w:val="24"/>
        </w:rPr>
      </w:pPr>
    </w:p>
    <w:p>
      <w:pPr>
        <w:widowControl/>
        <w:ind w:firstLine="2240" w:firstLineChars="800"/>
        <w:jc w:val="left"/>
        <w:rPr>
          <w:rFonts w:ascii="仿宋" w:hAnsi="仿宋" w:eastAsia="仿宋" w:cs="仿宋"/>
          <w:sz w:val="28"/>
          <w:szCs w:val="24"/>
        </w:rPr>
      </w:pPr>
    </w:p>
    <w:p>
      <w:pPr>
        <w:widowControl/>
        <w:ind w:firstLine="1680" w:firstLineChars="800"/>
        <w:jc w:val="left"/>
        <w:rPr>
          <w:rFonts w:hint="eastAsia" w:ascii="仿宋" w:hAnsi="仿宋" w:eastAsia="仿宋" w:cs="仿宋"/>
        </w:rPr>
      </w:pPr>
    </w:p>
    <w:p>
      <w:pPr>
        <w:widowControl/>
        <w:ind w:firstLine="1680" w:firstLineChars="800"/>
        <w:jc w:val="left"/>
        <w:rPr>
          <w:rFonts w:ascii="仿宋" w:hAnsi="仿宋" w:eastAsia="仿宋" w:cs="仿宋"/>
        </w:rPr>
      </w:pPr>
    </w:p>
    <w:p>
      <w:pPr>
        <w:widowControl/>
        <w:ind w:firstLine="1680" w:firstLineChars="800"/>
        <w:jc w:val="left"/>
        <w:rPr>
          <w:rFonts w:ascii="仿宋" w:hAnsi="仿宋" w:eastAsia="仿宋" w:cs="仿宋"/>
        </w:rPr>
      </w:pPr>
    </w:p>
    <w:p>
      <w:pPr>
        <w:widowControl/>
        <w:ind w:firstLine="1680" w:firstLineChars="800"/>
        <w:jc w:val="left"/>
        <w:rPr>
          <w:rFonts w:ascii="仿宋" w:hAnsi="仿宋" w:eastAsia="仿宋" w:cs="仿宋"/>
        </w:rPr>
      </w:pPr>
    </w:p>
    <w:p>
      <w:pPr>
        <w:widowControl/>
        <w:ind w:firstLine="1680" w:firstLineChars="800"/>
        <w:jc w:val="left"/>
        <w:rPr>
          <w:rFonts w:ascii="仿宋" w:hAnsi="仿宋" w:eastAsia="仿宋" w:cs="仿宋"/>
        </w:rPr>
      </w:pPr>
    </w:p>
    <w:p>
      <w:pPr>
        <w:widowControl/>
        <w:jc w:val="center"/>
        <w:rPr>
          <w:rFonts w:ascii="仿宋" w:hAnsi="仿宋" w:eastAsia="仿宋" w:cs="仿宋"/>
          <w:sz w:val="32"/>
          <w:szCs w:val="32"/>
        </w:rPr>
      </w:pPr>
      <w:r>
        <w:rPr>
          <w:rFonts w:hint="eastAsia" w:ascii="仿宋" w:hAnsi="仿宋" w:eastAsia="仿宋" w:cs="仿宋"/>
          <w:sz w:val="32"/>
          <w:szCs w:val="32"/>
        </w:rPr>
        <w:t>20</w:t>
      </w:r>
      <w:r>
        <w:rPr>
          <w:rFonts w:ascii="仿宋" w:hAnsi="仿宋" w:eastAsia="仿宋" w:cs="仿宋"/>
          <w:sz w:val="32"/>
          <w:szCs w:val="32"/>
        </w:rPr>
        <w:t>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ascii="仿宋" w:hAnsi="仿宋" w:eastAsia="仿宋" w:cs="仿宋"/>
          <w:sz w:val="32"/>
          <w:szCs w:val="32"/>
        </w:rPr>
        <w:t>12</w:t>
      </w:r>
      <w:r>
        <w:rPr>
          <w:rFonts w:hint="eastAsia" w:ascii="仿宋" w:hAnsi="仿宋" w:eastAsia="仿宋" w:cs="仿宋"/>
          <w:sz w:val="32"/>
          <w:szCs w:val="32"/>
        </w:rPr>
        <w:t>月修订</w:t>
      </w:r>
    </w:p>
    <w:p>
      <w:pPr>
        <w:jc w:val="center"/>
        <w:rPr>
          <w:rFonts w:hint="eastAsia" w:ascii="黑体" w:hAnsi="黑体" w:eastAsia="黑体" w:cs="黑体"/>
          <w:sz w:val="56"/>
          <w:szCs w:val="40"/>
          <w:lang w:val="zh-CN"/>
        </w:rPr>
        <w:sectPr>
          <w:headerReference r:id="rId3" w:type="default"/>
          <w:footerReference r:id="rId4" w:type="default"/>
          <w:pgSz w:w="11906" w:h="16838"/>
          <w:pgMar w:top="1440" w:right="1797" w:bottom="1440" w:left="1797" w:header="851" w:footer="992" w:gutter="0"/>
          <w:pgNumType w:fmt="decimal" w:start="1"/>
          <w:cols w:space="425" w:num="1"/>
          <w:docGrid w:linePitch="312" w:charSpace="0"/>
        </w:sectPr>
      </w:pPr>
    </w:p>
    <w:sdt>
      <w:sdtPr>
        <w:rPr>
          <w:rFonts w:hint="eastAsia" w:ascii="黑体" w:hAnsi="黑体" w:eastAsia="黑体" w:cs="黑体"/>
          <w:sz w:val="56"/>
          <w:szCs w:val="40"/>
          <w:lang w:val="zh-CN"/>
        </w:rPr>
        <w:id w:val="49048235"/>
        <w:docPartObj>
          <w:docPartGallery w:val="Table of Contents"/>
          <w:docPartUnique/>
        </w:docPartObj>
      </w:sdtPr>
      <w:sdtEndPr>
        <w:rPr>
          <w:rFonts w:hint="eastAsia" w:ascii="Times New Roman" w:hAnsi="Times New Roman" w:eastAsia="宋体" w:cs="黑体"/>
          <w:b/>
          <w:sz w:val="21"/>
          <w:szCs w:val="40"/>
          <w:lang w:val="zh-CN"/>
        </w:rPr>
      </w:sdtEndPr>
      <w:sdtContent>
        <w:p>
          <w:pPr>
            <w:jc w:val="center"/>
            <w:rPr>
              <w:rFonts w:ascii="黑体" w:hAnsi="黑体" w:eastAsia="黑体" w:cs="黑体"/>
              <w:sz w:val="36"/>
              <w:szCs w:val="40"/>
            </w:rPr>
          </w:pPr>
          <w:r>
            <w:rPr>
              <w:rFonts w:hint="eastAsia" w:ascii="黑体" w:hAnsi="黑体" w:eastAsia="黑体" w:cs="黑体"/>
              <w:sz w:val="36"/>
              <w:szCs w:val="40"/>
            </w:rPr>
            <w:t>目  录</w:t>
          </w:r>
        </w:p>
        <w:p>
          <w:pPr>
            <w:jc w:val="center"/>
            <w:rPr>
              <w:rFonts w:ascii="黑体" w:hAnsi="黑体" w:eastAsia="黑体" w:cs="黑体"/>
              <w:sz w:val="36"/>
              <w:szCs w:val="40"/>
            </w:rPr>
          </w:pPr>
        </w:p>
        <w:p>
          <w:pPr>
            <w:pStyle w:val="11"/>
            <w:tabs>
              <w:tab w:val="right" w:leader="dot" w:pos="8312"/>
            </w:tabs>
          </w:pPr>
          <w:r>
            <w:rPr>
              <w:rFonts w:asciiTheme="minorEastAsia" w:hAnsiTheme="minorEastAsia"/>
            </w:rPr>
            <w:fldChar w:fldCharType="begin"/>
          </w:r>
          <w:r>
            <w:rPr>
              <w:rFonts w:asciiTheme="minorEastAsia" w:hAnsiTheme="minorEastAsia"/>
            </w:rPr>
            <w:instrText xml:space="preserve"> TOC \o "1-3" \h \z \u </w:instrText>
          </w:r>
          <w:r>
            <w:rPr>
              <w:rFonts w:asciiTheme="minorEastAsia" w:hAnsiTheme="minorEastAsia"/>
            </w:rPr>
            <w:fldChar w:fldCharType="separate"/>
          </w:r>
          <w:r>
            <w:rPr>
              <w:rFonts w:asciiTheme="minorEastAsia" w:hAnsiTheme="minorEastAsia"/>
            </w:rPr>
            <w:fldChar w:fldCharType="begin"/>
          </w:r>
          <w:r>
            <w:rPr>
              <w:rFonts w:asciiTheme="minorEastAsia" w:hAnsiTheme="minorEastAsia"/>
            </w:rPr>
            <w:instrText xml:space="preserve"> HYPERLINK \l _Toc30279 </w:instrText>
          </w:r>
          <w:r>
            <w:rPr>
              <w:rFonts w:asciiTheme="minorEastAsia" w:hAnsiTheme="minorEastAsia"/>
            </w:rPr>
            <w:fldChar w:fldCharType="separate"/>
          </w:r>
          <w:r>
            <w:rPr>
              <w:rFonts w:hint="eastAsia"/>
            </w:rPr>
            <w:t>《电路原理》教学大纲</w:t>
          </w:r>
          <w:r>
            <w:tab/>
          </w:r>
          <w:r>
            <w:fldChar w:fldCharType="begin"/>
          </w:r>
          <w:r>
            <w:instrText xml:space="preserve"> PAGEREF _Toc30279 \h </w:instrText>
          </w:r>
          <w:r>
            <w:fldChar w:fldCharType="separate"/>
          </w:r>
          <w:r>
            <w:t>1</w:t>
          </w:r>
          <w:r>
            <w:fldChar w:fldCharType="end"/>
          </w:r>
          <w:r>
            <w:rPr>
              <w:rFonts w:asciiTheme="minorEastAsia" w:hAnsiTheme="minorEastAsia"/>
            </w:rPr>
            <w:fldChar w:fldCharType="end"/>
          </w:r>
        </w:p>
        <w:p>
          <w:pPr>
            <w:pStyle w:val="11"/>
            <w:tabs>
              <w:tab w:val="right" w:leader="dot" w:pos="8312"/>
            </w:tabs>
          </w:pPr>
          <w:r>
            <w:rPr>
              <w:rFonts w:asciiTheme="minorEastAsia" w:hAnsiTheme="minorEastAsia"/>
              <w:lang w:val="zh-CN"/>
            </w:rPr>
            <w:fldChar w:fldCharType="begin"/>
          </w:r>
          <w:r>
            <w:rPr>
              <w:rFonts w:asciiTheme="minorEastAsia" w:hAnsiTheme="minorEastAsia"/>
              <w:lang w:val="zh-CN"/>
            </w:rPr>
            <w:instrText xml:space="preserve"> HYPERLINK \l _Toc26106 </w:instrText>
          </w:r>
          <w:r>
            <w:rPr>
              <w:rFonts w:asciiTheme="minorEastAsia" w:hAnsiTheme="minorEastAsia"/>
              <w:lang w:val="zh-CN"/>
            </w:rPr>
            <w:fldChar w:fldCharType="separate"/>
          </w:r>
          <w:r>
            <w:rPr>
              <w:rFonts w:hint="eastAsia"/>
            </w:rPr>
            <w:t>《信号与系统》教学大纲</w:t>
          </w:r>
          <w:r>
            <w:tab/>
          </w:r>
          <w:r>
            <w:fldChar w:fldCharType="begin"/>
          </w:r>
          <w:r>
            <w:instrText xml:space="preserve"> PAGEREF _Toc26106 \h </w:instrText>
          </w:r>
          <w:r>
            <w:fldChar w:fldCharType="separate"/>
          </w:r>
          <w:r>
            <w:t>10</w:t>
          </w:r>
          <w:r>
            <w:fldChar w:fldCharType="end"/>
          </w:r>
          <w:r>
            <w:rPr>
              <w:rFonts w:asciiTheme="minorEastAsia" w:hAnsiTheme="minorEastAsia"/>
              <w:lang w:val="zh-CN"/>
            </w:rPr>
            <w:fldChar w:fldCharType="end"/>
          </w:r>
        </w:p>
        <w:p>
          <w:pPr>
            <w:pStyle w:val="11"/>
            <w:tabs>
              <w:tab w:val="right" w:leader="dot" w:pos="8312"/>
            </w:tabs>
          </w:pPr>
          <w:r>
            <w:rPr>
              <w:rFonts w:asciiTheme="minorEastAsia" w:hAnsiTheme="minorEastAsia"/>
              <w:lang w:val="zh-CN"/>
            </w:rPr>
            <w:fldChar w:fldCharType="begin"/>
          </w:r>
          <w:r>
            <w:rPr>
              <w:rFonts w:asciiTheme="minorEastAsia" w:hAnsiTheme="minorEastAsia"/>
              <w:lang w:val="zh-CN"/>
            </w:rPr>
            <w:instrText xml:space="preserve"> HYPERLINK \l _Toc7003 </w:instrText>
          </w:r>
          <w:r>
            <w:rPr>
              <w:rFonts w:asciiTheme="minorEastAsia" w:hAnsiTheme="minorEastAsia"/>
              <w:lang w:val="zh-CN"/>
            </w:rPr>
            <w:fldChar w:fldCharType="separate"/>
          </w:r>
          <w:r>
            <w:rPr>
              <w:rFonts w:hint="eastAsia"/>
            </w:rPr>
            <w:t>《微机原理及接口技术》教学大纲</w:t>
          </w:r>
          <w:r>
            <w:tab/>
          </w:r>
          <w:r>
            <w:fldChar w:fldCharType="begin"/>
          </w:r>
          <w:r>
            <w:instrText xml:space="preserve"> PAGEREF _Toc7003 \h </w:instrText>
          </w:r>
          <w:r>
            <w:fldChar w:fldCharType="separate"/>
          </w:r>
          <w:r>
            <w:t>22</w:t>
          </w:r>
          <w:r>
            <w:fldChar w:fldCharType="end"/>
          </w:r>
          <w:r>
            <w:rPr>
              <w:rFonts w:asciiTheme="minorEastAsia" w:hAnsiTheme="minorEastAsia"/>
              <w:lang w:val="zh-CN"/>
            </w:rPr>
            <w:fldChar w:fldCharType="end"/>
          </w:r>
        </w:p>
        <w:p>
          <w:pPr>
            <w:pStyle w:val="11"/>
            <w:tabs>
              <w:tab w:val="right" w:leader="dot" w:pos="8312"/>
            </w:tabs>
          </w:pPr>
          <w:r>
            <w:rPr>
              <w:rFonts w:asciiTheme="minorEastAsia" w:hAnsiTheme="minorEastAsia"/>
              <w:lang w:val="zh-CN"/>
            </w:rPr>
            <w:fldChar w:fldCharType="begin"/>
          </w:r>
          <w:r>
            <w:rPr>
              <w:rFonts w:asciiTheme="minorEastAsia" w:hAnsiTheme="minorEastAsia"/>
              <w:lang w:val="zh-CN"/>
            </w:rPr>
            <w:instrText xml:space="preserve"> HYPERLINK \l _Toc30006 </w:instrText>
          </w:r>
          <w:r>
            <w:rPr>
              <w:rFonts w:asciiTheme="minorEastAsia" w:hAnsiTheme="minorEastAsia"/>
              <w:lang w:val="zh-CN"/>
            </w:rPr>
            <w:fldChar w:fldCharType="separate"/>
          </w:r>
          <w:r>
            <w:rPr>
              <w:rFonts w:hint="eastAsia"/>
            </w:rPr>
            <w:t>《单片机原理及应用》教学大纲</w:t>
          </w:r>
          <w:r>
            <w:tab/>
          </w:r>
          <w:r>
            <w:fldChar w:fldCharType="begin"/>
          </w:r>
          <w:r>
            <w:instrText xml:space="preserve"> PAGEREF _Toc30006 \h </w:instrText>
          </w:r>
          <w:r>
            <w:fldChar w:fldCharType="separate"/>
          </w:r>
          <w:r>
            <w:t>32</w:t>
          </w:r>
          <w:r>
            <w:fldChar w:fldCharType="end"/>
          </w:r>
          <w:r>
            <w:rPr>
              <w:rFonts w:asciiTheme="minorEastAsia" w:hAnsiTheme="minorEastAsia"/>
              <w:lang w:val="zh-CN"/>
            </w:rPr>
            <w:fldChar w:fldCharType="end"/>
          </w:r>
        </w:p>
        <w:p>
          <w:pPr>
            <w:pStyle w:val="11"/>
            <w:tabs>
              <w:tab w:val="right" w:leader="dot" w:pos="8312"/>
            </w:tabs>
          </w:pPr>
          <w:r>
            <w:rPr>
              <w:rFonts w:asciiTheme="minorEastAsia" w:hAnsiTheme="minorEastAsia"/>
              <w:lang w:val="zh-CN"/>
            </w:rPr>
            <w:fldChar w:fldCharType="begin"/>
          </w:r>
          <w:r>
            <w:rPr>
              <w:rFonts w:asciiTheme="minorEastAsia" w:hAnsiTheme="minorEastAsia"/>
              <w:lang w:val="zh-CN"/>
            </w:rPr>
            <w:instrText xml:space="preserve"> HYPERLINK \l _Toc9049 </w:instrText>
          </w:r>
          <w:r>
            <w:rPr>
              <w:rFonts w:asciiTheme="minorEastAsia" w:hAnsiTheme="minorEastAsia"/>
              <w:lang w:val="zh-CN"/>
            </w:rPr>
            <w:fldChar w:fldCharType="separate"/>
          </w:r>
          <w:r>
            <w:rPr>
              <w:rFonts w:hint="eastAsia"/>
            </w:rPr>
            <w:t>《数字信号处理》教学大纲</w:t>
          </w:r>
          <w:r>
            <w:tab/>
          </w:r>
          <w:r>
            <w:fldChar w:fldCharType="begin"/>
          </w:r>
          <w:r>
            <w:instrText xml:space="preserve"> PAGEREF _Toc9049 \h </w:instrText>
          </w:r>
          <w:r>
            <w:fldChar w:fldCharType="separate"/>
          </w:r>
          <w:r>
            <w:t>42</w:t>
          </w:r>
          <w:r>
            <w:fldChar w:fldCharType="end"/>
          </w:r>
          <w:r>
            <w:rPr>
              <w:rFonts w:asciiTheme="minorEastAsia" w:hAnsiTheme="minorEastAsia"/>
              <w:lang w:val="zh-CN"/>
            </w:rPr>
            <w:fldChar w:fldCharType="end"/>
          </w:r>
        </w:p>
        <w:p>
          <w:pPr>
            <w:pStyle w:val="11"/>
            <w:tabs>
              <w:tab w:val="right" w:leader="dot" w:pos="8312"/>
            </w:tabs>
          </w:pPr>
          <w:r>
            <w:rPr>
              <w:rFonts w:asciiTheme="minorEastAsia" w:hAnsiTheme="minorEastAsia"/>
              <w:lang w:val="zh-CN"/>
            </w:rPr>
            <w:fldChar w:fldCharType="begin"/>
          </w:r>
          <w:r>
            <w:rPr>
              <w:rFonts w:asciiTheme="minorEastAsia" w:hAnsiTheme="minorEastAsia"/>
              <w:lang w:val="zh-CN"/>
            </w:rPr>
            <w:instrText xml:space="preserve"> HYPERLINK \l _Toc10437 </w:instrText>
          </w:r>
          <w:r>
            <w:rPr>
              <w:rFonts w:asciiTheme="minorEastAsia" w:hAnsiTheme="minorEastAsia"/>
              <w:lang w:val="zh-CN"/>
            </w:rPr>
            <w:fldChar w:fldCharType="separate"/>
          </w:r>
          <w:r>
            <w:t>《传感器原理及设计》教学大纲</w:t>
          </w:r>
          <w:r>
            <w:tab/>
          </w:r>
          <w:r>
            <w:fldChar w:fldCharType="begin"/>
          </w:r>
          <w:r>
            <w:instrText xml:space="preserve"> PAGEREF _Toc10437 \h </w:instrText>
          </w:r>
          <w:r>
            <w:fldChar w:fldCharType="separate"/>
          </w:r>
          <w:r>
            <w:t>50</w:t>
          </w:r>
          <w:r>
            <w:fldChar w:fldCharType="end"/>
          </w:r>
          <w:r>
            <w:rPr>
              <w:rFonts w:asciiTheme="minorEastAsia" w:hAnsiTheme="minorEastAsia"/>
              <w:lang w:val="zh-CN"/>
            </w:rPr>
            <w:fldChar w:fldCharType="end"/>
          </w:r>
        </w:p>
        <w:p>
          <w:pPr>
            <w:pStyle w:val="11"/>
            <w:tabs>
              <w:tab w:val="right" w:leader="dot" w:pos="8312"/>
            </w:tabs>
          </w:pPr>
          <w:r>
            <w:rPr>
              <w:rFonts w:asciiTheme="minorEastAsia" w:hAnsiTheme="minorEastAsia"/>
              <w:lang w:val="zh-CN"/>
            </w:rPr>
            <w:fldChar w:fldCharType="begin"/>
          </w:r>
          <w:r>
            <w:rPr>
              <w:rFonts w:asciiTheme="minorEastAsia" w:hAnsiTheme="minorEastAsia"/>
              <w:lang w:val="zh-CN"/>
            </w:rPr>
            <w:instrText xml:space="preserve"> HYPERLINK \l _Toc24631 </w:instrText>
          </w:r>
          <w:r>
            <w:rPr>
              <w:rFonts w:asciiTheme="minorEastAsia" w:hAnsiTheme="minorEastAsia"/>
              <w:lang w:val="zh-CN"/>
            </w:rPr>
            <w:fldChar w:fldCharType="separate"/>
          </w:r>
          <w:r>
            <w:rPr>
              <w:rFonts w:hint="eastAsia"/>
            </w:rPr>
            <w:t>《可编程逻辑器件应用》教学大纲</w:t>
          </w:r>
          <w:r>
            <w:tab/>
          </w:r>
          <w:r>
            <w:fldChar w:fldCharType="begin"/>
          </w:r>
          <w:r>
            <w:instrText xml:space="preserve"> PAGEREF _Toc24631 \h </w:instrText>
          </w:r>
          <w:r>
            <w:fldChar w:fldCharType="separate"/>
          </w:r>
          <w:r>
            <w:t>60</w:t>
          </w:r>
          <w:r>
            <w:fldChar w:fldCharType="end"/>
          </w:r>
          <w:r>
            <w:rPr>
              <w:rFonts w:asciiTheme="minorEastAsia" w:hAnsiTheme="minorEastAsia"/>
              <w:lang w:val="zh-CN"/>
            </w:rPr>
            <w:fldChar w:fldCharType="end"/>
          </w:r>
        </w:p>
        <w:p>
          <w:pPr>
            <w:pStyle w:val="11"/>
            <w:tabs>
              <w:tab w:val="right" w:leader="dot" w:pos="8312"/>
            </w:tabs>
          </w:pPr>
          <w:r>
            <w:rPr>
              <w:rFonts w:asciiTheme="minorEastAsia" w:hAnsiTheme="minorEastAsia"/>
              <w:lang w:val="zh-CN"/>
            </w:rPr>
            <w:fldChar w:fldCharType="begin"/>
          </w:r>
          <w:r>
            <w:rPr>
              <w:rFonts w:asciiTheme="minorEastAsia" w:hAnsiTheme="minorEastAsia"/>
              <w:lang w:val="zh-CN"/>
            </w:rPr>
            <w:instrText xml:space="preserve"> HYPERLINK \l _Toc15669 </w:instrText>
          </w:r>
          <w:r>
            <w:rPr>
              <w:rFonts w:asciiTheme="minorEastAsia" w:hAnsiTheme="minorEastAsia"/>
              <w:lang w:val="zh-CN"/>
            </w:rPr>
            <w:fldChar w:fldCharType="separate"/>
          </w:r>
          <w:r>
            <w:rPr>
              <w:rFonts w:hint="eastAsia"/>
            </w:rPr>
            <w:t>《光纤技术及应用》教学大纲</w:t>
          </w:r>
          <w:r>
            <w:tab/>
          </w:r>
          <w:r>
            <w:fldChar w:fldCharType="begin"/>
          </w:r>
          <w:r>
            <w:instrText xml:space="preserve"> PAGEREF _Toc15669 \h </w:instrText>
          </w:r>
          <w:r>
            <w:fldChar w:fldCharType="separate"/>
          </w:r>
          <w:r>
            <w:t>72</w:t>
          </w:r>
          <w:r>
            <w:fldChar w:fldCharType="end"/>
          </w:r>
          <w:r>
            <w:rPr>
              <w:rFonts w:asciiTheme="minorEastAsia" w:hAnsiTheme="minorEastAsia"/>
              <w:lang w:val="zh-CN"/>
            </w:rPr>
            <w:fldChar w:fldCharType="end"/>
          </w:r>
        </w:p>
        <w:p>
          <w:pPr>
            <w:pStyle w:val="11"/>
            <w:tabs>
              <w:tab w:val="right" w:leader="dot" w:pos="8312"/>
            </w:tabs>
          </w:pPr>
          <w:r>
            <w:rPr>
              <w:rFonts w:asciiTheme="minorEastAsia" w:hAnsiTheme="minorEastAsia"/>
              <w:lang w:val="zh-CN"/>
            </w:rPr>
            <w:fldChar w:fldCharType="begin"/>
          </w:r>
          <w:r>
            <w:rPr>
              <w:rFonts w:asciiTheme="minorEastAsia" w:hAnsiTheme="minorEastAsia"/>
              <w:lang w:val="zh-CN"/>
            </w:rPr>
            <w:instrText xml:space="preserve"> HYPERLINK \l _Toc19693 </w:instrText>
          </w:r>
          <w:r>
            <w:rPr>
              <w:rFonts w:asciiTheme="minorEastAsia" w:hAnsiTheme="minorEastAsia"/>
              <w:lang w:val="zh-CN"/>
            </w:rPr>
            <w:fldChar w:fldCharType="separate"/>
          </w:r>
          <w:r>
            <w:rPr>
              <w:rFonts w:hint="eastAsia"/>
            </w:rPr>
            <w:t>《微惯性集成测量系统》</w:t>
          </w:r>
          <w:r>
            <w:rPr>
              <w:rFonts w:hint="eastAsia"/>
              <w:szCs w:val="24"/>
            </w:rPr>
            <w:t>教学大纲</w:t>
          </w:r>
          <w:r>
            <w:tab/>
          </w:r>
          <w:r>
            <w:fldChar w:fldCharType="begin"/>
          </w:r>
          <w:r>
            <w:instrText xml:space="preserve"> PAGEREF _Toc19693 \h </w:instrText>
          </w:r>
          <w:r>
            <w:fldChar w:fldCharType="separate"/>
          </w:r>
          <w:r>
            <w:t>81</w:t>
          </w:r>
          <w:r>
            <w:fldChar w:fldCharType="end"/>
          </w:r>
          <w:r>
            <w:rPr>
              <w:rFonts w:asciiTheme="minorEastAsia" w:hAnsiTheme="minorEastAsia"/>
              <w:lang w:val="zh-CN"/>
            </w:rPr>
            <w:fldChar w:fldCharType="end"/>
          </w:r>
        </w:p>
        <w:p>
          <w:pPr>
            <w:pStyle w:val="11"/>
            <w:tabs>
              <w:tab w:val="right" w:leader="dot" w:pos="8312"/>
            </w:tabs>
          </w:pPr>
          <w:r>
            <w:rPr>
              <w:rFonts w:asciiTheme="minorEastAsia" w:hAnsiTheme="minorEastAsia"/>
              <w:lang w:val="zh-CN"/>
            </w:rPr>
            <w:fldChar w:fldCharType="begin"/>
          </w:r>
          <w:r>
            <w:rPr>
              <w:rFonts w:asciiTheme="minorEastAsia" w:hAnsiTheme="minorEastAsia"/>
              <w:lang w:val="zh-CN"/>
            </w:rPr>
            <w:instrText xml:space="preserve"> HYPERLINK \l _Toc22429 </w:instrText>
          </w:r>
          <w:r>
            <w:rPr>
              <w:rFonts w:asciiTheme="minorEastAsia" w:hAnsiTheme="minorEastAsia"/>
              <w:lang w:val="zh-CN"/>
            </w:rPr>
            <w:fldChar w:fldCharType="separate"/>
          </w:r>
          <w:r>
            <w:rPr>
              <w:rFonts w:ascii="Times New Roman" w:hAnsi="Times New Roman" w:cs="Times New Roman"/>
            </w:rPr>
            <w:t>《MATLAB应用基础》教学大纲</w:t>
          </w:r>
          <w:r>
            <w:tab/>
          </w:r>
          <w:r>
            <w:fldChar w:fldCharType="begin"/>
          </w:r>
          <w:r>
            <w:instrText xml:space="preserve"> PAGEREF _Toc22429 \h </w:instrText>
          </w:r>
          <w:r>
            <w:fldChar w:fldCharType="separate"/>
          </w:r>
          <w:r>
            <w:t>91</w:t>
          </w:r>
          <w:r>
            <w:fldChar w:fldCharType="end"/>
          </w:r>
          <w:r>
            <w:rPr>
              <w:rFonts w:asciiTheme="minorEastAsia" w:hAnsiTheme="minorEastAsia"/>
              <w:lang w:val="zh-CN"/>
            </w:rPr>
            <w:fldChar w:fldCharType="end"/>
          </w:r>
        </w:p>
        <w:p>
          <w:pPr>
            <w:pStyle w:val="11"/>
            <w:tabs>
              <w:tab w:val="right" w:leader="dot" w:pos="8312"/>
            </w:tabs>
          </w:pPr>
          <w:r>
            <w:rPr>
              <w:rFonts w:asciiTheme="minorEastAsia" w:hAnsiTheme="minorEastAsia"/>
              <w:lang w:val="zh-CN"/>
            </w:rPr>
            <w:fldChar w:fldCharType="begin"/>
          </w:r>
          <w:r>
            <w:rPr>
              <w:rFonts w:asciiTheme="minorEastAsia" w:hAnsiTheme="minorEastAsia"/>
              <w:lang w:val="zh-CN"/>
            </w:rPr>
            <w:instrText xml:space="preserve"> HYPERLINK \l _Toc16439 </w:instrText>
          </w:r>
          <w:r>
            <w:rPr>
              <w:rFonts w:asciiTheme="minorEastAsia" w:hAnsiTheme="minorEastAsia"/>
              <w:lang w:val="zh-CN"/>
            </w:rPr>
            <w:fldChar w:fldCharType="separate"/>
          </w:r>
          <w:r>
            <w:t>《电子设计自动化（</w:t>
          </w:r>
          <w:r>
            <w:rPr>
              <w:rFonts w:ascii="Times New Roman" w:hAnsi="Times New Roman" w:cs="Times New Roman"/>
            </w:rPr>
            <w:t>EDA</w:t>
          </w:r>
          <w:r>
            <w:t>）》</w:t>
          </w:r>
          <w:r>
            <w:rPr>
              <w:rFonts w:hint="eastAsia"/>
            </w:rPr>
            <w:t>教学大纲</w:t>
          </w:r>
          <w:r>
            <w:tab/>
          </w:r>
          <w:r>
            <w:fldChar w:fldCharType="begin"/>
          </w:r>
          <w:r>
            <w:instrText xml:space="preserve"> PAGEREF _Toc16439 \h </w:instrText>
          </w:r>
          <w:r>
            <w:fldChar w:fldCharType="separate"/>
          </w:r>
          <w:r>
            <w:t>100</w:t>
          </w:r>
          <w:r>
            <w:fldChar w:fldCharType="end"/>
          </w:r>
          <w:r>
            <w:rPr>
              <w:rFonts w:asciiTheme="minorEastAsia" w:hAnsiTheme="minorEastAsia"/>
              <w:lang w:val="zh-CN"/>
            </w:rPr>
            <w:fldChar w:fldCharType="end"/>
          </w:r>
        </w:p>
        <w:p>
          <w:pPr>
            <w:pStyle w:val="11"/>
            <w:tabs>
              <w:tab w:val="right" w:leader="dot" w:pos="8312"/>
            </w:tabs>
          </w:pPr>
          <w:r>
            <w:rPr>
              <w:rFonts w:asciiTheme="minorEastAsia" w:hAnsiTheme="minorEastAsia"/>
              <w:lang w:val="zh-CN"/>
            </w:rPr>
            <w:fldChar w:fldCharType="begin"/>
          </w:r>
          <w:r>
            <w:rPr>
              <w:rFonts w:asciiTheme="minorEastAsia" w:hAnsiTheme="minorEastAsia"/>
              <w:lang w:val="zh-CN"/>
            </w:rPr>
            <w:instrText xml:space="preserve"> HYPERLINK \l _Toc2526 </w:instrText>
          </w:r>
          <w:r>
            <w:rPr>
              <w:rFonts w:asciiTheme="minorEastAsia" w:hAnsiTheme="minorEastAsia"/>
              <w:lang w:val="zh-CN"/>
            </w:rPr>
            <w:fldChar w:fldCharType="separate"/>
          </w:r>
          <w:r>
            <w:rPr>
              <w:rFonts w:hint="eastAsia"/>
            </w:rPr>
            <w:t>《光电探测技术》教学大纲</w:t>
          </w:r>
          <w:r>
            <w:tab/>
          </w:r>
          <w:r>
            <w:fldChar w:fldCharType="begin"/>
          </w:r>
          <w:r>
            <w:instrText xml:space="preserve"> PAGEREF _Toc2526 \h </w:instrText>
          </w:r>
          <w:r>
            <w:fldChar w:fldCharType="separate"/>
          </w:r>
          <w:r>
            <w:t>109</w:t>
          </w:r>
          <w:r>
            <w:fldChar w:fldCharType="end"/>
          </w:r>
          <w:r>
            <w:rPr>
              <w:rFonts w:asciiTheme="minorEastAsia" w:hAnsiTheme="minorEastAsia"/>
              <w:lang w:val="zh-CN"/>
            </w:rPr>
            <w:fldChar w:fldCharType="end"/>
          </w:r>
        </w:p>
        <w:p>
          <w:pPr>
            <w:pStyle w:val="11"/>
            <w:tabs>
              <w:tab w:val="right" w:leader="dot" w:pos="8312"/>
            </w:tabs>
          </w:pPr>
          <w:r>
            <w:rPr>
              <w:rFonts w:asciiTheme="minorEastAsia" w:hAnsiTheme="minorEastAsia"/>
              <w:lang w:val="zh-CN"/>
            </w:rPr>
            <w:fldChar w:fldCharType="begin"/>
          </w:r>
          <w:r>
            <w:rPr>
              <w:rFonts w:asciiTheme="minorEastAsia" w:hAnsiTheme="minorEastAsia"/>
              <w:lang w:val="zh-CN"/>
            </w:rPr>
            <w:instrText xml:space="preserve"> HYPERLINK \l _Toc31289 </w:instrText>
          </w:r>
          <w:r>
            <w:rPr>
              <w:rFonts w:asciiTheme="minorEastAsia" w:hAnsiTheme="minorEastAsia"/>
              <w:lang w:val="zh-CN"/>
            </w:rPr>
            <w:fldChar w:fldCharType="separate"/>
          </w:r>
          <w:r>
            <w:rPr>
              <w:rFonts w:hint="eastAsia"/>
            </w:rPr>
            <w:t>《物联网技术概论》教学大纲</w:t>
          </w:r>
          <w:r>
            <w:tab/>
          </w:r>
          <w:r>
            <w:fldChar w:fldCharType="begin"/>
          </w:r>
          <w:r>
            <w:instrText xml:space="preserve"> PAGEREF _Toc31289 \h </w:instrText>
          </w:r>
          <w:r>
            <w:fldChar w:fldCharType="separate"/>
          </w:r>
          <w:r>
            <w:t>118</w:t>
          </w:r>
          <w:r>
            <w:fldChar w:fldCharType="end"/>
          </w:r>
          <w:r>
            <w:rPr>
              <w:rFonts w:asciiTheme="minorEastAsia" w:hAnsiTheme="minorEastAsia"/>
              <w:lang w:val="zh-CN"/>
            </w:rPr>
            <w:fldChar w:fldCharType="end"/>
          </w:r>
        </w:p>
        <w:p>
          <w:pPr>
            <w:pStyle w:val="11"/>
            <w:tabs>
              <w:tab w:val="right" w:leader="dot" w:pos="8312"/>
            </w:tabs>
          </w:pPr>
          <w:r>
            <w:rPr>
              <w:rFonts w:asciiTheme="minorEastAsia" w:hAnsiTheme="minorEastAsia"/>
              <w:lang w:val="zh-CN"/>
            </w:rPr>
            <w:fldChar w:fldCharType="begin"/>
          </w:r>
          <w:r>
            <w:rPr>
              <w:rFonts w:asciiTheme="minorEastAsia" w:hAnsiTheme="minorEastAsia"/>
              <w:lang w:val="zh-CN"/>
            </w:rPr>
            <w:instrText xml:space="preserve"> HYPERLINK \l _Toc31815 </w:instrText>
          </w:r>
          <w:r>
            <w:rPr>
              <w:rFonts w:asciiTheme="minorEastAsia" w:hAnsiTheme="minorEastAsia"/>
              <w:lang w:val="zh-CN"/>
            </w:rPr>
            <w:fldChar w:fldCharType="separate"/>
          </w:r>
          <w:r>
            <w:rPr>
              <w:rFonts w:hint="eastAsia"/>
            </w:rPr>
            <w:t>《</w:t>
          </w:r>
          <w:r>
            <w:rPr>
              <w:rFonts w:ascii="Times New Roman" w:hAnsi="Times New Roman" w:cs="Times New Roman"/>
            </w:rPr>
            <w:t>ANSYS》教学大纲</w:t>
          </w:r>
          <w:r>
            <w:tab/>
          </w:r>
          <w:r>
            <w:fldChar w:fldCharType="begin"/>
          </w:r>
          <w:r>
            <w:instrText xml:space="preserve"> PAGEREF _Toc31815 \h </w:instrText>
          </w:r>
          <w:r>
            <w:fldChar w:fldCharType="separate"/>
          </w:r>
          <w:r>
            <w:t>126</w:t>
          </w:r>
          <w:r>
            <w:fldChar w:fldCharType="end"/>
          </w:r>
          <w:r>
            <w:rPr>
              <w:rFonts w:asciiTheme="minorEastAsia" w:hAnsiTheme="minorEastAsia"/>
              <w:lang w:val="zh-CN"/>
            </w:rPr>
            <w:fldChar w:fldCharType="end"/>
          </w:r>
        </w:p>
        <w:p>
          <w:pPr>
            <w:pStyle w:val="11"/>
            <w:tabs>
              <w:tab w:val="right" w:leader="dot" w:pos="8312"/>
            </w:tabs>
          </w:pPr>
          <w:r>
            <w:rPr>
              <w:rFonts w:asciiTheme="minorEastAsia" w:hAnsiTheme="minorEastAsia"/>
              <w:lang w:val="zh-CN"/>
            </w:rPr>
            <w:fldChar w:fldCharType="begin"/>
          </w:r>
          <w:r>
            <w:rPr>
              <w:rFonts w:asciiTheme="minorEastAsia" w:hAnsiTheme="minorEastAsia"/>
              <w:lang w:val="zh-CN"/>
            </w:rPr>
            <w:instrText xml:space="preserve"> HYPERLINK \l _Toc20544 </w:instrText>
          </w:r>
          <w:r>
            <w:rPr>
              <w:rFonts w:asciiTheme="minorEastAsia" w:hAnsiTheme="minorEastAsia"/>
              <w:lang w:val="zh-CN"/>
            </w:rPr>
            <w:fldChar w:fldCharType="separate"/>
          </w:r>
          <w:r>
            <w:rPr>
              <w:rFonts w:hint="eastAsia"/>
            </w:rPr>
            <w:t>《文献检索专题》教学大纲</w:t>
          </w:r>
          <w:r>
            <w:tab/>
          </w:r>
          <w:r>
            <w:fldChar w:fldCharType="begin"/>
          </w:r>
          <w:r>
            <w:instrText xml:space="preserve"> PAGEREF _Toc20544 \h </w:instrText>
          </w:r>
          <w:r>
            <w:fldChar w:fldCharType="separate"/>
          </w:r>
          <w:r>
            <w:t>134</w:t>
          </w:r>
          <w:r>
            <w:fldChar w:fldCharType="end"/>
          </w:r>
          <w:r>
            <w:rPr>
              <w:rFonts w:asciiTheme="minorEastAsia" w:hAnsiTheme="minorEastAsia"/>
              <w:lang w:val="zh-CN"/>
            </w:rPr>
            <w:fldChar w:fldCharType="end"/>
          </w:r>
        </w:p>
        <w:p>
          <w:pPr>
            <w:pStyle w:val="11"/>
            <w:tabs>
              <w:tab w:val="right" w:leader="dot" w:pos="8312"/>
            </w:tabs>
          </w:pPr>
          <w:r>
            <w:rPr>
              <w:rFonts w:asciiTheme="minorEastAsia" w:hAnsiTheme="minorEastAsia"/>
              <w:lang w:val="zh-CN"/>
            </w:rPr>
            <w:fldChar w:fldCharType="begin"/>
          </w:r>
          <w:r>
            <w:rPr>
              <w:rFonts w:asciiTheme="minorEastAsia" w:hAnsiTheme="minorEastAsia"/>
              <w:lang w:val="zh-CN"/>
            </w:rPr>
            <w:instrText xml:space="preserve"> HYPERLINK \l _Toc5274 </w:instrText>
          </w:r>
          <w:r>
            <w:rPr>
              <w:rFonts w:asciiTheme="minorEastAsia" w:hAnsiTheme="minorEastAsia"/>
              <w:lang w:val="zh-CN"/>
            </w:rPr>
            <w:fldChar w:fldCharType="separate"/>
          </w:r>
          <w:r>
            <w:rPr>
              <w:rFonts w:hint="eastAsia"/>
            </w:rPr>
            <w:t>《毕业设计专题》教学大纲</w:t>
          </w:r>
          <w:r>
            <w:tab/>
          </w:r>
          <w:r>
            <w:fldChar w:fldCharType="begin"/>
          </w:r>
          <w:r>
            <w:instrText xml:space="preserve"> PAGEREF _Toc5274 \h </w:instrText>
          </w:r>
          <w:r>
            <w:fldChar w:fldCharType="separate"/>
          </w:r>
          <w:r>
            <w:t>141</w:t>
          </w:r>
          <w:r>
            <w:fldChar w:fldCharType="end"/>
          </w:r>
          <w:r>
            <w:rPr>
              <w:rFonts w:asciiTheme="minorEastAsia" w:hAnsiTheme="minorEastAsia"/>
              <w:lang w:val="zh-CN"/>
            </w:rPr>
            <w:fldChar w:fldCharType="end"/>
          </w:r>
        </w:p>
        <w:p>
          <w:pPr>
            <w:pStyle w:val="11"/>
            <w:tabs>
              <w:tab w:val="right" w:leader="dot" w:pos="8312"/>
            </w:tabs>
          </w:pPr>
          <w:r>
            <w:rPr>
              <w:rFonts w:asciiTheme="minorEastAsia" w:hAnsiTheme="minorEastAsia"/>
              <w:lang w:val="zh-CN"/>
            </w:rPr>
            <w:fldChar w:fldCharType="begin"/>
          </w:r>
          <w:r>
            <w:rPr>
              <w:rFonts w:asciiTheme="minorEastAsia" w:hAnsiTheme="minorEastAsia"/>
              <w:lang w:val="zh-CN"/>
            </w:rPr>
            <w:instrText xml:space="preserve"> HYPERLINK \l _Toc23213 </w:instrText>
          </w:r>
          <w:r>
            <w:rPr>
              <w:rFonts w:asciiTheme="minorEastAsia" w:hAnsiTheme="minorEastAsia"/>
              <w:lang w:val="zh-CN"/>
            </w:rPr>
            <w:fldChar w:fldCharType="separate"/>
          </w:r>
          <w:r>
            <w:rPr>
              <w:rFonts w:hint="eastAsia"/>
              <w:szCs w:val="24"/>
            </w:rPr>
            <w:t>《</w:t>
          </w:r>
          <w:r>
            <w:rPr>
              <w:rFonts w:hint="eastAsia"/>
            </w:rPr>
            <w:t>误差理论与数据处理</w:t>
          </w:r>
          <w:r>
            <w:rPr>
              <w:rFonts w:hint="eastAsia"/>
              <w:szCs w:val="24"/>
            </w:rPr>
            <w:t>》教学大纲</w:t>
          </w:r>
          <w:r>
            <w:tab/>
          </w:r>
          <w:r>
            <w:fldChar w:fldCharType="begin"/>
          </w:r>
          <w:r>
            <w:instrText xml:space="preserve"> PAGEREF _Toc23213 \h </w:instrText>
          </w:r>
          <w:r>
            <w:fldChar w:fldCharType="separate"/>
          </w:r>
          <w:r>
            <w:t>148</w:t>
          </w:r>
          <w:r>
            <w:fldChar w:fldCharType="end"/>
          </w:r>
          <w:r>
            <w:rPr>
              <w:rFonts w:asciiTheme="minorEastAsia" w:hAnsiTheme="minorEastAsia"/>
              <w:lang w:val="zh-CN"/>
            </w:rPr>
            <w:fldChar w:fldCharType="end"/>
          </w:r>
        </w:p>
        <w:p>
          <w:pPr>
            <w:pStyle w:val="11"/>
            <w:tabs>
              <w:tab w:val="right" w:leader="dot" w:pos="8312"/>
            </w:tabs>
          </w:pPr>
          <w:r>
            <w:rPr>
              <w:rFonts w:asciiTheme="minorEastAsia" w:hAnsiTheme="minorEastAsia"/>
              <w:lang w:val="zh-CN"/>
            </w:rPr>
            <w:fldChar w:fldCharType="begin"/>
          </w:r>
          <w:r>
            <w:rPr>
              <w:rFonts w:asciiTheme="minorEastAsia" w:hAnsiTheme="minorEastAsia"/>
              <w:lang w:val="zh-CN"/>
            </w:rPr>
            <w:instrText xml:space="preserve"> HYPERLINK \l _Toc4924 </w:instrText>
          </w:r>
          <w:r>
            <w:rPr>
              <w:rFonts w:asciiTheme="minorEastAsia" w:hAnsiTheme="minorEastAsia"/>
              <w:lang w:val="zh-CN"/>
            </w:rPr>
            <w:fldChar w:fldCharType="separate"/>
          </w:r>
          <w:r>
            <w:t>《微纳传感与系统》教学大纲</w:t>
          </w:r>
          <w:r>
            <w:tab/>
          </w:r>
          <w:r>
            <w:fldChar w:fldCharType="begin"/>
          </w:r>
          <w:r>
            <w:instrText xml:space="preserve"> PAGEREF _Toc4924 \h </w:instrText>
          </w:r>
          <w:r>
            <w:fldChar w:fldCharType="separate"/>
          </w:r>
          <w:r>
            <w:t>156</w:t>
          </w:r>
          <w:r>
            <w:fldChar w:fldCharType="end"/>
          </w:r>
          <w:r>
            <w:rPr>
              <w:rFonts w:asciiTheme="minorEastAsia" w:hAnsiTheme="minorEastAsia"/>
              <w:lang w:val="zh-CN"/>
            </w:rPr>
            <w:fldChar w:fldCharType="end"/>
          </w:r>
        </w:p>
        <w:p>
          <w:pPr>
            <w:pStyle w:val="11"/>
            <w:tabs>
              <w:tab w:val="right" w:leader="dot" w:pos="8312"/>
            </w:tabs>
          </w:pPr>
          <w:r>
            <w:rPr>
              <w:rFonts w:asciiTheme="minorEastAsia" w:hAnsiTheme="minorEastAsia"/>
              <w:lang w:val="zh-CN"/>
            </w:rPr>
            <w:fldChar w:fldCharType="begin"/>
          </w:r>
          <w:r>
            <w:rPr>
              <w:rFonts w:asciiTheme="minorEastAsia" w:hAnsiTheme="minorEastAsia"/>
              <w:lang w:val="zh-CN"/>
            </w:rPr>
            <w:instrText xml:space="preserve"> HYPERLINK \l _Toc15533 </w:instrText>
          </w:r>
          <w:r>
            <w:rPr>
              <w:rFonts w:asciiTheme="minorEastAsia" w:hAnsiTheme="minorEastAsia"/>
              <w:lang w:val="zh-CN"/>
            </w:rPr>
            <w:fldChar w:fldCharType="separate"/>
          </w:r>
          <w:r>
            <w:rPr>
              <w:rFonts w:hint="eastAsia"/>
            </w:rPr>
            <w:t>《</w:t>
          </w:r>
          <w:r>
            <w:rPr>
              <w:rFonts w:hint="eastAsia"/>
              <w:szCs w:val="28"/>
            </w:rPr>
            <w:t>微弱信号检测</w:t>
          </w:r>
          <w:r>
            <w:rPr>
              <w:rFonts w:hint="eastAsia"/>
            </w:rPr>
            <w:t>》教学大纲</w:t>
          </w:r>
          <w:r>
            <w:tab/>
          </w:r>
          <w:r>
            <w:fldChar w:fldCharType="begin"/>
          </w:r>
          <w:r>
            <w:instrText xml:space="preserve"> PAGEREF _Toc15533 \h </w:instrText>
          </w:r>
          <w:r>
            <w:fldChar w:fldCharType="separate"/>
          </w:r>
          <w:r>
            <w:t>163</w:t>
          </w:r>
          <w:r>
            <w:fldChar w:fldCharType="end"/>
          </w:r>
          <w:r>
            <w:rPr>
              <w:rFonts w:asciiTheme="minorEastAsia" w:hAnsiTheme="minorEastAsia"/>
              <w:lang w:val="zh-CN"/>
            </w:rPr>
            <w:fldChar w:fldCharType="end"/>
          </w:r>
        </w:p>
        <w:p>
          <w:pPr>
            <w:pStyle w:val="11"/>
            <w:tabs>
              <w:tab w:val="right" w:leader="dot" w:pos="8312"/>
            </w:tabs>
          </w:pPr>
          <w:r>
            <w:rPr>
              <w:rFonts w:asciiTheme="minorEastAsia" w:hAnsiTheme="minorEastAsia"/>
              <w:lang w:val="zh-CN"/>
            </w:rPr>
            <w:fldChar w:fldCharType="begin"/>
          </w:r>
          <w:r>
            <w:rPr>
              <w:rFonts w:asciiTheme="minorEastAsia" w:hAnsiTheme="minorEastAsia"/>
              <w:lang w:val="zh-CN"/>
            </w:rPr>
            <w:instrText xml:space="preserve"> HYPERLINK \l _Toc11441 </w:instrText>
          </w:r>
          <w:r>
            <w:rPr>
              <w:rFonts w:asciiTheme="minorEastAsia" w:hAnsiTheme="minorEastAsia"/>
              <w:lang w:val="zh-CN"/>
            </w:rPr>
            <w:fldChar w:fldCharType="separate"/>
          </w:r>
          <w:r>
            <w:rPr>
              <w:rFonts w:hint="eastAsia"/>
            </w:rPr>
            <w:t>《虚拟仪器设计》教学大纲</w:t>
          </w:r>
          <w:r>
            <w:tab/>
          </w:r>
          <w:r>
            <w:fldChar w:fldCharType="begin"/>
          </w:r>
          <w:r>
            <w:instrText xml:space="preserve"> PAGEREF _Toc11441 \h </w:instrText>
          </w:r>
          <w:r>
            <w:fldChar w:fldCharType="separate"/>
          </w:r>
          <w:r>
            <w:t>171</w:t>
          </w:r>
          <w:r>
            <w:fldChar w:fldCharType="end"/>
          </w:r>
          <w:r>
            <w:rPr>
              <w:rFonts w:asciiTheme="minorEastAsia" w:hAnsiTheme="minorEastAsia"/>
              <w:lang w:val="zh-CN"/>
            </w:rPr>
            <w:fldChar w:fldCharType="end"/>
          </w:r>
        </w:p>
        <w:p>
          <w:pPr>
            <w:pStyle w:val="11"/>
            <w:tabs>
              <w:tab w:val="right" w:leader="dot" w:pos="8312"/>
            </w:tabs>
          </w:pPr>
          <w:r>
            <w:rPr>
              <w:rFonts w:asciiTheme="minorEastAsia" w:hAnsiTheme="minorEastAsia"/>
              <w:lang w:val="zh-CN"/>
            </w:rPr>
            <w:fldChar w:fldCharType="begin"/>
          </w:r>
          <w:r>
            <w:rPr>
              <w:rFonts w:asciiTheme="minorEastAsia" w:hAnsiTheme="minorEastAsia"/>
              <w:lang w:val="zh-CN"/>
            </w:rPr>
            <w:instrText xml:space="preserve"> HYPERLINK \l _Toc9871 </w:instrText>
          </w:r>
          <w:r>
            <w:rPr>
              <w:rFonts w:asciiTheme="minorEastAsia" w:hAnsiTheme="minorEastAsia"/>
              <w:lang w:val="zh-CN"/>
            </w:rPr>
            <w:fldChar w:fldCharType="separate"/>
          </w:r>
          <w:r>
            <w:rPr>
              <w:rFonts w:hint="eastAsia"/>
            </w:rPr>
            <w:t>《智能仪器》教学大纲</w:t>
          </w:r>
          <w:r>
            <w:tab/>
          </w:r>
          <w:r>
            <w:fldChar w:fldCharType="begin"/>
          </w:r>
          <w:r>
            <w:instrText xml:space="preserve"> PAGEREF _Toc9871 \h </w:instrText>
          </w:r>
          <w:r>
            <w:fldChar w:fldCharType="separate"/>
          </w:r>
          <w:r>
            <w:t>180</w:t>
          </w:r>
          <w:r>
            <w:fldChar w:fldCharType="end"/>
          </w:r>
          <w:r>
            <w:rPr>
              <w:rFonts w:asciiTheme="minorEastAsia" w:hAnsiTheme="minorEastAsia"/>
              <w:lang w:val="zh-CN"/>
            </w:rPr>
            <w:fldChar w:fldCharType="end"/>
          </w:r>
        </w:p>
        <w:p>
          <w:pPr>
            <w:pStyle w:val="11"/>
            <w:tabs>
              <w:tab w:val="right" w:leader="dot" w:pos="8312"/>
            </w:tabs>
          </w:pPr>
          <w:r>
            <w:rPr>
              <w:rFonts w:asciiTheme="minorEastAsia" w:hAnsiTheme="minorEastAsia"/>
              <w:lang w:val="zh-CN"/>
            </w:rPr>
            <w:fldChar w:fldCharType="begin"/>
          </w:r>
          <w:r>
            <w:rPr>
              <w:rFonts w:asciiTheme="minorEastAsia" w:hAnsiTheme="minorEastAsia"/>
              <w:lang w:val="zh-CN"/>
            </w:rPr>
            <w:instrText xml:space="preserve"> HYPERLINK \l _Toc28261 </w:instrText>
          </w:r>
          <w:r>
            <w:rPr>
              <w:rFonts w:asciiTheme="minorEastAsia" w:hAnsiTheme="minorEastAsia"/>
              <w:lang w:val="zh-CN"/>
            </w:rPr>
            <w:fldChar w:fldCharType="separate"/>
          </w:r>
          <w:r>
            <w:t>《量子传感原理及应用》教学大纲</w:t>
          </w:r>
          <w:r>
            <w:tab/>
          </w:r>
          <w:r>
            <w:fldChar w:fldCharType="begin"/>
          </w:r>
          <w:r>
            <w:instrText xml:space="preserve"> PAGEREF _Toc28261 \h </w:instrText>
          </w:r>
          <w:r>
            <w:fldChar w:fldCharType="separate"/>
          </w:r>
          <w:r>
            <w:t>189</w:t>
          </w:r>
          <w:r>
            <w:fldChar w:fldCharType="end"/>
          </w:r>
          <w:r>
            <w:rPr>
              <w:rFonts w:asciiTheme="minorEastAsia" w:hAnsiTheme="minorEastAsia"/>
              <w:lang w:val="zh-CN"/>
            </w:rPr>
            <w:fldChar w:fldCharType="end"/>
          </w:r>
        </w:p>
        <w:p>
          <w:pPr>
            <w:pStyle w:val="11"/>
            <w:tabs>
              <w:tab w:val="right" w:leader="dot" w:pos="8312"/>
            </w:tabs>
          </w:pPr>
          <w:r>
            <w:rPr>
              <w:rFonts w:asciiTheme="minorEastAsia" w:hAnsiTheme="minorEastAsia"/>
              <w:lang w:val="zh-CN"/>
            </w:rPr>
            <w:fldChar w:fldCharType="begin"/>
          </w:r>
          <w:r>
            <w:rPr>
              <w:rFonts w:asciiTheme="minorEastAsia" w:hAnsiTheme="minorEastAsia"/>
              <w:lang w:val="zh-CN"/>
            </w:rPr>
            <w:instrText xml:space="preserve"> HYPERLINK \l _Toc32005 </w:instrText>
          </w:r>
          <w:r>
            <w:rPr>
              <w:rFonts w:asciiTheme="minorEastAsia" w:hAnsiTheme="minorEastAsia"/>
              <w:lang w:val="zh-CN"/>
            </w:rPr>
            <w:fldChar w:fldCharType="separate"/>
          </w:r>
          <w:r>
            <w:rPr>
              <w:rFonts w:hint="eastAsia" w:ascii="Times New Roman" w:hAnsi="Times New Roman" w:cs="Times New Roman"/>
            </w:rPr>
            <w:t>《计算思维导论》课程教学大纲</w:t>
          </w:r>
          <w:r>
            <w:tab/>
          </w:r>
          <w:r>
            <w:fldChar w:fldCharType="begin"/>
          </w:r>
          <w:r>
            <w:instrText xml:space="preserve"> PAGEREF _Toc32005 \h </w:instrText>
          </w:r>
          <w:r>
            <w:fldChar w:fldCharType="separate"/>
          </w:r>
          <w:r>
            <w:t>196</w:t>
          </w:r>
          <w:r>
            <w:fldChar w:fldCharType="end"/>
          </w:r>
          <w:r>
            <w:rPr>
              <w:rFonts w:asciiTheme="minorEastAsia" w:hAnsiTheme="minorEastAsia"/>
              <w:lang w:val="zh-CN"/>
            </w:rPr>
            <w:fldChar w:fldCharType="end"/>
          </w:r>
        </w:p>
        <w:p>
          <w:pPr>
            <w:pStyle w:val="11"/>
            <w:tabs>
              <w:tab w:val="right" w:leader="dot" w:pos="8312"/>
            </w:tabs>
          </w:pPr>
          <w:r>
            <w:rPr>
              <w:rFonts w:asciiTheme="minorEastAsia" w:hAnsiTheme="minorEastAsia"/>
              <w:lang w:val="zh-CN"/>
            </w:rPr>
            <w:fldChar w:fldCharType="begin"/>
          </w:r>
          <w:r>
            <w:rPr>
              <w:rFonts w:asciiTheme="minorEastAsia" w:hAnsiTheme="minorEastAsia"/>
              <w:lang w:val="zh-CN"/>
            </w:rPr>
            <w:instrText xml:space="preserve"> HYPERLINK \l _Toc19307 </w:instrText>
          </w:r>
          <w:r>
            <w:rPr>
              <w:rFonts w:asciiTheme="minorEastAsia" w:hAnsiTheme="minorEastAsia"/>
              <w:lang w:val="zh-CN"/>
            </w:rPr>
            <w:fldChar w:fldCharType="separate"/>
          </w:r>
          <w:r>
            <w:rPr>
              <w:rFonts w:hint="eastAsia" w:ascii="Times New Roman" w:hAnsi="Times New Roman" w:cs="Times New Roman"/>
            </w:rPr>
            <w:t>《云计算与物联网》课程教学大纲</w:t>
          </w:r>
          <w:r>
            <w:tab/>
          </w:r>
          <w:r>
            <w:fldChar w:fldCharType="begin"/>
          </w:r>
          <w:r>
            <w:instrText xml:space="preserve"> PAGEREF _Toc19307 \h </w:instrText>
          </w:r>
          <w:r>
            <w:fldChar w:fldCharType="separate"/>
          </w:r>
          <w:r>
            <w:t>205</w:t>
          </w:r>
          <w:r>
            <w:fldChar w:fldCharType="end"/>
          </w:r>
          <w:r>
            <w:rPr>
              <w:rFonts w:asciiTheme="minorEastAsia" w:hAnsiTheme="minorEastAsia"/>
              <w:lang w:val="zh-CN"/>
            </w:rPr>
            <w:fldChar w:fldCharType="end"/>
          </w:r>
        </w:p>
        <w:p>
          <w:pPr>
            <w:pStyle w:val="11"/>
            <w:tabs>
              <w:tab w:val="right" w:leader="dot" w:pos="8312"/>
            </w:tabs>
          </w:pPr>
          <w:r>
            <w:rPr>
              <w:rFonts w:asciiTheme="minorEastAsia" w:hAnsiTheme="minorEastAsia"/>
              <w:lang w:val="zh-CN"/>
            </w:rPr>
            <w:fldChar w:fldCharType="begin"/>
          </w:r>
          <w:r>
            <w:rPr>
              <w:rFonts w:asciiTheme="minorEastAsia" w:hAnsiTheme="minorEastAsia"/>
              <w:lang w:val="zh-CN"/>
            </w:rPr>
            <w:instrText xml:space="preserve"> HYPERLINK \l _Toc11096 </w:instrText>
          </w:r>
          <w:r>
            <w:rPr>
              <w:rFonts w:asciiTheme="minorEastAsia" w:hAnsiTheme="minorEastAsia"/>
              <w:lang w:val="zh-CN"/>
            </w:rPr>
            <w:fldChar w:fldCharType="separate"/>
          </w:r>
          <w:r>
            <w:rPr>
              <w:rFonts w:hint="eastAsia" w:ascii="Times New Roman" w:hAnsi="Times New Roman" w:cs="Times New Roman"/>
              <w:highlight w:val="none"/>
            </w:rPr>
            <w:t>《智能传感材料》</w:t>
          </w:r>
          <w:r>
            <w:rPr>
              <w:rFonts w:hint="eastAsia"/>
              <w:bCs w:val="0"/>
              <w:highlight w:val="none"/>
            </w:rPr>
            <w:t>课程教学大纲</w:t>
          </w:r>
          <w:r>
            <w:tab/>
          </w:r>
          <w:r>
            <w:fldChar w:fldCharType="begin"/>
          </w:r>
          <w:r>
            <w:instrText xml:space="preserve"> PAGEREF _Toc11096 \h </w:instrText>
          </w:r>
          <w:r>
            <w:fldChar w:fldCharType="separate"/>
          </w:r>
          <w:r>
            <w:t>217</w:t>
          </w:r>
          <w:r>
            <w:fldChar w:fldCharType="end"/>
          </w:r>
          <w:r>
            <w:rPr>
              <w:rFonts w:asciiTheme="minorEastAsia" w:hAnsiTheme="minorEastAsia"/>
              <w:lang w:val="zh-CN"/>
            </w:rPr>
            <w:fldChar w:fldCharType="end"/>
          </w:r>
        </w:p>
        <w:p>
          <w:pPr>
            <w:pStyle w:val="11"/>
            <w:tabs>
              <w:tab w:val="right" w:leader="dot" w:pos="8312"/>
            </w:tabs>
          </w:pPr>
          <w:r>
            <w:rPr>
              <w:rFonts w:asciiTheme="minorEastAsia" w:hAnsiTheme="minorEastAsia"/>
              <w:lang w:val="zh-CN"/>
            </w:rPr>
            <w:fldChar w:fldCharType="begin"/>
          </w:r>
          <w:r>
            <w:rPr>
              <w:rFonts w:asciiTheme="minorEastAsia" w:hAnsiTheme="minorEastAsia"/>
              <w:lang w:val="zh-CN"/>
            </w:rPr>
            <w:instrText xml:space="preserve"> HYPERLINK \l _Toc15459 </w:instrText>
          </w:r>
          <w:r>
            <w:rPr>
              <w:rFonts w:asciiTheme="minorEastAsia" w:hAnsiTheme="minorEastAsia"/>
              <w:lang w:val="zh-CN"/>
            </w:rPr>
            <w:fldChar w:fldCharType="separate"/>
          </w:r>
          <w:r>
            <w:rPr>
              <w:rFonts w:hint="eastAsia" w:ascii="Times New Roman" w:hAnsi="Times New Roman" w:cs="Times New Roman"/>
            </w:rPr>
            <w:t>《智能传感器接口标准》课程教学大纲</w:t>
          </w:r>
          <w:r>
            <w:tab/>
          </w:r>
          <w:r>
            <w:fldChar w:fldCharType="begin"/>
          </w:r>
          <w:r>
            <w:instrText xml:space="preserve"> PAGEREF _Toc15459 \h </w:instrText>
          </w:r>
          <w:r>
            <w:fldChar w:fldCharType="separate"/>
          </w:r>
          <w:r>
            <w:t>233</w:t>
          </w:r>
          <w:r>
            <w:fldChar w:fldCharType="end"/>
          </w:r>
          <w:r>
            <w:rPr>
              <w:rFonts w:asciiTheme="minorEastAsia" w:hAnsiTheme="minorEastAsia"/>
              <w:lang w:val="zh-CN"/>
            </w:rPr>
            <w:fldChar w:fldCharType="end"/>
          </w:r>
        </w:p>
        <w:p>
          <w:pPr>
            <w:pStyle w:val="11"/>
            <w:tabs>
              <w:tab w:val="right" w:leader="dot" w:pos="8312"/>
            </w:tabs>
          </w:pPr>
          <w:r>
            <w:rPr>
              <w:rFonts w:asciiTheme="minorEastAsia" w:hAnsiTheme="minorEastAsia"/>
              <w:lang w:val="zh-CN"/>
            </w:rPr>
            <w:fldChar w:fldCharType="begin"/>
          </w:r>
          <w:r>
            <w:rPr>
              <w:rFonts w:asciiTheme="minorEastAsia" w:hAnsiTheme="minorEastAsia"/>
              <w:lang w:val="zh-CN"/>
            </w:rPr>
            <w:instrText xml:space="preserve"> HYPERLINK \l _Toc56 </w:instrText>
          </w:r>
          <w:r>
            <w:rPr>
              <w:rFonts w:asciiTheme="minorEastAsia" w:hAnsiTheme="minorEastAsia"/>
              <w:lang w:val="zh-CN"/>
            </w:rPr>
            <w:fldChar w:fldCharType="separate"/>
          </w:r>
          <w:r>
            <w:rPr>
              <w:rFonts w:hint="eastAsia" w:ascii="Times New Roman" w:hAnsi="Times New Roman" w:cs="Times New Roman"/>
            </w:rPr>
            <w:t>《智能传感系统》课程教学大纲</w:t>
          </w:r>
          <w:r>
            <w:tab/>
          </w:r>
          <w:r>
            <w:fldChar w:fldCharType="begin"/>
          </w:r>
          <w:r>
            <w:instrText xml:space="preserve"> PAGEREF _Toc56 \h </w:instrText>
          </w:r>
          <w:r>
            <w:fldChar w:fldCharType="separate"/>
          </w:r>
          <w:r>
            <w:t>242</w:t>
          </w:r>
          <w:r>
            <w:fldChar w:fldCharType="end"/>
          </w:r>
          <w:r>
            <w:rPr>
              <w:rFonts w:asciiTheme="minorEastAsia" w:hAnsiTheme="minorEastAsia"/>
              <w:lang w:val="zh-CN"/>
            </w:rPr>
            <w:fldChar w:fldCharType="end"/>
          </w:r>
        </w:p>
        <w:p>
          <w:pPr>
            <w:pStyle w:val="11"/>
            <w:tabs>
              <w:tab w:val="right" w:leader="dot" w:pos="8312"/>
            </w:tabs>
          </w:pPr>
          <w:r>
            <w:rPr>
              <w:rFonts w:asciiTheme="minorEastAsia" w:hAnsiTheme="minorEastAsia"/>
              <w:lang w:val="zh-CN"/>
            </w:rPr>
            <w:fldChar w:fldCharType="begin"/>
          </w:r>
          <w:r>
            <w:rPr>
              <w:rFonts w:asciiTheme="minorEastAsia" w:hAnsiTheme="minorEastAsia"/>
              <w:lang w:val="zh-CN"/>
            </w:rPr>
            <w:instrText xml:space="preserve"> HYPERLINK \l _Toc29580 </w:instrText>
          </w:r>
          <w:r>
            <w:rPr>
              <w:rFonts w:asciiTheme="minorEastAsia" w:hAnsiTheme="minorEastAsia"/>
              <w:lang w:val="zh-CN"/>
            </w:rPr>
            <w:fldChar w:fldCharType="separate"/>
          </w:r>
          <w:r>
            <w:rPr>
              <w:rFonts w:hint="eastAsia" w:ascii="Times New Roman" w:hAnsi="Times New Roman" w:cs="Times New Roman"/>
            </w:rPr>
            <w:t>《智能控制理论基础》课程教学大纲</w:t>
          </w:r>
          <w:r>
            <w:tab/>
          </w:r>
          <w:r>
            <w:fldChar w:fldCharType="begin"/>
          </w:r>
          <w:r>
            <w:instrText xml:space="preserve"> PAGEREF _Toc29580 \h </w:instrText>
          </w:r>
          <w:r>
            <w:fldChar w:fldCharType="separate"/>
          </w:r>
          <w:r>
            <w:t>255</w:t>
          </w:r>
          <w:r>
            <w:fldChar w:fldCharType="end"/>
          </w:r>
          <w:r>
            <w:rPr>
              <w:rFonts w:asciiTheme="minorEastAsia" w:hAnsiTheme="minorEastAsia"/>
              <w:lang w:val="zh-CN"/>
            </w:rPr>
            <w:fldChar w:fldCharType="end"/>
          </w:r>
        </w:p>
        <w:p>
          <w:pPr>
            <w:pStyle w:val="11"/>
            <w:tabs>
              <w:tab w:val="right" w:leader="dot" w:pos="8312"/>
            </w:tabs>
          </w:pPr>
          <w:r>
            <w:rPr>
              <w:rFonts w:asciiTheme="minorEastAsia" w:hAnsiTheme="minorEastAsia"/>
              <w:lang w:val="zh-CN"/>
            </w:rPr>
            <w:fldChar w:fldCharType="begin"/>
          </w:r>
          <w:r>
            <w:rPr>
              <w:rFonts w:asciiTheme="minorEastAsia" w:hAnsiTheme="minorEastAsia"/>
              <w:lang w:val="zh-CN"/>
            </w:rPr>
            <w:instrText xml:space="preserve"> HYPERLINK \l _Toc12814 </w:instrText>
          </w:r>
          <w:r>
            <w:rPr>
              <w:rFonts w:asciiTheme="minorEastAsia" w:hAnsiTheme="minorEastAsia"/>
              <w:lang w:val="zh-CN"/>
            </w:rPr>
            <w:fldChar w:fldCharType="separate"/>
          </w:r>
          <w:r>
            <w:rPr>
              <w:rFonts w:hint="eastAsia" w:ascii="Times New Roman" w:hAnsi="Times New Roman" w:cs="Times New Roman"/>
            </w:rPr>
            <w:t>《数据结构与算法分析》课程教学大纲</w:t>
          </w:r>
          <w:r>
            <w:tab/>
          </w:r>
          <w:r>
            <w:fldChar w:fldCharType="begin"/>
          </w:r>
          <w:r>
            <w:instrText xml:space="preserve"> PAGEREF _Toc12814 \h </w:instrText>
          </w:r>
          <w:r>
            <w:fldChar w:fldCharType="separate"/>
          </w:r>
          <w:r>
            <w:t>262</w:t>
          </w:r>
          <w:r>
            <w:fldChar w:fldCharType="end"/>
          </w:r>
          <w:r>
            <w:rPr>
              <w:rFonts w:asciiTheme="minorEastAsia" w:hAnsiTheme="minorEastAsia"/>
              <w:lang w:val="zh-CN"/>
            </w:rPr>
            <w:fldChar w:fldCharType="end"/>
          </w:r>
        </w:p>
        <w:p>
          <w:pPr>
            <w:pStyle w:val="11"/>
            <w:tabs>
              <w:tab w:val="right" w:leader="dot" w:pos="8312"/>
            </w:tabs>
          </w:pPr>
          <w:r>
            <w:rPr>
              <w:rFonts w:asciiTheme="minorEastAsia" w:hAnsiTheme="minorEastAsia"/>
              <w:lang w:val="zh-CN"/>
            </w:rPr>
            <w:fldChar w:fldCharType="begin"/>
          </w:r>
          <w:r>
            <w:rPr>
              <w:rFonts w:asciiTheme="minorEastAsia" w:hAnsiTheme="minorEastAsia"/>
              <w:lang w:val="zh-CN"/>
            </w:rPr>
            <w:instrText xml:space="preserve"> HYPERLINK \l _Toc28219 </w:instrText>
          </w:r>
          <w:r>
            <w:rPr>
              <w:rFonts w:asciiTheme="minorEastAsia" w:hAnsiTheme="minorEastAsia"/>
              <w:lang w:val="zh-CN"/>
            </w:rPr>
            <w:fldChar w:fldCharType="separate"/>
          </w:r>
          <w:r>
            <w:rPr>
              <w:rFonts w:hint="eastAsia" w:ascii="Times New Roman" w:hAnsi="Times New Roman" w:cs="Times New Roman"/>
            </w:rPr>
            <w:t>《视觉感知与图像处理》课程教学大纲</w:t>
          </w:r>
          <w:r>
            <w:tab/>
          </w:r>
          <w:r>
            <w:fldChar w:fldCharType="begin"/>
          </w:r>
          <w:r>
            <w:instrText xml:space="preserve"> PAGEREF _Toc28219 \h </w:instrText>
          </w:r>
          <w:r>
            <w:fldChar w:fldCharType="separate"/>
          </w:r>
          <w:r>
            <w:t>269</w:t>
          </w:r>
          <w:r>
            <w:fldChar w:fldCharType="end"/>
          </w:r>
          <w:r>
            <w:rPr>
              <w:rFonts w:asciiTheme="minorEastAsia" w:hAnsiTheme="minorEastAsia"/>
              <w:lang w:val="zh-CN"/>
            </w:rPr>
            <w:fldChar w:fldCharType="end"/>
          </w:r>
        </w:p>
        <w:p>
          <w:pPr>
            <w:pStyle w:val="11"/>
            <w:tabs>
              <w:tab w:val="right" w:leader="dot" w:pos="8312"/>
            </w:tabs>
          </w:pPr>
          <w:r>
            <w:rPr>
              <w:rFonts w:asciiTheme="minorEastAsia" w:hAnsiTheme="minorEastAsia"/>
              <w:lang w:val="zh-CN"/>
            </w:rPr>
            <w:fldChar w:fldCharType="begin"/>
          </w:r>
          <w:r>
            <w:rPr>
              <w:rFonts w:asciiTheme="minorEastAsia" w:hAnsiTheme="minorEastAsia"/>
              <w:lang w:val="zh-CN"/>
            </w:rPr>
            <w:instrText xml:space="preserve"> HYPERLINK \l _Toc20230 </w:instrText>
          </w:r>
          <w:r>
            <w:rPr>
              <w:rFonts w:asciiTheme="minorEastAsia" w:hAnsiTheme="minorEastAsia"/>
              <w:lang w:val="zh-CN"/>
            </w:rPr>
            <w:fldChar w:fldCharType="separate"/>
          </w:r>
          <w:r>
            <w:rPr>
              <w:rFonts w:hint="eastAsia" w:ascii="Times New Roman" w:hAnsi="Times New Roman" w:cs="Times New Roman"/>
            </w:rPr>
            <w:t>《智能机器人技术》教学大纲</w:t>
          </w:r>
          <w:r>
            <w:tab/>
          </w:r>
          <w:r>
            <w:fldChar w:fldCharType="begin"/>
          </w:r>
          <w:r>
            <w:instrText xml:space="preserve"> PAGEREF _Toc20230 \h </w:instrText>
          </w:r>
          <w:r>
            <w:fldChar w:fldCharType="separate"/>
          </w:r>
          <w:r>
            <w:t>274</w:t>
          </w:r>
          <w:r>
            <w:fldChar w:fldCharType="end"/>
          </w:r>
          <w:r>
            <w:rPr>
              <w:rFonts w:asciiTheme="minorEastAsia" w:hAnsiTheme="minorEastAsia"/>
              <w:lang w:val="zh-CN"/>
            </w:rPr>
            <w:fldChar w:fldCharType="end"/>
          </w:r>
        </w:p>
        <w:p>
          <w:pPr>
            <w:pStyle w:val="11"/>
            <w:tabs>
              <w:tab w:val="right" w:leader="dot" w:pos="8312"/>
            </w:tabs>
          </w:pPr>
          <w:r>
            <w:rPr>
              <w:rFonts w:asciiTheme="minorEastAsia" w:hAnsiTheme="minorEastAsia"/>
              <w:lang w:val="zh-CN"/>
            </w:rPr>
            <w:fldChar w:fldCharType="begin"/>
          </w:r>
          <w:r>
            <w:rPr>
              <w:rFonts w:asciiTheme="minorEastAsia" w:hAnsiTheme="minorEastAsia"/>
              <w:lang w:val="zh-CN"/>
            </w:rPr>
            <w:instrText xml:space="preserve"> HYPERLINK \l _Toc14174 </w:instrText>
          </w:r>
          <w:r>
            <w:rPr>
              <w:rFonts w:asciiTheme="minorEastAsia" w:hAnsiTheme="minorEastAsia"/>
              <w:lang w:val="zh-CN"/>
            </w:rPr>
            <w:fldChar w:fldCharType="separate"/>
          </w:r>
          <w:r>
            <w:rPr>
              <w:rFonts w:hint="eastAsia" w:ascii="Times New Roman" w:hAnsi="Times New Roman" w:cs="Times New Roman"/>
            </w:rPr>
            <w:t>《人工智能导论》课程教学大纲</w:t>
          </w:r>
          <w:r>
            <w:tab/>
          </w:r>
          <w:r>
            <w:fldChar w:fldCharType="begin"/>
          </w:r>
          <w:r>
            <w:instrText xml:space="preserve"> PAGEREF _Toc14174 \h </w:instrText>
          </w:r>
          <w:r>
            <w:fldChar w:fldCharType="separate"/>
          </w:r>
          <w:r>
            <w:t>280</w:t>
          </w:r>
          <w:r>
            <w:fldChar w:fldCharType="end"/>
          </w:r>
          <w:r>
            <w:rPr>
              <w:rFonts w:asciiTheme="minorEastAsia" w:hAnsiTheme="minorEastAsia"/>
              <w:lang w:val="zh-CN"/>
            </w:rPr>
            <w:fldChar w:fldCharType="end"/>
          </w:r>
        </w:p>
        <w:p>
          <w:pPr>
            <w:pStyle w:val="11"/>
            <w:tabs>
              <w:tab w:val="right" w:leader="dot" w:pos="8312"/>
            </w:tabs>
          </w:pPr>
          <w:r>
            <w:rPr>
              <w:rFonts w:asciiTheme="minorEastAsia" w:hAnsiTheme="minorEastAsia"/>
              <w:lang w:val="zh-CN"/>
            </w:rPr>
            <w:fldChar w:fldCharType="begin"/>
          </w:r>
          <w:r>
            <w:rPr>
              <w:rFonts w:asciiTheme="minorEastAsia" w:hAnsiTheme="minorEastAsia"/>
              <w:lang w:val="zh-CN"/>
            </w:rPr>
            <w:instrText xml:space="preserve"> HYPERLINK \l _Toc15904 </w:instrText>
          </w:r>
          <w:r>
            <w:rPr>
              <w:rFonts w:asciiTheme="minorEastAsia" w:hAnsiTheme="minorEastAsia"/>
              <w:lang w:val="zh-CN"/>
            </w:rPr>
            <w:fldChar w:fldCharType="separate"/>
          </w:r>
          <w:r>
            <w:rPr>
              <w:rFonts w:hint="eastAsia" w:ascii="Times New Roman" w:hAnsi="Times New Roman" w:cs="Times New Roman"/>
            </w:rPr>
            <w:t>《Python语言程序设计》课程教学大纲</w:t>
          </w:r>
          <w:r>
            <w:tab/>
          </w:r>
          <w:r>
            <w:fldChar w:fldCharType="begin"/>
          </w:r>
          <w:r>
            <w:instrText xml:space="preserve"> PAGEREF _Toc15904 \h </w:instrText>
          </w:r>
          <w:r>
            <w:fldChar w:fldCharType="separate"/>
          </w:r>
          <w:r>
            <w:t>287</w:t>
          </w:r>
          <w:r>
            <w:fldChar w:fldCharType="end"/>
          </w:r>
          <w:r>
            <w:rPr>
              <w:rFonts w:asciiTheme="minorEastAsia" w:hAnsiTheme="minorEastAsia"/>
              <w:lang w:val="zh-CN"/>
            </w:rPr>
            <w:fldChar w:fldCharType="end"/>
          </w:r>
        </w:p>
        <w:p>
          <w:pPr>
            <w:pStyle w:val="11"/>
            <w:tabs>
              <w:tab w:val="right" w:leader="dot" w:pos="8312"/>
            </w:tabs>
          </w:pPr>
          <w:r>
            <w:rPr>
              <w:rFonts w:asciiTheme="minorEastAsia" w:hAnsiTheme="minorEastAsia"/>
              <w:lang w:val="zh-CN"/>
            </w:rPr>
            <w:fldChar w:fldCharType="begin"/>
          </w:r>
          <w:r>
            <w:rPr>
              <w:rFonts w:asciiTheme="minorEastAsia" w:hAnsiTheme="minorEastAsia"/>
              <w:lang w:val="zh-CN"/>
            </w:rPr>
            <w:instrText xml:space="preserve"> HYPERLINK \l _Toc2730 </w:instrText>
          </w:r>
          <w:r>
            <w:rPr>
              <w:rFonts w:asciiTheme="minorEastAsia" w:hAnsiTheme="minorEastAsia"/>
              <w:lang w:val="zh-CN"/>
            </w:rPr>
            <w:fldChar w:fldCharType="separate"/>
          </w:r>
          <w:r>
            <w:rPr>
              <w:rFonts w:hint="eastAsia" w:ascii="Times New Roman" w:hAnsi="Times New Roman" w:cs="Times New Roman"/>
            </w:rPr>
            <w:t>《智能感知综合实践》课程教学大纲</w:t>
          </w:r>
          <w:r>
            <w:tab/>
          </w:r>
          <w:r>
            <w:fldChar w:fldCharType="begin"/>
          </w:r>
          <w:r>
            <w:instrText xml:space="preserve"> PAGEREF _Toc2730 \h </w:instrText>
          </w:r>
          <w:r>
            <w:fldChar w:fldCharType="separate"/>
          </w:r>
          <w:r>
            <w:t>297</w:t>
          </w:r>
          <w:r>
            <w:fldChar w:fldCharType="end"/>
          </w:r>
          <w:r>
            <w:rPr>
              <w:rFonts w:asciiTheme="minorEastAsia" w:hAnsiTheme="minorEastAsia"/>
              <w:lang w:val="zh-CN"/>
            </w:rPr>
            <w:fldChar w:fldCharType="end"/>
          </w:r>
        </w:p>
        <w:p>
          <w:pPr>
            <w:adjustRightInd w:val="0"/>
            <w:snapToGrid w:val="0"/>
            <w:spacing w:line="360" w:lineRule="auto"/>
            <w:sectPr>
              <w:footerReference r:id="rId5" w:type="default"/>
              <w:pgSz w:w="11906" w:h="16838"/>
              <w:pgMar w:top="1440" w:right="1797" w:bottom="1440" w:left="1797" w:header="851" w:footer="992" w:gutter="0"/>
              <w:pgNumType w:fmt="decimal" w:start="1"/>
              <w:cols w:space="425" w:num="1"/>
              <w:docGrid w:linePitch="312" w:charSpace="0"/>
            </w:sectPr>
          </w:pPr>
          <w:r>
            <w:rPr>
              <w:rFonts w:asciiTheme="minorEastAsia" w:hAnsiTheme="minorEastAsia"/>
              <w:lang w:val="zh-CN"/>
            </w:rPr>
            <w:fldChar w:fldCharType="end"/>
          </w:r>
          <w:bookmarkStart w:id="80" w:name="_GoBack"/>
          <w:bookmarkEnd w:id="80"/>
        </w:p>
      </w:sdtContent>
    </w:sdt>
    <w:p>
      <w:pPr>
        <w:pStyle w:val="18"/>
        <w:spacing w:before="240" w:after="360"/>
      </w:pPr>
      <w:bookmarkStart w:id="0" w:name="_Toc30279"/>
      <w:r>
        <w:rPr>
          <w:rFonts w:hint="eastAsia"/>
        </w:rPr>
        <w:t>《电路原理》教学大纲</w:t>
      </w:r>
      <w:bookmarkEnd w:id="0"/>
    </w:p>
    <w:p>
      <w:pPr>
        <w:adjustRightInd w:val="0"/>
        <w:snapToGrid w:val="0"/>
        <w:spacing w:line="360" w:lineRule="auto"/>
        <w:rPr>
          <w:bCs/>
          <w:kern w:val="0"/>
        </w:rPr>
      </w:pPr>
      <w:r>
        <w:rPr>
          <w:rFonts w:hint="eastAsia" w:eastAsia="黑体"/>
          <w:szCs w:val="21"/>
        </w:rPr>
        <w:t>课程编号：</w:t>
      </w:r>
      <w:r>
        <w:rPr>
          <w:bCs/>
          <w:kern w:val="0"/>
        </w:rPr>
        <w:t>Y02060005</w:t>
      </w:r>
    </w:p>
    <w:p>
      <w:pPr>
        <w:adjustRightInd w:val="0"/>
        <w:snapToGrid w:val="0"/>
        <w:spacing w:line="360" w:lineRule="auto"/>
        <w:rPr>
          <w:snapToGrid w:val="0"/>
          <w:kern w:val="0"/>
          <w:szCs w:val="21"/>
        </w:rPr>
      </w:pPr>
      <w:r>
        <w:rPr>
          <w:rFonts w:hint="eastAsia" w:eastAsia="黑体"/>
          <w:szCs w:val="21"/>
        </w:rPr>
        <w:t>课程名称：</w:t>
      </w:r>
      <w:r>
        <w:rPr>
          <w:rFonts w:hint="eastAsia"/>
          <w:szCs w:val="21"/>
        </w:rPr>
        <w:t>电路原理</w:t>
      </w:r>
      <w:r>
        <w:rPr>
          <w:szCs w:val="21"/>
        </w:rPr>
        <w:tab/>
      </w:r>
      <w:r>
        <w:rPr>
          <w:szCs w:val="21"/>
        </w:rPr>
        <w:tab/>
      </w:r>
      <w:r>
        <w:rPr>
          <w:szCs w:val="21"/>
        </w:rPr>
        <w:tab/>
      </w:r>
      <w:r>
        <w:rPr>
          <w:szCs w:val="21"/>
        </w:rPr>
        <w:tab/>
      </w:r>
      <w:r>
        <w:rPr>
          <w:szCs w:val="21"/>
        </w:rPr>
        <w:tab/>
      </w:r>
      <w:r>
        <w:rPr>
          <w:szCs w:val="21"/>
        </w:rPr>
        <w:tab/>
      </w:r>
      <w:r>
        <w:rPr>
          <w:rFonts w:hint="eastAsia" w:eastAsia="黑体"/>
          <w:szCs w:val="21"/>
        </w:rPr>
        <w:t>开课单位：</w:t>
      </w:r>
      <w:r>
        <w:rPr>
          <w:rFonts w:hint="eastAsia"/>
          <w:szCs w:val="21"/>
        </w:rPr>
        <w:t>仪器与电子学院</w:t>
      </w:r>
      <w:r>
        <w:rPr>
          <w:rFonts w:eastAsia="黑体"/>
          <w:szCs w:val="21"/>
        </w:rPr>
        <w:tab/>
      </w:r>
    </w:p>
    <w:p>
      <w:pPr>
        <w:adjustRightInd w:val="0"/>
        <w:snapToGrid w:val="0"/>
        <w:spacing w:line="360" w:lineRule="auto"/>
        <w:rPr>
          <w:rFonts w:eastAsia="黑体"/>
          <w:szCs w:val="21"/>
        </w:rPr>
      </w:pPr>
      <w:r>
        <w:rPr>
          <w:rFonts w:hint="eastAsia" w:eastAsia="黑体"/>
          <w:szCs w:val="21"/>
        </w:rPr>
        <w:t>总学时：</w:t>
      </w:r>
      <w:r>
        <w:rPr>
          <w:szCs w:val="21"/>
        </w:rPr>
        <w:t>56</w:t>
      </w:r>
      <w:r>
        <w:rPr>
          <w:rFonts w:eastAsia="黑体"/>
          <w:szCs w:val="21"/>
        </w:rPr>
        <w:tab/>
      </w:r>
      <w:r>
        <w:rPr>
          <w:rFonts w:eastAsia="黑体"/>
          <w:szCs w:val="21"/>
        </w:rPr>
        <w:tab/>
      </w:r>
      <w:r>
        <w:rPr>
          <w:rFonts w:eastAsia="黑体"/>
          <w:szCs w:val="21"/>
        </w:rPr>
        <w:tab/>
      </w:r>
      <w:r>
        <w:rPr>
          <w:rFonts w:eastAsia="黑体"/>
          <w:szCs w:val="21"/>
        </w:rPr>
        <w:tab/>
      </w:r>
      <w:r>
        <w:rPr>
          <w:rFonts w:hint="eastAsia" w:eastAsia="黑体"/>
          <w:szCs w:val="21"/>
        </w:rPr>
        <w:t>学分：</w:t>
      </w:r>
      <w:r>
        <w:rPr>
          <w:rFonts w:eastAsia="黑体"/>
          <w:szCs w:val="21"/>
        </w:rPr>
        <w:t>3.5</w:t>
      </w:r>
    </w:p>
    <w:p>
      <w:pPr>
        <w:adjustRightInd w:val="0"/>
        <w:snapToGrid w:val="0"/>
        <w:spacing w:line="360" w:lineRule="auto"/>
        <w:rPr>
          <w:rFonts w:eastAsia="黑体"/>
          <w:szCs w:val="21"/>
        </w:rPr>
      </w:pPr>
      <w:r>
        <w:rPr>
          <w:rFonts w:hint="eastAsia" w:eastAsia="黑体"/>
          <w:szCs w:val="21"/>
        </w:rPr>
        <w:t>适用专业：</w:t>
      </w:r>
      <w:r>
        <w:rPr>
          <w:rFonts w:hint="eastAsia"/>
          <w:szCs w:val="21"/>
        </w:rPr>
        <w:t>测控技术及仪器专业、电子科学与技术专业、</w:t>
      </w:r>
      <w:r>
        <w:rPr>
          <w:rFonts w:hint="eastAsia"/>
          <w:szCs w:val="21"/>
          <w:lang w:eastAsia="zh-CN"/>
        </w:rPr>
        <w:t>智能感知工程</w:t>
      </w:r>
      <w:r>
        <w:rPr>
          <w:rFonts w:hint="eastAsia"/>
          <w:szCs w:val="21"/>
        </w:rPr>
        <w:t>专业</w:t>
      </w:r>
    </w:p>
    <w:p>
      <w:pPr>
        <w:adjustRightInd w:val="0"/>
        <w:snapToGrid w:val="0"/>
        <w:spacing w:line="360" w:lineRule="auto"/>
        <w:rPr>
          <w:szCs w:val="21"/>
        </w:rPr>
      </w:pPr>
      <w:r>
        <w:rPr>
          <w:rFonts w:hint="eastAsia" w:eastAsia="黑体"/>
          <w:szCs w:val="21"/>
        </w:rPr>
        <w:t>先修课程：</w:t>
      </w:r>
      <w:r>
        <w:rPr>
          <w:rFonts w:hint="eastAsia"/>
          <w:szCs w:val="21"/>
        </w:rPr>
        <w:t>高等数学、大学物理、线性代数</w:t>
      </w:r>
    </w:p>
    <w:p>
      <w:pPr>
        <w:adjustRightInd w:val="0"/>
        <w:snapToGrid w:val="0"/>
        <w:spacing w:line="360" w:lineRule="auto"/>
        <w:rPr>
          <w:szCs w:val="21"/>
        </w:rPr>
      </w:pPr>
      <w:r>
        <w:rPr>
          <w:rFonts w:hint="eastAsia" w:eastAsia="黑体"/>
          <w:szCs w:val="21"/>
        </w:rPr>
        <w:t>大纲撰写人：</w:t>
      </w:r>
      <w:r>
        <w:rPr>
          <w:rFonts w:hint="eastAsia"/>
          <w:szCs w:val="21"/>
        </w:rPr>
        <w:t>储成群</w:t>
      </w:r>
    </w:p>
    <w:p>
      <w:pPr>
        <w:adjustRightInd w:val="0"/>
        <w:snapToGrid w:val="0"/>
        <w:spacing w:line="360" w:lineRule="auto"/>
        <w:rPr>
          <w:szCs w:val="21"/>
        </w:rPr>
      </w:pPr>
      <w:r>
        <w:rPr>
          <w:rFonts w:hint="eastAsia" w:eastAsia="黑体"/>
          <w:szCs w:val="21"/>
        </w:rPr>
        <w:t>大纲编写（修订）时</w:t>
      </w:r>
      <w:r>
        <w:rPr>
          <w:rFonts w:eastAsia="黑体"/>
          <w:szCs w:val="21"/>
        </w:rPr>
        <w:t>间：</w:t>
      </w:r>
      <w:r>
        <w:rPr>
          <w:szCs w:val="21"/>
        </w:rPr>
        <w:t>2019年5月</w:t>
      </w:r>
    </w:p>
    <w:p>
      <w:pPr>
        <w:rPr>
          <w:b/>
          <w:szCs w:val="21"/>
        </w:rPr>
      </w:pPr>
    </w:p>
    <w:p>
      <w:pPr>
        <w:numPr>
          <w:ilvl w:val="0"/>
          <w:numId w:val="1"/>
        </w:numPr>
        <w:adjustRightInd w:val="0"/>
        <w:snapToGrid w:val="0"/>
        <w:spacing w:line="360" w:lineRule="auto"/>
        <w:rPr>
          <w:rFonts w:eastAsia="黑体"/>
          <w:szCs w:val="21"/>
        </w:rPr>
      </w:pPr>
      <w:r>
        <w:rPr>
          <w:rFonts w:hint="eastAsia" w:eastAsia="黑体"/>
          <w:szCs w:val="21"/>
        </w:rPr>
        <w:t>课程在教学计划中的地位、作用</w:t>
      </w:r>
    </w:p>
    <w:p>
      <w:pPr>
        <w:adjustRightInd w:val="0"/>
        <w:snapToGrid w:val="0"/>
        <w:spacing w:line="360" w:lineRule="auto"/>
        <w:ind w:firstLine="420" w:firstLineChars="200"/>
        <w:rPr>
          <w:color w:val="000000"/>
          <w:szCs w:val="21"/>
        </w:rPr>
      </w:pPr>
      <w:r>
        <w:rPr>
          <w:rFonts w:hint="eastAsia"/>
          <w:color w:val="000000"/>
          <w:szCs w:val="21"/>
        </w:rPr>
        <w:t>本课程是测控技术与仪器、电子科学与技术、</w:t>
      </w:r>
      <w:r>
        <w:rPr>
          <w:rFonts w:hint="eastAsia"/>
          <w:color w:val="000000"/>
          <w:szCs w:val="21"/>
          <w:lang w:eastAsia="zh-CN"/>
        </w:rPr>
        <w:t>智能感知工程</w:t>
      </w:r>
      <w:r>
        <w:rPr>
          <w:rFonts w:hint="eastAsia"/>
          <w:color w:val="000000"/>
          <w:szCs w:val="21"/>
        </w:rPr>
        <w:t>专业的一门重要的专业基础类教育课程。通过本课程的学习，使学生明确电路理论的基本概念，掌握电路的基本理论知识、分析计算电路的基本方法和初步技能，掌握电阻电路、动态电路时域分析方法，着眼于培养学生的综合素质和能力，为后续课程的学习、从事理论研究和工程技术打下坚实基础。本课程理论严密，逻辑性强，对学生辩证思维能力的培养和树立理论联系实际的科学观点，及提高学生分析问题、解决问题的能力都有重要作用。</w:t>
      </w:r>
    </w:p>
    <w:p>
      <w:pPr>
        <w:adjustRightInd w:val="0"/>
        <w:snapToGrid w:val="0"/>
        <w:spacing w:line="360" w:lineRule="auto"/>
        <w:ind w:firstLine="420" w:firstLineChars="200"/>
        <w:rPr>
          <w:color w:val="000000"/>
          <w:szCs w:val="21"/>
        </w:rPr>
      </w:pPr>
    </w:p>
    <w:p>
      <w:pPr>
        <w:tabs>
          <w:tab w:val="left" w:pos="420"/>
        </w:tabs>
        <w:adjustRightInd w:val="0"/>
        <w:snapToGrid w:val="0"/>
        <w:spacing w:line="360" w:lineRule="auto"/>
        <w:ind w:left="420" w:hanging="420"/>
        <w:rPr>
          <w:rFonts w:eastAsia="黑体"/>
          <w:szCs w:val="21"/>
        </w:rPr>
      </w:pPr>
      <w:r>
        <w:rPr>
          <w:rFonts w:hint="eastAsia" w:eastAsia="黑体"/>
          <w:szCs w:val="21"/>
        </w:rPr>
        <w:t>二、课程目标</w:t>
      </w:r>
    </w:p>
    <w:p>
      <w:pPr>
        <w:spacing w:line="360" w:lineRule="auto"/>
        <w:jc w:val="left"/>
        <w:rPr>
          <w:szCs w:val="21"/>
        </w:rPr>
      </w:pPr>
      <w:bookmarkStart w:id="1" w:name="OLE_LINK1"/>
      <w:bookmarkStart w:id="2" w:name="OLE_LINK2"/>
      <w:r>
        <w:rPr>
          <w:rFonts w:hint="eastAsia"/>
          <w:szCs w:val="21"/>
        </w:rPr>
        <w:t>测控技术</w:t>
      </w:r>
      <w:r>
        <w:rPr>
          <w:szCs w:val="21"/>
        </w:rPr>
        <w:t>与仪器专业</w:t>
      </w:r>
      <w:r>
        <w:rPr>
          <w:rFonts w:hint="eastAsia"/>
          <w:szCs w:val="21"/>
        </w:rPr>
        <w:t>：</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4000"/>
        <w:gridCol w:w="390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sz w:val="18"/>
                <w:szCs w:val="18"/>
              </w:rPr>
              <w:t>序号</w:t>
            </w:r>
          </w:p>
        </w:tc>
        <w:tc>
          <w:tcPr>
            <w:tcW w:w="2345" w:type="pct"/>
            <w:vAlign w:val="center"/>
          </w:tcPr>
          <w:p>
            <w:pPr>
              <w:spacing w:line="360" w:lineRule="auto"/>
              <w:jc w:val="center"/>
              <w:rPr>
                <w:sz w:val="18"/>
                <w:szCs w:val="18"/>
              </w:rPr>
            </w:pPr>
            <w:r>
              <w:rPr>
                <w:sz w:val="18"/>
                <w:szCs w:val="18"/>
              </w:rPr>
              <w:t>课程目标</w:t>
            </w:r>
          </w:p>
        </w:tc>
        <w:tc>
          <w:tcPr>
            <w:tcW w:w="2288" w:type="pct"/>
            <w:vAlign w:val="center"/>
          </w:tcPr>
          <w:p>
            <w:pPr>
              <w:spacing w:line="360" w:lineRule="auto"/>
              <w:jc w:val="center"/>
              <w:rPr>
                <w:sz w:val="18"/>
                <w:szCs w:val="18"/>
              </w:rPr>
            </w:pPr>
            <w:r>
              <w:rPr>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1</w:t>
            </w:r>
          </w:p>
        </w:tc>
        <w:tc>
          <w:tcPr>
            <w:tcW w:w="2345" w:type="pct"/>
          </w:tcPr>
          <w:p>
            <w:pPr>
              <w:spacing w:line="360" w:lineRule="auto"/>
              <w:rPr>
                <w:sz w:val="18"/>
                <w:szCs w:val="18"/>
              </w:rPr>
            </w:pPr>
            <w:r>
              <w:rPr>
                <w:rFonts w:hint="eastAsia"/>
                <w:sz w:val="18"/>
                <w:szCs w:val="18"/>
              </w:rPr>
              <w:t>能够掌握电路理论的基本概念与定律，建立实际电路模型化的概念，掌握实际电路建模的处理方法和原则，对实际电路和理想电路之间的联系与区别有深刻的认识。</w:t>
            </w:r>
          </w:p>
        </w:tc>
        <w:tc>
          <w:tcPr>
            <w:tcW w:w="2288" w:type="pct"/>
          </w:tcPr>
          <w:p>
            <w:pPr>
              <w:spacing w:line="360" w:lineRule="auto"/>
              <w:rPr>
                <w:b/>
                <w:sz w:val="18"/>
                <w:szCs w:val="18"/>
              </w:rPr>
            </w:pPr>
            <w:r>
              <w:rPr>
                <w:rFonts w:hint="eastAsia"/>
                <w:b/>
                <w:sz w:val="18"/>
                <w:szCs w:val="18"/>
              </w:rPr>
              <w:t>指标点</w:t>
            </w:r>
            <w:r>
              <w:rPr>
                <w:b/>
                <w:sz w:val="18"/>
                <w:szCs w:val="18"/>
              </w:rPr>
              <w:t>1</w:t>
            </w:r>
            <w:r>
              <w:rPr>
                <w:rFonts w:hint="eastAsia"/>
                <w:b/>
                <w:sz w:val="18"/>
                <w:szCs w:val="18"/>
              </w:rPr>
              <w:t>-1知识体系：</w:t>
            </w:r>
            <w:r>
              <w:rPr>
                <w:rFonts w:hint="eastAsia"/>
                <w:sz w:val="18"/>
                <w:szCs w:val="18"/>
              </w:rPr>
              <w:t>具备本专业相关的数学、自然科学、光学和电子学工程基础及传感、测试、仪器等多方面的知识。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2</w:t>
            </w:r>
          </w:p>
        </w:tc>
        <w:tc>
          <w:tcPr>
            <w:tcW w:w="2345" w:type="pct"/>
          </w:tcPr>
          <w:p>
            <w:pPr>
              <w:spacing w:line="360" w:lineRule="auto"/>
              <w:rPr>
                <w:sz w:val="18"/>
                <w:szCs w:val="18"/>
              </w:rPr>
            </w:pPr>
            <w:r>
              <w:rPr>
                <w:rFonts w:hint="eastAsia"/>
                <w:sz w:val="18"/>
                <w:szCs w:val="18"/>
              </w:rPr>
              <w:t>能够掌握电路的基本分析方法，对不同分析方法的应用背景和特点有清晰的认识，对复杂工程问题对应的电路模型具有建立方程并求解的能力，且具有将求解结果与实际结合的能力。</w:t>
            </w:r>
          </w:p>
        </w:tc>
        <w:tc>
          <w:tcPr>
            <w:tcW w:w="2288" w:type="pct"/>
          </w:tcPr>
          <w:p>
            <w:pPr>
              <w:spacing w:line="360" w:lineRule="auto"/>
              <w:rPr>
                <w:sz w:val="18"/>
                <w:szCs w:val="18"/>
              </w:rPr>
            </w:pPr>
            <w:r>
              <w:rPr>
                <w:rFonts w:hint="eastAsia"/>
                <w:b/>
                <w:sz w:val="18"/>
                <w:szCs w:val="18"/>
              </w:rPr>
              <w:t>指标点</w:t>
            </w:r>
            <w:r>
              <w:rPr>
                <w:b/>
                <w:sz w:val="18"/>
                <w:szCs w:val="18"/>
              </w:rPr>
              <w:t>1</w:t>
            </w:r>
            <w:r>
              <w:rPr>
                <w:rFonts w:hint="eastAsia"/>
                <w:b/>
                <w:sz w:val="18"/>
                <w:szCs w:val="18"/>
              </w:rPr>
              <w:t>-</w:t>
            </w:r>
            <w:r>
              <w:rPr>
                <w:b/>
                <w:sz w:val="18"/>
                <w:szCs w:val="18"/>
              </w:rPr>
              <w:t>2知识运用</w:t>
            </w:r>
            <w:r>
              <w:rPr>
                <w:rFonts w:hint="eastAsia"/>
                <w:b/>
                <w:sz w:val="18"/>
                <w:szCs w:val="18"/>
              </w:rPr>
              <w:t>能力：</w:t>
            </w:r>
            <w:r>
              <w:rPr>
                <w:rFonts w:hint="eastAsia"/>
                <w:sz w:val="18"/>
                <w:szCs w:val="18"/>
              </w:rPr>
              <w:t>能将基础知识恰当地应用到测控技术与仪器专业传感、测试与控制等复杂工程问题的解决中。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3</w:t>
            </w:r>
          </w:p>
        </w:tc>
        <w:tc>
          <w:tcPr>
            <w:tcW w:w="2345" w:type="pct"/>
          </w:tcPr>
          <w:p>
            <w:pPr>
              <w:spacing w:line="360" w:lineRule="auto"/>
              <w:rPr>
                <w:sz w:val="18"/>
                <w:szCs w:val="18"/>
              </w:rPr>
            </w:pPr>
            <w:r>
              <w:rPr>
                <w:rFonts w:hint="eastAsia"/>
                <w:sz w:val="18"/>
                <w:szCs w:val="18"/>
              </w:rPr>
              <w:t>能够形成分析复杂工程问题的思路，并针对实际工程应用中涉及到的工程问题和背景建立相应电路模型，识别其中关键特性和参数。</w:t>
            </w:r>
          </w:p>
        </w:tc>
        <w:tc>
          <w:tcPr>
            <w:tcW w:w="2288" w:type="pct"/>
          </w:tcPr>
          <w:p>
            <w:pPr>
              <w:spacing w:line="360" w:lineRule="auto"/>
              <w:rPr>
                <w:sz w:val="18"/>
                <w:szCs w:val="18"/>
              </w:rPr>
            </w:pPr>
            <w:r>
              <w:rPr>
                <w:rFonts w:hint="eastAsia"/>
                <w:b/>
                <w:sz w:val="18"/>
                <w:szCs w:val="18"/>
              </w:rPr>
              <w:t>指标点2-1 问题识别：</w:t>
            </w:r>
            <w:r>
              <w:rPr>
                <w:rFonts w:hint="eastAsia"/>
                <w:sz w:val="18"/>
                <w:szCs w:val="18"/>
              </w:rPr>
              <w:t>能应用科学原理对测控技术与仪器专业复杂工程问题进行分解，并识别其中的关键特征和参数。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4</w:t>
            </w:r>
          </w:p>
        </w:tc>
        <w:tc>
          <w:tcPr>
            <w:tcW w:w="2345" w:type="pct"/>
          </w:tcPr>
          <w:p>
            <w:pPr>
              <w:spacing w:line="360" w:lineRule="auto"/>
              <w:rPr>
                <w:sz w:val="18"/>
                <w:szCs w:val="18"/>
              </w:rPr>
            </w:pPr>
            <w:r>
              <w:rPr>
                <w:rFonts w:hint="eastAsia"/>
                <w:sz w:val="18"/>
                <w:szCs w:val="18"/>
              </w:rPr>
              <w:t>能够根据电路模型建立数学方程并求解，从而得到具体的结果，获取所需关键特征和参数。根据计算结果并结合实际工程问题得出相关的结论，将工程问题转换成技术问题。</w:t>
            </w:r>
          </w:p>
        </w:tc>
        <w:tc>
          <w:tcPr>
            <w:tcW w:w="2288" w:type="pct"/>
          </w:tcPr>
          <w:p>
            <w:pPr>
              <w:spacing w:line="360" w:lineRule="auto"/>
              <w:rPr>
                <w:sz w:val="18"/>
                <w:szCs w:val="18"/>
              </w:rPr>
            </w:pPr>
            <w:r>
              <w:rPr>
                <w:rFonts w:hint="eastAsia"/>
                <w:b/>
                <w:sz w:val="18"/>
                <w:szCs w:val="18"/>
              </w:rPr>
              <w:t>指标点2-2 问题表达：</w:t>
            </w:r>
            <w:r>
              <w:rPr>
                <w:rFonts w:hint="eastAsia"/>
                <w:sz w:val="18"/>
                <w:szCs w:val="18"/>
              </w:rPr>
              <w:t>能够应用科学原理对本专业复杂工程问题的识别结果进行有效表达，将工程问题转化为技术问题。</w:t>
            </w:r>
          </w:p>
        </w:tc>
      </w:tr>
    </w:tbl>
    <w:p>
      <w:pPr>
        <w:spacing w:line="360" w:lineRule="auto"/>
        <w:jc w:val="center"/>
        <w:rPr>
          <w:szCs w:val="21"/>
        </w:rPr>
      </w:pPr>
    </w:p>
    <w:p>
      <w:pPr>
        <w:spacing w:line="360" w:lineRule="auto"/>
        <w:jc w:val="left"/>
        <w:rPr>
          <w:szCs w:val="21"/>
        </w:rPr>
      </w:pPr>
      <w:r>
        <w:rPr>
          <w:szCs w:val="21"/>
        </w:rPr>
        <w:t>电子科学与技术专业</w:t>
      </w:r>
      <w:r>
        <w:rPr>
          <w:rFonts w:hint="eastAsia"/>
          <w:szCs w:val="21"/>
        </w:rPr>
        <w:t>：</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4000"/>
        <w:gridCol w:w="390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sz w:val="18"/>
                <w:szCs w:val="18"/>
              </w:rPr>
              <w:t>序号</w:t>
            </w:r>
          </w:p>
        </w:tc>
        <w:tc>
          <w:tcPr>
            <w:tcW w:w="2345" w:type="pct"/>
            <w:vAlign w:val="center"/>
          </w:tcPr>
          <w:p>
            <w:pPr>
              <w:spacing w:line="360" w:lineRule="auto"/>
              <w:jc w:val="center"/>
              <w:rPr>
                <w:sz w:val="18"/>
                <w:szCs w:val="18"/>
              </w:rPr>
            </w:pPr>
            <w:r>
              <w:rPr>
                <w:sz w:val="18"/>
                <w:szCs w:val="18"/>
              </w:rPr>
              <w:t>课程目标</w:t>
            </w:r>
          </w:p>
        </w:tc>
        <w:tc>
          <w:tcPr>
            <w:tcW w:w="2288" w:type="pct"/>
            <w:vAlign w:val="center"/>
          </w:tcPr>
          <w:p>
            <w:pPr>
              <w:spacing w:line="360" w:lineRule="auto"/>
              <w:jc w:val="center"/>
              <w:rPr>
                <w:sz w:val="18"/>
                <w:szCs w:val="18"/>
              </w:rPr>
            </w:pPr>
            <w:r>
              <w:rPr>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1</w:t>
            </w:r>
          </w:p>
        </w:tc>
        <w:tc>
          <w:tcPr>
            <w:tcW w:w="2345" w:type="pct"/>
          </w:tcPr>
          <w:p>
            <w:pPr>
              <w:spacing w:line="360" w:lineRule="auto"/>
              <w:rPr>
                <w:sz w:val="18"/>
                <w:szCs w:val="18"/>
              </w:rPr>
            </w:pPr>
            <w:r>
              <w:rPr>
                <w:rFonts w:hint="eastAsia"/>
                <w:sz w:val="18"/>
                <w:szCs w:val="18"/>
              </w:rPr>
              <w:t>能够掌握电路理论的基本概念与定律，建立实际电路模型化的概念，掌握实际电路建模的处理方法和原则，对实际电路和理想电路之间的联系与区别有深刻的认识。</w:t>
            </w:r>
          </w:p>
        </w:tc>
        <w:tc>
          <w:tcPr>
            <w:tcW w:w="2288" w:type="pct"/>
          </w:tcPr>
          <w:p>
            <w:pPr>
              <w:spacing w:line="360" w:lineRule="auto"/>
              <w:rPr>
                <w:b/>
                <w:sz w:val="18"/>
                <w:szCs w:val="18"/>
              </w:rPr>
            </w:pPr>
            <w:r>
              <w:rPr>
                <w:rFonts w:hint="eastAsia"/>
                <w:b/>
                <w:sz w:val="18"/>
                <w:szCs w:val="18"/>
              </w:rPr>
              <w:t>指标点</w:t>
            </w:r>
            <w:r>
              <w:rPr>
                <w:b/>
                <w:sz w:val="18"/>
                <w:szCs w:val="18"/>
              </w:rPr>
              <w:t>1</w:t>
            </w:r>
            <w:r>
              <w:rPr>
                <w:rFonts w:hint="eastAsia"/>
                <w:b/>
                <w:sz w:val="18"/>
                <w:szCs w:val="18"/>
              </w:rPr>
              <w:t>-1知识体系：</w:t>
            </w:r>
            <w:r>
              <w:rPr>
                <w:rFonts w:hint="eastAsia"/>
                <w:sz w:val="18"/>
                <w:szCs w:val="18"/>
              </w:rPr>
              <w:t>具备与本专业相关的数学、自然科学、光学和电子学工程基础及电子系统集成等多方面的知识。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2</w:t>
            </w:r>
          </w:p>
        </w:tc>
        <w:tc>
          <w:tcPr>
            <w:tcW w:w="2345" w:type="pct"/>
          </w:tcPr>
          <w:p>
            <w:pPr>
              <w:spacing w:line="360" w:lineRule="auto"/>
              <w:rPr>
                <w:sz w:val="18"/>
                <w:szCs w:val="18"/>
              </w:rPr>
            </w:pPr>
            <w:r>
              <w:rPr>
                <w:rFonts w:hint="eastAsia"/>
                <w:sz w:val="18"/>
                <w:szCs w:val="18"/>
              </w:rPr>
              <w:t>能够掌握电路的基本分析方法，对不同分析方法的应用背景和特点有清晰的认识，对复杂工程问题对应的电路模型具有建立方程并求解的能力，且具有将求解结果与实际结合的能力。</w:t>
            </w:r>
          </w:p>
        </w:tc>
        <w:tc>
          <w:tcPr>
            <w:tcW w:w="2288" w:type="pct"/>
          </w:tcPr>
          <w:p>
            <w:pPr>
              <w:spacing w:line="360" w:lineRule="auto"/>
              <w:rPr>
                <w:b/>
                <w:sz w:val="18"/>
                <w:szCs w:val="18"/>
              </w:rPr>
            </w:pPr>
            <w:r>
              <w:rPr>
                <w:rFonts w:hint="eastAsia"/>
                <w:b/>
                <w:sz w:val="18"/>
                <w:szCs w:val="18"/>
              </w:rPr>
              <w:t>指标点</w:t>
            </w:r>
            <w:r>
              <w:rPr>
                <w:b/>
                <w:sz w:val="18"/>
                <w:szCs w:val="18"/>
              </w:rPr>
              <w:t>1</w:t>
            </w:r>
            <w:r>
              <w:rPr>
                <w:rFonts w:hint="eastAsia"/>
                <w:b/>
                <w:sz w:val="18"/>
                <w:szCs w:val="18"/>
              </w:rPr>
              <w:t>-</w:t>
            </w:r>
            <w:r>
              <w:rPr>
                <w:b/>
                <w:sz w:val="18"/>
                <w:szCs w:val="18"/>
              </w:rPr>
              <w:t>2知识运用</w:t>
            </w:r>
            <w:r>
              <w:rPr>
                <w:rFonts w:hint="eastAsia"/>
                <w:b/>
                <w:sz w:val="18"/>
                <w:szCs w:val="18"/>
              </w:rPr>
              <w:t>能力：</w:t>
            </w:r>
            <w:r>
              <w:rPr>
                <w:rFonts w:hint="eastAsia" w:ascii="宋体" w:hAnsi="宋体"/>
                <w:kern w:val="0"/>
                <w:sz w:val="18"/>
                <w:szCs w:val="18"/>
              </w:rPr>
              <w:t>能将基础知识恰当地运用到电子科学与技术专业</w:t>
            </w:r>
            <w:r>
              <w:rPr>
                <w:rFonts w:hint="eastAsia"/>
                <w:sz w:val="18"/>
                <w:szCs w:val="18"/>
              </w:rPr>
              <w:t>电路系统、物联网及现场总线等</w:t>
            </w:r>
            <w:r>
              <w:rPr>
                <w:rFonts w:hint="eastAsia" w:ascii="宋体" w:hAnsi="宋体"/>
                <w:kern w:val="0"/>
                <w:sz w:val="18"/>
                <w:szCs w:val="18"/>
              </w:rPr>
              <w:t>复杂工程问题的解决中。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3</w:t>
            </w:r>
          </w:p>
        </w:tc>
        <w:tc>
          <w:tcPr>
            <w:tcW w:w="2345" w:type="pct"/>
          </w:tcPr>
          <w:p>
            <w:pPr>
              <w:spacing w:line="360" w:lineRule="auto"/>
              <w:rPr>
                <w:sz w:val="18"/>
                <w:szCs w:val="18"/>
              </w:rPr>
            </w:pPr>
            <w:r>
              <w:rPr>
                <w:rFonts w:hint="eastAsia"/>
                <w:sz w:val="18"/>
                <w:szCs w:val="18"/>
              </w:rPr>
              <w:t>能够形成分析复杂工程问题的思路，并针对实际工程应用中涉及到的工程问题和背景建立相应电路模型，识别其中关键特性和参数。</w:t>
            </w:r>
          </w:p>
        </w:tc>
        <w:tc>
          <w:tcPr>
            <w:tcW w:w="2288" w:type="pct"/>
          </w:tcPr>
          <w:p>
            <w:pPr>
              <w:spacing w:line="360" w:lineRule="auto"/>
              <w:rPr>
                <w:b/>
                <w:sz w:val="18"/>
                <w:szCs w:val="18"/>
              </w:rPr>
            </w:pPr>
            <w:r>
              <w:rPr>
                <w:rFonts w:hint="eastAsia"/>
                <w:b/>
                <w:sz w:val="18"/>
                <w:szCs w:val="18"/>
              </w:rPr>
              <w:t>指标点2-1 问题识别：</w:t>
            </w:r>
            <w:r>
              <w:rPr>
                <w:rFonts w:hint="eastAsia"/>
                <w:sz w:val="18"/>
                <w:szCs w:val="18"/>
              </w:rPr>
              <w:t>能应用科学原理对电路系统、物联网及现场总线等领域专业复杂工程问题进行分解，并识别其中的关键特征和参数。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4</w:t>
            </w:r>
          </w:p>
        </w:tc>
        <w:tc>
          <w:tcPr>
            <w:tcW w:w="2345" w:type="pct"/>
          </w:tcPr>
          <w:p>
            <w:pPr>
              <w:spacing w:line="360" w:lineRule="auto"/>
              <w:rPr>
                <w:sz w:val="18"/>
                <w:szCs w:val="18"/>
              </w:rPr>
            </w:pPr>
            <w:r>
              <w:rPr>
                <w:rFonts w:hint="eastAsia"/>
                <w:sz w:val="18"/>
                <w:szCs w:val="18"/>
              </w:rPr>
              <w:t>能够根据电路模型建立数学方程并求解，从而得到具体的结果，获取所需关键特征和参数。根据计算结果并结合实际工程问题得出相关的结论，将工程问题转换成技术问题。</w:t>
            </w:r>
          </w:p>
        </w:tc>
        <w:tc>
          <w:tcPr>
            <w:tcW w:w="2288" w:type="pct"/>
          </w:tcPr>
          <w:p>
            <w:pPr>
              <w:spacing w:line="360" w:lineRule="auto"/>
              <w:rPr>
                <w:b/>
                <w:sz w:val="18"/>
                <w:szCs w:val="18"/>
              </w:rPr>
            </w:pPr>
            <w:r>
              <w:rPr>
                <w:rFonts w:hint="eastAsia"/>
                <w:b/>
                <w:sz w:val="18"/>
                <w:szCs w:val="18"/>
              </w:rPr>
              <w:t>指标点2-2 问题表达：</w:t>
            </w:r>
            <w:r>
              <w:rPr>
                <w:rFonts w:hint="eastAsia"/>
                <w:sz w:val="18"/>
                <w:szCs w:val="18"/>
              </w:rPr>
              <w:t>能够应用科学原理对本专业复杂工程问题的识别结果进行有效表达，将工程问题转化为技术问题。</w:t>
            </w:r>
          </w:p>
        </w:tc>
      </w:tr>
    </w:tbl>
    <w:p>
      <w:pPr>
        <w:spacing w:line="360" w:lineRule="auto"/>
        <w:rPr>
          <w:szCs w:val="21"/>
        </w:rPr>
      </w:pPr>
    </w:p>
    <w:bookmarkEnd w:id="1"/>
    <w:bookmarkEnd w:id="2"/>
    <w:p>
      <w:pPr>
        <w:spacing w:line="360" w:lineRule="auto"/>
        <w:jc w:val="left"/>
        <w:rPr>
          <w:szCs w:val="21"/>
        </w:rPr>
      </w:pPr>
      <w:r>
        <w:rPr>
          <w:rFonts w:hint="eastAsia"/>
          <w:szCs w:val="21"/>
          <w:lang w:eastAsia="zh-CN"/>
        </w:rPr>
        <w:t>智能感知工程</w:t>
      </w:r>
      <w:r>
        <w:rPr>
          <w:szCs w:val="21"/>
        </w:rPr>
        <w:t>专业</w:t>
      </w:r>
      <w:r>
        <w:rPr>
          <w:rFonts w:hint="eastAsia"/>
          <w:szCs w:val="21"/>
        </w:rPr>
        <w:t>：</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4000"/>
        <w:gridCol w:w="390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sz w:val="18"/>
                <w:szCs w:val="18"/>
              </w:rPr>
              <w:t>序号</w:t>
            </w:r>
          </w:p>
        </w:tc>
        <w:tc>
          <w:tcPr>
            <w:tcW w:w="2345" w:type="pct"/>
            <w:vAlign w:val="center"/>
          </w:tcPr>
          <w:p>
            <w:pPr>
              <w:spacing w:line="360" w:lineRule="auto"/>
              <w:jc w:val="center"/>
              <w:rPr>
                <w:sz w:val="18"/>
                <w:szCs w:val="18"/>
              </w:rPr>
            </w:pPr>
            <w:r>
              <w:rPr>
                <w:sz w:val="18"/>
                <w:szCs w:val="18"/>
              </w:rPr>
              <w:t>课程目标</w:t>
            </w:r>
          </w:p>
        </w:tc>
        <w:tc>
          <w:tcPr>
            <w:tcW w:w="2288" w:type="pct"/>
            <w:vAlign w:val="center"/>
          </w:tcPr>
          <w:p>
            <w:pPr>
              <w:spacing w:line="360" w:lineRule="auto"/>
              <w:jc w:val="center"/>
              <w:rPr>
                <w:sz w:val="18"/>
                <w:szCs w:val="18"/>
              </w:rPr>
            </w:pPr>
            <w:r>
              <w:rPr>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1</w:t>
            </w:r>
          </w:p>
        </w:tc>
        <w:tc>
          <w:tcPr>
            <w:tcW w:w="2345" w:type="pct"/>
          </w:tcPr>
          <w:p>
            <w:pPr>
              <w:spacing w:line="360" w:lineRule="auto"/>
              <w:rPr>
                <w:sz w:val="18"/>
                <w:szCs w:val="18"/>
              </w:rPr>
            </w:pPr>
            <w:r>
              <w:rPr>
                <w:rFonts w:hint="eastAsia"/>
                <w:sz w:val="18"/>
                <w:szCs w:val="18"/>
              </w:rPr>
              <w:t>能够掌握电路理论的基本概念与定律，建立实际电路模型化的概念，掌握实际电路建模的处理方法和原则，对实际电路和理想电路之间的联系与区别有深刻的认识。</w:t>
            </w:r>
          </w:p>
        </w:tc>
        <w:tc>
          <w:tcPr>
            <w:tcW w:w="2288" w:type="pct"/>
          </w:tcPr>
          <w:p>
            <w:pPr>
              <w:spacing w:line="360" w:lineRule="auto"/>
              <w:rPr>
                <w:b/>
                <w:sz w:val="18"/>
                <w:szCs w:val="18"/>
              </w:rPr>
            </w:pPr>
            <w:r>
              <w:rPr>
                <w:rFonts w:hint="eastAsia"/>
                <w:b/>
                <w:sz w:val="18"/>
                <w:szCs w:val="18"/>
              </w:rPr>
              <w:t>指标点</w:t>
            </w:r>
            <w:r>
              <w:rPr>
                <w:b/>
                <w:sz w:val="18"/>
                <w:szCs w:val="18"/>
              </w:rPr>
              <w:t>1</w:t>
            </w:r>
            <w:r>
              <w:rPr>
                <w:rFonts w:hint="eastAsia"/>
                <w:b/>
                <w:sz w:val="18"/>
                <w:szCs w:val="18"/>
              </w:rPr>
              <w:t>-1知识体系：</w:t>
            </w:r>
            <w:r>
              <w:rPr>
                <w:bCs/>
                <w:sz w:val="18"/>
                <w:szCs w:val="18"/>
              </w:rPr>
              <w:t>具备本专业相关的数学、自然科学、计算机和电子学工程基础及传感、控制等多方面的知识。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2</w:t>
            </w:r>
          </w:p>
        </w:tc>
        <w:tc>
          <w:tcPr>
            <w:tcW w:w="2345" w:type="pct"/>
          </w:tcPr>
          <w:p>
            <w:pPr>
              <w:spacing w:line="360" w:lineRule="auto"/>
              <w:rPr>
                <w:sz w:val="18"/>
                <w:szCs w:val="18"/>
              </w:rPr>
            </w:pPr>
            <w:r>
              <w:rPr>
                <w:rFonts w:hint="eastAsia"/>
                <w:sz w:val="18"/>
                <w:szCs w:val="18"/>
              </w:rPr>
              <w:t>能够掌握电路的基本分析方法，对不同分析方法的应用背景和特点有清晰的认识，对复杂工程问题对应的电路模型具有建立方程并求解的能力，且具有将求解结果与实际结合的能力。</w:t>
            </w:r>
          </w:p>
        </w:tc>
        <w:tc>
          <w:tcPr>
            <w:tcW w:w="2288" w:type="pct"/>
          </w:tcPr>
          <w:p>
            <w:pPr>
              <w:spacing w:line="360" w:lineRule="auto"/>
              <w:rPr>
                <w:b/>
                <w:sz w:val="18"/>
                <w:szCs w:val="18"/>
              </w:rPr>
            </w:pPr>
            <w:r>
              <w:rPr>
                <w:rFonts w:hint="eastAsia"/>
                <w:b/>
                <w:sz w:val="18"/>
                <w:szCs w:val="18"/>
              </w:rPr>
              <w:t>指标点</w:t>
            </w:r>
            <w:r>
              <w:rPr>
                <w:b/>
                <w:sz w:val="18"/>
                <w:szCs w:val="18"/>
              </w:rPr>
              <w:t>1</w:t>
            </w:r>
            <w:r>
              <w:rPr>
                <w:rFonts w:hint="eastAsia"/>
                <w:b/>
                <w:sz w:val="18"/>
                <w:szCs w:val="18"/>
              </w:rPr>
              <w:t>-</w:t>
            </w:r>
            <w:r>
              <w:rPr>
                <w:b/>
                <w:sz w:val="18"/>
                <w:szCs w:val="18"/>
              </w:rPr>
              <w:t>2知识运用</w:t>
            </w:r>
            <w:r>
              <w:rPr>
                <w:rFonts w:hint="eastAsia"/>
                <w:b/>
                <w:sz w:val="18"/>
                <w:szCs w:val="18"/>
              </w:rPr>
              <w:t>能力：</w:t>
            </w:r>
            <w:r>
              <w:rPr>
                <w:bCs/>
                <w:sz w:val="18"/>
                <w:szCs w:val="18"/>
              </w:rPr>
              <w:t>能将基础知识恰当地应用到智能感知工程专业智能传感与控制等复杂工程问题的解决中。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3</w:t>
            </w:r>
          </w:p>
        </w:tc>
        <w:tc>
          <w:tcPr>
            <w:tcW w:w="2345" w:type="pct"/>
          </w:tcPr>
          <w:p>
            <w:pPr>
              <w:spacing w:line="360" w:lineRule="auto"/>
              <w:rPr>
                <w:sz w:val="18"/>
                <w:szCs w:val="18"/>
              </w:rPr>
            </w:pPr>
            <w:r>
              <w:rPr>
                <w:rFonts w:hint="eastAsia"/>
                <w:sz w:val="18"/>
                <w:szCs w:val="18"/>
              </w:rPr>
              <w:t>能够形成分析复杂工程问题的思路，并针对实际工程应用中涉及到的工程问题和背景建立相应电路模型，识别其中关键特性和参数。</w:t>
            </w:r>
          </w:p>
        </w:tc>
        <w:tc>
          <w:tcPr>
            <w:tcW w:w="2288" w:type="pct"/>
          </w:tcPr>
          <w:p>
            <w:pPr>
              <w:spacing w:line="360" w:lineRule="auto"/>
              <w:rPr>
                <w:b/>
                <w:sz w:val="18"/>
                <w:szCs w:val="18"/>
              </w:rPr>
            </w:pPr>
            <w:r>
              <w:rPr>
                <w:rFonts w:hint="eastAsia"/>
                <w:b/>
                <w:sz w:val="18"/>
                <w:szCs w:val="18"/>
              </w:rPr>
              <w:t>指标点2-1 问题识别：</w:t>
            </w:r>
            <w:r>
              <w:rPr>
                <w:bCs/>
                <w:sz w:val="18"/>
                <w:szCs w:val="18"/>
              </w:rPr>
              <w:t>能应用科学原理对智能感知工程专业复杂工程问题进行分解，并识别其中的关键特征和参数。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4</w:t>
            </w:r>
          </w:p>
        </w:tc>
        <w:tc>
          <w:tcPr>
            <w:tcW w:w="2345" w:type="pct"/>
          </w:tcPr>
          <w:p>
            <w:pPr>
              <w:spacing w:line="360" w:lineRule="auto"/>
              <w:rPr>
                <w:sz w:val="18"/>
                <w:szCs w:val="18"/>
              </w:rPr>
            </w:pPr>
            <w:r>
              <w:rPr>
                <w:rFonts w:hint="eastAsia"/>
                <w:sz w:val="18"/>
                <w:szCs w:val="18"/>
              </w:rPr>
              <w:t>能够根据电路模型建立数学方程并求解，从而得到具体的结果，获取所需关键特征和参数。根据计算结果并结合实际工程问题得出相关的结论，将工程问题转换成技术问题。</w:t>
            </w:r>
          </w:p>
        </w:tc>
        <w:tc>
          <w:tcPr>
            <w:tcW w:w="2288" w:type="pct"/>
          </w:tcPr>
          <w:p>
            <w:pPr>
              <w:spacing w:line="360" w:lineRule="auto"/>
              <w:rPr>
                <w:b/>
                <w:sz w:val="18"/>
                <w:szCs w:val="18"/>
              </w:rPr>
            </w:pPr>
            <w:r>
              <w:rPr>
                <w:rFonts w:hint="eastAsia"/>
                <w:b/>
                <w:sz w:val="18"/>
                <w:szCs w:val="18"/>
              </w:rPr>
              <w:t>指标点2-2 问题表达：</w:t>
            </w:r>
            <w:r>
              <w:rPr>
                <w:bCs/>
                <w:sz w:val="18"/>
                <w:szCs w:val="18"/>
              </w:rPr>
              <w:t>能够应用科学原理对本专业复杂工程问题的识别结果进行有效表达，将工程问题转化为技术问题。</w:t>
            </w:r>
          </w:p>
        </w:tc>
      </w:tr>
    </w:tbl>
    <w:p>
      <w:pPr>
        <w:spacing w:line="360" w:lineRule="auto"/>
        <w:ind w:firstLine="420" w:firstLineChars="200"/>
        <w:rPr>
          <w:szCs w:val="21"/>
        </w:rPr>
      </w:pPr>
    </w:p>
    <w:p>
      <w:pPr>
        <w:tabs>
          <w:tab w:val="left" w:pos="420"/>
        </w:tabs>
        <w:adjustRightInd w:val="0"/>
        <w:snapToGrid w:val="0"/>
        <w:spacing w:line="360" w:lineRule="auto"/>
        <w:ind w:left="420" w:hanging="420"/>
        <w:rPr>
          <w:rFonts w:eastAsia="黑体"/>
          <w:szCs w:val="21"/>
        </w:rPr>
      </w:pPr>
      <w:r>
        <w:rPr>
          <w:rFonts w:hint="eastAsia" w:eastAsia="黑体"/>
          <w:szCs w:val="21"/>
        </w:rPr>
        <w:t>三、基本要求</w:t>
      </w:r>
    </w:p>
    <w:p>
      <w:pPr>
        <w:adjustRightInd w:val="0"/>
        <w:snapToGrid w:val="0"/>
        <w:spacing w:line="360" w:lineRule="auto"/>
        <w:ind w:firstLine="420" w:firstLineChars="200"/>
        <w:rPr>
          <w:color w:val="000000"/>
          <w:szCs w:val="21"/>
        </w:rPr>
      </w:pPr>
      <w:r>
        <w:rPr>
          <w:rFonts w:hint="eastAsia"/>
          <w:color w:val="000000"/>
          <w:szCs w:val="21"/>
        </w:rPr>
        <w:t>1、本课</w:t>
      </w:r>
      <w:r>
        <w:rPr>
          <w:color w:val="000000"/>
          <w:szCs w:val="21"/>
        </w:rPr>
        <w:t>程为学科基础教育课程，要求先修高等数学、大学物理等课程，在教学中注重基础知识、基本概念和思维方法的传授，同时运用类比式和启发式教学，使学生掌握电路分析与设计的方法手段，培养逻辑分析和设计能力。</w:t>
      </w:r>
    </w:p>
    <w:p>
      <w:pPr>
        <w:adjustRightInd w:val="0"/>
        <w:snapToGrid w:val="0"/>
        <w:spacing w:line="360" w:lineRule="auto"/>
        <w:ind w:firstLine="420" w:firstLineChars="200"/>
        <w:rPr>
          <w:color w:val="000000"/>
          <w:szCs w:val="21"/>
        </w:rPr>
      </w:pPr>
      <w:r>
        <w:rPr>
          <w:color w:val="000000"/>
          <w:szCs w:val="21"/>
        </w:rPr>
        <w:t>2、本课程要求在CAI教室进行授课，教师应通过向学生列举大量实例、以及丰富的习题，使学生深入掌握所学理论知识。</w:t>
      </w:r>
    </w:p>
    <w:p>
      <w:pPr>
        <w:widowControl/>
        <w:adjustRightInd w:val="0"/>
        <w:snapToGrid w:val="0"/>
        <w:spacing w:line="360" w:lineRule="auto"/>
        <w:ind w:firstLine="420" w:firstLineChars="200"/>
        <w:jc w:val="left"/>
      </w:pPr>
      <w:r>
        <w:rPr>
          <w:szCs w:val="21"/>
        </w:rPr>
        <w:t>3</w:t>
      </w:r>
      <w:r>
        <w:rPr>
          <w:rFonts w:hint="eastAsia"/>
          <w:szCs w:val="21"/>
        </w:rPr>
        <w:t>、深度和广度说明：</w:t>
      </w:r>
      <w:r>
        <w:rPr>
          <w:rFonts w:hint="eastAsia"/>
        </w:rPr>
        <w:t>电阻电路的等效变换和一般分析、电路定理、含有运算放大器的电阻电路、储能元件、一阶电路和二阶电路、相量法、正弦稳态电路分析等要深入讲解；含有耦合电感的电路、电路的频率响应的讲解为中等深度；非正弦周期电流电路和信号的频谱、二端口网络只做简单介绍；对电路分析方法的讲解应涵盖广些。</w:t>
      </w:r>
    </w:p>
    <w:p>
      <w:pPr>
        <w:spacing w:line="360" w:lineRule="auto"/>
        <w:ind w:firstLine="420" w:firstLineChars="200"/>
        <w:rPr>
          <w:szCs w:val="21"/>
        </w:rPr>
      </w:pPr>
      <w:r>
        <w:rPr>
          <w:szCs w:val="21"/>
        </w:rPr>
        <w:t>4、偏差说明：偏差说明：为了鼓励教师引入个人授课风格或者适应技术发展的紧迫性，本课程允许教师授课内容做适当调整，最大正偏差为</w:t>
      </w:r>
      <w:r>
        <w:rPr>
          <w:rFonts w:hint="eastAsia"/>
          <w:szCs w:val="21"/>
        </w:rPr>
        <w:t>10%，不允许负偏差。正偏差通过压缩同等内容的学时数来完成。特殊情况，最大正偏差和置换偏差累计可达到20%，但在开课前要申请专业责任人批准。（正偏差指大纲知识点不变，新增知识点；负偏差是大纲知识点减少；置换偏差是指大纲中部分知识点被其它类似知识点替换）。</w:t>
      </w:r>
    </w:p>
    <w:p>
      <w:pPr>
        <w:spacing w:line="360" w:lineRule="auto"/>
        <w:ind w:firstLine="420" w:firstLineChars="200"/>
        <w:rPr>
          <w:szCs w:val="21"/>
        </w:rPr>
      </w:pPr>
    </w:p>
    <w:p>
      <w:pPr>
        <w:tabs>
          <w:tab w:val="left" w:pos="420"/>
        </w:tabs>
        <w:spacing w:line="360" w:lineRule="auto"/>
        <w:rPr>
          <w:rFonts w:eastAsia="黑体"/>
          <w:szCs w:val="21"/>
        </w:rPr>
      </w:pPr>
      <w:r>
        <w:rPr>
          <w:rFonts w:hint="eastAsia" w:eastAsia="黑体"/>
          <w:szCs w:val="21"/>
        </w:rPr>
        <w:t>四、教学内容和教学方法</w:t>
      </w:r>
    </w:p>
    <w:p>
      <w:pPr>
        <w:widowControl/>
        <w:adjustRightInd w:val="0"/>
        <w:snapToGrid w:val="0"/>
        <w:spacing w:line="360" w:lineRule="auto"/>
        <w:ind w:firstLine="420" w:firstLineChars="200"/>
        <w:jc w:val="left"/>
        <w:rPr>
          <w:color w:val="000000"/>
        </w:rPr>
      </w:pPr>
      <w:r>
        <w:rPr>
          <w:rFonts w:hint="eastAsia"/>
          <w:color w:val="000000"/>
        </w:rPr>
        <w:t>本课程重点讲授的内容包括：电阻电路的等效变换和一般分析、各种电路定理、含有运算放大器的电阻电路、储能元件、一阶电路和二阶电路、相量法、正弦稳态电路分析、含有耦合电感的电路、电路的频率响应、非正弦周期电流电路和信号的频谱、二端口网络等。</w:t>
      </w:r>
    </w:p>
    <w:p>
      <w:pPr>
        <w:spacing w:line="360" w:lineRule="auto"/>
        <w:ind w:firstLine="420" w:firstLineChars="200"/>
        <w:rPr>
          <w:color w:val="FF0000"/>
          <w:szCs w:val="21"/>
        </w:rPr>
      </w:pPr>
      <w:r>
        <w:rPr>
          <w:szCs w:val="21"/>
        </w:rPr>
        <w:t>本课程在教学方法上，充分利用各种媒体教学手段</w:t>
      </w:r>
      <w:r>
        <w:rPr>
          <w:rFonts w:hint="eastAsia"/>
          <w:szCs w:val="21"/>
        </w:rPr>
        <w:t>。</w:t>
      </w:r>
      <w:r>
        <w:rPr>
          <w:rFonts w:hint="eastAsia" w:cs="宋体"/>
          <w:snapToGrid w:val="0"/>
          <w:kern w:val="0"/>
          <w:szCs w:val="21"/>
        </w:rPr>
        <w:t>教师在</w:t>
      </w:r>
      <w:r>
        <w:rPr>
          <w:rFonts w:hint="eastAsia" w:cs="宋体"/>
          <w:snapToGrid w:val="0"/>
          <w:color w:val="000000"/>
          <w:kern w:val="0"/>
          <w:szCs w:val="21"/>
        </w:rPr>
        <w:t>知识讲解的过程中要充分利用问题引导、案例分析等多种教学方法，以进一步提高教学质量</w:t>
      </w:r>
      <w:r>
        <w:rPr>
          <w:color w:val="FF0000"/>
          <w:szCs w:val="21"/>
        </w:rPr>
        <w:t>。</w:t>
      </w:r>
    </w:p>
    <w:p>
      <w:pPr>
        <w:widowControl/>
        <w:adjustRightInd w:val="0"/>
        <w:snapToGrid w:val="0"/>
        <w:spacing w:line="360" w:lineRule="auto"/>
        <w:ind w:left="426"/>
        <w:jc w:val="left"/>
        <w:rPr>
          <w:rFonts w:eastAsia="黑体" w:cs="宋体"/>
          <w:snapToGrid w:val="0"/>
          <w:color w:val="000000"/>
          <w:kern w:val="0"/>
          <w:szCs w:val="21"/>
        </w:rPr>
      </w:pPr>
    </w:p>
    <w:p>
      <w:pPr>
        <w:widowControl/>
        <w:adjustRightInd w:val="0"/>
        <w:snapToGrid w:val="0"/>
        <w:spacing w:line="360" w:lineRule="auto"/>
        <w:ind w:left="426"/>
        <w:jc w:val="left"/>
        <w:rPr>
          <w:rFonts w:eastAsia="黑体" w:cs="宋体"/>
          <w:color w:val="000000"/>
          <w:kern w:val="0"/>
          <w:szCs w:val="21"/>
        </w:rPr>
      </w:pPr>
      <w:r>
        <w:rPr>
          <w:rFonts w:hint="eastAsia" w:eastAsia="黑体" w:cs="宋体"/>
          <w:snapToGrid w:val="0"/>
          <w:color w:val="000000"/>
          <w:kern w:val="0"/>
          <w:szCs w:val="21"/>
        </w:rPr>
        <w:t>1 电路的基本概念与定律（5学时）</w:t>
      </w:r>
    </w:p>
    <w:p>
      <w:pPr>
        <w:widowControl/>
        <w:adjustRightInd w:val="0"/>
        <w:snapToGrid w:val="0"/>
        <w:spacing w:line="360" w:lineRule="auto"/>
        <w:ind w:left="426"/>
        <w:jc w:val="left"/>
        <w:rPr>
          <w:rFonts w:cs="宋体"/>
          <w:snapToGrid w:val="0"/>
          <w:color w:val="000000"/>
          <w:kern w:val="0"/>
          <w:szCs w:val="21"/>
        </w:rPr>
      </w:pPr>
      <w:r>
        <w:rPr>
          <w:rFonts w:hint="eastAsia" w:cs="宋体"/>
          <w:snapToGrid w:val="0"/>
          <w:color w:val="000000"/>
          <w:kern w:val="0"/>
          <w:szCs w:val="21"/>
        </w:rPr>
        <w:t>1.1、使学生了解电路元件、电阻元件和电路模型；</w:t>
      </w:r>
    </w:p>
    <w:p>
      <w:pPr>
        <w:widowControl/>
        <w:adjustRightInd w:val="0"/>
        <w:snapToGrid w:val="0"/>
        <w:spacing w:line="360" w:lineRule="auto"/>
        <w:ind w:left="426"/>
        <w:jc w:val="left"/>
        <w:rPr>
          <w:rFonts w:cs="宋体"/>
          <w:snapToGrid w:val="0"/>
          <w:color w:val="000000"/>
          <w:kern w:val="0"/>
          <w:szCs w:val="21"/>
        </w:rPr>
      </w:pPr>
      <w:r>
        <w:rPr>
          <w:rFonts w:hint="eastAsia" w:cs="宋体"/>
          <w:snapToGrid w:val="0"/>
          <w:color w:val="000000"/>
          <w:kern w:val="0"/>
          <w:szCs w:val="21"/>
        </w:rPr>
        <w:t>1.2、使学生学会熟练应用基尔霍夫定律</w:t>
      </w:r>
      <w:r>
        <w:rPr>
          <w:rFonts w:hint="eastAsia" w:cs="宋体"/>
          <w:snapToGrid w:val="0"/>
          <w:color w:val="000000" w:themeColor="text1"/>
          <w:kern w:val="0"/>
          <w:szCs w:val="21"/>
          <w14:textFill>
            <w14:solidFill>
              <w14:schemeClr w14:val="tx1"/>
            </w14:solidFill>
          </w14:textFill>
        </w:rPr>
        <w:t>；（</w:t>
      </w:r>
      <w:r>
        <w:rPr>
          <w:rFonts w:hint="eastAsia" w:ascii="宋体" w:hAnsi="宋体" w:cs="宋体"/>
          <w:snapToGrid w:val="0"/>
          <w:color w:val="000000" w:themeColor="text1"/>
          <w:kern w:val="0"/>
          <w:szCs w:val="21"/>
          <w14:textFill>
            <w14:solidFill>
              <w14:schemeClr w14:val="tx1"/>
            </w14:solidFill>
          </w14:textFill>
        </w:rPr>
        <w:t>难点、重点</w:t>
      </w:r>
      <w:r>
        <w:rPr>
          <w:rFonts w:hint="eastAsia" w:cs="宋体"/>
          <w:snapToGrid w:val="0"/>
          <w:color w:val="000000" w:themeColor="text1"/>
          <w:kern w:val="0"/>
          <w:szCs w:val="21"/>
          <w14:textFill>
            <w14:solidFill>
              <w14:schemeClr w14:val="tx1"/>
            </w14:solidFill>
          </w14:textFill>
        </w:rPr>
        <w:t>）</w:t>
      </w:r>
    </w:p>
    <w:p>
      <w:pPr>
        <w:widowControl/>
        <w:adjustRightInd w:val="0"/>
        <w:snapToGrid w:val="0"/>
        <w:spacing w:line="360" w:lineRule="auto"/>
        <w:ind w:left="426"/>
        <w:jc w:val="left"/>
        <w:rPr>
          <w:rFonts w:cs="宋体"/>
          <w:snapToGrid w:val="0"/>
          <w:color w:val="000000"/>
          <w:kern w:val="0"/>
          <w:szCs w:val="21"/>
        </w:rPr>
      </w:pPr>
      <w:r>
        <w:rPr>
          <w:rFonts w:hint="eastAsia" w:cs="宋体"/>
          <w:snapToGrid w:val="0"/>
          <w:color w:val="000000"/>
          <w:kern w:val="0"/>
          <w:szCs w:val="21"/>
        </w:rPr>
        <w:t>1.3、知晓电压、电流的参考方向与实际方向之间的关系，学会功率平衡验算。</w:t>
      </w:r>
    </w:p>
    <w:p>
      <w:pPr>
        <w:widowControl/>
        <w:adjustRightInd w:val="0"/>
        <w:snapToGrid w:val="0"/>
        <w:spacing w:line="360" w:lineRule="auto"/>
        <w:ind w:left="426"/>
        <w:jc w:val="left"/>
        <w:rPr>
          <w:rFonts w:cs="宋体"/>
          <w:snapToGrid w:val="0"/>
          <w:kern w:val="0"/>
          <w:szCs w:val="21"/>
        </w:rPr>
      </w:pPr>
      <w:r>
        <w:rPr>
          <w:rFonts w:cs="宋体"/>
          <w:bCs/>
          <w:snapToGrid w:val="0"/>
          <w:kern w:val="0"/>
          <w:szCs w:val="21"/>
        </w:rPr>
        <w:t>本章内容支撑课程目标1</w:t>
      </w:r>
      <w:r>
        <w:rPr>
          <w:rFonts w:hint="eastAsia" w:cs="宋体"/>
          <w:bCs/>
          <w:snapToGrid w:val="0"/>
          <w:kern w:val="0"/>
          <w:szCs w:val="21"/>
        </w:rPr>
        <w:t>、2。</w:t>
      </w:r>
    </w:p>
    <w:p>
      <w:pPr>
        <w:widowControl/>
        <w:adjustRightInd w:val="0"/>
        <w:snapToGrid w:val="0"/>
        <w:spacing w:line="360" w:lineRule="auto"/>
        <w:ind w:left="426"/>
        <w:jc w:val="left"/>
        <w:rPr>
          <w:rFonts w:eastAsia="黑体" w:cs="宋体"/>
          <w:color w:val="000000"/>
          <w:kern w:val="0"/>
          <w:szCs w:val="21"/>
        </w:rPr>
      </w:pPr>
      <w:r>
        <w:rPr>
          <w:rFonts w:hint="eastAsia" w:eastAsia="黑体" w:cs="宋体"/>
          <w:snapToGrid w:val="0"/>
          <w:color w:val="000000"/>
          <w:kern w:val="0"/>
          <w:szCs w:val="21"/>
        </w:rPr>
        <w:t xml:space="preserve">2 </w:t>
      </w:r>
      <w:r>
        <w:rPr>
          <w:rFonts w:hint="eastAsia" w:eastAsia="黑体" w:cs="宋体"/>
          <w:bCs/>
          <w:snapToGrid w:val="0"/>
          <w:color w:val="000000"/>
          <w:kern w:val="0"/>
          <w:szCs w:val="21"/>
        </w:rPr>
        <w:t>电阻电路的等效变换</w:t>
      </w:r>
      <w:r>
        <w:rPr>
          <w:rFonts w:hint="eastAsia" w:eastAsia="黑体" w:cs="宋体"/>
          <w:snapToGrid w:val="0"/>
          <w:color w:val="000000"/>
          <w:kern w:val="0"/>
          <w:szCs w:val="21"/>
        </w:rPr>
        <w:t>（4学时）</w:t>
      </w:r>
    </w:p>
    <w:p>
      <w:pPr>
        <w:widowControl/>
        <w:adjustRightInd w:val="0"/>
        <w:snapToGrid w:val="0"/>
        <w:spacing w:line="360" w:lineRule="auto"/>
        <w:ind w:left="426"/>
        <w:jc w:val="left"/>
        <w:rPr>
          <w:rFonts w:cs="宋体"/>
          <w:snapToGrid w:val="0"/>
          <w:color w:val="000000" w:themeColor="text1"/>
          <w:kern w:val="0"/>
          <w:szCs w:val="21"/>
          <w14:textFill>
            <w14:solidFill>
              <w14:schemeClr w14:val="tx1"/>
            </w14:solidFill>
          </w14:textFill>
        </w:rPr>
      </w:pPr>
      <w:r>
        <w:rPr>
          <w:rFonts w:hint="eastAsia" w:cs="宋体"/>
          <w:snapToGrid w:val="0"/>
          <w:color w:val="000000"/>
          <w:kern w:val="0"/>
          <w:szCs w:val="21"/>
        </w:rPr>
        <w:t>2.1、知晓电阻和电源串并联等效变换；</w:t>
      </w:r>
      <w:r>
        <w:rPr>
          <w:rFonts w:hint="eastAsia" w:cs="宋体"/>
          <w:snapToGrid w:val="0"/>
          <w:color w:val="000000" w:themeColor="text1"/>
          <w:kern w:val="0"/>
          <w:szCs w:val="21"/>
          <w14:textFill>
            <w14:solidFill>
              <w14:schemeClr w14:val="tx1"/>
            </w14:solidFill>
          </w14:textFill>
        </w:rPr>
        <w:t>（</w:t>
      </w:r>
      <w:r>
        <w:rPr>
          <w:rFonts w:hint="eastAsia" w:ascii="宋体" w:hAnsi="宋体" w:cs="宋体"/>
          <w:snapToGrid w:val="0"/>
          <w:color w:val="000000" w:themeColor="text1"/>
          <w:kern w:val="0"/>
          <w:szCs w:val="21"/>
          <w14:textFill>
            <w14:solidFill>
              <w14:schemeClr w14:val="tx1"/>
            </w14:solidFill>
          </w14:textFill>
        </w:rPr>
        <w:t>难点、重点</w:t>
      </w:r>
      <w:r>
        <w:rPr>
          <w:rFonts w:hint="eastAsia" w:cs="宋体"/>
          <w:snapToGrid w:val="0"/>
          <w:color w:val="000000" w:themeColor="text1"/>
          <w:kern w:val="0"/>
          <w:szCs w:val="21"/>
          <w14:textFill>
            <w14:solidFill>
              <w14:schemeClr w14:val="tx1"/>
            </w14:solidFill>
          </w14:textFill>
        </w:rPr>
        <w:t>）</w:t>
      </w:r>
    </w:p>
    <w:p>
      <w:pPr>
        <w:widowControl/>
        <w:adjustRightInd w:val="0"/>
        <w:snapToGrid w:val="0"/>
        <w:spacing w:line="360" w:lineRule="auto"/>
        <w:ind w:left="426"/>
        <w:jc w:val="left"/>
        <w:rPr>
          <w:rFonts w:cs="宋体"/>
          <w:color w:val="000000"/>
          <w:kern w:val="0"/>
          <w:szCs w:val="21"/>
        </w:rPr>
      </w:pPr>
      <w:r>
        <w:rPr>
          <w:rFonts w:hint="eastAsia" w:cs="宋体"/>
          <w:snapToGrid w:val="0"/>
          <w:color w:val="000000"/>
          <w:kern w:val="0"/>
          <w:szCs w:val="21"/>
        </w:rPr>
        <w:t>2.2、学会进行含源支路的等效变换、输入电阻的计算；</w:t>
      </w:r>
      <w:r>
        <w:rPr>
          <w:rFonts w:hint="eastAsia" w:cs="宋体"/>
          <w:snapToGrid w:val="0"/>
          <w:color w:val="000000" w:themeColor="text1"/>
          <w:kern w:val="0"/>
          <w:szCs w:val="21"/>
          <w14:textFill>
            <w14:solidFill>
              <w14:schemeClr w14:val="tx1"/>
            </w14:solidFill>
          </w14:textFill>
        </w:rPr>
        <w:t>（</w:t>
      </w:r>
      <w:r>
        <w:rPr>
          <w:rFonts w:hint="eastAsia" w:ascii="宋体" w:hAnsi="宋体" w:cs="宋体"/>
          <w:snapToGrid w:val="0"/>
          <w:color w:val="000000" w:themeColor="text1"/>
          <w:kern w:val="0"/>
          <w:szCs w:val="21"/>
          <w14:textFill>
            <w14:solidFill>
              <w14:schemeClr w14:val="tx1"/>
            </w14:solidFill>
          </w14:textFill>
        </w:rPr>
        <w:t>难点、重点</w:t>
      </w:r>
      <w:r>
        <w:rPr>
          <w:rFonts w:hint="eastAsia" w:cs="宋体"/>
          <w:snapToGrid w:val="0"/>
          <w:color w:val="000000" w:themeColor="text1"/>
          <w:kern w:val="0"/>
          <w:szCs w:val="21"/>
          <w14:textFill>
            <w14:solidFill>
              <w14:schemeClr w14:val="tx1"/>
            </w14:solidFill>
          </w14:textFill>
        </w:rPr>
        <w:t>）</w:t>
      </w:r>
    </w:p>
    <w:p>
      <w:pPr>
        <w:adjustRightInd w:val="0"/>
        <w:snapToGrid w:val="0"/>
        <w:spacing w:line="360" w:lineRule="auto"/>
        <w:ind w:left="426"/>
        <w:rPr>
          <w:rFonts w:cs="宋体"/>
          <w:snapToGrid w:val="0"/>
          <w:color w:val="000000"/>
          <w:kern w:val="0"/>
          <w:szCs w:val="21"/>
        </w:rPr>
      </w:pPr>
      <w:r>
        <w:rPr>
          <w:rFonts w:hint="eastAsia" w:cs="宋体"/>
          <w:snapToGrid w:val="0"/>
          <w:color w:val="000000"/>
          <w:kern w:val="0"/>
          <w:szCs w:val="21"/>
        </w:rPr>
        <w:t>2.3、知晓含虚元件支路的等效变换；</w:t>
      </w:r>
    </w:p>
    <w:p>
      <w:pPr>
        <w:adjustRightInd w:val="0"/>
        <w:snapToGrid w:val="0"/>
        <w:spacing w:line="360" w:lineRule="auto"/>
        <w:ind w:left="426"/>
        <w:rPr>
          <w:rFonts w:cs="宋体"/>
          <w:snapToGrid w:val="0"/>
          <w:color w:val="000000"/>
          <w:kern w:val="0"/>
          <w:szCs w:val="21"/>
        </w:rPr>
      </w:pPr>
      <w:r>
        <w:rPr>
          <w:rFonts w:hint="eastAsia" w:cs="宋体"/>
          <w:snapToGrid w:val="0"/>
          <w:color w:val="000000"/>
          <w:kern w:val="0"/>
          <w:szCs w:val="21"/>
        </w:rPr>
        <w:t>2.4、学会电阻星形联接与三角形连接的等值变换。</w:t>
      </w:r>
    </w:p>
    <w:p>
      <w:pPr>
        <w:widowControl/>
        <w:adjustRightInd w:val="0"/>
        <w:snapToGrid w:val="0"/>
        <w:spacing w:line="360" w:lineRule="auto"/>
        <w:ind w:left="426"/>
        <w:jc w:val="left"/>
        <w:rPr>
          <w:rFonts w:cs="宋体"/>
          <w:snapToGrid w:val="0"/>
          <w:kern w:val="0"/>
          <w:szCs w:val="21"/>
        </w:rPr>
      </w:pPr>
      <w:r>
        <w:rPr>
          <w:rFonts w:cs="宋体"/>
          <w:bCs/>
          <w:snapToGrid w:val="0"/>
          <w:kern w:val="0"/>
          <w:szCs w:val="21"/>
        </w:rPr>
        <w:t>本章内容支撑课程目标1</w:t>
      </w:r>
      <w:r>
        <w:rPr>
          <w:rFonts w:hint="eastAsia" w:cs="宋体"/>
          <w:bCs/>
          <w:snapToGrid w:val="0"/>
          <w:kern w:val="0"/>
          <w:szCs w:val="21"/>
        </w:rPr>
        <w:t>、2。</w:t>
      </w:r>
    </w:p>
    <w:p>
      <w:pPr>
        <w:adjustRightInd w:val="0"/>
        <w:snapToGrid w:val="0"/>
        <w:spacing w:line="360" w:lineRule="auto"/>
        <w:ind w:left="426"/>
        <w:rPr>
          <w:color w:val="000000"/>
        </w:rPr>
      </w:pPr>
      <w:r>
        <w:rPr>
          <w:rFonts w:hint="eastAsia" w:eastAsia="黑体"/>
          <w:color w:val="000000"/>
        </w:rPr>
        <w:t xml:space="preserve">3 </w:t>
      </w:r>
      <w:r>
        <w:rPr>
          <w:rFonts w:hint="eastAsia" w:eastAsia="黑体" w:cs="宋体"/>
          <w:snapToGrid w:val="0"/>
          <w:color w:val="000000"/>
          <w:kern w:val="0"/>
          <w:szCs w:val="21"/>
        </w:rPr>
        <w:t>电阻电路的一般分析方法（5学时）</w:t>
      </w:r>
    </w:p>
    <w:p>
      <w:pPr>
        <w:adjustRightInd w:val="0"/>
        <w:snapToGrid w:val="0"/>
        <w:spacing w:line="360" w:lineRule="auto"/>
        <w:ind w:left="426"/>
        <w:rPr>
          <w:rFonts w:cs="宋体"/>
          <w:snapToGrid w:val="0"/>
          <w:color w:val="000000"/>
          <w:kern w:val="0"/>
          <w:szCs w:val="21"/>
        </w:rPr>
      </w:pPr>
      <w:r>
        <w:rPr>
          <w:rFonts w:hint="eastAsia" w:cs="宋体"/>
          <w:snapToGrid w:val="0"/>
          <w:color w:val="000000"/>
          <w:kern w:val="0"/>
          <w:szCs w:val="21"/>
        </w:rPr>
        <w:t>3.1、知晓网络图论的基本概念；</w:t>
      </w:r>
    </w:p>
    <w:p>
      <w:pPr>
        <w:adjustRightInd w:val="0"/>
        <w:snapToGrid w:val="0"/>
        <w:spacing w:line="360" w:lineRule="auto"/>
        <w:ind w:left="426"/>
        <w:rPr>
          <w:color w:val="000000"/>
        </w:rPr>
      </w:pPr>
      <w:r>
        <w:rPr>
          <w:rFonts w:hint="eastAsia"/>
          <w:color w:val="000000"/>
        </w:rPr>
        <w:t>3.2、会解KCL、KVL的独立性方程</w:t>
      </w:r>
      <w:r>
        <w:rPr>
          <w:rFonts w:hint="eastAsia" w:cs="宋体"/>
          <w:snapToGrid w:val="0"/>
          <w:color w:val="000000"/>
          <w:kern w:val="0"/>
          <w:szCs w:val="21"/>
        </w:rPr>
        <w:t>；</w:t>
      </w:r>
    </w:p>
    <w:p>
      <w:pPr>
        <w:adjustRightInd w:val="0"/>
        <w:snapToGrid w:val="0"/>
        <w:spacing w:line="360" w:lineRule="auto"/>
        <w:ind w:left="426"/>
        <w:rPr>
          <w:color w:val="000000" w:themeColor="text1"/>
          <w14:textFill>
            <w14:solidFill>
              <w14:schemeClr w14:val="tx1"/>
            </w14:solidFill>
          </w14:textFill>
        </w:rPr>
      </w:pPr>
      <w:r>
        <w:rPr>
          <w:rFonts w:hint="eastAsia"/>
          <w:color w:val="000000" w:themeColor="text1"/>
          <w14:textFill>
            <w14:solidFill>
              <w14:schemeClr w14:val="tx1"/>
            </w14:solidFill>
          </w14:textFill>
        </w:rPr>
        <w:t>3.3、学会应用支路法、回路法（网孔法）、结点法（结点电压法）进行电路分析</w:t>
      </w:r>
      <w:r>
        <w:rPr>
          <w:rFonts w:hint="eastAsia" w:cs="宋体"/>
          <w:bCs/>
          <w:snapToGrid w:val="0"/>
          <w:color w:val="000000" w:themeColor="text1"/>
          <w:kern w:val="0"/>
          <w:szCs w:val="21"/>
          <w14:textFill>
            <w14:solidFill>
              <w14:schemeClr w14:val="tx1"/>
            </w14:solidFill>
          </w14:textFill>
        </w:rPr>
        <w:t>；</w:t>
      </w:r>
      <w:r>
        <w:rPr>
          <w:rFonts w:hint="eastAsia" w:cs="宋体"/>
          <w:snapToGrid w:val="0"/>
          <w:color w:val="000000" w:themeColor="text1"/>
          <w:kern w:val="0"/>
          <w:szCs w:val="21"/>
          <w14:textFill>
            <w14:solidFill>
              <w14:schemeClr w14:val="tx1"/>
            </w14:solidFill>
          </w14:textFill>
        </w:rPr>
        <w:t>（</w:t>
      </w:r>
      <w:r>
        <w:rPr>
          <w:rFonts w:hint="eastAsia" w:ascii="宋体" w:hAnsi="宋体" w:cs="宋体"/>
          <w:snapToGrid w:val="0"/>
          <w:color w:val="000000" w:themeColor="text1"/>
          <w:kern w:val="0"/>
          <w:szCs w:val="21"/>
          <w14:textFill>
            <w14:solidFill>
              <w14:schemeClr w14:val="tx1"/>
            </w14:solidFill>
          </w14:textFill>
        </w:rPr>
        <w:t>难点、重点</w:t>
      </w:r>
      <w:r>
        <w:rPr>
          <w:rFonts w:hint="eastAsia" w:cs="宋体"/>
          <w:snapToGrid w:val="0"/>
          <w:color w:val="000000" w:themeColor="text1"/>
          <w:kern w:val="0"/>
          <w:szCs w:val="21"/>
          <w14:textFill>
            <w14:solidFill>
              <w14:schemeClr w14:val="tx1"/>
            </w14:solidFill>
          </w14:textFill>
        </w:rPr>
        <w:t>）</w:t>
      </w:r>
    </w:p>
    <w:p>
      <w:pPr>
        <w:widowControl/>
        <w:adjustRightInd w:val="0"/>
        <w:snapToGrid w:val="0"/>
        <w:spacing w:line="360" w:lineRule="auto"/>
        <w:ind w:left="426"/>
        <w:jc w:val="left"/>
        <w:rPr>
          <w:rFonts w:cs="宋体"/>
          <w:snapToGrid w:val="0"/>
          <w:color w:val="000000"/>
          <w:kern w:val="0"/>
          <w:szCs w:val="21"/>
        </w:rPr>
      </w:pPr>
      <w:r>
        <w:rPr>
          <w:rFonts w:hint="eastAsia"/>
          <w:color w:val="000000"/>
        </w:rPr>
        <w:t>3.4、学会在运用回路法列写电路方程时碰到单一电流源（或受控电流源）支路的处理及在运用结点法列写电路方程时碰到单一电压源（或受控电压源）支路的处理方法</w:t>
      </w:r>
      <w:r>
        <w:rPr>
          <w:rFonts w:hint="eastAsia" w:cs="宋体"/>
          <w:bCs/>
          <w:snapToGrid w:val="0"/>
          <w:color w:val="000000"/>
          <w:kern w:val="0"/>
          <w:szCs w:val="21"/>
        </w:rPr>
        <w:t>。</w:t>
      </w:r>
    </w:p>
    <w:p>
      <w:pPr>
        <w:widowControl/>
        <w:adjustRightInd w:val="0"/>
        <w:snapToGrid w:val="0"/>
        <w:spacing w:line="360" w:lineRule="auto"/>
        <w:ind w:left="426"/>
        <w:jc w:val="left"/>
        <w:rPr>
          <w:rFonts w:cs="宋体"/>
          <w:snapToGrid w:val="0"/>
          <w:kern w:val="0"/>
          <w:szCs w:val="21"/>
        </w:rPr>
      </w:pPr>
      <w:r>
        <w:rPr>
          <w:rFonts w:cs="宋体"/>
          <w:bCs/>
          <w:snapToGrid w:val="0"/>
          <w:kern w:val="0"/>
          <w:szCs w:val="21"/>
        </w:rPr>
        <w:t>本章内容支撑课程目标1</w:t>
      </w:r>
      <w:r>
        <w:rPr>
          <w:rFonts w:hint="eastAsia" w:cs="宋体"/>
          <w:bCs/>
          <w:snapToGrid w:val="0"/>
          <w:kern w:val="0"/>
          <w:szCs w:val="21"/>
        </w:rPr>
        <w:t>、2。</w:t>
      </w:r>
    </w:p>
    <w:p>
      <w:pPr>
        <w:adjustRightInd w:val="0"/>
        <w:snapToGrid w:val="0"/>
        <w:spacing w:line="360" w:lineRule="auto"/>
        <w:ind w:left="426"/>
        <w:rPr>
          <w:color w:val="000000"/>
        </w:rPr>
      </w:pPr>
      <w:r>
        <w:rPr>
          <w:rFonts w:hint="eastAsia" w:eastAsia="黑体"/>
          <w:color w:val="000000"/>
        </w:rPr>
        <w:t xml:space="preserve">4 </w:t>
      </w:r>
      <w:r>
        <w:rPr>
          <w:rFonts w:hint="eastAsia" w:eastAsia="黑体" w:cs="宋体"/>
          <w:snapToGrid w:val="0"/>
          <w:color w:val="000000"/>
          <w:kern w:val="0"/>
          <w:szCs w:val="21"/>
        </w:rPr>
        <w:t>电路定理（5学时）</w:t>
      </w:r>
    </w:p>
    <w:p>
      <w:pPr>
        <w:widowControl/>
        <w:tabs>
          <w:tab w:val="left" w:pos="900"/>
        </w:tabs>
        <w:adjustRightInd w:val="0"/>
        <w:snapToGrid w:val="0"/>
        <w:spacing w:line="360" w:lineRule="auto"/>
        <w:ind w:left="426"/>
        <w:jc w:val="left"/>
        <w:rPr>
          <w:rFonts w:cs="宋体"/>
          <w:bCs/>
          <w:snapToGrid w:val="0"/>
          <w:color w:val="000000"/>
          <w:kern w:val="0"/>
          <w:szCs w:val="21"/>
        </w:rPr>
      </w:pPr>
      <w:r>
        <w:rPr>
          <w:rFonts w:hint="eastAsia" w:cs="宋体"/>
          <w:bCs/>
          <w:snapToGrid w:val="0"/>
          <w:color w:val="000000"/>
          <w:kern w:val="0"/>
          <w:szCs w:val="21"/>
        </w:rPr>
        <w:t>4.1、知晓并学会使用叠加定理、戴维南定理和诺顿定理；</w:t>
      </w:r>
      <w:r>
        <w:rPr>
          <w:rFonts w:hint="eastAsia" w:cs="宋体"/>
          <w:snapToGrid w:val="0"/>
          <w:color w:val="000000" w:themeColor="text1"/>
          <w:kern w:val="0"/>
          <w:szCs w:val="21"/>
          <w14:textFill>
            <w14:solidFill>
              <w14:schemeClr w14:val="tx1"/>
            </w14:solidFill>
          </w14:textFill>
        </w:rPr>
        <w:t>（</w:t>
      </w:r>
      <w:r>
        <w:rPr>
          <w:rFonts w:hint="eastAsia" w:ascii="宋体" w:hAnsi="宋体" w:cs="宋体"/>
          <w:snapToGrid w:val="0"/>
          <w:color w:val="000000" w:themeColor="text1"/>
          <w:kern w:val="0"/>
          <w:szCs w:val="21"/>
          <w14:textFill>
            <w14:solidFill>
              <w14:schemeClr w14:val="tx1"/>
            </w14:solidFill>
          </w14:textFill>
        </w:rPr>
        <w:t>难点、重点</w:t>
      </w:r>
      <w:r>
        <w:rPr>
          <w:rFonts w:hint="eastAsia" w:cs="宋体"/>
          <w:snapToGrid w:val="0"/>
          <w:color w:val="000000" w:themeColor="text1"/>
          <w:kern w:val="0"/>
          <w:szCs w:val="21"/>
          <w14:textFill>
            <w14:solidFill>
              <w14:schemeClr w14:val="tx1"/>
            </w14:solidFill>
          </w14:textFill>
        </w:rPr>
        <w:t>）</w:t>
      </w:r>
    </w:p>
    <w:p>
      <w:pPr>
        <w:widowControl/>
        <w:tabs>
          <w:tab w:val="left" w:pos="900"/>
        </w:tabs>
        <w:adjustRightInd w:val="0"/>
        <w:snapToGrid w:val="0"/>
        <w:spacing w:line="360" w:lineRule="auto"/>
        <w:ind w:left="426"/>
        <w:jc w:val="left"/>
        <w:rPr>
          <w:rFonts w:cs="宋体"/>
          <w:bCs/>
          <w:snapToGrid w:val="0"/>
          <w:color w:val="000000"/>
          <w:kern w:val="0"/>
          <w:szCs w:val="21"/>
        </w:rPr>
      </w:pPr>
      <w:r>
        <w:rPr>
          <w:rFonts w:hint="eastAsia" w:cs="宋体"/>
          <w:bCs/>
          <w:snapToGrid w:val="0"/>
          <w:color w:val="000000"/>
          <w:kern w:val="0"/>
          <w:szCs w:val="21"/>
        </w:rPr>
        <w:t>4.2、学会互易定理的应用。</w:t>
      </w:r>
    </w:p>
    <w:p>
      <w:pPr>
        <w:widowControl/>
        <w:adjustRightInd w:val="0"/>
        <w:snapToGrid w:val="0"/>
        <w:spacing w:line="360" w:lineRule="auto"/>
        <w:ind w:left="426"/>
        <w:jc w:val="left"/>
        <w:rPr>
          <w:rFonts w:cs="宋体"/>
          <w:snapToGrid w:val="0"/>
          <w:kern w:val="0"/>
          <w:szCs w:val="21"/>
        </w:rPr>
      </w:pPr>
      <w:r>
        <w:rPr>
          <w:rFonts w:cs="宋体"/>
          <w:bCs/>
          <w:snapToGrid w:val="0"/>
          <w:kern w:val="0"/>
          <w:szCs w:val="21"/>
        </w:rPr>
        <w:t>本章内容支撑课程目标1</w:t>
      </w:r>
      <w:r>
        <w:rPr>
          <w:rFonts w:hint="eastAsia" w:cs="宋体"/>
          <w:bCs/>
          <w:snapToGrid w:val="0"/>
          <w:kern w:val="0"/>
          <w:szCs w:val="21"/>
        </w:rPr>
        <w:t>、2。</w:t>
      </w:r>
    </w:p>
    <w:p>
      <w:pPr>
        <w:widowControl/>
        <w:adjustRightInd w:val="0"/>
        <w:snapToGrid w:val="0"/>
        <w:spacing w:line="360" w:lineRule="auto"/>
        <w:ind w:left="426"/>
        <w:jc w:val="left"/>
        <w:rPr>
          <w:rFonts w:eastAsia="黑体"/>
          <w:snapToGrid w:val="0"/>
          <w:color w:val="000000"/>
          <w:kern w:val="0"/>
          <w:szCs w:val="21"/>
        </w:rPr>
      </w:pPr>
      <w:r>
        <w:rPr>
          <w:rFonts w:hint="eastAsia" w:eastAsia="黑体"/>
          <w:snapToGrid w:val="0"/>
          <w:color w:val="000000"/>
          <w:kern w:val="0"/>
          <w:szCs w:val="21"/>
        </w:rPr>
        <w:t>5 正弦交流电路的稳态分析</w:t>
      </w:r>
      <w:r>
        <w:rPr>
          <w:rFonts w:hint="eastAsia" w:eastAsia="黑体" w:cs="宋体"/>
          <w:snapToGrid w:val="0"/>
          <w:color w:val="000000"/>
          <w:kern w:val="0"/>
          <w:szCs w:val="21"/>
        </w:rPr>
        <w:t>（6学时）</w:t>
      </w:r>
    </w:p>
    <w:p>
      <w:pPr>
        <w:widowControl/>
        <w:tabs>
          <w:tab w:val="left" w:pos="900"/>
        </w:tabs>
        <w:adjustRightInd w:val="0"/>
        <w:snapToGrid w:val="0"/>
        <w:spacing w:line="360" w:lineRule="auto"/>
        <w:ind w:left="426"/>
        <w:jc w:val="left"/>
        <w:rPr>
          <w:rFonts w:cs="宋体"/>
          <w:bCs/>
          <w:snapToGrid w:val="0"/>
          <w:color w:val="000000"/>
          <w:kern w:val="0"/>
          <w:szCs w:val="21"/>
        </w:rPr>
      </w:pPr>
      <w:r>
        <w:rPr>
          <w:rFonts w:hint="eastAsia" w:cs="宋体"/>
          <w:bCs/>
          <w:snapToGrid w:val="0"/>
          <w:color w:val="000000"/>
          <w:kern w:val="0"/>
          <w:szCs w:val="21"/>
        </w:rPr>
        <w:t>5.1、知晓复阻抗、复导纳及其等效变换；</w:t>
      </w:r>
    </w:p>
    <w:p>
      <w:pPr>
        <w:widowControl/>
        <w:tabs>
          <w:tab w:val="left" w:pos="900"/>
        </w:tabs>
        <w:adjustRightInd w:val="0"/>
        <w:snapToGrid w:val="0"/>
        <w:spacing w:line="360" w:lineRule="auto"/>
        <w:ind w:left="426"/>
        <w:jc w:val="left"/>
        <w:rPr>
          <w:rFonts w:cs="宋体"/>
          <w:snapToGrid w:val="0"/>
          <w:color w:val="000000"/>
          <w:kern w:val="0"/>
          <w:szCs w:val="21"/>
        </w:rPr>
      </w:pPr>
      <w:r>
        <w:rPr>
          <w:rFonts w:hint="eastAsia" w:cs="宋体"/>
          <w:bCs/>
          <w:snapToGrid w:val="0"/>
          <w:color w:val="000000"/>
          <w:kern w:val="0"/>
          <w:szCs w:val="21"/>
        </w:rPr>
        <w:t>5.2、使学生能够熟练运用正弦电流电路相量分析与计算方法；</w:t>
      </w:r>
      <w:r>
        <w:rPr>
          <w:rFonts w:hint="eastAsia" w:cs="宋体"/>
          <w:snapToGrid w:val="0"/>
          <w:color w:val="000000" w:themeColor="text1"/>
          <w:kern w:val="0"/>
          <w:szCs w:val="21"/>
          <w14:textFill>
            <w14:solidFill>
              <w14:schemeClr w14:val="tx1"/>
            </w14:solidFill>
          </w14:textFill>
        </w:rPr>
        <w:t>（</w:t>
      </w:r>
      <w:r>
        <w:rPr>
          <w:rFonts w:hint="eastAsia" w:ascii="宋体" w:hAnsi="宋体" w:cs="宋体"/>
          <w:snapToGrid w:val="0"/>
          <w:color w:val="000000" w:themeColor="text1"/>
          <w:kern w:val="0"/>
          <w:szCs w:val="21"/>
          <w14:textFill>
            <w14:solidFill>
              <w14:schemeClr w14:val="tx1"/>
            </w14:solidFill>
          </w14:textFill>
        </w:rPr>
        <w:t>难点、重点</w:t>
      </w:r>
      <w:r>
        <w:rPr>
          <w:rFonts w:hint="eastAsia" w:cs="宋体"/>
          <w:snapToGrid w:val="0"/>
          <w:color w:val="000000" w:themeColor="text1"/>
          <w:kern w:val="0"/>
          <w:szCs w:val="21"/>
          <w14:textFill>
            <w14:solidFill>
              <w14:schemeClr w14:val="tx1"/>
            </w14:solidFill>
          </w14:textFill>
        </w:rPr>
        <w:t>）</w:t>
      </w:r>
    </w:p>
    <w:p>
      <w:pPr>
        <w:widowControl/>
        <w:tabs>
          <w:tab w:val="left" w:pos="900"/>
        </w:tabs>
        <w:adjustRightInd w:val="0"/>
        <w:snapToGrid w:val="0"/>
        <w:spacing w:line="360" w:lineRule="auto"/>
        <w:ind w:left="426"/>
        <w:jc w:val="left"/>
        <w:rPr>
          <w:rFonts w:cs="宋体"/>
          <w:bCs/>
          <w:snapToGrid w:val="0"/>
          <w:color w:val="000000"/>
          <w:kern w:val="0"/>
          <w:szCs w:val="21"/>
        </w:rPr>
      </w:pPr>
      <w:r>
        <w:rPr>
          <w:rFonts w:hint="eastAsia" w:cs="宋体"/>
          <w:bCs/>
          <w:snapToGrid w:val="0"/>
          <w:color w:val="000000"/>
          <w:kern w:val="0"/>
          <w:szCs w:val="21"/>
        </w:rPr>
        <w:t>5.3、知晓正弦电流电路功率的计算方法；</w:t>
      </w:r>
    </w:p>
    <w:p>
      <w:pPr>
        <w:widowControl/>
        <w:tabs>
          <w:tab w:val="left" w:pos="900"/>
        </w:tabs>
        <w:adjustRightInd w:val="0"/>
        <w:snapToGrid w:val="0"/>
        <w:spacing w:line="360" w:lineRule="auto"/>
        <w:ind w:left="426"/>
        <w:jc w:val="left"/>
        <w:rPr>
          <w:rFonts w:cs="宋体"/>
          <w:bCs/>
          <w:snapToGrid w:val="0"/>
          <w:color w:val="000000"/>
          <w:kern w:val="0"/>
          <w:szCs w:val="21"/>
        </w:rPr>
      </w:pPr>
      <w:r>
        <w:rPr>
          <w:rFonts w:hint="eastAsia" w:cs="宋体"/>
          <w:bCs/>
          <w:snapToGrid w:val="0"/>
          <w:color w:val="000000"/>
          <w:kern w:val="0"/>
          <w:szCs w:val="21"/>
        </w:rPr>
        <w:t>5.4、知晓有功功率、无功功率、视在功率、复功率、功率因数；</w:t>
      </w:r>
    </w:p>
    <w:p>
      <w:pPr>
        <w:widowControl/>
        <w:tabs>
          <w:tab w:val="left" w:pos="900"/>
        </w:tabs>
        <w:adjustRightInd w:val="0"/>
        <w:snapToGrid w:val="0"/>
        <w:spacing w:line="360" w:lineRule="auto"/>
        <w:ind w:left="426"/>
        <w:jc w:val="left"/>
        <w:rPr>
          <w:rFonts w:cs="宋体"/>
          <w:snapToGrid w:val="0"/>
          <w:color w:val="000000"/>
          <w:kern w:val="0"/>
          <w:szCs w:val="21"/>
        </w:rPr>
      </w:pPr>
      <w:r>
        <w:rPr>
          <w:rFonts w:hint="eastAsia" w:cs="宋体"/>
          <w:bCs/>
          <w:snapToGrid w:val="0"/>
          <w:color w:val="000000"/>
          <w:kern w:val="0"/>
          <w:szCs w:val="21"/>
        </w:rPr>
        <w:t>5.5、理解正弦电流电路中功率、能量关系。</w:t>
      </w:r>
    </w:p>
    <w:p>
      <w:pPr>
        <w:widowControl/>
        <w:adjustRightInd w:val="0"/>
        <w:snapToGrid w:val="0"/>
        <w:spacing w:line="360" w:lineRule="auto"/>
        <w:ind w:left="426"/>
        <w:jc w:val="left"/>
        <w:rPr>
          <w:rFonts w:cs="宋体"/>
          <w:snapToGrid w:val="0"/>
          <w:kern w:val="0"/>
          <w:szCs w:val="21"/>
        </w:rPr>
      </w:pPr>
      <w:r>
        <w:rPr>
          <w:rFonts w:cs="宋体"/>
          <w:bCs/>
          <w:snapToGrid w:val="0"/>
          <w:kern w:val="0"/>
          <w:szCs w:val="21"/>
        </w:rPr>
        <w:t>本章内容支撑课程目标1</w:t>
      </w:r>
      <w:r>
        <w:rPr>
          <w:rFonts w:hint="eastAsia" w:cs="宋体"/>
          <w:bCs/>
          <w:snapToGrid w:val="0"/>
          <w:kern w:val="0"/>
          <w:szCs w:val="21"/>
        </w:rPr>
        <w:t>、2。</w:t>
      </w:r>
    </w:p>
    <w:p>
      <w:pPr>
        <w:widowControl/>
        <w:adjustRightInd w:val="0"/>
        <w:snapToGrid w:val="0"/>
        <w:spacing w:line="360" w:lineRule="auto"/>
        <w:ind w:left="426"/>
        <w:jc w:val="left"/>
        <w:rPr>
          <w:rFonts w:eastAsia="黑体"/>
          <w:snapToGrid w:val="0"/>
          <w:color w:val="000000"/>
          <w:kern w:val="0"/>
          <w:szCs w:val="21"/>
        </w:rPr>
      </w:pPr>
      <w:r>
        <w:rPr>
          <w:rFonts w:hint="eastAsia" w:eastAsia="黑体"/>
          <w:snapToGrid w:val="0"/>
          <w:color w:val="000000"/>
          <w:kern w:val="0"/>
          <w:szCs w:val="21"/>
        </w:rPr>
        <w:t xml:space="preserve">6 </w:t>
      </w:r>
      <w:r>
        <w:rPr>
          <w:rFonts w:hint="eastAsia" w:eastAsia="黑体" w:cs="宋体"/>
          <w:snapToGrid w:val="0"/>
          <w:color w:val="000000"/>
          <w:kern w:val="0"/>
          <w:szCs w:val="21"/>
        </w:rPr>
        <w:t>电路的频率响应（3学时）</w:t>
      </w:r>
    </w:p>
    <w:p>
      <w:pPr>
        <w:widowControl/>
        <w:tabs>
          <w:tab w:val="left" w:pos="900"/>
        </w:tabs>
        <w:adjustRightInd w:val="0"/>
        <w:snapToGrid w:val="0"/>
        <w:spacing w:line="360" w:lineRule="auto"/>
        <w:ind w:left="426"/>
        <w:jc w:val="left"/>
        <w:rPr>
          <w:rFonts w:cs="宋体"/>
          <w:bCs/>
          <w:snapToGrid w:val="0"/>
          <w:color w:val="000000"/>
          <w:kern w:val="0"/>
          <w:szCs w:val="21"/>
        </w:rPr>
      </w:pPr>
      <w:r>
        <w:rPr>
          <w:rFonts w:hint="eastAsia" w:cs="宋体"/>
          <w:bCs/>
          <w:snapToGrid w:val="0"/>
          <w:color w:val="000000"/>
          <w:kern w:val="0"/>
          <w:szCs w:val="21"/>
        </w:rPr>
        <w:t>6.1、知晓串联谐振、并联谐振、频率响应的概念；</w:t>
      </w:r>
      <w:r>
        <w:rPr>
          <w:rFonts w:hint="eastAsia" w:cs="宋体"/>
          <w:snapToGrid w:val="0"/>
          <w:color w:val="000000"/>
          <w:kern w:val="0"/>
          <w:szCs w:val="21"/>
        </w:rPr>
        <w:t>（重点）</w:t>
      </w:r>
    </w:p>
    <w:p>
      <w:pPr>
        <w:widowControl/>
        <w:tabs>
          <w:tab w:val="left" w:pos="900"/>
        </w:tabs>
        <w:adjustRightInd w:val="0"/>
        <w:snapToGrid w:val="0"/>
        <w:spacing w:line="360" w:lineRule="auto"/>
        <w:ind w:left="426"/>
        <w:jc w:val="left"/>
        <w:rPr>
          <w:rFonts w:cs="宋体"/>
          <w:snapToGrid w:val="0"/>
          <w:color w:val="000000"/>
          <w:kern w:val="0"/>
          <w:szCs w:val="21"/>
        </w:rPr>
      </w:pPr>
      <w:r>
        <w:rPr>
          <w:rFonts w:hint="eastAsia" w:cs="宋体"/>
          <w:bCs/>
          <w:snapToGrid w:val="0"/>
          <w:color w:val="000000"/>
          <w:kern w:val="0"/>
          <w:szCs w:val="21"/>
        </w:rPr>
        <w:t>6.2、熟练运用谐振电路的分析方法。</w:t>
      </w:r>
      <w:r>
        <w:rPr>
          <w:rFonts w:hint="eastAsia" w:cs="宋体"/>
          <w:snapToGrid w:val="0"/>
          <w:color w:val="000000"/>
          <w:kern w:val="0"/>
          <w:szCs w:val="21"/>
        </w:rPr>
        <w:t>（难点）</w:t>
      </w:r>
    </w:p>
    <w:p>
      <w:pPr>
        <w:widowControl/>
        <w:adjustRightInd w:val="0"/>
        <w:snapToGrid w:val="0"/>
        <w:spacing w:line="360" w:lineRule="auto"/>
        <w:ind w:left="426"/>
        <w:jc w:val="left"/>
        <w:rPr>
          <w:rFonts w:cs="宋体"/>
          <w:snapToGrid w:val="0"/>
          <w:kern w:val="0"/>
          <w:szCs w:val="21"/>
        </w:rPr>
      </w:pPr>
      <w:r>
        <w:rPr>
          <w:rFonts w:cs="宋体"/>
          <w:bCs/>
          <w:snapToGrid w:val="0"/>
          <w:kern w:val="0"/>
          <w:szCs w:val="21"/>
        </w:rPr>
        <w:t>本章内容支撑课程目标1</w:t>
      </w:r>
      <w:r>
        <w:rPr>
          <w:rFonts w:hint="eastAsia" w:cs="宋体"/>
          <w:bCs/>
          <w:snapToGrid w:val="0"/>
          <w:kern w:val="0"/>
          <w:szCs w:val="21"/>
        </w:rPr>
        <w:t>、2。</w:t>
      </w:r>
    </w:p>
    <w:p>
      <w:pPr>
        <w:widowControl/>
        <w:adjustRightInd w:val="0"/>
        <w:snapToGrid w:val="0"/>
        <w:spacing w:line="360" w:lineRule="auto"/>
        <w:ind w:left="426"/>
        <w:jc w:val="left"/>
        <w:rPr>
          <w:rFonts w:eastAsia="黑体"/>
          <w:snapToGrid w:val="0"/>
          <w:color w:val="000000"/>
          <w:kern w:val="0"/>
          <w:szCs w:val="21"/>
        </w:rPr>
      </w:pPr>
      <w:r>
        <w:rPr>
          <w:rFonts w:hint="eastAsia" w:eastAsia="黑体"/>
          <w:snapToGrid w:val="0"/>
          <w:color w:val="000000"/>
          <w:kern w:val="0"/>
          <w:szCs w:val="21"/>
        </w:rPr>
        <w:t>7 一阶电路的时域分析</w:t>
      </w:r>
      <w:r>
        <w:rPr>
          <w:rFonts w:hint="eastAsia" w:eastAsia="黑体" w:cs="宋体"/>
          <w:snapToGrid w:val="0"/>
          <w:color w:val="000000"/>
          <w:kern w:val="0"/>
          <w:szCs w:val="21"/>
        </w:rPr>
        <w:t>（4学时）</w:t>
      </w:r>
    </w:p>
    <w:p>
      <w:pPr>
        <w:widowControl/>
        <w:tabs>
          <w:tab w:val="left" w:pos="900"/>
        </w:tabs>
        <w:adjustRightInd w:val="0"/>
        <w:snapToGrid w:val="0"/>
        <w:spacing w:line="360" w:lineRule="auto"/>
        <w:ind w:left="426"/>
        <w:jc w:val="left"/>
        <w:rPr>
          <w:rFonts w:cs="宋体"/>
          <w:bCs/>
          <w:snapToGrid w:val="0"/>
          <w:color w:val="000000"/>
          <w:kern w:val="0"/>
          <w:szCs w:val="21"/>
        </w:rPr>
      </w:pPr>
      <w:r>
        <w:rPr>
          <w:rFonts w:hint="eastAsia" w:cs="宋体"/>
          <w:bCs/>
          <w:snapToGrid w:val="0"/>
          <w:color w:val="000000"/>
          <w:kern w:val="0"/>
          <w:szCs w:val="21"/>
        </w:rPr>
        <w:t>7.1、知晓动态电路的方程及其初始条件；</w:t>
      </w:r>
      <w:r>
        <w:rPr>
          <w:rFonts w:hint="eastAsia" w:cs="宋体"/>
          <w:snapToGrid w:val="0"/>
          <w:color w:val="000000"/>
          <w:kern w:val="0"/>
          <w:szCs w:val="21"/>
        </w:rPr>
        <w:t>（重点）</w:t>
      </w:r>
    </w:p>
    <w:p>
      <w:pPr>
        <w:widowControl/>
        <w:tabs>
          <w:tab w:val="left" w:pos="900"/>
        </w:tabs>
        <w:adjustRightInd w:val="0"/>
        <w:snapToGrid w:val="0"/>
        <w:spacing w:line="360" w:lineRule="auto"/>
        <w:ind w:left="426"/>
        <w:jc w:val="left"/>
        <w:rPr>
          <w:rFonts w:cs="宋体"/>
          <w:bCs/>
          <w:snapToGrid w:val="0"/>
          <w:color w:val="000000"/>
          <w:kern w:val="0"/>
          <w:szCs w:val="21"/>
        </w:rPr>
      </w:pPr>
      <w:r>
        <w:rPr>
          <w:rFonts w:hint="eastAsia" w:cs="宋体"/>
          <w:bCs/>
          <w:snapToGrid w:val="0"/>
          <w:color w:val="000000"/>
          <w:kern w:val="0"/>
          <w:szCs w:val="21"/>
        </w:rPr>
        <w:t>7.2、深入理解一阶电路的零输入响应、零状态响应和全响应。（难点）</w:t>
      </w:r>
    </w:p>
    <w:p>
      <w:pPr>
        <w:widowControl/>
        <w:adjustRightInd w:val="0"/>
        <w:snapToGrid w:val="0"/>
        <w:spacing w:line="360" w:lineRule="auto"/>
        <w:ind w:left="426"/>
        <w:jc w:val="left"/>
        <w:rPr>
          <w:rFonts w:cs="宋体"/>
          <w:snapToGrid w:val="0"/>
          <w:kern w:val="0"/>
          <w:szCs w:val="21"/>
        </w:rPr>
      </w:pPr>
      <w:r>
        <w:rPr>
          <w:rFonts w:cs="宋体"/>
          <w:bCs/>
          <w:snapToGrid w:val="0"/>
          <w:kern w:val="0"/>
          <w:szCs w:val="21"/>
        </w:rPr>
        <w:t>本章内容支撑课程目标1</w:t>
      </w:r>
      <w:r>
        <w:rPr>
          <w:rFonts w:hint="eastAsia" w:cs="宋体"/>
          <w:bCs/>
          <w:snapToGrid w:val="0"/>
          <w:kern w:val="0"/>
          <w:szCs w:val="21"/>
        </w:rPr>
        <w:t>、2。</w:t>
      </w:r>
    </w:p>
    <w:p>
      <w:pPr>
        <w:widowControl/>
        <w:tabs>
          <w:tab w:val="left" w:pos="900"/>
        </w:tabs>
        <w:adjustRightInd w:val="0"/>
        <w:snapToGrid w:val="0"/>
        <w:spacing w:line="360" w:lineRule="auto"/>
        <w:ind w:left="426"/>
        <w:jc w:val="left"/>
        <w:rPr>
          <w:rFonts w:eastAsia="黑体"/>
          <w:snapToGrid w:val="0"/>
          <w:color w:val="000000"/>
          <w:kern w:val="0"/>
          <w:szCs w:val="21"/>
        </w:rPr>
      </w:pPr>
      <w:r>
        <w:rPr>
          <w:rFonts w:hint="eastAsia" w:eastAsia="黑体"/>
          <w:snapToGrid w:val="0"/>
          <w:color w:val="000000"/>
          <w:kern w:val="0"/>
          <w:szCs w:val="21"/>
        </w:rPr>
        <w:t>8 二阶电路的时域分析（2学时）</w:t>
      </w:r>
    </w:p>
    <w:p>
      <w:pPr>
        <w:widowControl/>
        <w:tabs>
          <w:tab w:val="left" w:pos="900"/>
        </w:tabs>
        <w:adjustRightInd w:val="0"/>
        <w:snapToGrid w:val="0"/>
        <w:spacing w:line="360" w:lineRule="auto"/>
        <w:ind w:left="426"/>
        <w:jc w:val="left"/>
        <w:rPr>
          <w:rFonts w:cs="宋体"/>
          <w:bCs/>
          <w:snapToGrid w:val="0"/>
          <w:color w:val="000000"/>
          <w:kern w:val="0"/>
          <w:szCs w:val="21"/>
        </w:rPr>
      </w:pPr>
      <w:r>
        <w:rPr>
          <w:rFonts w:hint="eastAsia" w:cs="宋体"/>
          <w:bCs/>
          <w:snapToGrid w:val="0"/>
          <w:color w:val="000000"/>
          <w:kern w:val="0"/>
          <w:szCs w:val="21"/>
        </w:rPr>
        <w:t>8.1、知晓二阶电路的零输入响应；（重点）</w:t>
      </w:r>
    </w:p>
    <w:p>
      <w:pPr>
        <w:widowControl/>
        <w:tabs>
          <w:tab w:val="left" w:pos="900"/>
        </w:tabs>
        <w:adjustRightInd w:val="0"/>
        <w:snapToGrid w:val="0"/>
        <w:spacing w:line="360" w:lineRule="auto"/>
        <w:ind w:left="426"/>
        <w:jc w:val="left"/>
        <w:rPr>
          <w:rFonts w:cs="宋体"/>
          <w:bCs/>
          <w:snapToGrid w:val="0"/>
          <w:color w:val="000000"/>
          <w:kern w:val="0"/>
          <w:szCs w:val="21"/>
        </w:rPr>
      </w:pPr>
      <w:r>
        <w:rPr>
          <w:rFonts w:hint="eastAsia" w:cs="宋体"/>
          <w:bCs/>
          <w:snapToGrid w:val="0"/>
          <w:color w:val="000000"/>
          <w:kern w:val="0"/>
          <w:szCs w:val="21"/>
        </w:rPr>
        <w:t>8.2、深入理解二阶电路的阶跃响应和冲激响应。（难点）</w:t>
      </w:r>
    </w:p>
    <w:p>
      <w:pPr>
        <w:widowControl/>
        <w:adjustRightInd w:val="0"/>
        <w:snapToGrid w:val="0"/>
        <w:spacing w:line="360" w:lineRule="auto"/>
        <w:ind w:left="426"/>
        <w:jc w:val="left"/>
        <w:rPr>
          <w:rFonts w:cs="宋体"/>
          <w:snapToGrid w:val="0"/>
          <w:color w:val="000000"/>
          <w:kern w:val="0"/>
          <w:szCs w:val="21"/>
        </w:rPr>
      </w:pPr>
      <w:r>
        <w:rPr>
          <w:rFonts w:cs="宋体"/>
          <w:bCs/>
          <w:snapToGrid w:val="0"/>
          <w:kern w:val="0"/>
          <w:szCs w:val="21"/>
        </w:rPr>
        <w:t>本章内容支撑课程目标1</w:t>
      </w:r>
      <w:r>
        <w:rPr>
          <w:rFonts w:hint="eastAsia" w:cs="宋体"/>
          <w:bCs/>
          <w:snapToGrid w:val="0"/>
          <w:kern w:val="0"/>
          <w:szCs w:val="21"/>
        </w:rPr>
        <w:t>、2</w:t>
      </w:r>
      <w:r>
        <w:rPr>
          <w:rFonts w:hint="eastAsia" w:cs="宋体"/>
          <w:bCs/>
          <w:snapToGrid w:val="0"/>
          <w:color w:val="FF0000"/>
          <w:kern w:val="0"/>
          <w:szCs w:val="21"/>
        </w:rPr>
        <w:t>。</w:t>
      </w:r>
    </w:p>
    <w:p>
      <w:pPr>
        <w:widowControl/>
        <w:tabs>
          <w:tab w:val="left" w:pos="900"/>
        </w:tabs>
        <w:adjustRightInd w:val="0"/>
        <w:snapToGrid w:val="0"/>
        <w:spacing w:line="360" w:lineRule="auto"/>
        <w:ind w:left="426"/>
        <w:jc w:val="left"/>
        <w:rPr>
          <w:rFonts w:eastAsia="黑体"/>
          <w:snapToGrid w:val="0"/>
          <w:color w:val="000000"/>
          <w:kern w:val="0"/>
          <w:szCs w:val="21"/>
        </w:rPr>
      </w:pPr>
      <w:r>
        <w:rPr>
          <w:rFonts w:hint="eastAsia" w:eastAsia="黑体"/>
          <w:snapToGrid w:val="0"/>
          <w:color w:val="000000"/>
          <w:kern w:val="0"/>
          <w:szCs w:val="21"/>
        </w:rPr>
        <w:t>9 拉普拉斯变换（5学时）</w:t>
      </w:r>
    </w:p>
    <w:p>
      <w:pPr>
        <w:widowControl/>
        <w:tabs>
          <w:tab w:val="left" w:pos="900"/>
        </w:tabs>
        <w:adjustRightInd w:val="0"/>
        <w:snapToGrid w:val="0"/>
        <w:spacing w:line="360" w:lineRule="auto"/>
        <w:ind w:left="426"/>
        <w:jc w:val="left"/>
        <w:rPr>
          <w:rFonts w:cs="宋体"/>
          <w:bCs/>
          <w:snapToGrid w:val="0"/>
          <w:color w:val="000000"/>
          <w:kern w:val="0"/>
          <w:szCs w:val="21"/>
        </w:rPr>
      </w:pPr>
      <w:r>
        <w:rPr>
          <w:rFonts w:hint="eastAsia" w:cs="宋体"/>
          <w:bCs/>
          <w:snapToGrid w:val="0"/>
          <w:color w:val="000000"/>
          <w:kern w:val="0"/>
          <w:szCs w:val="21"/>
        </w:rPr>
        <w:t>9.1、知晓拉普拉斯变换的定义和基本性质；</w:t>
      </w:r>
    </w:p>
    <w:p>
      <w:pPr>
        <w:widowControl/>
        <w:tabs>
          <w:tab w:val="left" w:pos="900"/>
        </w:tabs>
        <w:adjustRightInd w:val="0"/>
        <w:snapToGrid w:val="0"/>
        <w:spacing w:line="360" w:lineRule="auto"/>
        <w:ind w:left="426"/>
        <w:jc w:val="left"/>
        <w:rPr>
          <w:rFonts w:cs="宋体"/>
          <w:bCs/>
          <w:snapToGrid w:val="0"/>
          <w:color w:val="000000"/>
          <w:kern w:val="0"/>
          <w:szCs w:val="21"/>
        </w:rPr>
      </w:pPr>
      <w:r>
        <w:rPr>
          <w:rFonts w:hint="eastAsia" w:cs="宋体"/>
          <w:bCs/>
          <w:snapToGrid w:val="0"/>
          <w:color w:val="000000"/>
          <w:kern w:val="0"/>
          <w:szCs w:val="21"/>
        </w:rPr>
        <w:t>9.2、能够对拉普拉斯反变换的部分分式进行展开；（重点）</w:t>
      </w:r>
    </w:p>
    <w:p>
      <w:pPr>
        <w:widowControl/>
        <w:tabs>
          <w:tab w:val="left" w:pos="900"/>
        </w:tabs>
        <w:adjustRightInd w:val="0"/>
        <w:snapToGrid w:val="0"/>
        <w:spacing w:line="360" w:lineRule="auto"/>
        <w:ind w:left="426"/>
        <w:jc w:val="left"/>
        <w:rPr>
          <w:rFonts w:cs="宋体"/>
          <w:bCs/>
          <w:snapToGrid w:val="0"/>
          <w:color w:val="000000"/>
          <w:kern w:val="0"/>
          <w:szCs w:val="21"/>
        </w:rPr>
      </w:pPr>
      <w:r>
        <w:rPr>
          <w:rFonts w:hint="eastAsia" w:cs="宋体"/>
          <w:bCs/>
          <w:snapToGrid w:val="0"/>
          <w:color w:val="000000"/>
          <w:kern w:val="0"/>
          <w:szCs w:val="21"/>
        </w:rPr>
        <w:t>9.3、能够应用拉普拉斯变换分析线性电路。（难点）</w:t>
      </w:r>
    </w:p>
    <w:p>
      <w:pPr>
        <w:widowControl/>
        <w:adjustRightInd w:val="0"/>
        <w:snapToGrid w:val="0"/>
        <w:spacing w:line="360" w:lineRule="auto"/>
        <w:ind w:left="426"/>
        <w:jc w:val="left"/>
        <w:rPr>
          <w:rFonts w:cs="宋体"/>
          <w:snapToGrid w:val="0"/>
          <w:kern w:val="0"/>
          <w:szCs w:val="21"/>
        </w:rPr>
      </w:pPr>
      <w:r>
        <w:rPr>
          <w:rFonts w:cs="宋体"/>
          <w:bCs/>
          <w:snapToGrid w:val="0"/>
          <w:kern w:val="0"/>
          <w:szCs w:val="21"/>
        </w:rPr>
        <w:t>本章内容支撑课程目标1</w:t>
      </w:r>
      <w:r>
        <w:rPr>
          <w:rFonts w:hint="eastAsia" w:cs="宋体"/>
          <w:bCs/>
          <w:snapToGrid w:val="0"/>
          <w:kern w:val="0"/>
          <w:szCs w:val="21"/>
        </w:rPr>
        <w:t>、2。</w:t>
      </w:r>
    </w:p>
    <w:p>
      <w:pPr>
        <w:widowControl/>
        <w:tabs>
          <w:tab w:val="left" w:pos="900"/>
        </w:tabs>
        <w:adjustRightInd w:val="0"/>
        <w:snapToGrid w:val="0"/>
        <w:spacing w:line="360" w:lineRule="auto"/>
        <w:ind w:left="426"/>
        <w:jc w:val="left"/>
        <w:rPr>
          <w:rFonts w:eastAsia="黑体"/>
          <w:snapToGrid w:val="0"/>
          <w:color w:val="000000"/>
          <w:kern w:val="0"/>
          <w:szCs w:val="21"/>
        </w:rPr>
      </w:pPr>
      <w:r>
        <w:rPr>
          <w:rFonts w:hint="eastAsia" w:eastAsia="黑体"/>
          <w:snapToGrid w:val="0"/>
          <w:color w:val="000000"/>
          <w:kern w:val="0"/>
          <w:szCs w:val="21"/>
        </w:rPr>
        <w:t>10 网络函数（3学时）</w:t>
      </w:r>
    </w:p>
    <w:p>
      <w:pPr>
        <w:widowControl/>
        <w:tabs>
          <w:tab w:val="left" w:pos="900"/>
        </w:tabs>
        <w:adjustRightInd w:val="0"/>
        <w:snapToGrid w:val="0"/>
        <w:spacing w:line="360" w:lineRule="auto"/>
        <w:ind w:left="426"/>
        <w:jc w:val="left"/>
        <w:rPr>
          <w:rFonts w:cs="宋体"/>
          <w:bCs/>
          <w:snapToGrid w:val="0"/>
          <w:color w:val="000000"/>
          <w:kern w:val="0"/>
          <w:szCs w:val="21"/>
        </w:rPr>
      </w:pPr>
      <w:r>
        <w:rPr>
          <w:rFonts w:hint="eastAsia" w:cs="宋体"/>
          <w:bCs/>
          <w:snapToGrid w:val="0"/>
          <w:color w:val="000000"/>
          <w:kern w:val="0"/>
          <w:szCs w:val="21"/>
        </w:rPr>
        <w:t>10.1、知晓网络函数的定义、网络函数的极点与零点；</w:t>
      </w:r>
    </w:p>
    <w:p>
      <w:pPr>
        <w:widowControl/>
        <w:tabs>
          <w:tab w:val="left" w:pos="900"/>
        </w:tabs>
        <w:adjustRightInd w:val="0"/>
        <w:snapToGrid w:val="0"/>
        <w:spacing w:line="360" w:lineRule="auto"/>
        <w:ind w:left="426"/>
        <w:jc w:val="left"/>
        <w:rPr>
          <w:rFonts w:cs="宋体"/>
          <w:bCs/>
          <w:snapToGrid w:val="0"/>
          <w:color w:val="000000"/>
          <w:kern w:val="0"/>
          <w:szCs w:val="21"/>
        </w:rPr>
      </w:pPr>
      <w:r>
        <w:rPr>
          <w:rFonts w:hint="eastAsia" w:cs="宋体"/>
          <w:bCs/>
          <w:snapToGrid w:val="0"/>
          <w:color w:val="000000"/>
          <w:kern w:val="0"/>
          <w:szCs w:val="21"/>
        </w:rPr>
        <w:t>10.2、学习极点、零点与冲击响应；（难点）</w:t>
      </w:r>
    </w:p>
    <w:p>
      <w:pPr>
        <w:widowControl/>
        <w:tabs>
          <w:tab w:val="left" w:pos="900"/>
        </w:tabs>
        <w:adjustRightInd w:val="0"/>
        <w:snapToGrid w:val="0"/>
        <w:spacing w:line="360" w:lineRule="auto"/>
        <w:ind w:left="426"/>
        <w:jc w:val="left"/>
        <w:rPr>
          <w:rFonts w:cs="宋体"/>
          <w:bCs/>
          <w:snapToGrid w:val="0"/>
          <w:color w:val="000000"/>
          <w:kern w:val="0"/>
          <w:szCs w:val="21"/>
        </w:rPr>
      </w:pPr>
      <w:r>
        <w:rPr>
          <w:rFonts w:hint="eastAsia" w:cs="宋体"/>
          <w:bCs/>
          <w:snapToGrid w:val="0"/>
          <w:color w:val="000000"/>
          <w:kern w:val="0"/>
          <w:szCs w:val="21"/>
        </w:rPr>
        <w:t>10.3、学习极点、零点与频率响应。（难点）</w:t>
      </w:r>
    </w:p>
    <w:p>
      <w:pPr>
        <w:widowControl/>
        <w:adjustRightInd w:val="0"/>
        <w:snapToGrid w:val="0"/>
        <w:spacing w:line="360" w:lineRule="auto"/>
        <w:ind w:left="426"/>
        <w:jc w:val="left"/>
        <w:rPr>
          <w:rFonts w:cs="宋体"/>
          <w:snapToGrid w:val="0"/>
          <w:kern w:val="0"/>
          <w:szCs w:val="21"/>
        </w:rPr>
      </w:pPr>
      <w:r>
        <w:rPr>
          <w:rFonts w:cs="宋体"/>
          <w:bCs/>
          <w:snapToGrid w:val="0"/>
          <w:kern w:val="0"/>
          <w:szCs w:val="21"/>
        </w:rPr>
        <w:t>本章内容支撑课程目标1</w:t>
      </w:r>
      <w:r>
        <w:rPr>
          <w:rFonts w:hint="eastAsia" w:cs="宋体"/>
          <w:bCs/>
          <w:snapToGrid w:val="0"/>
          <w:kern w:val="0"/>
          <w:szCs w:val="21"/>
        </w:rPr>
        <w:t>、2、3、</w:t>
      </w:r>
      <w:r>
        <w:rPr>
          <w:rFonts w:cs="宋体"/>
          <w:bCs/>
          <w:snapToGrid w:val="0"/>
          <w:kern w:val="0"/>
          <w:szCs w:val="21"/>
        </w:rPr>
        <w:t>4</w:t>
      </w:r>
      <w:r>
        <w:rPr>
          <w:rFonts w:hint="eastAsia" w:cs="宋体"/>
          <w:bCs/>
          <w:snapToGrid w:val="0"/>
          <w:kern w:val="0"/>
          <w:szCs w:val="21"/>
        </w:rPr>
        <w:t>。</w:t>
      </w:r>
    </w:p>
    <w:p>
      <w:pPr>
        <w:widowControl/>
        <w:tabs>
          <w:tab w:val="left" w:pos="900"/>
        </w:tabs>
        <w:adjustRightInd w:val="0"/>
        <w:snapToGrid w:val="0"/>
        <w:spacing w:line="360" w:lineRule="auto"/>
        <w:ind w:left="426"/>
        <w:jc w:val="left"/>
        <w:rPr>
          <w:rFonts w:eastAsia="黑体"/>
          <w:snapToGrid w:val="0"/>
          <w:color w:val="000000"/>
          <w:kern w:val="0"/>
          <w:szCs w:val="21"/>
        </w:rPr>
      </w:pPr>
      <w:r>
        <w:rPr>
          <w:rFonts w:hint="eastAsia" w:eastAsia="黑体"/>
          <w:snapToGrid w:val="0"/>
          <w:color w:val="000000"/>
          <w:kern w:val="0"/>
          <w:szCs w:val="21"/>
        </w:rPr>
        <w:t>11 图论及电路方程的矩阵形式（6学时）</w:t>
      </w:r>
    </w:p>
    <w:p>
      <w:pPr>
        <w:widowControl/>
        <w:tabs>
          <w:tab w:val="left" w:pos="900"/>
        </w:tabs>
        <w:adjustRightInd w:val="0"/>
        <w:snapToGrid w:val="0"/>
        <w:spacing w:line="360" w:lineRule="auto"/>
        <w:ind w:left="426"/>
        <w:jc w:val="left"/>
        <w:rPr>
          <w:rFonts w:cs="宋体"/>
          <w:bCs/>
          <w:snapToGrid w:val="0"/>
          <w:color w:val="000000"/>
          <w:kern w:val="0"/>
          <w:szCs w:val="21"/>
        </w:rPr>
      </w:pPr>
      <w:r>
        <w:rPr>
          <w:rFonts w:hint="eastAsia" w:cs="宋体"/>
          <w:bCs/>
          <w:snapToGrid w:val="0"/>
          <w:color w:val="000000"/>
          <w:kern w:val="0"/>
          <w:szCs w:val="21"/>
        </w:rPr>
        <w:t>11.1、知晓割集的概念；</w:t>
      </w:r>
    </w:p>
    <w:p>
      <w:pPr>
        <w:widowControl/>
        <w:tabs>
          <w:tab w:val="left" w:pos="900"/>
        </w:tabs>
        <w:adjustRightInd w:val="0"/>
        <w:snapToGrid w:val="0"/>
        <w:spacing w:line="360" w:lineRule="auto"/>
        <w:ind w:left="426"/>
        <w:jc w:val="left"/>
        <w:rPr>
          <w:rFonts w:cs="宋体"/>
          <w:bCs/>
          <w:snapToGrid w:val="0"/>
          <w:color w:val="000000"/>
          <w:kern w:val="0"/>
          <w:szCs w:val="21"/>
        </w:rPr>
      </w:pPr>
      <w:r>
        <w:rPr>
          <w:rFonts w:hint="eastAsia" w:cs="宋体"/>
          <w:bCs/>
          <w:snapToGrid w:val="0"/>
          <w:color w:val="000000"/>
          <w:kern w:val="0"/>
          <w:szCs w:val="21"/>
        </w:rPr>
        <w:t>11.2、知晓关联矩阵、回路矩阵和割集矩阵；</w:t>
      </w:r>
    </w:p>
    <w:p>
      <w:pPr>
        <w:widowControl/>
        <w:tabs>
          <w:tab w:val="left" w:pos="900"/>
        </w:tabs>
        <w:adjustRightInd w:val="0"/>
        <w:snapToGrid w:val="0"/>
        <w:spacing w:line="360" w:lineRule="auto"/>
        <w:ind w:left="426"/>
        <w:jc w:val="left"/>
        <w:rPr>
          <w:rFonts w:cs="宋体"/>
          <w:bCs/>
          <w:snapToGrid w:val="0"/>
          <w:color w:val="000000"/>
          <w:kern w:val="0"/>
          <w:szCs w:val="21"/>
        </w:rPr>
      </w:pPr>
      <w:r>
        <w:rPr>
          <w:rFonts w:hint="eastAsia" w:cs="宋体"/>
          <w:bCs/>
          <w:snapToGrid w:val="0"/>
          <w:color w:val="000000"/>
          <w:kern w:val="0"/>
          <w:szCs w:val="21"/>
        </w:rPr>
        <w:t>11.3、熟练应用回路电流方程的矩阵形式和结点电压方程的矩阵形式。（难点）</w:t>
      </w:r>
    </w:p>
    <w:p>
      <w:pPr>
        <w:widowControl/>
        <w:adjustRightInd w:val="0"/>
        <w:snapToGrid w:val="0"/>
        <w:spacing w:line="360" w:lineRule="auto"/>
        <w:ind w:left="426"/>
        <w:jc w:val="left"/>
        <w:rPr>
          <w:rFonts w:cs="宋体"/>
          <w:snapToGrid w:val="0"/>
          <w:kern w:val="0"/>
          <w:szCs w:val="21"/>
        </w:rPr>
      </w:pPr>
      <w:r>
        <w:rPr>
          <w:rFonts w:cs="宋体"/>
          <w:bCs/>
          <w:snapToGrid w:val="0"/>
          <w:kern w:val="0"/>
          <w:szCs w:val="21"/>
        </w:rPr>
        <w:t>本章内容支撑课程目标1</w:t>
      </w:r>
      <w:r>
        <w:rPr>
          <w:rFonts w:hint="eastAsia" w:cs="宋体"/>
          <w:bCs/>
          <w:snapToGrid w:val="0"/>
          <w:kern w:val="0"/>
          <w:szCs w:val="21"/>
        </w:rPr>
        <w:t>、2、3、</w:t>
      </w:r>
      <w:r>
        <w:rPr>
          <w:rFonts w:cs="宋体"/>
          <w:bCs/>
          <w:snapToGrid w:val="0"/>
          <w:kern w:val="0"/>
          <w:szCs w:val="21"/>
        </w:rPr>
        <w:t>4</w:t>
      </w:r>
      <w:r>
        <w:rPr>
          <w:rFonts w:hint="eastAsia" w:cs="宋体"/>
          <w:bCs/>
          <w:snapToGrid w:val="0"/>
          <w:kern w:val="0"/>
          <w:szCs w:val="21"/>
        </w:rPr>
        <w:t>。</w:t>
      </w:r>
    </w:p>
    <w:p>
      <w:pPr>
        <w:widowControl/>
        <w:tabs>
          <w:tab w:val="left" w:pos="900"/>
        </w:tabs>
        <w:adjustRightInd w:val="0"/>
        <w:snapToGrid w:val="0"/>
        <w:spacing w:line="360" w:lineRule="auto"/>
        <w:ind w:left="426"/>
        <w:jc w:val="left"/>
        <w:rPr>
          <w:rFonts w:eastAsia="黑体"/>
          <w:snapToGrid w:val="0"/>
          <w:color w:val="000000"/>
          <w:kern w:val="0"/>
          <w:szCs w:val="21"/>
        </w:rPr>
      </w:pPr>
      <w:r>
        <w:rPr>
          <w:rFonts w:hint="eastAsia" w:eastAsia="黑体"/>
          <w:snapToGrid w:val="0"/>
          <w:color w:val="000000"/>
          <w:kern w:val="0"/>
          <w:szCs w:val="21"/>
        </w:rPr>
        <w:t>12 二端口网络（6学时）</w:t>
      </w:r>
    </w:p>
    <w:p>
      <w:pPr>
        <w:widowControl/>
        <w:tabs>
          <w:tab w:val="left" w:pos="900"/>
        </w:tabs>
        <w:adjustRightInd w:val="0"/>
        <w:snapToGrid w:val="0"/>
        <w:spacing w:line="360" w:lineRule="auto"/>
        <w:ind w:left="426"/>
        <w:jc w:val="left"/>
        <w:rPr>
          <w:rFonts w:cs="宋体"/>
          <w:bCs/>
          <w:snapToGrid w:val="0"/>
          <w:color w:val="000000"/>
          <w:kern w:val="0"/>
          <w:szCs w:val="21"/>
        </w:rPr>
      </w:pPr>
      <w:r>
        <w:rPr>
          <w:rFonts w:hint="eastAsia" w:cs="宋体"/>
          <w:bCs/>
          <w:snapToGrid w:val="0"/>
          <w:color w:val="000000"/>
          <w:kern w:val="0"/>
          <w:szCs w:val="21"/>
        </w:rPr>
        <w:t>12.1、知晓二端口网络；</w:t>
      </w:r>
    </w:p>
    <w:p>
      <w:pPr>
        <w:widowControl/>
        <w:tabs>
          <w:tab w:val="left" w:pos="900"/>
        </w:tabs>
        <w:adjustRightInd w:val="0"/>
        <w:snapToGrid w:val="0"/>
        <w:spacing w:line="360" w:lineRule="auto"/>
        <w:ind w:left="426"/>
        <w:jc w:val="left"/>
        <w:rPr>
          <w:rFonts w:cs="宋体"/>
          <w:bCs/>
          <w:snapToGrid w:val="0"/>
          <w:color w:val="000000"/>
          <w:kern w:val="0"/>
          <w:szCs w:val="21"/>
        </w:rPr>
      </w:pPr>
      <w:r>
        <w:rPr>
          <w:rFonts w:hint="eastAsia" w:cs="宋体"/>
          <w:bCs/>
          <w:snapToGrid w:val="0"/>
          <w:color w:val="000000"/>
          <w:kern w:val="0"/>
          <w:szCs w:val="21"/>
        </w:rPr>
        <w:t>12.2、知晓二端口的方程和参数；</w:t>
      </w:r>
    </w:p>
    <w:p>
      <w:pPr>
        <w:widowControl/>
        <w:tabs>
          <w:tab w:val="left" w:pos="900"/>
        </w:tabs>
        <w:adjustRightInd w:val="0"/>
        <w:snapToGrid w:val="0"/>
        <w:spacing w:line="360" w:lineRule="auto"/>
        <w:ind w:left="426"/>
        <w:jc w:val="left"/>
        <w:rPr>
          <w:rFonts w:cs="宋体"/>
          <w:bCs/>
          <w:snapToGrid w:val="0"/>
          <w:color w:val="000000"/>
          <w:kern w:val="0"/>
          <w:szCs w:val="21"/>
        </w:rPr>
      </w:pPr>
      <w:r>
        <w:rPr>
          <w:rFonts w:hint="eastAsia" w:cs="宋体"/>
          <w:bCs/>
          <w:snapToGrid w:val="0"/>
          <w:color w:val="000000"/>
          <w:kern w:val="0"/>
          <w:szCs w:val="21"/>
        </w:rPr>
        <w:t>12.3、能够画出二端口网络的等效电路；（重点）</w:t>
      </w:r>
    </w:p>
    <w:p>
      <w:pPr>
        <w:widowControl/>
        <w:tabs>
          <w:tab w:val="left" w:pos="900"/>
        </w:tabs>
        <w:adjustRightInd w:val="0"/>
        <w:snapToGrid w:val="0"/>
        <w:spacing w:line="360" w:lineRule="auto"/>
        <w:ind w:left="426"/>
        <w:jc w:val="left"/>
        <w:rPr>
          <w:rFonts w:cs="宋体"/>
          <w:bCs/>
          <w:snapToGrid w:val="0"/>
          <w:color w:val="000000"/>
          <w:kern w:val="0"/>
          <w:szCs w:val="21"/>
        </w:rPr>
      </w:pPr>
      <w:r>
        <w:rPr>
          <w:rFonts w:hint="eastAsia" w:cs="宋体"/>
          <w:bCs/>
          <w:snapToGrid w:val="0"/>
          <w:color w:val="000000"/>
          <w:kern w:val="0"/>
          <w:szCs w:val="21"/>
        </w:rPr>
        <w:t>12.4、能够写出二端口网络的转移函数；（难点）</w:t>
      </w:r>
    </w:p>
    <w:p>
      <w:pPr>
        <w:widowControl/>
        <w:tabs>
          <w:tab w:val="left" w:pos="900"/>
        </w:tabs>
        <w:adjustRightInd w:val="0"/>
        <w:snapToGrid w:val="0"/>
        <w:spacing w:line="360" w:lineRule="auto"/>
        <w:ind w:left="426"/>
        <w:jc w:val="left"/>
        <w:rPr>
          <w:rFonts w:cs="宋体"/>
          <w:bCs/>
          <w:snapToGrid w:val="0"/>
          <w:color w:val="000000"/>
          <w:kern w:val="0"/>
          <w:szCs w:val="21"/>
        </w:rPr>
      </w:pPr>
      <w:r>
        <w:rPr>
          <w:rFonts w:hint="eastAsia" w:cs="宋体"/>
          <w:bCs/>
          <w:snapToGrid w:val="0"/>
          <w:color w:val="000000"/>
          <w:kern w:val="0"/>
          <w:szCs w:val="21"/>
        </w:rPr>
        <w:t>12.5、知晓二端口网络的连接。</w:t>
      </w:r>
    </w:p>
    <w:p>
      <w:pPr>
        <w:widowControl/>
        <w:adjustRightInd w:val="0"/>
        <w:snapToGrid w:val="0"/>
        <w:spacing w:line="360" w:lineRule="auto"/>
        <w:ind w:left="426"/>
        <w:jc w:val="left"/>
        <w:rPr>
          <w:rFonts w:cs="宋体"/>
          <w:snapToGrid w:val="0"/>
          <w:kern w:val="0"/>
          <w:szCs w:val="21"/>
        </w:rPr>
      </w:pPr>
      <w:r>
        <w:rPr>
          <w:rFonts w:cs="宋体"/>
          <w:bCs/>
          <w:snapToGrid w:val="0"/>
          <w:kern w:val="0"/>
          <w:szCs w:val="21"/>
        </w:rPr>
        <w:t>本章内容支撑课程目标</w:t>
      </w:r>
      <w:r>
        <w:rPr>
          <w:rFonts w:hint="eastAsia" w:cs="宋体"/>
          <w:bCs/>
          <w:snapToGrid w:val="0"/>
          <w:kern w:val="0"/>
          <w:szCs w:val="21"/>
        </w:rPr>
        <w:t>3、4。</w:t>
      </w:r>
    </w:p>
    <w:p>
      <w:pPr>
        <w:widowControl/>
        <w:tabs>
          <w:tab w:val="left" w:pos="900"/>
        </w:tabs>
        <w:adjustRightInd w:val="0"/>
        <w:snapToGrid w:val="0"/>
        <w:spacing w:line="360" w:lineRule="auto"/>
        <w:ind w:left="426"/>
        <w:jc w:val="left"/>
        <w:rPr>
          <w:rFonts w:eastAsia="黑体"/>
          <w:snapToGrid w:val="0"/>
          <w:color w:val="000000"/>
          <w:kern w:val="0"/>
          <w:szCs w:val="21"/>
        </w:rPr>
      </w:pPr>
      <w:r>
        <w:rPr>
          <w:rFonts w:hint="eastAsia" w:eastAsia="黑体"/>
          <w:snapToGrid w:val="0"/>
          <w:color w:val="000000"/>
          <w:kern w:val="0"/>
          <w:szCs w:val="21"/>
        </w:rPr>
        <w:t>13 非线性电阻电路（2学时）</w:t>
      </w:r>
    </w:p>
    <w:p>
      <w:pPr>
        <w:widowControl/>
        <w:tabs>
          <w:tab w:val="left" w:pos="900"/>
        </w:tabs>
        <w:adjustRightInd w:val="0"/>
        <w:snapToGrid w:val="0"/>
        <w:spacing w:line="360" w:lineRule="auto"/>
        <w:ind w:left="426"/>
        <w:jc w:val="left"/>
        <w:rPr>
          <w:rFonts w:cs="宋体"/>
          <w:bCs/>
          <w:snapToGrid w:val="0"/>
          <w:color w:val="000000"/>
          <w:kern w:val="0"/>
          <w:szCs w:val="21"/>
        </w:rPr>
      </w:pPr>
      <w:r>
        <w:rPr>
          <w:rFonts w:hint="eastAsia" w:cs="宋体"/>
          <w:bCs/>
          <w:snapToGrid w:val="0"/>
          <w:color w:val="000000"/>
          <w:kern w:val="0"/>
          <w:szCs w:val="21"/>
        </w:rPr>
        <w:t>13.1、知晓非线性电路的概念；</w:t>
      </w:r>
    </w:p>
    <w:p>
      <w:pPr>
        <w:widowControl/>
        <w:tabs>
          <w:tab w:val="left" w:pos="900"/>
        </w:tabs>
        <w:adjustRightInd w:val="0"/>
        <w:snapToGrid w:val="0"/>
        <w:spacing w:line="360" w:lineRule="auto"/>
        <w:ind w:left="426"/>
        <w:jc w:val="left"/>
        <w:rPr>
          <w:rFonts w:cs="宋体"/>
          <w:bCs/>
          <w:snapToGrid w:val="0"/>
          <w:color w:val="000000"/>
          <w:kern w:val="0"/>
          <w:szCs w:val="21"/>
        </w:rPr>
      </w:pPr>
      <w:r>
        <w:rPr>
          <w:rFonts w:hint="eastAsia" w:cs="宋体"/>
          <w:bCs/>
          <w:snapToGrid w:val="0"/>
          <w:color w:val="000000"/>
          <w:kern w:val="0"/>
          <w:szCs w:val="21"/>
        </w:rPr>
        <w:t>13.2、学会使用非线性电路的图解分析法；</w:t>
      </w:r>
    </w:p>
    <w:p>
      <w:pPr>
        <w:widowControl/>
        <w:tabs>
          <w:tab w:val="left" w:pos="900"/>
        </w:tabs>
        <w:adjustRightInd w:val="0"/>
        <w:snapToGrid w:val="0"/>
        <w:spacing w:line="360" w:lineRule="auto"/>
        <w:ind w:left="426"/>
        <w:jc w:val="left"/>
        <w:rPr>
          <w:rFonts w:cs="宋体"/>
          <w:bCs/>
          <w:snapToGrid w:val="0"/>
          <w:color w:val="000000"/>
          <w:kern w:val="0"/>
          <w:szCs w:val="21"/>
        </w:rPr>
      </w:pPr>
      <w:r>
        <w:rPr>
          <w:rFonts w:hint="eastAsia" w:cs="宋体"/>
          <w:bCs/>
          <w:snapToGrid w:val="0"/>
          <w:color w:val="000000"/>
          <w:kern w:val="0"/>
          <w:szCs w:val="21"/>
        </w:rPr>
        <w:t>13.3、学会使用非线性电路的小信号分析法。</w:t>
      </w:r>
    </w:p>
    <w:p>
      <w:pPr>
        <w:widowControl/>
        <w:adjustRightInd w:val="0"/>
        <w:snapToGrid w:val="0"/>
        <w:spacing w:line="360" w:lineRule="auto"/>
        <w:ind w:left="426"/>
        <w:jc w:val="left"/>
        <w:rPr>
          <w:rFonts w:cs="宋体"/>
          <w:bCs/>
          <w:snapToGrid w:val="0"/>
          <w:kern w:val="0"/>
          <w:szCs w:val="21"/>
        </w:rPr>
      </w:pPr>
      <w:r>
        <w:rPr>
          <w:rFonts w:cs="宋体"/>
          <w:bCs/>
          <w:snapToGrid w:val="0"/>
          <w:kern w:val="0"/>
          <w:szCs w:val="21"/>
        </w:rPr>
        <w:t>本章内容支撑课程目标</w:t>
      </w:r>
      <w:r>
        <w:rPr>
          <w:rFonts w:hint="eastAsia" w:cs="宋体"/>
          <w:bCs/>
          <w:snapToGrid w:val="0"/>
          <w:kern w:val="0"/>
          <w:szCs w:val="21"/>
        </w:rPr>
        <w:t>3、4。</w:t>
      </w:r>
    </w:p>
    <w:p>
      <w:pPr>
        <w:widowControl/>
        <w:adjustRightInd w:val="0"/>
        <w:snapToGrid w:val="0"/>
        <w:spacing w:line="360" w:lineRule="auto"/>
        <w:ind w:left="426"/>
        <w:jc w:val="left"/>
        <w:rPr>
          <w:rFonts w:cs="宋体"/>
          <w:snapToGrid w:val="0"/>
          <w:kern w:val="0"/>
          <w:szCs w:val="21"/>
        </w:rPr>
      </w:pPr>
    </w:p>
    <w:p>
      <w:pPr>
        <w:tabs>
          <w:tab w:val="left" w:pos="420"/>
        </w:tabs>
        <w:adjustRightInd w:val="0"/>
        <w:snapToGrid w:val="0"/>
        <w:spacing w:line="360" w:lineRule="auto"/>
        <w:ind w:left="420" w:hanging="420"/>
        <w:rPr>
          <w:rFonts w:eastAsia="黑体"/>
          <w:szCs w:val="24"/>
        </w:rPr>
      </w:pPr>
      <w:r>
        <w:rPr>
          <w:rFonts w:hint="eastAsia" w:eastAsia="黑体"/>
          <w:szCs w:val="24"/>
        </w:rPr>
        <w:t>五、实验内容</w:t>
      </w:r>
    </w:p>
    <w:p>
      <w:pPr>
        <w:spacing w:line="360" w:lineRule="auto"/>
        <w:ind w:firstLine="420"/>
        <w:rPr>
          <w:szCs w:val="21"/>
        </w:rPr>
      </w:pPr>
      <w:r>
        <w:rPr>
          <w:szCs w:val="21"/>
        </w:rPr>
        <w:t>无</w:t>
      </w:r>
      <w:r>
        <w:rPr>
          <w:rFonts w:hint="eastAsia"/>
          <w:szCs w:val="21"/>
        </w:rPr>
        <w:t>。</w:t>
      </w:r>
    </w:p>
    <w:p>
      <w:pPr>
        <w:spacing w:line="360" w:lineRule="auto"/>
        <w:ind w:firstLine="420"/>
        <w:rPr>
          <w:szCs w:val="21"/>
        </w:rPr>
      </w:pPr>
    </w:p>
    <w:p>
      <w:pPr>
        <w:widowControl/>
        <w:spacing w:line="360" w:lineRule="auto"/>
        <w:jc w:val="left"/>
        <w:rPr>
          <w:rFonts w:ascii="黑体" w:hAnsi="宋体" w:eastAsia="黑体" w:cs="宋体"/>
          <w:kern w:val="0"/>
          <w:szCs w:val="21"/>
        </w:rPr>
      </w:pPr>
      <w:r>
        <w:rPr>
          <w:rFonts w:hint="eastAsia" w:ascii="黑体" w:hAnsi="宋体" w:eastAsia="黑体" w:cs="宋体"/>
          <w:kern w:val="0"/>
          <w:szCs w:val="21"/>
        </w:rPr>
        <w:t>六、学时分配</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488"/>
        <w:gridCol w:w="1651"/>
        <w:gridCol w:w="1651"/>
        <w:gridCol w:w="173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045" w:type="pct"/>
            <w:vAlign w:val="center"/>
          </w:tcPr>
          <w:p>
            <w:pPr>
              <w:jc w:val="center"/>
              <w:rPr>
                <w:color w:val="000000"/>
                <w:sz w:val="18"/>
                <w:szCs w:val="18"/>
              </w:rPr>
            </w:pPr>
            <w:r>
              <w:rPr>
                <w:color w:val="000000"/>
                <w:sz w:val="18"/>
                <w:szCs w:val="18"/>
              </w:rPr>
              <w:t>知识点及内容</w:t>
            </w:r>
          </w:p>
        </w:tc>
        <w:tc>
          <w:tcPr>
            <w:tcW w:w="968" w:type="pct"/>
            <w:vAlign w:val="center"/>
          </w:tcPr>
          <w:p>
            <w:pPr>
              <w:jc w:val="center"/>
              <w:rPr>
                <w:color w:val="000000"/>
                <w:sz w:val="18"/>
                <w:szCs w:val="18"/>
              </w:rPr>
            </w:pPr>
            <w:r>
              <w:rPr>
                <w:color w:val="000000"/>
                <w:sz w:val="18"/>
                <w:szCs w:val="18"/>
              </w:rPr>
              <w:t>讲授（学时）</w:t>
            </w:r>
          </w:p>
        </w:tc>
        <w:tc>
          <w:tcPr>
            <w:tcW w:w="968" w:type="pct"/>
            <w:vAlign w:val="center"/>
          </w:tcPr>
          <w:p>
            <w:pPr>
              <w:jc w:val="center"/>
              <w:rPr>
                <w:color w:val="000000"/>
                <w:sz w:val="18"/>
                <w:szCs w:val="18"/>
              </w:rPr>
            </w:pPr>
            <w:r>
              <w:rPr>
                <w:color w:val="000000"/>
                <w:sz w:val="18"/>
                <w:szCs w:val="18"/>
              </w:rPr>
              <w:t>实验（学时）</w:t>
            </w:r>
          </w:p>
        </w:tc>
        <w:tc>
          <w:tcPr>
            <w:tcW w:w="1019" w:type="pct"/>
            <w:vAlign w:val="center"/>
          </w:tcPr>
          <w:p>
            <w:pPr>
              <w:jc w:val="center"/>
              <w:rPr>
                <w:color w:val="000000"/>
                <w:sz w:val="18"/>
                <w:szCs w:val="18"/>
              </w:rPr>
            </w:pPr>
            <w:r>
              <w:rPr>
                <w:color w:val="000000"/>
                <w:sz w:val="18"/>
                <w:szCs w:val="18"/>
              </w:rPr>
              <w:t>小计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045" w:type="pct"/>
            <w:vAlign w:val="center"/>
          </w:tcPr>
          <w:p>
            <w:pPr>
              <w:widowControl/>
              <w:jc w:val="center"/>
              <w:rPr>
                <w:color w:val="000000"/>
                <w:sz w:val="18"/>
                <w:szCs w:val="18"/>
              </w:rPr>
            </w:pPr>
            <w:r>
              <w:rPr>
                <w:color w:val="000000"/>
                <w:sz w:val="18"/>
                <w:szCs w:val="18"/>
              </w:rPr>
              <w:t>1电路的基本概念与定律</w:t>
            </w:r>
          </w:p>
        </w:tc>
        <w:tc>
          <w:tcPr>
            <w:tcW w:w="968" w:type="pct"/>
            <w:vAlign w:val="center"/>
          </w:tcPr>
          <w:p>
            <w:pPr>
              <w:widowControl/>
              <w:jc w:val="center"/>
              <w:rPr>
                <w:color w:val="000000"/>
                <w:kern w:val="0"/>
                <w:sz w:val="18"/>
                <w:szCs w:val="18"/>
              </w:rPr>
            </w:pPr>
            <w:r>
              <w:rPr>
                <w:color w:val="000000"/>
                <w:kern w:val="0"/>
                <w:sz w:val="18"/>
                <w:szCs w:val="18"/>
              </w:rPr>
              <w:t>5</w:t>
            </w:r>
          </w:p>
        </w:tc>
        <w:tc>
          <w:tcPr>
            <w:tcW w:w="968" w:type="pct"/>
            <w:vAlign w:val="center"/>
          </w:tcPr>
          <w:p>
            <w:pPr>
              <w:widowControl/>
              <w:jc w:val="center"/>
              <w:rPr>
                <w:color w:val="000000"/>
                <w:kern w:val="0"/>
                <w:sz w:val="18"/>
                <w:szCs w:val="18"/>
              </w:rPr>
            </w:pPr>
            <w:r>
              <w:rPr>
                <w:color w:val="000000"/>
                <w:kern w:val="0"/>
                <w:sz w:val="18"/>
                <w:szCs w:val="18"/>
              </w:rPr>
              <w:t>0</w:t>
            </w:r>
          </w:p>
        </w:tc>
        <w:tc>
          <w:tcPr>
            <w:tcW w:w="1019" w:type="pct"/>
            <w:vAlign w:val="center"/>
          </w:tcPr>
          <w:p>
            <w:pPr>
              <w:widowControl/>
              <w:jc w:val="center"/>
              <w:rPr>
                <w:color w:val="000000"/>
                <w:kern w:val="0"/>
                <w:sz w:val="18"/>
                <w:szCs w:val="18"/>
              </w:rPr>
            </w:pPr>
            <w:r>
              <w:rPr>
                <w:color w:val="000000"/>
                <w:kern w:val="0"/>
                <w:sz w:val="18"/>
                <w:szCs w:val="18"/>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045" w:type="pct"/>
            <w:vAlign w:val="center"/>
          </w:tcPr>
          <w:p>
            <w:pPr>
              <w:widowControl/>
              <w:jc w:val="center"/>
              <w:rPr>
                <w:color w:val="000000"/>
                <w:sz w:val="18"/>
                <w:szCs w:val="18"/>
              </w:rPr>
            </w:pPr>
            <w:r>
              <w:rPr>
                <w:color w:val="000000"/>
                <w:sz w:val="18"/>
                <w:szCs w:val="18"/>
              </w:rPr>
              <w:t>2电阻电路的等效变换</w:t>
            </w:r>
          </w:p>
        </w:tc>
        <w:tc>
          <w:tcPr>
            <w:tcW w:w="968" w:type="pct"/>
            <w:vAlign w:val="center"/>
          </w:tcPr>
          <w:p>
            <w:pPr>
              <w:widowControl/>
              <w:jc w:val="center"/>
              <w:rPr>
                <w:color w:val="000000"/>
                <w:kern w:val="0"/>
                <w:sz w:val="18"/>
                <w:szCs w:val="18"/>
              </w:rPr>
            </w:pPr>
            <w:r>
              <w:rPr>
                <w:color w:val="000000"/>
                <w:kern w:val="0"/>
                <w:sz w:val="18"/>
                <w:szCs w:val="18"/>
              </w:rPr>
              <w:t>4</w:t>
            </w:r>
          </w:p>
        </w:tc>
        <w:tc>
          <w:tcPr>
            <w:tcW w:w="968" w:type="pct"/>
            <w:vAlign w:val="center"/>
          </w:tcPr>
          <w:p>
            <w:pPr>
              <w:widowControl/>
              <w:jc w:val="center"/>
              <w:rPr>
                <w:color w:val="000000"/>
                <w:kern w:val="0"/>
                <w:sz w:val="18"/>
                <w:szCs w:val="18"/>
              </w:rPr>
            </w:pPr>
            <w:r>
              <w:rPr>
                <w:color w:val="000000"/>
                <w:kern w:val="0"/>
                <w:sz w:val="18"/>
                <w:szCs w:val="18"/>
              </w:rPr>
              <w:t>0</w:t>
            </w:r>
          </w:p>
        </w:tc>
        <w:tc>
          <w:tcPr>
            <w:tcW w:w="1019" w:type="pct"/>
            <w:vAlign w:val="center"/>
          </w:tcPr>
          <w:p>
            <w:pPr>
              <w:widowControl/>
              <w:jc w:val="center"/>
              <w:rPr>
                <w:color w:val="000000"/>
                <w:kern w:val="0"/>
                <w:sz w:val="18"/>
                <w:szCs w:val="18"/>
              </w:rPr>
            </w:pPr>
            <w:r>
              <w:rPr>
                <w:color w:val="000000"/>
                <w:kern w:val="0"/>
                <w:sz w:val="18"/>
                <w:szCs w:val="18"/>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045" w:type="pct"/>
            <w:vAlign w:val="center"/>
          </w:tcPr>
          <w:p>
            <w:pPr>
              <w:widowControl/>
              <w:jc w:val="center"/>
              <w:rPr>
                <w:color w:val="000000"/>
                <w:sz w:val="18"/>
                <w:szCs w:val="18"/>
              </w:rPr>
            </w:pPr>
            <w:r>
              <w:rPr>
                <w:color w:val="000000"/>
                <w:sz w:val="18"/>
                <w:szCs w:val="18"/>
              </w:rPr>
              <w:t>3电阻电路的一般分析方法</w:t>
            </w:r>
          </w:p>
        </w:tc>
        <w:tc>
          <w:tcPr>
            <w:tcW w:w="968" w:type="pct"/>
            <w:vAlign w:val="center"/>
          </w:tcPr>
          <w:p>
            <w:pPr>
              <w:widowControl/>
              <w:jc w:val="center"/>
              <w:rPr>
                <w:color w:val="000000"/>
                <w:kern w:val="0"/>
                <w:sz w:val="18"/>
                <w:szCs w:val="18"/>
              </w:rPr>
            </w:pPr>
            <w:r>
              <w:rPr>
                <w:color w:val="000000"/>
                <w:kern w:val="0"/>
                <w:sz w:val="18"/>
                <w:szCs w:val="18"/>
              </w:rPr>
              <w:t>5</w:t>
            </w:r>
          </w:p>
        </w:tc>
        <w:tc>
          <w:tcPr>
            <w:tcW w:w="968" w:type="pct"/>
            <w:vAlign w:val="center"/>
          </w:tcPr>
          <w:p>
            <w:pPr>
              <w:widowControl/>
              <w:jc w:val="center"/>
              <w:rPr>
                <w:color w:val="000000"/>
                <w:kern w:val="0"/>
                <w:sz w:val="18"/>
                <w:szCs w:val="18"/>
              </w:rPr>
            </w:pPr>
            <w:r>
              <w:rPr>
                <w:color w:val="000000"/>
                <w:kern w:val="0"/>
                <w:sz w:val="18"/>
                <w:szCs w:val="18"/>
              </w:rPr>
              <w:t>0</w:t>
            </w:r>
          </w:p>
        </w:tc>
        <w:tc>
          <w:tcPr>
            <w:tcW w:w="1019" w:type="pct"/>
            <w:vAlign w:val="center"/>
          </w:tcPr>
          <w:p>
            <w:pPr>
              <w:widowControl/>
              <w:jc w:val="center"/>
              <w:rPr>
                <w:color w:val="000000"/>
                <w:kern w:val="0"/>
                <w:sz w:val="18"/>
                <w:szCs w:val="18"/>
              </w:rPr>
            </w:pPr>
            <w:r>
              <w:rPr>
                <w:color w:val="000000"/>
                <w:kern w:val="0"/>
                <w:sz w:val="18"/>
                <w:szCs w:val="18"/>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045" w:type="pct"/>
            <w:vAlign w:val="center"/>
          </w:tcPr>
          <w:p>
            <w:pPr>
              <w:widowControl/>
              <w:jc w:val="center"/>
              <w:rPr>
                <w:color w:val="000000"/>
                <w:sz w:val="18"/>
                <w:szCs w:val="18"/>
              </w:rPr>
            </w:pPr>
            <w:r>
              <w:rPr>
                <w:color w:val="000000"/>
                <w:sz w:val="18"/>
                <w:szCs w:val="18"/>
              </w:rPr>
              <w:t>4电路定理</w:t>
            </w:r>
          </w:p>
        </w:tc>
        <w:tc>
          <w:tcPr>
            <w:tcW w:w="968" w:type="pct"/>
            <w:vAlign w:val="center"/>
          </w:tcPr>
          <w:p>
            <w:pPr>
              <w:widowControl/>
              <w:jc w:val="center"/>
              <w:rPr>
                <w:color w:val="000000"/>
                <w:kern w:val="0"/>
                <w:sz w:val="18"/>
                <w:szCs w:val="18"/>
              </w:rPr>
            </w:pPr>
            <w:r>
              <w:rPr>
                <w:color w:val="000000"/>
                <w:kern w:val="0"/>
                <w:sz w:val="18"/>
                <w:szCs w:val="18"/>
              </w:rPr>
              <w:t>5</w:t>
            </w:r>
          </w:p>
        </w:tc>
        <w:tc>
          <w:tcPr>
            <w:tcW w:w="968" w:type="pct"/>
            <w:vAlign w:val="center"/>
          </w:tcPr>
          <w:p>
            <w:pPr>
              <w:widowControl/>
              <w:jc w:val="center"/>
              <w:rPr>
                <w:color w:val="000000"/>
                <w:kern w:val="0"/>
                <w:sz w:val="18"/>
                <w:szCs w:val="18"/>
              </w:rPr>
            </w:pPr>
            <w:r>
              <w:rPr>
                <w:color w:val="000000"/>
                <w:kern w:val="0"/>
                <w:sz w:val="18"/>
                <w:szCs w:val="18"/>
              </w:rPr>
              <w:t>0</w:t>
            </w:r>
          </w:p>
        </w:tc>
        <w:tc>
          <w:tcPr>
            <w:tcW w:w="1019" w:type="pct"/>
            <w:vAlign w:val="center"/>
          </w:tcPr>
          <w:p>
            <w:pPr>
              <w:widowControl/>
              <w:jc w:val="center"/>
              <w:rPr>
                <w:color w:val="000000"/>
                <w:kern w:val="0"/>
                <w:sz w:val="18"/>
                <w:szCs w:val="18"/>
              </w:rPr>
            </w:pPr>
            <w:r>
              <w:rPr>
                <w:color w:val="000000"/>
                <w:kern w:val="0"/>
                <w:sz w:val="18"/>
                <w:szCs w:val="18"/>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045" w:type="pct"/>
            <w:vAlign w:val="center"/>
          </w:tcPr>
          <w:p>
            <w:pPr>
              <w:widowControl/>
              <w:jc w:val="center"/>
              <w:rPr>
                <w:color w:val="000000"/>
                <w:sz w:val="18"/>
                <w:szCs w:val="18"/>
              </w:rPr>
            </w:pPr>
            <w:r>
              <w:rPr>
                <w:color w:val="000000"/>
                <w:sz w:val="18"/>
                <w:szCs w:val="18"/>
              </w:rPr>
              <w:t>5正弦交流电路的稳态分析</w:t>
            </w:r>
          </w:p>
        </w:tc>
        <w:tc>
          <w:tcPr>
            <w:tcW w:w="968" w:type="pct"/>
            <w:vAlign w:val="center"/>
          </w:tcPr>
          <w:p>
            <w:pPr>
              <w:widowControl/>
              <w:jc w:val="center"/>
              <w:rPr>
                <w:color w:val="000000"/>
                <w:kern w:val="0"/>
                <w:sz w:val="18"/>
                <w:szCs w:val="18"/>
              </w:rPr>
            </w:pPr>
            <w:r>
              <w:rPr>
                <w:color w:val="000000"/>
                <w:kern w:val="0"/>
                <w:sz w:val="18"/>
                <w:szCs w:val="18"/>
              </w:rPr>
              <w:t>6</w:t>
            </w:r>
          </w:p>
        </w:tc>
        <w:tc>
          <w:tcPr>
            <w:tcW w:w="968" w:type="pct"/>
            <w:vAlign w:val="center"/>
          </w:tcPr>
          <w:p>
            <w:pPr>
              <w:widowControl/>
              <w:jc w:val="center"/>
              <w:rPr>
                <w:color w:val="000000"/>
                <w:kern w:val="0"/>
                <w:sz w:val="18"/>
                <w:szCs w:val="18"/>
              </w:rPr>
            </w:pPr>
            <w:r>
              <w:rPr>
                <w:color w:val="000000"/>
                <w:kern w:val="0"/>
                <w:sz w:val="18"/>
                <w:szCs w:val="18"/>
              </w:rPr>
              <w:t>0</w:t>
            </w:r>
          </w:p>
        </w:tc>
        <w:tc>
          <w:tcPr>
            <w:tcW w:w="1019" w:type="pct"/>
            <w:vAlign w:val="center"/>
          </w:tcPr>
          <w:p>
            <w:pPr>
              <w:widowControl/>
              <w:jc w:val="center"/>
              <w:rPr>
                <w:color w:val="000000"/>
                <w:kern w:val="0"/>
                <w:sz w:val="18"/>
                <w:szCs w:val="18"/>
              </w:rPr>
            </w:pPr>
            <w:r>
              <w:rPr>
                <w:color w:val="000000"/>
                <w:kern w:val="0"/>
                <w:sz w:val="18"/>
                <w:szCs w:val="18"/>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045" w:type="pct"/>
            <w:vAlign w:val="center"/>
          </w:tcPr>
          <w:p>
            <w:pPr>
              <w:widowControl/>
              <w:jc w:val="center"/>
              <w:rPr>
                <w:color w:val="000000"/>
                <w:sz w:val="18"/>
                <w:szCs w:val="18"/>
              </w:rPr>
            </w:pPr>
            <w:r>
              <w:rPr>
                <w:color w:val="000000"/>
                <w:sz w:val="18"/>
                <w:szCs w:val="18"/>
              </w:rPr>
              <w:t>6电路的频率响应</w:t>
            </w:r>
          </w:p>
        </w:tc>
        <w:tc>
          <w:tcPr>
            <w:tcW w:w="968" w:type="pct"/>
            <w:vAlign w:val="center"/>
          </w:tcPr>
          <w:p>
            <w:pPr>
              <w:widowControl/>
              <w:jc w:val="center"/>
              <w:rPr>
                <w:color w:val="000000"/>
                <w:kern w:val="0"/>
                <w:sz w:val="18"/>
                <w:szCs w:val="18"/>
              </w:rPr>
            </w:pPr>
            <w:r>
              <w:rPr>
                <w:color w:val="000000"/>
                <w:kern w:val="0"/>
                <w:sz w:val="18"/>
                <w:szCs w:val="18"/>
              </w:rPr>
              <w:t>3</w:t>
            </w:r>
          </w:p>
        </w:tc>
        <w:tc>
          <w:tcPr>
            <w:tcW w:w="968" w:type="pct"/>
            <w:vAlign w:val="center"/>
          </w:tcPr>
          <w:p>
            <w:pPr>
              <w:widowControl/>
              <w:jc w:val="center"/>
              <w:rPr>
                <w:color w:val="000000"/>
                <w:kern w:val="0"/>
                <w:sz w:val="18"/>
                <w:szCs w:val="18"/>
              </w:rPr>
            </w:pPr>
            <w:r>
              <w:rPr>
                <w:color w:val="000000"/>
                <w:kern w:val="0"/>
                <w:sz w:val="18"/>
                <w:szCs w:val="18"/>
              </w:rPr>
              <w:t>0</w:t>
            </w:r>
          </w:p>
        </w:tc>
        <w:tc>
          <w:tcPr>
            <w:tcW w:w="1019" w:type="pct"/>
            <w:vAlign w:val="center"/>
          </w:tcPr>
          <w:p>
            <w:pPr>
              <w:widowControl/>
              <w:jc w:val="center"/>
              <w:rPr>
                <w:color w:val="000000"/>
                <w:kern w:val="0"/>
                <w:sz w:val="18"/>
                <w:szCs w:val="18"/>
              </w:rPr>
            </w:pPr>
            <w:r>
              <w:rPr>
                <w:color w:val="000000"/>
                <w:kern w:val="0"/>
                <w:sz w:val="18"/>
                <w:szCs w:val="18"/>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045" w:type="pct"/>
            <w:vAlign w:val="center"/>
          </w:tcPr>
          <w:p>
            <w:pPr>
              <w:widowControl/>
              <w:jc w:val="center"/>
              <w:rPr>
                <w:color w:val="000000"/>
                <w:sz w:val="18"/>
                <w:szCs w:val="18"/>
              </w:rPr>
            </w:pPr>
            <w:r>
              <w:rPr>
                <w:color w:val="000000"/>
                <w:sz w:val="18"/>
                <w:szCs w:val="18"/>
              </w:rPr>
              <w:t>7一阶电路的时域分析</w:t>
            </w:r>
          </w:p>
        </w:tc>
        <w:tc>
          <w:tcPr>
            <w:tcW w:w="968" w:type="pct"/>
            <w:vAlign w:val="center"/>
          </w:tcPr>
          <w:p>
            <w:pPr>
              <w:widowControl/>
              <w:jc w:val="center"/>
              <w:rPr>
                <w:color w:val="000000"/>
                <w:kern w:val="0"/>
                <w:sz w:val="18"/>
                <w:szCs w:val="18"/>
              </w:rPr>
            </w:pPr>
            <w:r>
              <w:rPr>
                <w:color w:val="000000"/>
                <w:kern w:val="0"/>
                <w:sz w:val="18"/>
                <w:szCs w:val="18"/>
              </w:rPr>
              <w:t>4</w:t>
            </w:r>
          </w:p>
        </w:tc>
        <w:tc>
          <w:tcPr>
            <w:tcW w:w="968" w:type="pct"/>
            <w:vAlign w:val="center"/>
          </w:tcPr>
          <w:p>
            <w:pPr>
              <w:widowControl/>
              <w:jc w:val="center"/>
              <w:rPr>
                <w:color w:val="000000"/>
                <w:kern w:val="0"/>
                <w:sz w:val="18"/>
                <w:szCs w:val="18"/>
              </w:rPr>
            </w:pPr>
            <w:r>
              <w:rPr>
                <w:color w:val="000000"/>
                <w:kern w:val="0"/>
                <w:sz w:val="18"/>
                <w:szCs w:val="18"/>
              </w:rPr>
              <w:t>0</w:t>
            </w:r>
          </w:p>
        </w:tc>
        <w:tc>
          <w:tcPr>
            <w:tcW w:w="1019" w:type="pct"/>
            <w:vAlign w:val="center"/>
          </w:tcPr>
          <w:p>
            <w:pPr>
              <w:widowControl/>
              <w:jc w:val="center"/>
              <w:rPr>
                <w:color w:val="000000"/>
                <w:kern w:val="0"/>
                <w:sz w:val="18"/>
                <w:szCs w:val="18"/>
              </w:rPr>
            </w:pPr>
            <w:r>
              <w:rPr>
                <w:color w:val="000000"/>
                <w:kern w:val="0"/>
                <w:sz w:val="18"/>
                <w:szCs w:val="18"/>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045" w:type="pct"/>
            <w:vAlign w:val="center"/>
          </w:tcPr>
          <w:p>
            <w:pPr>
              <w:widowControl/>
              <w:jc w:val="center"/>
              <w:rPr>
                <w:color w:val="000000"/>
                <w:sz w:val="18"/>
                <w:szCs w:val="18"/>
              </w:rPr>
            </w:pPr>
            <w:r>
              <w:rPr>
                <w:color w:val="000000"/>
                <w:sz w:val="18"/>
                <w:szCs w:val="18"/>
              </w:rPr>
              <w:t>8二阶电路的时域分析</w:t>
            </w:r>
          </w:p>
        </w:tc>
        <w:tc>
          <w:tcPr>
            <w:tcW w:w="968" w:type="pct"/>
            <w:vAlign w:val="center"/>
          </w:tcPr>
          <w:p>
            <w:pPr>
              <w:widowControl/>
              <w:jc w:val="center"/>
              <w:rPr>
                <w:color w:val="000000"/>
                <w:kern w:val="0"/>
                <w:sz w:val="18"/>
                <w:szCs w:val="18"/>
              </w:rPr>
            </w:pPr>
            <w:r>
              <w:rPr>
                <w:color w:val="000000"/>
                <w:kern w:val="0"/>
                <w:sz w:val="18"/>
                <w:szCs w:val="18"/>
              </w:rPr>
              <w:t>2</w:t>
            </w:r>
          </w:p>
        </w:tc>
        <w:tc>
          <w:tcPr>
            <w:tcW w:w="968" w:type="pct"/>
            <w:vAlign w:val="center"/>
          </w:tcPr>
          <w:p>
            <w:pPr>
              <w:widowControl/>
              <w:jc w:val="center"/>
              <w:rPr>
                <w:color w:val="000000"/>
                <w:kern w:val="0"/>
                <w:sz w:val="18"/>
                <w:szCs w:val="18"/>
              </w:rPr>
            </w:pPr>
            <w:r>
              <w:rPr>
                <w:color w:val="000000"/>
                <w:kern w:val="0"/>
                <w:sz w:val="18"/>
                <w:szCs w:val="18"/>
              </w:rPr>
              <w:t>0</w:t>
            </w:r>
          </w:p>
        </w:tc>
        <w:tc>
          <w:tcPr>
            <w:tcW w:w="1019" w:type="pct"/>
            <w:vAlign w:val="center"/>
          </w:tcPr>
          <w:p>
            <w:pPr>
              <w:widowControl/>
              <w:jc w:val="center"/>
              <w:rPr>
                <w:color w:val="000000"/>
                <w:kern w:val="0"/>
                <w:sz w:val="18"/>
                <w:szCs w:val="18"/>
              </w:rPr>
            </w:pPr>
            <w:r>
              <w:rPr>
                <w:color w:val="000000"/>
                <w:kern w:val="0"/>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045" w:type="pct"/>
            <w:vAlign w:val="center"/>
          </w:tcPr>
          <w:p>
            <w:pPr>
              <w:widowControl/>
              <w:jc w:val="center"/>
              <w:rPr>
                <w:color w:val="000000"/>
                <w:sz w:val="18"/>
                <w:szCs w:val="18"/>
              </w:rPr>
            </w:pPr>
            <w:r>
              <w:rPr>
                <w:color w:val="000000"/>
                <w:sz w:val="18"/>
                <w:szCs w:val="18"/>
              </w:rPr>
              <w:t>9拉普拉斯变换</w:t>
            </w:r>
          </w:p>
        </w:tc>
        <w:tc>
          <w:tcPr>
            <w:tcW w:w="968" w:type="pct"/>
            <w:vAlign w:val="center"/>
          </w:tcPr>
          <w:p>
            <w:pPr>
              <w:widowControl/>
              <w:jc w:val="center"/>
              <w:rPr>
                <w:color w:val="000000"/>
                <w:kern w:val="0"/>
                <w:sz w:val="18"/>
                <w:szCs w:val="18"/>
              </w:rPr>
            </w:pPr>
            <w:r>
              <w:rPr>
                <w:color w:val="000000"/>
                <w:kern w:val="0"/>
                <w:sz w:val="18"/>
                <w:szCs w:val="18"/>
              </w:rPr>
              <w:t>5</w:t>
            </w:r>
          </w:p>
        </w:tc>
        <w:tc>
          <w:tcPr>
            <w:tcW w:w="968" w:type="pct"/>
            <w:vAlign w:val="center"/>
          </w:tcPr>
          <w:p>
            <w:pPr>
              <w:widowControl/>
              <w:jc w:val="center"/>
              <w:rPr>
                <w:color w:val="000000"/>
                <w:kern w:val="0"/>
                <w:sz w:val="18"/>
                <w:szCs w:val="18"/>
              </w:rPr>
            </w:pPr>
            <w:r>
              <w:rPr>
                <w:color w:val="000000"/>
                <w:kern w:val="0"/>
                <w:sz w:val="18"/>
                <w:szCs w:val="18"/>
              </w:rPr>
              <w:t>0</w:t>
            </w:r>
          </w:p>
        </w:tc>
        <w:tc>
          <w:tcPr>
            <w:tcW w:w="1019" w:type="pct"/>
            <w:vAlign w:val="center"/>
          </w:tcPr>
          <w:p>
            <w:pPr>
              <w:widowControl/>
              <w:jc w:val="center"/>
              <w:rPr>
                <w:color w:val="000000"/>
                <w:kern w:val="0"/>
                <w:sz w:val="18"/>
                <w:szCs w:val="18"/>
              </w:rPr>
            </w:pPr>
            <w:r>
              <w:rPr>
                <w:color w:val="000000"/>
                <w:kern w:val="0"/>
                <w:sz w:val="18"/>
                <w:szCs w:val="18"/>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045" w:type="pct"/>
            <w:vAlign w:val="center"/>
          </w:tcPr>
          <w:p>
            <w:pPr>
              <w:widowControl/>
              <w:jc w:val="center"/>
              <w:rPr>
                <w:color w:val="000000"/>
                <w:sz w:val="18"/>
                <w:szCs w:val="18"/>
              </w:rPr>
            </w:pPr>
            <w:r>
              <w:rPr>
                <w:color w:val="000000"/>
                <w:sz w:val="18"/>
                <w:szCs w:val="18"/>
              </w:rPr>
              <w:t>10网络函数</w:t>
            </w:r>
          </w:p>
        </w:tc>
        <w:tc>
          <w:tcPr>
            <w:tcW w:w="968" w:type="pct"/>
            <w:vAlign w:val="center"/>
          </w:tcPr>
          <w:p>
            <w:pPr>
              <w:widowControl/>
              <w:jc w:val="center"/>
              <w:rPr>
                <w:color w:val="000000"/>
                <w:kern w:val="0"/>
                <w:sz w:val="18"/>
                <w:szCs w:val="18"/>
              </w:rPr>
            </w:pPr>
            <w:r>
              <w:rPr>
                <w:color w:val="000000"/>
                <w:kern w:val="0"/>
                <w:sz w:val="18"/>
                <w:szCs w:val="18"/>
              </w:rPr>
              <w:t>3</w:t>
            </w:r>
          </w:p>
        </w:tc>
        <w:tc>
          <w:tcPr>
            <w:tcW w:w="968" w:type="pct"/>
            <w:vAlign w:val="center"/>
          </w:tcPr>
          <w:p>
            <w:pPr>
              <w:widowControl/>
              <w:jc w:val="center"/>
              <w:rPr>
                <w:color w:val="000000"/>
                <w:kern w:val="0"/>
                <w:sz w:val="18"/>
                <w:szCs w:val="18"/>
              </w:rPr>
            </w:pPr>
            <w:r>
              <w:rPr>
                <w:color w:val="000000"/>
                <w:kern w:val="0"/>
                <w:sz w:val="18"/>
                <w:szCs w:val="18"/>
              </w:rPr>
              <w:t>0</w:t>
            </w:r>
          </w:p>
        </w:tc>
        <w:tc>
          <w:tcPr>
            <w:tcW w:w="1019" w:type="pct"/>
            <w:vAlign w:val="center"/>
          </w:tcPr>
          <w:p>
            <w:pPr>
              <w:widowControl/>
              <w:jc w:val="center"/>
              <w:rPr>
                <w:color w:val="000000"/>
                <w:kern w:val="0"/>
                <w:sz w:val="18"/>
                <w:szCs w:val="18"/>
              </w:rPr>
            </w:pPr>
            <w:r>
              <w:rPr>
                <w:color w:val="000000"/>
                <w:kern w:val="0"/>
                <w:sz w:val="18"/>
                <w:szCs w:val="18"/>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045" w:type="pct"/>
            <w:vAlign w:val="center"/>
          </w:tcPr>
          <w:p>
            <w:pPr>
              <w:widowControl/>
              <w:jc w:val="center"/>
              <w:rPr>
                <w:color w:val="000000"/>
                <w:sz w:val="18"/>
                <w:szCs w:val="18"/>
              </w:rPr>
            </w:pPr>
            <w:r>
              <w:rPr>
                <w:color w:val="000000"/>
                <w:sz w:val="18"/>
                <w:szCs w:val="18"/>
              </w:rPr>
              <w:t>11图论及电路方程的矩阵形式</w:t>
            </w:r>
          </w:p>
        </w:tc>
        <w:tc>
          <w:tcPr>
            <w:tcW w:w="968" w:type="pct"/>
            <w:vAlign w:val="center"/>
          </w:tcPr>
          <w:p>
            <w:pPr>
              <w:widowControl/>
              <w:jc w:val="center"/>
              <w:rPr>
                <w:color w:val="000000"/>
                <w:kern w:val="0"/>
                <w:sz w:val="18"/>
                <w:szCs w:val="18"/>
              </w:rPr>
            </w:pPr>
            <w:r>
              <w:rPr>
                <w:color w:val="000000"/>
                <w:kern w:val="0"/>
                <w:sz w:val="18"/>
                <w:szCs w:val="18"/>
              </w:rPr>
              <w:t>6</w:t>
            </w:r>
          </w:p>
        </w:tc>
        <w:tc>
          <w:tcPr>
            <w:tcW w:w="968" w:type="pct"/>
            <w:vAlign w:val="center"/>
          </w:tcPr>
          <w:p>
            <w:pPr>
              <w:widowControl/>
              <w:jc w:val="center"/>
              <w:rPr>
                <w:color w:val="000000"/>
                <w:kern w:val="0"/>
                <w:sz w:val="18"/>
                <w:szCs w:val="18"/>
              </w:rPr>
            </w:pPr>
            <w:r>
              <w:rPr>
                <w:color w:val="000000"/>
                <w:kern w:val="0"/>
                <w:sz w:val="18"/>
                <w:szCs w:val="18"/>
              </w:rPr>
              <w:t>0</w:t>
            </w:r>
          </w:p>
        </w:tc>
        <w:tc>
          <w:tcPr>
            <w:tcW w:w="1019" w:type="pct"/>
            <w:vAlign w:val="center"/>
          </w:tcPr>
          <w:p>
            <w:pPr>
              <w:widowControl/>
              <w:jc w:val="center"/>
              <w:rPr>
                <w:color w:val="000000"/>
                <w:kern w:val="0"/>
                <w:sz w:val="18"/>
                <w:szCs w:val="18"/>
              </w:rPr>
            </w:pPr>
            <w:r>
              <w:rPr>
                <w:color w:val="000000"/>
                <w:kern w:val="0"/>
                <w:sz w:val="18"/>
                <w:szCs w:val="18"/>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045" w:type="pct"/>
            <w:vAlign w:val="center"/>
          </w:tcPr>
          <w:p>
            <w:pPr>
              <w:widowControl/>
              <w:jc w:val="center"/>
              <w:rPr>
                <w:color w:val="000000"/>
                <w:sz w:val="18"/>
                <w:szCs w:val="18"/>
              </w:rPr>
            </w:pPr>
            <w:r>
              <w:rPr>
                <w:color w:val="000000"/>
                <w:sz w:val="18"/>
                <w:szCs w:val="18"/>
              </w:rPr>
              <w:t>12二端口网络</w:t>
            </w:r>
          </w:p>
        </w:tc>
        <w:tc>
          <w:tcPr>
            <w:tcW w:w="968" w:type="pct"/>
            <w:vAlign w:val="center"/>
          </w:tcPr>
          <w:p>
            <w:pPr>
              <w:widowControl/>
              <w:jc w:val="center"/>
              <w:rPr>
                <w:color w:val="000000"/>
                <w:kern w:val="0"/>
                <w:sz w:val="18"/>
                <w:szCs w:val="18"/>
              </w:rPr>
            </w:pPr>
            <w:r>
              <w:rPr>
                <w:color w:val="000000"/>
                <w:kern w:val="0"/>
                <w:sz w:val="18"/>
                <w:szCs w:val="18"/>
              </w:rPr>
              <w:t>6</w:t>
            </w:r>
          </w:p>
        </w:tc>
        <w:tc>
          <w:tcPr>
            <w:tcW w:w="968" w:type="pct"/>
            <w:vAlign w:val="center"/>
          </w:tcPr>
          <w:p>
            <w:pPr>
              <w:widowControl/>
              <w:jc w:val="center"/>
              <w:rPr>
                <w:color w:val="000000"/>
                <w:kern w:val="0"/>
                <w:sz w:val="18"/>
                <w:szCs w:val="18"/>
              </w:rPr>
            </w:pPr>
            <w:r>
              <w:rPr>
                <w:color w:val="000000"/>
                <w:kern w:val="0"/>
                <w:sz w:val="18"/>
                <w:szCs w:val="18"/>
              </w:rPr>
              <w:t>0</w:t>
            </w:r>
          </w:p>
        </w:tc>
        <w:tc>
          <w:tcPr>
            <w:tcW w:w="1019" w:type="pct"/>
            <w:vAlign w:val="center"/>
          </w:tcPr>
          <w:p>
            <w:pPr>
              <w:widowControl/>
              <w:jc w:val="center"/>
              <w:rPr>
                <w:color w:val="000000"/>
                <w:kern w:val="0"/>
                <w:sz w:val="18"/>
                <w:szCs w:val="18"/>
              </w:rPr>
            </w:pPr>
            <w:r>
              <w:rPr>
                <w:color w:val="000000"/>
                <w:kern w:val="0"/>
                <w:sz w:val="18"/>
                <w:szCs w:val="18"/>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045" w:type="pct"/>
            <w:vAlign w:val="center"/>
          </w:tcPr>
          <w:p>
            <w:pPr>
              <w:widowControl/>
              <w:jc w:val="center"/>
              <w:rPr>
                <w:color w:val="000000"/>
                <w:sz w:val="18"/>
                <w:szCs w:val="18"/>
              </w:rPr>
            </w:pPr>
            <w:r>
              <w:rPr>
                <w:color w:val="000000"/>
                <w:sz w:val="18"/>
                <w:szCs w:val="18"/>
              </w:rPr>
              <w:t>13非线性电阻电路</w:t>
            </w:r>
          </w:p>
        </w:tc>
        <w:tc>
          <w:tcPr>
            <w:tcW w:w="968" w:type="pct"/>
            <w:vAlign w:val="center"/>
          </w:tcPr>
          <w:p>
            <w:pPr>
              <w:widowControl/>
              <w:jc w:val="center"/>
              <w:rPr>
                <w:color w:val="000000"/>
                <w:kern w:val="0"/>
                <w:sz w:val="18"/>
                <w:szCs w:val="18"/>
              </w:rPr>
            </w:pPr>
            <w:r>
              <w:rPr>
                <w:color w:val="000000"/>
                <w:kern w:val="0"/>
                <w:sz w:val="18"/>
                <w:szCs w:val="18"/>
              </w:rPr>
              <w:t>2</w:t>
            </w:r>
          </w:p>
        </w:tc>
        <w:tc>
          <w:tcPr>
            <w:tcW w:w="968" w:type="pct"/>
            <w:vAlign w:val="center"/>
          </w:tcPr>
          <w:p>
            <w:pPr>
              <w:widowControl/>
              <w:jc w:val="center"/>
              <w:rPr>
                <w:color w:val="000000"/>
                <w:kern w:val="0"/>
                <w:sz w:val="18"/>
                <w:szCs w:val="18"/>
              </w:rPr>
            </w:pPr>
            <w:r>
              <w:rPr>
                <w:color w:val="000000"/>
                <w:kern w:val="0"/>
                <w:sz w:val="18"/>
                <w:szCs w:val="18"/>
              </w:rPr>
              <w:t>0</w:t>
            </w:r>
          </w:p>
        </w:tc>
        <w:tc>
          <w:tcPr>
            <w:tcW w:w="1019" w:type="pct"/>
            <w:vAlign w:val="center"/>
          </w:tcPr>
          <w:p>
            <w:pPr>
              <w:widowControl/>
              <w:jc w:val="center"/>
              <w:rPr>
                <w:color w:val="000000"/>
                <w:kern w:val="0"/>
                <w:sz w:val="18"/>
                <w:szCs w:val="18"/>
              </w:rPr>
            </w:pPr>
            <w:r>
              <w:rPr>
                <w:color w:val="000000"/>
                <w:kern w:val="0"/>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045" w:type="pct"/>
            <w:vAlign w:val="center"/>
          </w:tcPr>
          <w:p>
            <w:pPr>
              <w:widowControl/>
              <w:jc w:val="center"/>
              <w:rPr>
                <w:color w:val="000000"/>
                <w:kern w:val="0"/>
                <w:sz w:val="18"/>
                <w:szCs w:val="18"/>
              </w:rPr>
            </w:pPr>
            <w:r>
              <w:rPr>
                <w:color w:val="000000"/>
                <w:kern w:val="0"/>
                <w:sz w:val="18"/>
                <w:szCs w:val="18"/>
              </w:rPr>
              <w:t>合计</w:t>
            </w:r>
          </w:p>
        </w:tc>
        <w:tc>
          <w:tcPr>
            <w:tcW w:w="968" w:type="pct"/>
            <w:vAlign w:val="center"/>
          </w:tcPr>
          <w:p>
            <w:pPr>
              <w:widowControl/>
              <w:jc w:val="center"/>
              <w:rPr>
                <w:color w:val="000000"/>
                <w:kern w:val="0"/>
                <w:sz w:val="18"/>
                <w:szCs w:val="18"/>
              </w:rPr>
            </w:pPr>
            <w:r>
              <w:rPr>
                <w:color w:val="000000"/>
                <w:kern w:val="0"/>
                <w:sz w:val="18"/>
                <w:szCs w:val="18"/>
              </w:rPr>
              <w:t>56</w:t>
            </w:r>
          </w:p>
        </w:tc>
        <w:tc>
          <w:tcPr>
            <w:tcW w:w="968" w:type="pct"/>
            <w:vAlign w:val="center"/>
          </w:tcPr>
          <w:p>
            <w:pPr>
              <w:widowControl/>
              <w:jc w:val="center"/>
              <w:rPr>
                <w:color w:val="000000"/>
                <w:kern w:val="0"/>
                <w:sz w:val="18"/>
                <w:szCs w:val="18"/>
              </w:rPr>
            </w:pPr>
            <w:r>
              <w:rPr>
                <w:color w:val="000000"/>
                <w:kern w:val="0"/>
                <w:sz w:val="18"/>
                <w:szCs w:val="18"/>
              </w:rPr>
              <w:t>0</w:t>
            </w:r>
          </w:p>
        </w:tc>
        <w:tc>
          <w:tcPr>
            <w:tcW w:w="1019" w:type="pct"/>
            <w:vAlign w:val="center"/>
          </w:tcPr>
          <w:p>
            <w:pPr>
              <w:widowControl/>
              <w:jc w:val="center"/>
              <w:rPr>
                <w:color w:val="000000"/>
                <w:kern w:val="0"/>
                <w:sz w:val="18"/>
                <w:szCs w:val="18"/>
              </w:rPr>
            </w:pPr>
            <w:r>
              <w:rPr>
                <w:color w:val="000000"/>
                <w:kern w:val="0"/>
                <w:sz w:val="18"/>
                <w:szCs w:val="18"/>
              </w:rPr>
              <w:t>56</w:t>
            </w:r>
          </w:p>
        </w:tc>
      </w:tr>
    </w:tbl>
    <w:p>
      <w:pPr>
        <w:spacing w:line="360" w:lineRule="auto"/>
        <w:rPr>
          <w:b/>
          <w:sz w:val="24"/>
          <w:szCs w:val="24"/>
        </w:rPr>
      </w:pPr>
    </w:p>
    <w:p>
      <w:pPr>
        <w:tabs>
          <w:tab w:val="left" w:pos="420"/>
        </w:tabs>
        <w:spacing w:line="360" w:lineRule="auto"/>
        <w:ind w:left="420" w:hanging="420"/>
        <w:rPr>
          <w:rFonts w:eastAsia="黑体"/>
          <w:szCs w:val="24"/>
        </w:rPr>
      </w:pPr>
      <w:r>
        <w:rPr>
          <w:rFonts w:hint="eastAsia" w:eastAsia="黑体"/>
          <w:szCs w:val="24"/>
        </w:rPr>
        <w:t>七、教材、补充教材及参考资料</w:t>
      </w:r>
    </w:p>
    <w:p>
      <w:pPr>
        <w:adjustRightInd w:val="0"/>
        <w:snapToGrid w:val="0"/>
        <w:spacing w:line="360" w:lineRule="auto"/>
        <w:ind w:firstLine="420" w:firstLineChars="200"/>
        <w:rPr>
          <w:color w:val="000000"/>
          <w:szCs w:val="21"/>
        </w:rPr>
      </w:pPr>
      <w:r>
        <w:rPr>
          <w:rFonts w:hint="eastAsia"/>
          <w:color w:val="000000"/>
          <w:szCs w:val="21"/>
        </w:rPr>
        <w:t xml:space="preserve">1、邱关源，《电路（第5版）》，ISBN </w:t>
      </w:r>
      <w:r>
        <w:rPr>
          <w:color w:val="000000"/>
          <w:szCs w:val="21"/>
        </w:rPr>
        <w:t>9787040196719</w:t>
      </w:r>
      <w:r>
        <w:rPr>
          <w:rFonts w:hint="eastAsia"/>
          <w:color w:val="000000"/>
          <w:szCs w:val="21"/>
        </w:rPr>
        <w:t>，高等教育出版社。</w:t>
      </w:r>
    </w:p>
    <w:p>
      <w:pPr>
        <w:adjustRightInd w:val="0"/>
        <w:snapToGrid w:val="0"/>
        <w:spacing w:line="360" w:lineRule="auto"/>
        <w:ind w:firstLine="420" w:firstLineChars="200"/>
        <w:rPr>
          <w:color w:val="000000"/>
          <w:szCs w:val="21"/>
        </w:rPr>
      </w:pPr>
      <w:r>
        <w:rPr>
          <w:rFonts w:hint="eastAsia"/>
          <w:color w:val="000000"/>
          <w:szCs w:val="21"/>
        </w:rPr>
        <w:t xml:space="preserve">2、刘岚，《电路分析基础》，ISBN </w:t>
      </w:r>
      <w:r>
        <w:rPr>
          <w:color w:val="000000"/>
          <w:szCs w:val="21"/>
        </w:rPr>
        <w:t>9787040144178</w:t>
      </w:r>
      <w:r>
        <w:rPr>
          <w:rFonts w:hint="eastAsia"/>
          <w:color w:val="000000"/>
          <w:szCs w:val="21"/>
        </w:rPr>
        <w:t>，高等教育出版社。</w:t>
      </w:r>
    </w:p>
    <w:p>
      <w:pPr>
        <w:adjustRightInd w:val="0"/>
        <w:snapToGrid w:val="0"/>
        <w:spacing w:line="360" w:lineRule="auto"/>
        <w:ind w:firstLine="420" w:firstLineChars="200"/>
        <w:rPr>
          <w:color w:val="000000"/>
          <w:szCs w:val="21"/>
        </w:rPr>
      </w:pPr>
      <w:r>
        <w:rPr>
          <w:rFonts w:hint="eastAsia"/>
          <w:color w:val="000000"/>
          <w:szCs w:val="21"/>
        </w:rPr>
        <w:t xml:space="preserve">3、李瀚荪，《电路分析基础（第4版）》，ISBN </w:t>
      </w:r>
      <w:r>
        <w:rPr>
          <w:color w:val="000000"/>
          <w:szCs w:val="21"/>
        </w:rPr>
        <w:t>9787040184709</w:t>
      </w:r>
      <w:r>
        <w:rPr>
          <w:rFonts w:hint="eastAsia"/>
          <w:color w:val="000000"/>
          <w:szCs w:val="21"/>
        </w:rPr>
        <w:t>，高等教育出版社。</w:t>
      </w:r>
    </w:p>
    <w:p>
      <w:pPr>
        <w:adjustRightInd w:val="0"/>
        <w:snapToGrid w:val="0"/>
        <w:spacing w:line="360" w:lineRule="auto"/>
        <w:ind w:firstLine="420" w:firstLineChars="200"/>
        <w:rPr>
          <w:color w:val="000000"/>
          <w:szCs w:val="21"/>
        </w:rPr>
      </w:pPr>
      <w:r>
        <w:rPr>
          <w:rFonts w:hint="eastAsia"/>
          <w:color w:val="000000"/>
          <w:szCs w:val="21"/>
        </w:rPr>
        <w:t>4、Charles K. Alexander，《Fundamentals of Electric Circuits》，ISBN 7900630988，清华大学出版社。</w:t>
      </w:r>
    </w:p>
    <w:p>
      <w:pPr>
        <w:adjustRightInd w:val="0"/>
        <w:snapToGrid w:val="0"/>
        <w:spacing w:line="360" w:lineRule="auto"/>
        <w:ind w:firstLine="420" w:firstLineChars="200"/>
        <w:rPr>
          <w:color w:val="000000"/>
          <w:szCs w:val="21"/>
        </w:rPr>
      </w:pPr>
      <w:r>
        <w:rPr>
          <w:rFonts w:hint="eastAsia"/>
          <w:color w:val="000000"/>
          <w:szCs w:val="21"/>
        </w:rPr>
        <w:t xml:space="preserve">5、James W. Nilsson，《Introductory Circuits for Electrical and Computer Engineering》，ISBN </w:t>
      </w:r>
      <w:r>
        <w:rPr>
          <w:color w:val="000000"/>
          <w:szCs w:val="21"/>
        </w:rPr>
        <w:t>9780130198556</w:t>
      </w:r>
      <w:r>
        <w:rPr>
          <w:rFonts w:hint="eastAsia"/>
          <w:color w:val="000000"/>
          <w:szCs w:val="21"/>
        </w:rPr>
        <w:t>，电子工业出版社。</w:t>
      </w:r>
    </w:p>
    <w:p>
      <w:pPr>
        <w:tabs>
          <w:tab w:val="left" w:pos="420"/>
        </w:tabs>
        <w:spacing w:line="360" w:lineRule="auto"/>
        <w:ind w:left="420" w:hanging="420"/>
        <w:rPr>
          <w:rFonts w:eastAsia="黑体"/>
          <w:szCs w:val="24"/>
        </w:rPr>
      </w:pPr>
    </w:p>
    <w:p>
      <w:pPr>
        <w:tabs>
          <w:tab w:val="left" w:pos="420"/>
        </w:tabs>
        <w:spacing w:line="360" w:lineRule="auto"/>
        <w:ind w:left="420" w:hanging="420"/>
        <w:rPr>
          <w:rFonts w:eastAsia="黑体"/>
          <w:szCs w:val="24"/>
        </w:rPr>
      </w:pPr>
      <w:r>
        <w:rPr>
          <w:rFonts w:hint="eastAsia" w:eastAsia="黑体"/>
          <w:szCs w:val="24"/>
        </w:rPr>
        <w:t>八、课程目标达成的途径和措施</w:t>
      </w:r>
    </w:p>
    <w:p>
      <w:pPr>
        <w:spacing w:line="360" w:lineRule="auto"/>
        <w:ind w:firstLine="420" w:firstLineChars="200"/>
        <w:rPr>
          <w:color w:val="000000"/>
          <w:szCs w:val="21"/>
        </w:rPr>
      </w:pPr>
      <w:r>
        <w:rPr>
          <w:color w:val="000000"/>
          <w:szCs w:val="21"/>
        </w:rPr>
        <w:t>1</w:t>
      </w:r>
      <w:r>
        <w:rPr>
          <w:rFonts w:hint="eastAsia"/>
          <w:color w:val="000000"/>
          <w:szCs w:val="21"/>
        </w:rPr>
        <w:t>、考核目标：在考核学生对电路原理的基本知识、基本原理和方法的基础上，重点考核学生的电路分析能力、动态电路的时域、频域分析能力，解决专业复杂实际问题的能力。</w:t>
      </w:r>
    </w:p>
    <w:p>
      <w:pPr>
        <w:spacing w:line="360" w:lineRule="auto"/>
        <w:ind w:firstLine="420" w:firstLineChars="200"/>
        <w:rPr>
          <w:color w:val="000000"/>
          <w:szCs w:val="21"/>
        </w:rPr>
      </w:pPr>
      <w:r>
        <w:rPr>
          <w:color w:val="000000"/>
          <w:szCs w:val="21"/>
        </w:rPr>
        <w:t>2</w:t>
      </w:r>
      <w:r>
        <w:rPr>
          <w:rFonts w:hint="eastAsia"/>
          <w:color w:val="000000"/>
          <w:szCs w:val="21"/>
        </w:rPr>
        <w:t>、考核方式：考试、课内、课外作业及随堂点名提问。</w:t>
      </w:r>
    </w:p>
    <w:p>
      <w:pPr>
        <w:spacing w:line="360" w:lineRule="auto"/>
        <w:ind w:firstLine="420" w:firstLineChars="200"/>
        <w:rPr>
          <w:color w:val="000000"/>
        </w:rPr>
      </w:pPr>
      <w:r>
        <w:rPr>
          <w:color w:val="000000"/>
          <w:szCs w:val="21"/>
        </w:rPr>
        <w:t>3、</w:t>
      </w:r>
      <w:r>
        <w:rPr>
          <w:rFonts w:hint="eastAsia"/>
          <w:color w:val="000000"/>
          <w:szCs w:val="21"/>
        </w:rPr>
        <w:t>评价环节对课程目标达成贡献率及支撑材料：</w:t>
      </w:r>
    </w:p>
    <w:tbl>
      <w:tblPr>
        <w:tblStyle w:val="19"/>
        <w:tblW w:w="5000" w:type="pct"/>
        <w:jc w:val="center"/>
        <w:tblLayout w:type="autofit"/>
        <w:tblCellMar>
          <w:top w:w="0" w:type="dxa"/>
          <w:left w:w="108" w:type="dxa"/>
          <w:bottom w:w="0" w:type="dxa"/>
          <w:right w:w="108" w:type="dxa"/>
        </w:tblCellMar>
      </w:tblPr>
      <w:tblGrid>
        <w:gridCol w:w="2292"/>
        <w:gridCol w:w="2094"/>
        <w:gridCol w:w="2192"/>
        <w:gridCol w:w="1950"/>
      </w:tblGrid>
      <w:tr>
        <w:tblPrEx>
          <w:tblCellMar>
            <w:top w:w="0" w:type="dxa"/>
            <w:left w:w="108" w:type="dxa"/>
            <w:bottom w:w="0" w:type="dxa"/>
            <w:right w:w="108" w:type="dxa"/>
          </w:tblCellMar>
        </w:tblPrEx>
        <w:trPr>
          <w:trHeight w:val="691" w:hRule="atLeast"/>
          <w:jc w:val="center"/>
        </w:trPr>
        <w:tc>
          <w:tcPr>
            <w:tcW w:w="1344" w:type="pct"/>
            <w:tcBorders>
              <w:top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rPr>
            </w:pPr>
            <w:r>
              <w:rPr>
                <w:rFonts w:hint="eastAsia" w:ascii="宋体" w:hAnsi="宋体" w:cs="宋体"/>
                <w:color w:val="000000"/>
                <w:kern w:val="0"/>
                <w:sz w:val="18"/>
              </w:rPr>
              <w:t>考察环节</w:t>
            </w:r>
          </w:p>
        </w:tc>
        <w:tc>
          <w:tcPr>
            <w:tcW w:w="12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rPr>
            </w:pPr>
            <w:r>
              <w:rPr>
                <w:rFonts w:hint="eastAsia" w:ascii="宋体" w:hAnsi="宋体" w:cs="宋体"/>
                <w:color w:val="000000"/>
                <w:kern w:val="0"/>
                <w:sz w:val="18"/>
              </w:rPr>
              <w:t>课堂情况</w:t>
            </w:r>
          </w:p>
        </w:tc>
        <w:tc>
          <w:tcPr>
            <w:tcW w:w="128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rPr>
            </w:pPr>
            <w:r>
              <w:rPr>
                <w:rFonts w:hint="eastAsia" w:ascii="宋体" w:hAnsi="宋体" w:cs="宋体"/>
                <w:color w:val="000000"/>
                <w:kern w:val="0"/>
                <w:sz w:val="18"/>
              </w:rPr>
              <w:t>作业</w:t>
            </w:r>
          </w:p>
        </w:tc>
        <w:tc>
          <w:tcPr>
            <w:tcW w:w="1143" w:type="pct"/>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cs="宋体"/>
                <w:color w:val="000000"/>
                <w:kern w:val="0"/>
                <w:sz w:val="18"/>
              </w:rPr>
            </w:pPr>
            <w:r>
              <w:rPr>
                <w:rFonts w:hint="eastAsia" w:ascii="宋体" w:hAnsi="宋体" w:cs="宋体"/>
                <w:color w:val="000000"/>
                <w:kern w:val="0"/>
                <w:sz w:val="18"/>
              </w:rPr>
              <w:t>期末考试</w:t>
            </w:r>
          </w:p>
        </w:tc>
      </w:tr>
      <w:tr>
        <w:tblPrEx>
          <w:tblCellMar>
            <w:top w:w="0" w:type="dxa"/>
            <w:left w:w="108" w:type="dxa"/>
            <w:bottom w:w="0" w:type="dxa"/>
            <w:right w:w="108" w:type="dxa"/>
          </w:tblCellMar>
        </w:tblPrEx>
        <w:trPr>
          <w:trHeight w:val="643" w:hRule="atLeast"/>
          <w:jc w:val="center"/>
        </w:trPr>
        <w:tc>
          <w:tcPr>
            <w:tcW w:w="1344" w:type="pct"/>
            <w:tcBorders>
              <w:top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rPr>
            </w:pPr>
            <w:r>
              <w:rPr>
                <w:rFonts w:hint="eastAsia" w:ascii="宋体" w:hAnsi="宋体" w:cs="宋体"/>
                <w:color w:val="000000"/>
                <w:kern w:val="0"/>
                <w:sz w:val="18"/>
              </w:rPr>
              <w:t>课程目标达成</w:t>
            </w:r>
          </w:p>
          <w:p>
            <w:pPr>
              <w:widowControl/>
              <w:jc w:val="center"/>
              <w:rPr>
                <w:rFonts w:ascii="宋体" w:hAnsi="宋体" w:cs="宋体"/>
                <w:color w:val="000000"/>
                <w:kern w:val="0"/>
                <w:sz w:val="18"/>
              </w:rPr>
            </w:pPr>
            <w:r>
              <w:rPr>
                <w:rFonts w:hint="eastAsia" w:ascii="宋体" w:hAnsi="宋体" w:cs="宋体"/>
                <w:color w:val="000000"/>
                <w:kern w:val="0"/>
                <w:sz w:val="18"/>
              </w:rPr>
              <w:t>的贡献率</w:t>
            </w:r>
          </w:p>
        </w:tc>
        <w:tc>
          <w:tcPr>
            <w:tcW w:w="122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0.18</w:t>
            </w:r>
          </w:p>
        </w:tc>
        <w:tc>
          <w:tcPr>
            <w:tcW w:w="128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0.18</w:t>
            </w:r>
          </w:p>
        </w:tc>
        <w:tc>
          <w:tcPr>
            <w:tcW w:w="1143" w:type="pct"/>
            <w:tcBorders>
              <w:top w:val="single" w:color="auto" w:sz="4" w:space="0"/>
              <w:left w:val="single" w:color="auto" w:sz="4" w:space="0"/>
              <w:bottom w:val="single" w:color="auto" w:sz="4" w:space="0"/>
            </w:tcBorders>
            <w:shd w:val="clear" w:color="auto" w:fill="auto"/>
            <w:vAlign w:val="center"/>
          </w:tcPr>
          <w:p>
            <w:pPr>
              <w:jc w:val="center"/>
              <w:rPr>
                <w:color w:val="000000"/>
                <w:sz w:val="18"/>
                <w:szCs w:val="18"/>
              </w:rPr>
            </w:pPr>
            <w:r>
              <w:rPr>
                <w:color w:val="000000"/>
                <w:sz w:val="18"/>
                <w:szCs w:val="18"/>
              </w:rPr>
              <w:t>0.64</w:t>
            </w:r>
          </w:p>
        </w:tc>
      </w:tr>
      <w:tr>
        <w:tblPrEx>
          <w:tblCellMar>
            <w:top w:w="0" w:type="dxa"/>
            <w:left w:w="108" w:type="dxa"/>
            <w:bottom w:w="0" w:type="dxa"/>
            <w:right w:w="108" w:type="dxa"/>
          </w:tblCellMar>
        </w:tblPrEx>
        <w:trPr>
          <w:trHeight w:val="822" w:hRule="atLeast"/>
          <w:jc w:val="center"/>
        </w:trPr>
        <w:tc>
          <w:tcPr>
            <w:tcW w:w="1344" w:type="pct"/>
            <w:tcBorders>
              <w:top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rPr>
            </w:pPr>
            <w:r>
              <w:rPr>
                <w:rFonts w:hint="eastAsia" w:ascii="宋体" w:hAnsi="宋体" w:cs="宋体"/>
                <w:color w:val="000000"/>
                <w:kern w:val="0"/>
                <w:sz w:val="18"/>
              </w:rPr>
              <w:t>支撑材料</w:t>
            </w:r>
          </w:p>
        </w:tc>
        <w:tc>
          <w:tcPr>
            <w:tcW w:w="12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rPr>
            </w:pPr>
            <w:r>
              <w:rPr>
                <w:rFonts w:ascii="宋体" w:hAnsi="宋体" w:cs="宋体"/>
                <w:color w:val="000000"/>
                <w:kern w:val="0"/>
                <w:sz w:val="18"/>
              </w:rPr>
              <w:t>课堂评价标准，</w:t>
            </w:r>
            <w:r>
              <w:rPr>
                <w:rFonts w:hint="eastAsia" w:ascii="宋体" w:hAnsi="宋体" w:cs="宋体"/>
                <w:color w:val="000000"/>
                <w:kern w:val="0"/>
                <w:sz w:val="18"/>
              </w:rPr>
              <w:t>课堂提问记录</w:t>
            </w:r>
            <w:r>
              <w:rPr>
                <w:rFonts w:ascii="宋体" w:hAnsi="宋体" w:cs="宋体"/>
                <w:color w:val="000000"/>
                <w:kern w:val="0"/>
                <w:sz w:val="18"/>
              </w:rPr>
              <w:t>或随堂考试，结合出勤率等</w:t>
            </w:r>
          </w:p>
        </w:tc>
        <w:tc>
          <w:tcPr>
            <w:tcW w:w="128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rPr>
            </w:pPr>
            <w:r>
              <w:rPr>
                <w:rFonts w:ascii="宋体" w:hAnsi="宋体" w:cs="宋体"/>
                <w:color w:val="000000"/>
                <w:kern w:val="0"/>
                <w:sz w:val="18"/>
              </w:rPr>
              <w:t>作业评价标准，</w:t>
            </w:r>
            <w:r>
              <w:rPr>
                <w:rFonts w:hint="eastAsia" w:ascii="宋体" w:hAnsi="宋体" w:cs="宋体"/>
                <w:color w:val="000000"/>
                <w:kern w:val="0"/>
                <w:sz w:val="18"/>
              </w:rPr>
              <w:t>典型作业</w:t>
            </w:r>
            <w:r>
              <w:rPr>
                <w:rFonts w:ascii="宋体" w:hAnsi="宋体" w:cs="宋体"/>
                <w:color w:val="000000"/>
                <w:kern w:val="0"/>
                <w:sz w:val="18"/>
              </w:rPr>
              <w:t>拍照，或电子版</w:t>
            </w:r>
          </w:p>
        </w:tc>
        <w:tc>
          <w:tcPr>
            <w:tcW w:w="1143" w:type="pct"/>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cs="宋体"/>
                <w:color w:val="000000"/>
                <w:kern w:val="0"/>
                <w:sz w:val="18"/>
              </w:rPr>
            </w:pPr>
            <w:r>
              <w:rPr>
                <w:rFonts w:hint="eastAsia" w:ascii="宋体" w:hAnsi="宋体" w:cs="宋体"/>
                <w:color w:val="000000"/>
                <w:kern w:val="0"/>
                <w:sz w:val="18"/>
              </w:rPr>
              <w:t>试题评分标准，</w:t>
            </w:r>
            <w:r>
              <w:rPr>
                <w:rFonts w:ascii="宋体" w:hAnsi="宋体" w:cs="宋体"/>
                <w:color w:val="000000"/>
                <w:kern w:val="0"/>
                <w:sz w:val="18"/>
              </w:rPr>
              <w:t>试卷</w:t>
            </w:r>
          </w:p>
        </w:tc>
      </w:tr>
    </w:tbl>
    <w:p>
      <w:pPr>
        <w:spacing w:line="360" w:lineRule="auto"/>
      </w:pPr>
    </w:p>
    <w:p>
      <w:pPr>
        <w:tabs>
          <w:tab w:val="left" w:pos="420"/>
        </w:tabs>
        <w:adjustRightInd w:val="0"/>
        <w:snapToGrid w:val="0"/>
        <w:spacing w:line="360" w:lineRule="auto"/>
        <w:ind w:left="420" w:hanging="420"/>
        <w:rPr>
          <w:rFonts w:ascii="宋体" w:hAnsi="宋体"/>
          <w:sz w:val="18"/>
          <w:szCs w:val="18"/>
        </w:rPr>
      </w:pPr>
      <w:r>
        <w:rPr>
          <w:rFonts w:eastAsia="黑体"/>
          <w:szCs w:val="24"/>
        </w:rPr>
        <w:t>九</w:t>
      </w:r>
      <w:r>
        <w:rPr>
          <w:rFonts w:hint="eastAsia" w:eastAsia="黑体"/>
          <w:szCs w:val="24"/>
        </w:rPr>
        <w:t>、覆盖课程目标达成评价的知识点及权重</w:t>
      </w:r>
    </w:p>
    <w:tbl>
      <w:tblPr>
        <w:tblStyle w:val="20"/>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562"/>
        <w:gridCol w:w="1179"/>
        <w:gridCol w:w="178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61" w:type="pct"/>
            <w:vAlign w:val="center"/>
          </w:tcPr>
          <w:p>
            <w:pPr>
              <w:jc w:val="center"/>
              <w:rPr>
                <w:sz w:val="18"/>
                <w:szCs w:val="18"/>
              </w:rPr>
            </w:pPr>
            <w:r>
              <w:rPr>
                <w:sz w:val="18"/>
                <w:szCs w:val="18"/>
              </w:rPr>
              <w:t>知识点</w:t>
            </w:r>
          </w:p>
        </w:tc>
        <w:tc>
          <w:tcPr>
            <w:tcW w:w="691" w:type="pct"/>
            <w:vAlign w:val="center"/>
          </w:tcPr>
          <w:p>
            <w:pPr>
              <w:jc w:val="center"/>
              <w:rPr>
                <w:sz w:val="18"/>
                <w:szCs w:val="18"/>
              </w:rPr>
            </w:pPr>
            <w:r>
              <w:rPr>
                <w:sz w:val="18"/>
                <w:szCs w:val="18"/>
              </w:rPr>
              <w:t>权重</w:t>
            </w:r>
          </w:p>
        </w:tc>
        <w:tc>
          <w:tcPr>
            <w:tcW w:w="1048" w:type="pct"/>
            <w:vAlign w:val="center"/>
          </w:tcPr>
          <w:p>
            <w:pPr>
              <w:jc w:val="center"/>
              <w:rPr>
                <w:sz w:val="18"/>
                <w:szCs w:val="18"/>
              </w:rPr>
            </w:pPr>
            <w:r>
              <w:rPr>
                <w:sz w:val="18"/>
                <w:szCs w:val="18"/>
              </w:rPr>
              <w:t>支撑课程目标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61" w:type="pct"/>
            <w:vAlign w:val="center"/>
          </w:tcPr>
          <w:p>
            <w:pPr>
              <w:jc w:val="left"/>
              <w:rPr>
                <w:sz w:val="18"/>
                <w:szCs w:val="18"/>
              </w:rPr>
            </w:pPr>
            <w:r>
              <w:rPr>
                <w:sz w:val="18"/>
                <w:szCs w:val="18"/>
              </w:rPr>
              <w:t>1电路的基本概念与定律</w:t>
            </w:r>
          </w:p>
        </w:tc>
        <w:tc>
          <w:tcPr>
            <w:tcW w:w="691" w:type="pct"/>
            <w:vAlign w:val="center"/>
          </w:tcPr>
          <w:p>
            <w:pPr>
              <w:widowControl/>
              <w:jc w:val="center"/>
              <w:rPr>
                <w:kern w:val="0"/>
                <w:sz w:val="18"/>
                <w:szCs w:val="18"/>
              </w:rPr>
            </w:pPr>
            <w:r>
              <w:rPr>
                <w:sz w:val="18"/>
                <w:szCs w:val="18"/>
              </w:rPr>
              <w:t>0.08</w:t>
            </w:r>
          </w:p>
        </w:tc>
        <w:tc>
          <w:tcPr>
            <w:tcW w:w="1048" w:type="pct"/>
            <w:vAlign w:val="center"/>
          </w:tcPr>
          <w:p>
            <w:pPr>
              <w:jc w:val="center"/>
              <w:rPr>
                <w:sz w:val="18"/>
                <w:szCs w:val="18"/>
              </w:rPr>
            </w:pPr>
            <w:r>
              <w:rPr>
                <w:sz w:val="18"/>
                <w:szCs w:val="18"/>
              </w:rPr>
              <w:t>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61" w:type="pct"/>
            <w:vAlign w:val="center"/>
          </w:tcPr>
          <w:p>
            <w:pPr>
              <w:jc w:val="left"/>
              <w:rPr>
                <w:sz w:val="18"/>
                <w:szCs w:val="18"/>
              </w:rPr>
            </w:pPr>
            <w:r>
              <w:rPr>
                <w:sz w:val="18"/>
                <w:szCs w:val="18"/>
              </w:rPr>
              <w:t>2电阻电路的等效变换</w:t>
            </w:r>
          </w:p>
        </w:tc>
        <w:tc>
          <w:tcPr>
            <w:tcW w:w="691" w:type="pct"/>
            <w:vAlign w:val="center"/>
          </w:tcPr>
          <w:p>
            <w:pPr>
              <w:jc w:val="center"/>
              <w:rPr>
                <w:sz w:val="18"/>
                <w:szCs w:val="18"/>
              </w:rPr>
            </w:pPr>
            <w:r>
              <w:rPr>
                <w:sz w:val="18"/>
                <w:szCs w:val="18"/>
              </w:rPr>
              <w:t>0.07</w:t>
            </w:r>
          </w:p>
        </w:tc>
        <w:tc>
          <w:tcPr>
            <w:tcW w:w="1048" w:type="pct"/>
            <w:vAlign w:val="center"/>
          </w:tcPr>
          <w:p>
            <w:pPr>
              <w:jc w:val="center"/>
              <w:rPr>
                <w:sz w:val="18"/>
                <w:szCs w:val="18"/>
              </w:rPr>
            </w:pPr>
            <w:r>
              <w:rPr>
                <w:sz w:val="18"/>
                <w:szCs w:val="18"/>
              </w:rPr>
              <w:t>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61" w:type="pct"/>
            <w:vAlign w:val="center"/>
          </w:tcPr>
          <w:p>
            <w:pPr>
              <w:jc w:val="left"/>
              <w:rPr>
                <w:sz w:val="18"/>
                <w:szCs w:val="18"/>
              </w:rPr>
            </w:pPr>
            <w:r>
              <w:rPr>
                <w:sz w:val="18"/>
                <w:szCs w:val="18"/>
              </w:rPr>
              <w:t>3电阻电路的一般分析方法</w:t>
            </w:r>
          </w:p>
        </w:tc>
        <w:tc>
          <w:tcPr>
            <w:tcW w:w="691" w:type="pct"/>
            <w:vAlign w:val="center"/>
          </w:tcPr>
          <w:p>
            <w:pPr>
              <w:jc w:val="center"/>
              <w:rPr>
                <w:sz w:val="18"/>
                <w:szCs w:val="18"/>
              </w:rPr>
            </w:pPr>
            <w:r>
              <w:rPr>
                <w:sz w:val="18"/>
                <w:szCs w:val="18"/>
              </w:rPr>
              <w:t>0.09</w:t>
            </w:r>
          </w:p>
        </w:tc>
        <w:tc>
          <w:tcPr>
            <w:tcW w:w="1048" w:type="pct"/>
            <w:vAlign w:val="center"/>
          </w:tcPr>
          <w:p>
            <w:pPr>
              <w:jc w:val="center"/>
              <w:rPr>
                <w:sz w:val="18"/>
                <w:szCs w:val="18"/>
              </w:rPr>
            </w:pPr>
            <w:r>
              <w:rPr>
                <w:sz w:val="18"/>
                <w:szCs w:val="18"/>
              </w:rPr>
              <w:t>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61" w:type="pct"/>
            <w:vAlign w:val="center"/>
          </w:tcPr>
          <w:p>
            <w:pPr>
              <w:jc w:val="left"/>
              <w:rPr>
                <w:sz w:val="18"/>
                <w:szCs w:val="18"/>
              </w:rPr>
            </w:pPr>
            <w:r>
              <w:rPr>
                <w:sz w:val="18"/>
                <w:szCs w:val="18"/>
              </w:rPr>
              <w:t>4电路定理</w:t>
            </w:r>
          </w:p>
        </w:tc>
        <w:tc>
          <w:tcPr>
            <w:tcW w:w="691" w:type="pct"/>
            <w:vAlign w:val="center"/>
          </w:tcPr>
          <w:p>
            <w:pPr>
              <w:jc w:val="center"/>
              <w:rPr>
                <w:sz w:val="18"/>
                <w:szCs w:val="18"/>
              </w:rPr>
            </w:pPr>
            <w:r>
              <w:rPr>
                <w:sz w:val="18"/>
                <w:szCs w:val="18"/>
              </w:rPr>
              <w:t>0.09</w:t>
            </w:r>
          </w:p>
        </w:tc>
        <w:tc>
          <w:tcPr>
            <w:tcW w:w="1048" w:type="pct"/>
            <w:vAlign w:val="center"/>
          </w:tcPr>
          <w:p>
            <w:pPr>
              <w:jc w:val="center"/>
              <w:rPr>
                <w:sz w:val="18"/>
                <w:szCs w:val="18"/>
              </w:rPr>
            </w:pPr>
            <w:r>
              <w:rPr>
                <w:sz w:val="18"/>
                <w:szCs w:val="18"/>
              </w:rPr>
              <w:t>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61" w:type="pct"/>
            <w:vAlign w:val="center"/>
          </w:tcPr>
          <w:p>
            <w:pPr>
              <w:jc w:val="left"/>
              <w:rPr>
                <w:sz w:val="18"/>
                <w:szCs w:val="18"/>
              </w:rPr>
            </w:pPr>
            <w:r>
              <w:rPr>
                <w:sz w:val="18"/>
                <w:szCs w:val="18"/>
              </w:rPr>
              <w:t>5正弦交流电路的稳态分析</w:t>
            </w:r>
          </w:p>
        </w:tc>
        <w:tc>
          <w:tcPr>
            <w:tcW w:w="691" w:type="pct"/>
            <w:vAlign w:val="center"/>
          </w:tcPr>
          <w:p>
            <w:pPr>
              <w:jc w:val="center"/>
              <w:rPr>
                <w:sz w:val="18"/>
                <w:szCs w:val="18"/>
              </w:rPr>
            </w:pPr>
            <w:r>
              <w:rPr>
                <w:sz w:val="18"/>
                <w:szCs w:val="18"/>
              </w:rPr>
              <w:t>0.11</w:t>
            </w:r>
          </w:p>
        </w:tc>
        <w:tc>
          <w:tcPr>
            <w:tcW w:w="1048" w:type="pct"/>
            <w:vAlign w:val="center"/>
          </w:tcPr>
          <w:p>
            <w:pPr>
              <w:jc w:val="center"/>
              <w:rPr>
                <w:sz w:val="18"/>
                <w:szCs w:val="18"/>
              </w:rPr>
            </w:pPr>
            <w:r>
              <w:rPr>
                <w:sz w:val="18"/>
                <w:szCs w:val="18"/>
              </w:rPr>
              <w:t>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61" w:type="pct"/>
            <w:vAlign w:val="center"/>
          </w:tcPr>
          <w:p>
            <w:pPr>
              <w:jc w:val="left"/>
              <w:rPr>
                <w:sz w:val="18"/>
                <w:szCs w:val="18"/>
              </w:rPr>
            </w:pPr>
            <w:r>
              <w:rPr>
                <w:sz w:val="18"/>
                <w:szCs w:val="18"/>
              </w:rPr>
              <w:t>6电路的频率响应</w:t>
            </w:r>
          </w:p>
        </w:tc>
        <w:tc>
          <w:tcPr>
            <w:tcW w:w="691" w:type="pct"/>
            <w:vAlign w:val="center"/>
          </w:tcPr>
          <w:p>
            <w:pPr>
              <w:jc w:val="center"/>
              <w:rPr>
                <w:sz w:val="18"/>
                <w:szCs w:val="18"/>
              </w:rPr>
            </w:pPr>
            <w:r>
              <w:rPr>
                <w:sz w:val="18"/>
                <w:szCs w:val="18"/>
              </w:rPr>
              <w:t>0.05</w:t>
            </w:r>
          </w:p>
        </w:tc>
        <w:tc>
          <w:tcPr>
            <w:tcW w:w="1048" w:type="pct"/>
            <w:vAlign w:val="center"/>
          </w:tcPr>
          <w:p>
            <w:pPr>
              <w:jc w:val="center"/>
              <w:rPr>
                <w:sz w:val="18"/>
                <w:szCs w:val="18"/>
              </w:rPr>
            </w:pPr>
            <w:r>
              <w:rPr>
                <w:sz w:val="18"/>
                <w:szCs w:val="18"/>
              </w:rPr>
              <w:t>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61" w:type="pct"/>
            <w:vAlign w:val="center"/>
          </w:tcPr>
          <w:p>
            <w:pPr>
              <w:jc w:val="left"/>
              <w:rPr>
                <w:sz w:val="18"/>
                <w:szCs w:val="18"/>
              </w:rPr>
            </w:pPr>
            <w:r>
              <w:rPr>
                <w:sz w:val="18"/>
                <w:szCs w:val="18"/>
              </w:rPr>
              <w:t>7一阶电路的时域分析</w:t>
            </w:r>
          </w:p>
        </w:tc>
        <w:tc>
          <w:tcPr>
            <w:tcW w:w="691" w:type="pct"/>
            <w:vAlign w:val="center"/>
          </w:tcPr>
          <w:p>
            <w:pPr>
              <w:jc w:val="center"/>
              <w:rPr>
                <w:sz w:val="18"/>
                <w:szCs w:val="18"/>
              </w:rPr>
            </w:pPr>
            <w:r>
              <w:rPr>
                <w:sz w:val="18"/>
                <w:szCs w:val="18"/>
              </w:rPr>
              <w:t>0.07</w:t>
            </w:r>
          </w:p>
        </w:tc>
        <w:tc>
          <w:tcPr>
            <w:tcW w:w="1048" w:type="pct"/>
            <w:vAlign w:val="center"/>
          </w:tcPr>
          <w:p>
            <w:pPr>
              <w:jc w:val="center"/>
              <w:rPr>
                <w:sz w:val="18"/>
                <w:szCs w:val="18"/>
              </w:rPr>
            </w:pPr>
            <w:r>
              <w:rPr>
                <w:sz w:val="18"/>
                <w:szCs w:val="18"/>
              </w:rPr>
              <w:t>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61" w:type="pct"/>
            <w:vAlign w:val="center"/>
          </w:tcPr>
          <w:p>
            <w:pPr>
              <w:jc w:val="left"/>
              <w:rPr>
                <w:sz w:val="18"/>
                <w:szCs w:val="18"/>
              </w:rPr>
            </w:pPr>
            <w:r>
              <w:rPr>
                <w:sz w:val="18"/>
                <w:szCs w:val="18"/>
              </w:rPr>
              <w:t>8二阶电路的时域分析</w:t>
            </w:r>
          </w:p>
        </w:tc>
        <w:tc>
          <w:tcPr>
            <w:tcW w:w="691" w:type="pct"/>
            <w:vAlign w:val="center"/>
          </w:tcPr>
          <w:p>
            <w:pPr>
              <w:jc w:val="center"/>
              <w:rPr>
                <w:sz w:val="18"/>
                <w:szCs w:val="18"/>
              </w:rPr>
            </w:pPr>
            <w:r>
              <w:rPr>
                <w:sz w:val="18"/>
                <w:szCs w:val="18"/>
              </w:rPr>
              <w:t>0.04</w:t>
            </w:r>
          </w:p>
        </w:tc>
        <w:tc>
          <w:tcPr>
            <w:tcW w:w="1048" w:type="pct"/>
            <w:vAlign w:val="center"/>
          </w:tcPr>
          <w:p>
            <w:pPr>
              <w:jc w:val="center"/>
              <w:rPr>
                <w:sz w:val="18"/>
                <w:szCs w:val="18"/>
              </w:rPr>
            </w:pPr>
            <w:r>
              <w:rPr>
                <w:sz w:val="18"/>
                <w:szCs w:val="18"/>
              </w:rPr>
              <w:t>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61" w:type="pct"/>
            <w:vAlign w:val="center"/>
          </w:tcPr>
          <w:p>
            <w:pPr>
              <w:jc w:val="left"/>
              <w:rPr>
                <w:sz w:val="18"/>
                <w:szCs w:val="18"/>
              </w:rPr>
            </w:pPr>
            <w:r>
              <w:rPr>
                <w:sz w:val="18"/>
                <w:szCs w:val="18"/>
              </w:rPr>
              <w:t>9拉普拉斯变换</w:t>
            </w:r>
          </w:p>
        </w:tc>
        <w:tc>
          <w:tcPr>
            <w:tcW w:w="691" w:type="pct"/>
            <w:vAlign w:val="center"/>
          </w:tcPr>
          <w:p>
            <w:pPr>
              <w:jc w:val="center"/>
              <w:rPr>
                <w:sz w:val="18"/>
                <w:szCs w:val="18"/>
              </w:rPr>
            </w:pPr>
            <w:r>
              <w:rPr>
                <w:sz w:val="18"/>
                <w:szCs w:val="18"/>
              </w:rPr>
              <w:t>0.09</w:t>
            </w:r>
          </w:p>
        </w:tc>
        <w:tc>
          <w:tcPr>
            <w:tcW w:w="1048" w:type="pct"/>
            <w:vAlign w:val="center"/>
          </w:tcPr>
          <w:p>
            <w:pPr>
              <w:jc w:val="center"/>
              <w:rPr>
                <w:sz w:val="18"/>
                <w:szCs w:val="18"/>
              </w:rPr>
            </w:pPr>
            <w:r>
              <w:rPr>
                <w:sz w:val="18"/>
                <w:szCs w:val="18"/>
              </w:rPr>
              <w:t>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61" w:type="pct"/>
            <w:vAlign w:val="center"/>
          </w:tcPr>
          <w:p>
            <w:pPr>
              <w:jc w:val="left"/>
              <w:rPr>
                <w:sz w:val="18"/>
                <w:szCs w:val="18"/>
              </w:rPr>
            </w:pPr>
            <w:r>
              <w:rPr>
                <w:sz w:val="18"/>
                <w:szCs w:val="18"/>
              </w:rPr>
              <w:t>10网络函数</w:t>
            </w:r>
          </w:p>
        </w:tc>
        <w:tc>
          <w:tcPr>
            <w:tcW w:w="691" w:type="pct"/>
            <w:vAlign w:val="center"/>
          </w:tcPr>
          <w:p>
            <w:pPr>
              <w:jc w:val="center"/>
              <w:rPr>
                <w:sz w:val="18"/>
                <w:szCs w:val="18"/>
              </w:rPr>
            </w:pPr>
            <w:r>
              <w:rPr>
                <w:sz w:val="18"/>
                <w:szCs w:val="18"/>
              </w:rPr>
              <w:t>0.05</w:t>
            </w:r>
          </w:p>
        </w:tc>
        <w:tc>
          <w:tcPr>
            <w:tcW w:w="1048" w:type="pct"/>
            <w:vAlign w:val="center"/>
          </w:tcPr>
          <w:p>
            <w:pPr>
              <w:jc w:val="center"/>
              <w:rPr>
                <w:sz w:val="18"/>
                <w:szCs w:val="18"/>
              </w:rPr>
            </w:pPr>
            <w:r>
              <w:rPr>
                <w:sz w:val="18"/>
                <w:szCs w:val="18"/>
              </w:rPr>
              <w:t>1、2、3、4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61" w:type="pct"/>
            <w:vAlign w:val="center"/>
          </w:tcPr>
          <w:p>
            <w:pPr>
              <w:jc w:val="left"/>
              <w:rPr>
                <w:sz w:val="18"/>
                <w:szCs w:val="18"/>
              </w:rPr>
            </w:pPr>
            <w:r>
              <w:rPr>
                <w:sz w:val="18"/>
                <w:szCs w:val="18"/>
              </w:rPr>
              <w:t>11图论及电路方程的矩阵形式</w:t>
            </w:r>
          </w:p>
        </w:tc>
        <w:tc>
          <w:tcPr>
            <w:tcW w:w="691" w:type="pct"/>
            <w:vAlign w:val="center"/>
          </w:tcPr>
          <w:p>
            <w:pPr>
              <w:jc w:val="center"/>
              <w:rPr>
                <w:sz w:val="18"/>
                <w:szCs w:val="18"/>
              </w:rPr>
            </w:pPr>
            <w:r>
              <w:rPr>
                <w:sz w:val="18"/>
                <w:szCs w:val="18"/>
              </w:rPr>
              <w:t>0.11</w:t>
            </w:r>
          </w:p>
        </w:tc>
        <w:tc>
          <w:tcPr>
            <w:tcW w:w="1048" w:type="pct"/>
            <w:vAlign w:val="center"/>
          </w:tcPr>
          <w:p>
            <w:pPr>
              <w:jc w:val="center"/>
              <w:rPr>
                <w:sz w:val="18"/>
                <w:szCs w:val="18"/>
              </w:rPr>
            </w:pPr>
            <w:r>
              <w:rPr>
                <w:sz w:val="18"/>
                <w:szCs w:val="18"/>
              </w:rPr>
              <w:t>1、2、3、4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61" w:type="pct"/>
            <w:vAlign w:val="center"/>
          </w:tcPr>
          <w:p>
            <w:pPr>
              <w:jc w:val="left"/>
              <w:rPr>
                <w:sz w:val="18"/>
                <w:szCs w:val="18"/>
              </w:rPr>
            </w:pPr>
            <w:r>
              <w:rPr>
                <w:sz w:val="18"/>
                <w:szCs w:val="18"/>
              </w:rPr>
              <w:t>12二端口网络</w:t>
            </w:r>
          </w:p>
        </w:tc>
        <w:tc>
          <w:tcPr>
            <w:tcW w:w="691" w:type="pct"/>
            <w:vAlign w:val="center"/>
          </w:tcPr>
          <w:p>
            <w:pPr>
              <w:jc w:val="center"/>
              <w:rPr>
                <w:sz w:val="18"/>
                <w:szCs w:val="18"/>
              </w:rPr>
            </w:pPr>
            <w:r>
              <w:rPr>
                <w:sz w:val="18"/>
                <w:szCs w:val="18"/>
              </w:rPr>
              <w:t>0.11</w:t>
            </w:r>
          </w:p>
        </w:tc>
        <w:tc>
          <w:tcPr>
            <w:tcW w:w="1048" w:type="pct"/>
            <w:vAlign w:val="center"/>
          </w:tcPr>
          <w:p>
            <w:pPr>
              <w:jc w:val="center"/>
              <w:rPr>
                <w:sz w:val="18"/>
                <w:szCs w:val="18"/>
              </w:rPr>
            </w:pPr>
            <w:r>
              <w:rPr>
                <w:sz w:val="18"/>
                <w:szCs w:val="18"/>
              </w:rPr>
              <w:t>3、4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61" w:type="pct"/>
            <w:vAlign w:val="center"/>
          </w:tcPr>
          <w:p>
            <w:pPr>
              <w:jc w:val="left"/>
              <w:rPr>
                <w:sz w:val="18"/>
                <w:szCs w:val="18"/>
              </w:rPr>
            </w:pPr>
            <w:r>
              <w:rPr>
                <w:sz w:val="18"/>
                <w:szCs w:val="18"/>
              </w:rPr>
              <w:t>13非线性电阻电路</w:t>
            </w:r>
          </w:p>
        </w:tc>
        <w:tc>
          <w:tcPr>
            <w:tcW w:w="691" w:type="pct"/>
            <w:vAlign w:val="center"/>
          </w:tcPr>
          <w:p>
            <w:pPr>
              <w:jc w:val="center"/>
              <w:rPr>
                <w:sz w:val="18"/>
                <w:szCs w:val="18"/>
              </w:rPr>
            </w:pPr>
            <w:r>
              <w:rPr>
                <w:sz w:val="18"/>
                <w:szCs w:val="18"/>
              </w:rPr>
              <w:t>0.04</w:t>
            </w:r>
          </w:p>
        </w:tc>
        <w:tc>
          <w:tcPr>
            <w:tcW w:w="1048" w:type="pct"/>
            <w:vAlign w:val="center"/>
          </w:tcPr>
          <w:p>
            <w:pPr>
              <w:jc w:val="center"/>
              <w:rPr>
                <w:sz w:val="18"/>
                <w:szCs w:val="18"/>
              </w:rPr>
            </w:pPr>
            <w:r>
              <w:rPr>
                <w:sz w:val="18"/>
                <w:szCs w:val="18"/>
              </w:rPr>
              <w:t>3、4</w:t>
            </w:r>
          </w:p>
        </w:tc>
      </w:tr>
    </w:tbl>
    <w:p>
      <w:pPr>
        <w:spacing w:before="120" w:beforeLines="50" w:line="360" w:lineRule="auto"/>
        <w:ind w:firstLine="420" w:firstLineChars="200"/>
        <w:rPr>
          <w:szCs w:val="21"/>
        </w:rPr>
      </w:pPr>
      <w:r>
        <w:rPr>
          <w:rFonts w:hint="eastAsia"/>
          <w:szCs w:val="21"/>
        </w:rPr>
        <w:t>本课程不可以申请免修。</w:t>
      </w:r>
    </w:p>
    <w:p>
      <w:pPr>
        <w:tabs>
          <w:tab w:val="left" w:pos="6878"/>
        </w:tabs>
        <w:rPr>
          <w:szCs w:val="21"/>
        </w:rPr>
      </w:pPr>
      <w:r>
        <w:rPr>
          <w:szCs w:val="21"/>
        </w:rPr>
        <w:tab/>
      </w:r>
    </w:p>
    <w:p>
      <w:pPr>
        <w:tabs>
          <w:tab w:val="left" w:pos="6878"/>
        </w:tabs>
        <w:rPr>
          <w:szCs w:val="21"/>
        </w:rPr>
        <w:sectPr>
          <w:headerReference r:id="rId8" w:type="first"/>
          <w:footerReference r:id="rId11" w:type="first"/>
          <w:headerReference r:id="rId6" w:type="default"/>
          <w:footerReference r:id="rId9" w:type="default"/>
          <w:headerReference r:id="rId7" w:type="even"/>
          <w:footerReference r:id="rId10" w:type="even"/>
          <w:pgSz w:w="11906" w:h="16838"/>
          <w:pgMar w:top="1440" w:right="1797" w:bottom="1440" w:left="1797" w:header="851" w:footer="992" w:gutter="0"/>
          <w:pgNumType w:fmt="decimal" w:start="1"/>
          <w:cols w:space="425" w:num="1"/>
          <w:docGrid w:linePitch="312" w:charSpace="0"/>
        </w:sectPr>
      </w:pPr>
      <w:r>
        <w:rPr>
          <w:szCs w:val="21"/>
        </w:rPr>
        <w:tab/>
      </w:r>
    </w:p>
    <w:p>
      <w:pPr>
        <w:tabs>
          <w:tab w:val="left" w:pos="420"/>
        </w:tabs>
        <w:adjustRightInd w:val="0"/>
        <w:snapToGrid w:val="0"/>
        <w:spacing w:line="360" w:lineRule="auto"/>
        <w:ind w:left="420" w:hanging="420"/>
        <w:rPr>
          <w:rFonts w:eastAsia="黑体"/>
          <w:szCs w:val="24"/>
        </w:rPr>
      </w:pPr>
      <w:r>
        <w:rPr>
          <w:rFonts w:hint="eastAsia" w:eastAsia="黑体"/>
          <w:szCs w:val="24"/>
        </w:rPr>
        <w:t>十、课程目标达成评价</w:t>
      </w:r>
    </w:p>
    <w:p>
      <w:pPr>
        <w:spacing w:line="360" w:lineRule="auto"/>
        <w:ind w:firstLine="420" w:firstLineChars="200"/>
        <w:jc w:val="center"/>
      </w:pPr>
      <w:r>
        <w:rPr>
          <w:rFonts w:hint="eastAsia"/>
        </w:rPr>
        <w:t>各环节对课程目标达成评价所使用到的权重占比分配及考核权重分配</w:t>
      </w:r>
    </w:p>
    <w:tbl>
      <w:tblPr>
        <w:tblStyle w:val="19"/>
        <w:tblW w:w="5000" w:type="pct"/>
        <w:jc w:val="center"/>
        <w:tblLayout w:type="autofit"/>
        <w:tblCellMar>
          <w:top w:w="0" w:type="dxa"/>
          <w:left w:w="108" w:type="dxa"/>
          <w:bottom w:w="0" w:type="dxa"/>
          <w:right w:w="108" w:type="dxa"/>
        </w:tblCellMar>
      </w:tblPr>
      <w:tblGrid>
        <w:gridCol w:w="584"/>
        <w:gridCol w:w="958"/>
        <w:gridCol w:w="1383"/>
        <w:gridCol w:w="1318"/>
        <w:gridCol w:w="1565"/>
        <w:gridCol w:w="1517"/>
        <w:gridCol w:w="1466"/>
        <w:gridCol w:w="1451"/>
        <w:gridCol w:w="1230"/>
        <w:gridCol w:w="1318"/>
        <w:gridCol w:w="1384"/>
      </w:tblGrid>
      <w:tr>
        <w:tblPrEx>
          <w:tblCellMar>
            <w:top w:w="0" w:type="dxa"/>
            <w:left w:w="108" w:type="dxa"/>
            <w:bottom w:w="0" w:type="dxa"/>
            <w:right w:w="108" w:type="dxa"/>
          </w:tblCellMar>
        </w:tblPrEx>
        <w:trPr>
          <w:trHeight w:val="1015" w:hRule="atLeast"/>
          <w:jc w:val="center"/>
        </w:trPr>
        <w:tc>
          <w:tcPr>
            <w:tcW w:w="2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课程目标</w:t>
            </w:r>
          </w:p>
        </w:tc>
        <w:tc>
          <w:tcPr>
            <w:tcW w:w="3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知识面比例</w:t>
            </w:r>
          </w:p>
          <w:p>
            <w:pPr>
              <w:widowControl/>
              <w:jc w:val="center"/>
              <w:rPr>
                <w:kern w:val="0"/>
                <w:sz w:val="18"/>
                <w:szCs w:val="18"/>
              </w:rPr>
            </w:pPr>
            <w:r>
              <w:rPr>
                <w:kern w:val="0"/>
                <w:sz w:val="18"/>
                <w:szCs w:val="18"/>
              </w:rPr>
              <w:t>（本列总和为1）</w:t>
            </w:r>
          </w:p>
          <w:p>
            <w:pPr>
              <w:widowControl/>
              <w:jc w:val="center"/>
              <w:rPr>
                <w:i/>
                <w:kern w:val="0"/>
                <w:sz w:val="18"/>
                <w:szCs w:val="18"/>
              </w:rPr>
            </w:pPr>
            <w:r>
              <w:rPr>
                <w:i/>
                <w:kern w:val="0"/>
                <w:sz w:val="18"/>
                <w:szCs w:val="18"/>
              </w:rPr>
              <w:t>P</w:t>
            </w:r>
            <w:r>
              <w:rPr>
                <w:i/>
                <w:kern w:val="0"/>
                <w:sz w:val="18"/>
                <w:szCs w:val="18"/>
                <w:vertAlign w:val="subscript"/>
              </w:rPr>
              <w:t>i</w:t>
            </w:r>
          </w:p>
        </w:tc>
        <w:tc>
          <w:tcPr>
            <w:tcW w:w="150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sz w:val="18"/>
                <w:szCs w:val="18"/>
              </w:rPr>
              <w:t>各环节评价比例分配</w:t>
            </w:r>
            <w:r>
              <w:rPr>
                <w:sz w:val="18"/>
                <w:szCs w:val="18"/>
              </w:rPr>
              <w:br w:type="textWrapping"/>
            </w:r>
            <w:r>
              <w:rPr>
                <w:sz w:val="18"/>
                <w:szCs w:val="18"/>
              </w:rPr>
              <w:t>（每行总和为1）</w:t>
            </w:r>
            <w:r>
              <w:rPr>
                <w:sz w:val="18"/>
                <w:szCs w:val="18"/>
              </w:rPr>
              <w:br w:type="textWrapping"/>
            </w:r>
            <w:r>
              <w:rPr>
                <w:i/>
                <w:sz w:val="18"/>
                <w:szCs w:val="18"/>
              </w:rPr>
              <w:t>W</w:t>
            </w:r>
            <w:r>
              <w:rPr>
                <w:i/>
                <w:sz w:val="18"/>
                <w:szCs w:val="18"/>
                <w:vertAlign w:val="subscript"/>
              </w:rPr>
              <w:t>ik</w:t>
            </w:r>
          </w:p>
        </w:tc>
        <w:tc>
          <w:tcPr>
            <w:tcW w:w="1564" w:type="pct"/>
            <w:gridSpan w:val="3"/>
            <w:tcBorders>
              <w:top w:val="single" w:color="auto" w:sz="4" w:space="0"/>
              <w:left w:val="nil"/>
              <w:bottom w:val="single" w:color="auto" w:sz="4" w:space="0"/>
              <w:right w:val="single" w:color="auto" w:sz="4" w:space="0"/>
            </w:tcBorders>
            <w:shd w:val="clear" w:color="auto" w:fill="auto"/>
            <w:vAlign w:val="center"/>
          </w:tcPr>
          <w:p>
            <w:pPr>
              <w:jc w:val="center"/>
              <w:rPr>
                <w:sz w:val="18"/>
                <w:szCs w:val="18"/>
              </w:rPr>
            </w:pPr>
            <w:r>
              <w:rPr>
                <w:sz w:val="18"/>
                <w:szCs w:val="18"/>
              </w:rPr>
              <w:t>各环节在课程达成中的占比</w:t>
            </w:r>
            <w:r>
              <w:rPr>
                <w:sz w:val="18"/>
                <w:szCs w:val="18"/>
              </w:rPr>
              <w:br w:type="textWrapping"/>
            </w:r>
            <w:r>
              <w:rPr>
                <w:sz w:val="18"/>
                <w:szCs w:val="18"/>
              </w:rPr>
              <w:t>（所有行列总和为1）</w:t>
            </w:r>
            <w:r>
              <w:rPr>
                <w:sz w:val="18"/>
                <w:szCs w:val="18"/>
              </w:rPr>
              <w:br w:type="textWrapping"/>
            </w:r>
            <w:r>
              <w:rPr>
                <w:i/>
                <w:sz w:val="18"/>
                <w:szCs w:val="18"/>
              </w:rPr>
              <w:t>S</w:t>
            </w:r>
            <w:r>
              <w:rPr>
                <w:i/>
                <w:sz w:val="18"/>
                <w:szCs w:val="18"/>
                <w:vertAlign w:val="subscript"/>
              </w:rPr>
              <w:t>ik</w:t>
            </w:r>
            <w:r>
              <w:rPr>
                <w:i/>
                <w:sz w:val="18"/>
                <w:szCs w:val="18"/>
              </w:rPr>
              <w:t>=P</w:t>
            </w:r>
            <w:r>
              <w:rPr>
                <w:i/>
                <w:sz w:val="18"/>
                <w:szCs w:val="18"/>
                <w:vertAlign w:val="subscript"/>
              </w:rPr>
              <w:t>i</w:t>
            </w:r>
            <w:r>
              <w:rPr>
                <w:i/>
                <w:sz w:val="18"/>
                <w:szCs w:val="18"/>
              </w:rPr>
              <w:t>*W</w:t>
            </w:r>
            <w:r>
              <w:rPr>
                <w:i/>
                <w:sz w:val="18"/>
                <w:szCs w:val="18"/>
                <w:vertAlign w:val="subscript"/>
              </w:rPr>
              <w:t>ik</w:t>
            </w:r>
          </w:p>
        </w:tc>
        <w:tc>
          <w:tcPr>
            <w:tcW w:w="1387"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各环节课程目标考核权重分布</w:t>
            </w:r>
          </w:p>
          <w:p>
            <w:pPr>
              <w:jc w:val="center"/>
              <w:rPr>
                <w:sz w:val="18"/>
                <w:szCs w:val="18"/>
              </w:rPr>
            </w:pPr>
            <w:r>
              <w:rPr>
                <w:sz w:val="18"/>
                <w:szCs w:val="18"/>
              </w:rPr>
              <w:t>（每一列总和为1）</w:t>
            </w:r>
          </w:p>
          <w:p>
            <w:pPr>
              <w:jc w:val="center"/>
              <w:rPr>
                <w:i/>
                <w:sz w:val="18"/>
                <w:szCs w:val="18"/>
              </w:rPr>
            </w:pPr>
            <w:r>
              <w:rPr>
                <w:i/>
                <w:sz w:val="18"/>
                <w:szCs w:val="18"/>
              </w:rPr>
              <w:t>E</w:t>
            </w:r>
            <w:r>
              <w:rPr>
                <w:i/>
                <w:sz w:val="18"/>
                <w:szCs w:val="18"/>
                <w:vertAlign w:val="subscript"/>
              </w:rPr>
              <w:t>ik</w:t>
            </w:r>
            <w:r>
              <w:rPr>
                <w:i/>
                <w:sz w:val="18"/>
                <w:szCs w:val="18"/>
              </w:rPr>
              <w:t>=S</w:t>
            </w:r>
            <w:r>
              <w:rPr>
                <w:i/>
                <w:sz w:val="18"/>
                <w:szCs w:val="18"/>
                <w:vertAlign w:val="subscript"/>
              </w:rPr>
              <w:t>ik</w:t>
            </w:r>
            <w:r>
              <w:rPr>
                <w:i/>
                <w:sz w:val="18"/>
                <w:szCs w:val="18"/>
              </w:rPr>
              <w:t>/M</w:t>
            </w:r>
            <w:r>
              <w:rPr>
                <w:i/>
                <w:sz w:val="18"/>
                <w:szCs w:val="18"/>
                <w:vertAlign w:val="subscript"/>
              </w:rPr>
              <w:t>ik</w:t>
            </w:r>
          </w:p>
        </w:tc>
      </w:tr>
      <w:tr>
        <w:tblPrEx>
          <w:tblCellMar>
            <w:top w:w="0" w:type="dxa"/>
            <w:left w:w="108" w:type="dxa"/>
            <w:bottom w:w="0" w:type="dxa"/>
            <w:right w:w="108" w:type="dxa"/>
          </w:tblCellMar>
        </w:tblPrEx>
        <w:trPr>
          <w:trHeight w:val="986" w:hRule="atLeast"/>
          <w:jc w:val="center"/>
        </w:trPr>
        <w:tc>
          <w:tcPr>
            <w:tcW w:w="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18"/>
                <w:szCs w:val="18"/>
              </w:rPr>
            </w:pPr>
          </w:p>
        </w:tc>
        <w:tc>
          <w:tcPr>
            <w:tcW w:w="3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18"/>
                <w:szCs w:val="18"/>
              </w:rPr>
            </w:pPr>
          </w:p>
        </w:tc>
        <w:tc>
          <w:tcPr>
            <w:tcW w:w="488"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课堂情况</w:t>
            </w:r>
          </w:p>
        </w:tc>
        <w:tc>
          <w:tcPr>
            <w:tcW w:w="465"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作业</w:t>
            </w:r>
          </w:p>
        </w:tc>
        <w:tc>
          <w:tcPr>
            <w:tcW w:w="551"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期末考试</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课堂情况</w:t>
            </w:r>
          </w:p>
        </w:tc>
        <w:tc>
          <w:tcPr>
            <w:tcW w:w="517"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作业</w:t>
            </w:r>
          </w:p>
        </w:tc>
        <w:tc>
          <w:tcPr>
            <w:tcW w:w="512"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期末考试</w:t>
            </w:r>
          </w:p>
        </w:tc>
        <w:tc>
          <w:tcPr>
            <w:tcW w:w="43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课堂情况</w:t>
            </w:r>
          </w:p>
        </w:tc>
        <w:tc>
          <w:tcPr>
            <w:tcW w:w="4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作业</w:t>
            </w:r>
          </w:p>
        </w:tc>
        <w:tc>
          <w:tcPr>
            <w:tcW w:w="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期末考试</w:t>
            </w:r>
          </w:p>
        </w:tc>
      </w:tr>
      <w:tr>
        <w:tblPrEx>
          <w:tblCellMar>
            <w:top w:w="0" w:type="dxa"/>
            <w:left w:w="108" w:type="dxa"/>
            <w:bottom w:w="0" w:type="dxa"/>
            <w:right w:w="108" w:type="dxa"/>
          </w:tblCellMar>
        </w:tblPrEx>
        <w:trPr>
          <w:trHeight w:val="702" w:hRule="atLeast"/>
          <w:jc w:val="center"/>
        </w:trPr>
        <w:tc>
          <w:tcPr>
            <w:tcW w:w="206"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18"/>
                <w:szCs w:val="18"/>
              </w:rPr>
            </w:pPr>
            <w:r>
              <w:rPr>
                <w:color w:val="000000"/>
                <w:sz w:val="18"/>
                <w:szCs w:val="18"/>
              </w:rPr>
              <w:t>1</w:t>
            </w:r>
          </w:p>
        </w:tc>
        <w:tc>
          <w:tcPr>
            <w:tcW w:w="3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sz w:val="18"/>
                <w:szCs w:val="18"/>
              </w:rPr>
            </w:pPr>
            <w:r>
              <w:rPr>
                <w:color w:val="000000"/>
                <w:sz w:val="18"/>
                <w:szCs w:val="18"/>
              </w:rPr>
              <w:t>0.4</w:t>
            </w:r>
          </w:p>
        </w:tc>
        <w:tc>
          <w:tcPr>
            <w:tcW w:w="48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sz w:val="18"/>
                <w:szCs w:val="18"/>
              </w:rPr>
            </w:pPr>
            <w:r>
              <w:rPr>
                <w:color w:val="000000"/>
                <w:sz w:val="18"/>
                <w:szCs w:val="18"/>
              </w:rPr>
              <w:t>0.2</w:t>
            </w:r>
          </w:p>
        </w:tc>
        <w:tc>
          <w:tcPr>
            <w:tcW w:w="46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sz w:val="18"/>
                <w:szCs w:val="18"/>
              </w:rPr>
            </w:pPr>
            <w:r>
              <w:rPr>
                <w:color w:val="000000"/>
                <w:sz w:val="18"/>
                <w:szCs w:val="18"/>
              </w:rPr>
              <w:t>0.2</w:t>
            </w:r>
          </w:p>
        </w:tc>
        <w:tc>
          <w:tcPr>
            <w:tcW w:w="55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sz w:val="18"/>
                <w:szCs w:val="18"/>
              </w:rPr>
            </w:pPr>
            <w:r>
              <w:rPr>
                <w:color w:val="000000"/>
                <w:sz w:val="18"/>
                <w:szCs w:val="18"/>
              </w:rPr>
              <w:t>0.6</w:t>
            </w:r>
          </w:p>
        </w:tc>
        <w:tc>
          <w:tcPr>
            <w:tcW w:w="53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sz w:val="18"/>
                <w:szCs w:val="18"/>
              </w:rPr>
            </w:pPr>
            <w:r>
              <w:rPr>
                <w:color w:val="000000"/>
                <w:sz w:val="18"/>
                <w:szCs w:val="18"/>
              </w:rPr>
              <w:t>0.08</w:t>
            </w:r>
          </w:p>
        </w:tc>
        <w:tc>
          <w:tcPr>
            <w:tcW w:w="51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sz w:val="18"/>
                <w:szCs w:val="18"/>
              </w:rPr>
            </w:pPr>
            <w:r>
              <w:rPr>
                <w:color w:val="000000"/>
                <w:sz w:val="18"/>
                <w:szCs w:val="18"/>
              </w:rPr>
              <w:t>0.08</w:t>
            </w:r>
          </w:p>
        </w:tc>
        <w:tc>
          <w:tcPr>
            <w:tcW w:w="51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sz w:val="18"/>
                <w:szCs w:val="18"/>
              </w:rPr>
            </w:pPr>
            <w:r>
              <w:rPr>
                <w:color w:val="000000"/>
                <w:sz w:val="18"/>
                <w:szCs w:val="18"/>
              </w:rPr>
              <w:t>0.24</w:t>
            </w:r>
          </w:p>
        </w:tc>
        <w:tc>
          <w:tcPr>
            <w:tcW w:w="43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sz w:val="18"/>
                <w:szCs w:val="18"/>
              </w:rPr>
            </w:pPr>
            <w:r>
              <w:rPr>
                <w:color w:val="000000"/>
                <w:sz w:val="18"/>
                <w:szCs w:val="18"/>
              </w:rPr>
              <w:t>0.44</w:t>
            </w:r>
          </w:p>
        </w:tc>
        <w:tc>
          <w:tcPr>
            <w:tcW w:w="4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sz w:val="18"/>
                <w:szCs w:val="18"/>
              </w:rPr>
            </w:pPr>
            <w:r>
              <w:rPr>
                <w:color w:val="000000"/>
                <w:sz w:val="18"/>
                <w:szCs w:val="18"/>
              </w:rPr>
              <w:t>0.44</w:t>
            </w:r>
          </w:p>
        </w:tc>
        <w:tc>
          <w:tcPr>
            <w:tcW w:w="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sz w:val="18"/>
                <w:szCs w:val="18"/>
              </w:rPr>
            </w:pPr>
            <w:r>
              <w:rPr>
                <w:color w:val="000000"/>
                <w:sz w:val="18"/>
                <w:szCs w:val="18"/>
              </w:rPr>
              <w:t>0.37</w:t>
            </w:r>
          </w:p>
        </w:tc>
      </w:tr>
      <w:tr>
        <w:tblPrEx>
          <w:tblCellMar>
            <w:top w:w="0" w:type="dxa"/>
            <w:left w:w="108" w:type="dxa"/>
            <w:bottom w:w="0" w:type="dxa"/>
            <w:right w:w="108" w:type="dxa"/>
          </w:tblCellMar>
        </w:tblPrEx>
        <w:trPr>
          <w:trHeight w:val="694" w:hRule="atLeast"/>
          <w:jc w:val="center"/>
        </w:trPr>
        <w:tc>
          <w:tcPr>
            <w:tcW w:w="206"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18"/>
                <w:szCs w:val="18"/>
              </w:rPr>
            </w:pPr>
            <w:r>
              <w:rPr>
                <w:color w:val="000000"/>
                <w:sz w:val="18"/>
                <w:szCs w:val="18"/>
              </w:rPr>
              <w:t>2</w:t>
            </w:r>
          </w:p>
        </w:tc>
        <w:tc>
          <w:tcPr>
            <w:tcW w:w="33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sz w:val="18"/>
                <w:szCs w:val="18"/>
              </w:rPr>
            </w:pPr>
            <w:r>
              <w:rPr>
                <w:color w:val="000000"/>
                <w:sz w:val="18"/>
                <w:szCs w:val="18"/>
              </w:rPr>
              <w:t>0.4</w:t>
            </w:r>
          </w:p>
        </w:tc>
        <w:tc>
          <w:tcPr>
            <w:tcW w:w="488" w:type="pct"/>
            <w:tcBorders>
              <w:top w:val="nil"/>
              <w:left w:val="nil"/>
              <w:bottom w:val="single" w:color="auto" w:sz="4" w:space="0"/>
              <w:right w:val="single" w:color="auto" w:sz="4" w:space="0"/>
            </w:tcBorders>
            <w:shd w:val="clear" w:color="auto" w:fill="auto"/>
            <w:noWrap/>
            <w:vAlign w:val="center"/>
          </w:tcPr>
          <w:p>
            <w:pPr>
              <w:widowControl/>
              <w:jc w:val="center"/>
              <w:rPr>
                <w:color w:val="000000"/>
                <w:sz w:val="18"/>
                <w:szCs w:val="18"/>
              </w:rPr>
            </w:pPr>
            <w:r>
              <w:rPr>
                <w:color w:val="000000"/>
                <w:sz w:val="18"/>
                <w:szCs w:val="18"/>
              </w:rPr>
              <w:t>0.2</w:t>
            </w:r>
          </w:p>
        </w:tc>
        <w:tc>
          <w:tcPr>
            <w:tcW w:w="465" w:type="pct"/>
            <w:tcBorders>
              <w:top w:val="nil"/>
              <w:left w:val="nil"/>
              <w:bottom w:val="single" w:color="auto" w:sz="4" w:space="0"/>
              <w:right w:val="single" w:color="auto" w:sz="4" w:space="0"/>
            </w:tcBorders>
            <w:shd w:val="clear" w:color="auto" w:fill="auto"/>
            <w:noWrap/>
            <w:vAlign w:val="center"/>
          </w:tcPr>
          <w:p>
            <w:pPr>
              <w:widowControl/>
              <w:jc w:val="center"/>
              <w:rPr>
                <w:color w:val="000000"/>
                <w:sz w:val="18"/>
                <w:szCs w:val="18"/>
              </w:rPr>
            </w:pPr>
            <w:r>
              <w:rPr>
                <w:color w:val="000000"/>
                <w:sz w:val="18"/>
                <w:szCs w:val="18"/>
              </w:rPr>
              <w:t>0.2</w:t>
            </w:r>
          </w:p>
        </w:tc>
        <w:tc>
          <w:tcPr>
            <w:tcW w:w="551" w:type="pct"/>
            <w:tcBorders>
              <w:top w:val="nil"/>
              <w:left w:val="nil"/>
              <w:bottom w:val="single" w:color="auto" w:sz="4" w:space="0"/>
              <w:right w:val="single" w:color="auto" w:sz="4" w:space="0"/>
            </w:tcBorders>
            <w:shd w:val="clear" w:color="auto" w:fill="auto"/>
            <w:noWrap/>
            <w:vAlign w:val="center"/>
          </w:tcPr>
          <w:p>
            <w:pPr>
              <w:widowControl/>
              <w:jc w:val="center"/>
              <w:rPr>
                <w:color w:val="000000"/>
                <w:sz w:val="18"/>
                <w:szCs w:val="18"/>
              </w:rPr>
            </w:pPr>
            <w:r>
              <w:rPr>
                <w:color w:val="000000"/>
                <w:sz w:val="18"/>
                <w:szCs w:val="18"/>
              </w:rPr>
              <w:t>0.6</w:t>
            </w:r>
          </w:p>
        </w:tc>
        <w:tc>
          <w:tcPr>
            <w:tcW w:w="535" w:type="pct"/>
            <w:tcBorders>
              <w:top w:val="nil"/>
              <w:left w:val="nil"/>
              <w:bottom w:val="single" w:color="auto" w:sz="4" w:space="0"/>
              <w:right w:val="single" w:color="auto" w:sz="4" w:space="0"/>
            </w:tcBorders>
            <w:shd w:val="clear" w:color="auto" w:fill="auto"/>
            <w:noWrap/>
            <w:vAlign w:val="center"/>
          </w:tcPr>
          <w:p>
            <w:pPr>
              <w:widowControl/>
              <w:jc w:val="center"/>
              <w:rPr>
                <w:color w:val="000000"/>
                <w:sz w:val="18"/>
                <w:szCs w:val="18"/>
              </w:rPr>
            </w:pPr>
            <w:r>
              <w:rPr>
                <w:color w:val="000000"/>
                <w:sz w:val="18"/>
                <w:szCs w:val="18"/>
              </w:rPr>
              <w:t>0.08</w:t>
            </w:r>
          </w:p>
        </w:tc>
        <w:tc>
          <w:tcPr>
            <w:tcW w:w="517" w:type="pct"/>
            <w:tcBorders>
              <w:top w:val="nil"/>
              <w:left w:val="nil"/>
              <w:bottom w:val="single" w:color="auto" w:sz="4" w:space="0"/>
              <w:right w:val="single" w:color="auto" w:sz="4" w:space="0"/>
            </w:tcBorders>
            <w:shd w:val="clear" w:color="auto" w:fill="auto"/>
            <w:noWrap/>
            <w:vAlign w:val="center"/>
          </w:tcPr>
          <w:p>
            <w:pPr>
              <w:widowControl/>
              <w:jc w:val="center"/>
              <w:rPr>
                <w:color w:val="000000"/>
                <w:sz w:val="18"/>
                <w:szCs w:val="18"/>
              </w:rPr>
            </w:pPr>
            <w:r>
              <w:rPr>
                <w:color w:val="000000"/>
                <w:sz w:val="18"/>
                <w:szCs w:val="18"/>
              </w:rPr>
              <w:t>0.08</w:t>
            </w:r>
          </w:p>
        </w:tc>
        <w:tc>
          <w:tcPr>
            <w:tcW w:w="512" w:type="pct"/>
            <w:tcBorders>
              <w:top w:val="nil"/>
              <w:left w:val="nil"/>
              <w:bottom w:val="single" w:color="auto" w:sz="4" w:space="0"/>
              <w:right w:val="single" w:color="auto" w:sz="4" w:space="0"/>
            </w:tcBorders>
            <w:shd w:val="clear" w:color="auto" w:fill="auto"/>
            <w:noWrap/>
            <w:vAlign w:val="center"/>
          </w:tcPr>
          <w:p>
            <w:pPr>
              <w:widowControl/>
              <w:jc w:val="center"/>
              <w:rPr>
                <w:color w:val="000000"/>
                <w:sz w:val="18"/>
                <w:szCs w:val="18"/>
              </w:rPr>
            </w:pPr>
            <w:r>
              <w:rPr>
                <w:color w:val="000000"/>
                <w:sz w:val="18"/>
                <w:szCs w:val="18"/>
              </w:rPr>
              <w:t>0.24</w:t>
            </w:r>
          </w:p>
        </w:tc>
        <w:tc>
          <w:tcPr>
            <w:tcW w:w="43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sz w:val="18"/>
                <w:szCs w:val="18"/>
              </w:rPr>
            </w:pPr>
            <w:r>
              <w:rPr>
                <w:color w:val="000000"/>
                <w:sz w:val="18"/>
                <w:szCs w:val="18"/>
              </w:rPr>
              <w:t>0.44</w:t>
            </w:r>
          </w:p>
        </w:tc>
        <w:tc>
          <w:tcPr>
            <w:tcW w:w="4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sz w:val="18"/>
                <w:szCs w:val="18"/>
              </w:rPr>
            </w:pPr>
            <w:r>
              <w:rPr>
                <w:color w:val="000000"/>
                <w:sz w:val="18"/>
                <w:szCs w:val="18"/>
              </w:rPr>
              <w:t>0.44</w:t>
            </w:r>
          </w:p>
        </w:tc>
        <w:tc>
          <w:tcPr>
            <w:tcW w:w="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sz w:val="18"/>
                <w:szCs w:val="18"/>
              </w:rPr>
            </w:pPr>
            <w:r>
              <w:rPr>
                <w:color w:val="000000"/>
                <w:sz w:val="18"/>
                <w:szCs w:val="18"/>
              </w:rPr>
              <w:t>0.37</w:t>
            </w:r>
          </w:p>
        </w:tc>
      </w:tr>
      <w:tr>
        <w:tblPrEx>
          <w:tblCellMar>
            <w:top w:w="0" w:type="dxa"/>
            <w:left w:w="108" w:type="dxa"/>
            <w:bottom w:w="0" w:type="dxa"/>
            <w:right w:w="108" w:type="dxa"/>
          </w:tblCellMar>
        </w:tblPrEx>
        <w:trPr>
          <w:trHeight w:val="694" w:hRule="atLeast"/>
          <w:jc w:val="center"/>
        </w:trPr>
        <w:tc>
          <w:tcPr>
            <w:tcW w:w="206"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18"/>
                <w:szCs w:val="18"/>
              </w:rPr>
            </w:pPr>
            <w:r>
              <w:rPr>
                <w:color w:val="000000"/>
                <w:sz w:val="18"/>
                <w:szCs w:val="18"/>
              </w:rPr>
              <w:t>3</w:t>
            </w:r>
          </w:p>
        </w:tc>
        <w:tc>
          <w:tcPr>
            <w:tcW w:w="33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sz w:val="18"/>
                <w:szCs w:val="18"/>
              </w:rPr>
            </w:pPr>
            <w:r>
              <w:rPr>
                <w:color w:val="000000"/>
                <w:sz w:val="18"/>
                <w:szCs w:val="18"/>
              </w:rPr>
              <w:t>0.1</w:t>
            </w:r>
          </w:p>
        </w:tc>
        <w:tc>
          <w:tcPr>
            <w:tcW w:w="488" w:type="pct"/>
            <w:tcBorders>
              <w:top w:val="nil"/>
              <w:left w:val="nil"/>
              <w:bottom w:val="single" w:color="auto" w:sz="4" w:space="0"/>
              <w:right w:val="single" w:color="auto" w:sz="4" w:space="0"/>
            </w:tcBorders>
            <w:shd w:val="clear" w:color="auto" w:fill="auto"/>
            <w:noWrap/>
            <w:vAlign w:val="center"/>
          </w:tcPr>
          <w:p>
            <w:pPr>
              <w:widowControl/>
              <w:jc w:val="center"/>
              <w:rPr>
                <w:color w:val="000000"/>
                <w:sz w:val="18"/>
                <w:szCs w:val="18"/>
              </w:rPr>
            </w:pPr>
            <w:r>
              <w:rPr>
                <w:color w:val="000000"/>
                <w:sz w:val="18"/>
                <w:szCs w:val="18"/>
              </w:rPr>
              <w:t>0.1</w:t>
            </w:r>
          </w:p>
        </w:tc>
        <w:tc>
          <w:tcPr>
            <w:tcW w:w="465" w:type="pct"/>
            <w:tcBorders>
              <w:top w:val="nil"/>
              <w:left w:val="nil"/>
              <w:bottom w:val="single" w:color="auto" w:sz="4" w:space="0"/>
              <w:right w:val="single" w:color="auto" w:sz="4" w:space="0"/>
            </w:tcBorders>
            <w:shd w:val="clear" w:color="auto" w:fill="auto"/>
            <w:noWrap/>
            <w:vAlign w:val="center"/>
          </w:tcPr>
          <w:p>
            <w:pPr>
              <w:widowControl/>
              <w:jc w:val="center"/>
              <w:rPr>
                <w:color w:val="000000"/>
                <w:sz w:val="18"/>
                <w:szCs w:val="18"/>
              </w:rPr>
            </w:pPr>
            <w:r>
              <w:rPr>
                <w:color w:val="000000"/>
                <w:sz w:val="18"/>
                <w:szCs w:val="18"/>
              </w:rPr>
              <w:t>0.1</w:t>
            </w:r>
          </w:p>
        </w:tc>
        <w:tc>
          <w:tcPr>
            <w:tcW w:w="551" w:type="pct"/>
            <w:tcBorders>
              <w:top w:val="nil"/>
              <w:left w:val="nil"/>
              <w:bottom w:val="single" w:color="auto" w:sz="4" w:space="0"/>
              <w:right w:val="single" w:color="auto" w:sz="4" w:space="0"/>
            </w:tcBorders>
            <w:shd w:val="clear" w:color="auto" w:fill="auto"/>
            <w:noWrap/>
            <w:vAlign w:val="center"/>
          </w:tcPr>
          <w:p>
            <w:pPr>
              <w:widowControl/>
              <w:jc w:val="center"/>
              <w:rPr>
                <w:color w:val="000000"/>
                <w:sz w:val="18"/>
                <w:szCs w:val="18"/>
              </w:rPr>
            </w:pPr>
            <w:r>
              <w:rPr>
                <w:color w:val="000000"/>
                <w:sz w:val="18"/>
                <w:szCs w:val="18"/>
              </w:rPr>
              <w:t>0.8</w:t>
            </w:r>
          </w:p>
        </w:tc>
        <w:tc>
          <w:tcPr>
            <w:tcW w:w="535" w:type="pct"/>
            <w:tcBorders>
              <w:top w:val="nil"/>
              <w:left w:val="nil"/>
              <w:bottom w:val="single" w:color="auto" w:sz="4" w:space="0"/>
              <w:right w:val="single" w:color="auto" w:sz="4" w:space="0"/>
            </w:tcBorders>
            <w:shd w:val="clear" w:color="auto" w:fill="auto"/>
            <w:noWrap/>
            <w:vAlign w:val="center"/>
          </w:tcPr>
          <w:p>
            <w:pPr>
              <w:widowControl/>
              <w:jc w:val="center"/>
              <w:rPr>
                <w:color w:val="000000"/>
                <w:sz w:val="18"/>
                <w:szCs w:val="18"/>
              </w:rPr>
            </w:pPr>
            <w:r>
              <w:rPr>
                <w:color w:val="000000"/>
                <w:sz w:val="18"/>
                <w:szCs w:val="18"/>
              </w:rPr>
              <w:t>0.01</w:t>
            </w:r>
          </w:p>
        </w:tc>
        <w:tc>
          <w:tcPr>
            <w:tcW w:w="517" w:type="pct"/>
            <w:tcBorders>
              <w:top w:val="nil"/>
              <w:left w:val="nil"/>
              <w:bottom w:val="single" w:color="auto" w:sz="4" w:space="0"/>
              <w:right w:val="single" w:color="auto" w:sz="4" w:space="0"/>
            </w:tcBorders>
            <w:shd w:val="clear" w:color="auto" w:fill="auto"/>
            <w:noWrap/>
            <w:vAlign w:val="center"/>
          </w:tcPr>
          <w:p>
            <w:pPr>
              <w:widowControl/>
              <w:jc w:val="center"/>
              <w:rPr>
                <w:color w:val="000000"/>
                <w:sz w:val="18"/>
                <w:szCs w:val="18"/>
              </w:rPr>
            </w:pPr>
            <w:r>
              <w:rPr>
                <w:color w:val="000000"/>
                <w:sz w:val="18"/>
                <w:szCs w:val="18"/>
              </w:rPr>
              <w:t>0.01</w:t>
            </w:r>
          </w:p>
        </w:tc>
        <w:tc>
          <w:tcPr>
            <w:tcW w:w="512" w:type="pct"/>
            <w:tcBorders>
              <w:top w:val="nil"/>
              <w:left w:val="nil"/>
              <w:bottom w:val="single" w:color="auto" w:sz="4" w:space="0"/>
              <w:right w:val="single" w:color="auto" w:sz="4" w:space="0"/>
            </w:tcBorders>
            <w:shd w:val="clear" w:color="auto" w:fill="auto"/>
            <w:noWrap/>
            <w:vAlign w:val="center"/>
          </w:tcPr>
          <w:p>
            <w:pPr>
              <w:widowControl/>
              <w:jc w:val="center"/>
              <w:rPr>
                <w:color w:val="000000"/>
                <w:sz w:val="18"/>
                <w:szCs w:val="18"/>
              </w:rPr>
            </w:pPr>
            <w:r>
              <w:rPr>
                <w:color w:val="000000"/>
                <w:sz w:val="18"/>
                <w:szCs w:val="18"/>
              </w:rPr>
              <w:t>0.08</w:t>
            </w:r>
          </w:p>
        </w:tc>
        <w:tc>
          <w:tcPr>
            <w:tcW w:w="43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sz w:val="18"/>
                <w:szCs w:val="18"/>
              </w:rPr>
            </w:pPr>
            <w:r>
              <w:rPr>
                <w:color w:val="000000"/>
                <w:sz w:val="18"/>
                <w:szCs w:val="18"/>
              </w:rPr>
              <w:t>0.06</w:t>
            </w:r>
          </w:p>
        </w:tc>
        <w:tc>
          <w:tcPr>
            <w:tcW w:w="4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sz w:val="18"/>
                <w:szCs w:val="18"/>
              </w:rPr>
            </w:pPr>
            <w:r>
              <w:rPr>
                <w:color w:val="000000"/>
                <w:sz w:val="18"/>
                <w:szCs w:val="18"/>
              </w:rPr>
              <w:t>0.06</w:t>
            </w:r>
          </w:p>
        </w:tc>
        <w:tc>
          <w:tcPr>
            <w:tcW w:w="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sz w:val="18"/>
                <w:szCs w:val="18"/>
              </w:rPr>
            </w:pPr>
            <w:r>
              <w:rPr>
                <w:color w:val="000000"/>
                <w:sz w:val="18"/>
                <w:szCs w:val="18"/>
              </w:rPr>
              <w:t>0.13</w:t>
            </w:r>
          </w:p>
        </w:tc>
      </w:tr>
      <w:tr>
        <w:tblPrEx>
          <w:tblCellMar>
            <w:top w:w="0" w:type="dxa"/>
            <w:left w:w="108" w:type="dxa"/>
            <w:bottom w:w="0" w:type="dxa"/>
            <w:right w:w="108" w:type="dxa"/>
          </w:tblCellMar>
        </w:tblPrEx>
        <w:trPr>
          <w:trHeight w:val="694" w:hRule="atLeast"/>
          <w:jc w:val="center"/>
        </w:trPr>
        <w:tc>
          <w:tcPr>
            <w:tcW w:w="206"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18"/>
                <w:szCs w:val="18"/>
              </w:rPr>
            </w:pPr>
            <w:r>
              <w:rPr>
                <w:color w:val="000000"/>
                <w:sz w:val="18"/>
                <w:szCs w:val="18"/>
              </w:rPr>
              <w:t>4</w:t>
            </w:r>
          </w:p>
        </w:tc>
        <w:tc>
          <w:tcPr>
            <w:tcW w:w="33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sz w:val="18"/>
                <w:szCs w:val="18"/>
              </w:rPr>
            </w:pPr>
            <w:r>
              <w:rPr>
                <w:color w:val="000000"/>
                <w:sz w:val="18"/>
                <w:szCs w:val="18"/>
              </w:rPr>
              <w:t>0.1</w:t>
            </w:r>
          </w:p>
        </w:tc>
        <w:tc>
          <w:tcPr>
            <w:tcW w:w="488" w:type="pct"/>
            <w:tcBorders>
              <w:top w:val="nil"/>
              <w:left w:val="nil"/>
              <w:bottom w:val="single" w:color="auto" w:sz="4" w:space="0"/>
              <w:right w:val="single" w:color="auto" w:sz="4" w:space="0"/>
            </w:tcBorders>
            <w:shd w:val="clear" w:color="auto" w:fill="auto"/>
            <w:noWrap/>
            <w:vAlign w:val="center"/>
          </w:tcPr>
          <w:p>
            <w:pPr>
              <w:widowControl/>
              <w:jc w:val="center"/>
              <w:rPr>
                <w:color w:val="000000"/>
                <w:sz w:val="18"/>
                <w:szCs w:val="18"/>
              </w:rPr>
            </w:pPr>
            <w:r>
              <w:rPr>
                <w:color w:val="000000"/>
                <w:sz w:val="18"/>
                <w:szCs w:val="18"/>
              </w:rPr>
              <w:t>0.1</w:t>
            </w:r>
          </w:p>
        </w:tc>
        <w:tc>
          <w:tcPr>
            <w:tcW w:w="465" w:type="pct"/>
            <w:tcBorders>
              <w:top w:val="nil"/>
              <w:left w:val="nil"/>
              <w:bottom w:val="single" w:color="auto" w:sz="4" w:space="0"/>
              <w:right w:val="single" w:color="auto" w:sz="4" w:space="0"/>
            </w:tcBorders>
            <w:shd w:val="clear" w:color="auto" w:fill="auto"/>
            <w:noWrap/>
            <w:vAlign w:val="center"/>
          </w:tcPr>
          <w:p>
            <w:pPr>
              <w:widowControl/>
              <w:jc w:val="center"/>
              <w:rPr>
                <w:color w:val="000000"/>
                <w:sz w:val="18"/>
                <w:szCs w:val="18"/>
              </w:rPr>
            </w:pPr>
            <w:r>
              <w:rPr>
                <w:color w:val="000000"/>
                <w:sz w:val="18"/>
                <w:szCs w:val="18"/>
              </w:rPr>
              <w:t>0.1</w:t>
            </w:r>
          </w:p>
        </w:tc>
        <w:tc>
          <w:tcPr>
            <w:tcW w:w="551" w:type="pct"/>
            <w:tcBorders>
              <w:top w:val="nil"/>
              <w:left w:val="nil"/>
              <w:bottom w:val="single" w:color="auto" w:sz="4" w:space="0"/>
              <w:right w:val="single" w:color="auto" w:sz="4" w:space="0"/>
            </w:tcBorders>
            <w:shd w:val="clear" w:color="auto" w:fill="auto"/>
            <w:noWrap/>
            <w:vAlign w:val="center"/>
          </w:tcPr>
          <w:p>
            <w:pPr>
              <w:widowControl/>
              <w:jc w:val="center"/>
              <w:rPr>
                <w:color w:val="000000"/>
                <w:sz w:val="18"/>
                <w:szCs w:val="18"/>
              </w:rPr>
            </w:pPr>
            <w:r>
              <w:rPr>
                <w:color w:val="000000"/>
                <w:sz w:val="18"/>
                <w:szCs w:val="18"/>
              </w:rPr>
              <w:t>0.8</w:t>
            </w:r>
          </w:p>
        </w:tc>
        <w:tc>
          <w:tcPr>
            <w:tcW w:w="535" w:type="pct"/>
            <w:tcBorders>
              <w:top w:val="nil"/>
              <w:left w:val="nil"/>
              <w:bottom w:val="single" w:color="auto" w:sz="4" w:space="0"/>
              <w:right w:val="single" w:color="auto" w:sz="4" w:space="0"/>
            </w:tcBorders>
            <w:shd w:val="clear" w:color="auto" w:fill="auto"/>
            <w:noWrap/>
            <w:vAlign w:val="center"/>
          </w:tcPr>
          <w:p>
            <w:pPr>
              <w:widowControl/>
              <w:jc w:val="center"/>
              <w:rPr>
                <w:color w:val="000000"/>
                <w:sz w:val="18"/>
                <w:szCs w:val="18"/>
              </w:rPr>
            </w:pPr>
            <w:r>
              <w:rPr>
                <w:color w:val="000000"/>
                <w:sz w:val="18"/>
                <w:szCs w:val="18"/>
              </w:rPr>
              <w:t>0.01</w:t>
            </w:r>
          </w:p>
        </w:tc>
        <w:tc>
          <w:tcPr>
            <w:tcW w:w="517" w:type="pct"/>
            <w:tcBorders>
              <w:top w:val="nil"/>
              <w:left w:val="nil"/>
              <w:bottom w:val="single" w:color="auto" w:sz="4" w:space="0"/>
              <w:right w:val="single" w:color="auto" w:sz="4" w:space="0"/>
            </w:tcBorders>
            <w:shd w:val="clear" w:color="auto" w:fill="auto"/>
            <w:noWrap/>
            <w:vAlign w:val="center"/>
          </w:tcPr>
          <w:p>
            <w:pPr>
              <w:widowControl/>
              <w:jc w:val="center"/>
              <w:rPr>
                <w:color w:val="000000"/>
                <w:sz w:val="18"/>
                <w:szCs w:val="18"/>
              </w:rPr>
            </w:pPr>
            <w:r>
              <w:rPr>
                <w:color w:val="000000"/>
                <w:sz w:val="18"/>
                <w:szCs w:val="18"/>
              </w:rPr>
              <w:t>0.01</w:t>
            </w:r>
          </w:p>
        </w:tc>
        <w:tc>
          <w:tcPr>
            <w:tcW w:w="512" w:type="pct"/>
            <w:tcBorders>
              <w:top w:val="nil"/>
              <w:left w:val="nil"/>
              <w:bottom w:val="single" w:color="auto" w:sz="4" w:space="0"/>
              <w:right w:val="single" w:color="auto" w:sz="4" w:space="0"/>
            </w:tcBorders>
            <w:shd w:val="clear" w:color="auto" w:fill="auto"/>
            <w:noWrap/>
            <w:vAlign w:val="center"/>
          </w:tcPr>
          <w:p>
            <w:pPr>
              <w:widowControl/>
              <w:jc w:val="center"/>
              <w:rPr>
                <w:color w:val="000000"/>
                <w:sz w:val="18"/>
                <w:szCs w:val="18"/>
              </w:rPr>
            </w:pPr>
            <w:r>
              <w:rPr>
                <w:color w:val="000000"/>
                <w:sz w:val="18"/>
                <w:szCs w:val="18"/>
              </w:rPr>
              <w:t>0.08</w:t>
            </w:r>
          </w:p>
        </w:tc>
        <w:tc>
          <w:tcPr>
            <w:tcW w:w="43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sz w:val="18"/>
                <w:szCs w:val="18"/>
              </w:rPr>
            </w:pPr>
            <w:r>
              <w:rPr>
                <w:color w:val="000000"/>
                <w:sz w:val="18"/>
                <w:szCs w:val="18"/>
              </w:rPr>
              <w:t>0.06</w:t>
            </w:r>
          </w:p>
        </w:tc>
        <w:tc>
          <w:tcPr>
            <w:tcW w:w="4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sz w:val="18"/>
                <w:szCs w:val="18"/>
              </w:rPr>
            </w:pPr>
            <w:r>
              <w:rPr>
                <w:color w:val="000000"/>
                <w:sz w:val="18"/>
                <w:szCs w:val="18"/>
              </w:rPr>
              <w:t>0.06</w:t>
            </w:r>
          </w:p>
        </w:tc>
        <w:tc>
          <w:tcPr>
            <w:tcW w:w="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sz w:val="18"/>
                <w:szCs w:val="18"/>
              </w:rPr>
            </w:pPr>
            <w:r>
              <w:rPr>
                <w:color w:val="000000"/>
                <w:sz w:val="18"/>
                <w:szCs w:val="18"/>
              </w:rPr>
              <w:t>0.13</w:t>
            </w:r>
          </w:p>
        </w:tc>
      </w:tr>
      <w:tr>
        <w:tblPrEx>
          <w:tblCellMar>
            <w:top w:w="0" w:type="dxa"/>
            <w:left w:w="108" w:type="dxa"/>
            <w:bottom w:w="0" w:type="dxa"/>
            <w:right w:w="108" w:type="dxa"/>
          </w:tblCellMar>
        </w:tblPrEx>
        <w:trPr>
          <w:trHeight w:val="1026" w:hRule="atLeast"/>
          <w:jc w:val="center"/>
        </w:trPr>
        <w:tc>
          <w:tcPr>
            <w:tcW w:w="2049" w:type="pct"/>
            <w:gridSpan w:val="5"/>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kern w:val="0"/>
                <w:sz w:val="18"/>
                <w:szCs w:val="18"/>
              </w:rPr>
            </w:pPr>
            <w:r>
              <w:rPr>
                <w:kern w:val="0"/>
                <w:sz w:val="18"/>
                <w:szCs w:val="18"/>
              </w:rPr>
              <w:t>各环节对课程目标达成的贡献率（</w:t>
            </w:r>
            <w:r>
              <w:rPr>
                <w:i/>
                <w:kern w:val="0"/>
                <w:sz w:val="18"/>
                <w:szCs w:val="18"/>
              </w:rPr>
              <w:t>M</w:t>
            </w:r>
            <w:r>
              <w:rPr>
                <w:i/>
                <w:kern w:val="0"/>
                <w:sz w:val="18"/>
                <w:szCs w:val="18"/>
                <w:vertAlign w:val="subscript"/>
              </w:rPr>
              <w:t>k</w:t>
            </w:r>
            <w:r>
              <w:rPr>
                <w:kern w:val="0"/>
                <w:sz w:val="18"/>
                <w:szCs w:val="18"/>
              </w:rPr>
              <w:t>）</w:t>
            </w:r>
          </w:p>
        </w:tc>
        <w:tc>
          <w:tcPr>
            <w:tcW w:w="53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sz w:val="18"/>
                <w:szCs w:val="18"/>
              </w:rPr>
            </w:pPr>
            <w:r>
              <w:rPr>
                <w:color w:val="000000"/>
                <w:sz w:val="18"/>
                <w:szCs w:val="18"/>
              </w:rPr>
              <w:t>0.18</w:t>
            </w:r>
          </w:p>
        </w:tc>
        <w:tc>
          <w:tcPr>
            <w:tcW w:w="51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sz w:val="18"/>
                <w:szCs w:val="18"/>
              </w:rPr>
            </w:pPr>
            <w:r>
              <w:rPr>
                <w:color w:val="000000"/>
                <w:sz w:val="18"/>
                <w:szCs w:val="18"/>
              </w:rPr>
              <w:t>0.18</w:t>
            </w:r>
          </w:p>
        </w:tc>
        <w:tc>
          <w:tcPr>
            <w:tcW w:w="51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sz w:val="18"/>
                <w:szCs w:val="18"/>
              </w:rPr>
            </w:pPr>
            <w:r>
              <w:rPr>
                <w:color w:val="000000"/>
                <w:sz w:val="18"/>
                <w:szCs w:val="18"/>
              </w:rPr>
              <w:t>0.64</w:t>
            </w:r>
          </w:p>
        </w:tc>
        <w:tc>
          <w:tcPr>
            <w:tcW w:w="1387"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教师出题或布置作业时</w:t>
            </w:r>
          </w:p>
          <w:p>
            <w:pPr>
              <w:jc w:val="center"/>
              <w:rPr>
                <w:b/>
                <w:sz w:val="18"/>
                <w:szCs w:val="18"/>
              </w:rPr>
            </w:pPr>
            <w:r>
              <w:rPr>
                <w:sz w:val="18"/>
                <w:szCs w:val="18"/>
              </w:rPr>
              <w:t>要尽量做到按照以上比例布局</w:t>
            </w:r>
          </w:p>
        </w:tc>
      </w:tr>
    </w:tbl>
    <w:p>
      <w:pPr>
        <w:spacing w:line="360" w:lineRule="auto"/>
        <w:jc w:val="left"/>
      </w:pPr>
    </w:p>
    <w:p>
      <w:pPr>
        <w:spacing w:line="360" w:lineRule="auto"/>
        <w:sectPr>
          <w:pgSz w:w="16838" w:h="11906" w:orient="landscape"/>
          <w:pgMar w:top="1797" w:right="1440" w:bottom="1797" w:left="1440" w:header="851" w:footer="992" w:gutter="0"/>
          <w:pgNumType w:fmt="decimal"/>
          <w:cols w:space="425" w:num="1"/>
          <w:docGrid w:linePitch="312" w:charSpace="0"/>
        </w:sectPr>
      </w:pPr>
    </w:p>
    <w:p>
      <w:pPr>
        <w:spacing w:line="360" w:lineRule="auto"/>
        <w:ind w:firstLine="420" w:firstLineChars="200"/>
        <w:rPr>
          <w:szCs w:val="21"/>
        </w:rPr>
      </w:pPr>
      <w:r>
        <w:rPr>
          <w:rFonts w:hint="eastAsia"/>
          <w:szCs w:val="21"/>
        </w:rPr>
        <w:t>采用达成值计算法，辅以对学生的问卷调查法。</w:t>
      </w:r>
    </w:p>
    <w:p>
      <w:pPr>
        <w:spacing w:line="360" w:lineRule="auto"/>
        <w:ind w:firstLine="422" w:firstLineChars="200"/>
        <w:rPr>
          <w:b/>
          <w:bCs/>
          <w:szCs w:val="21"/>
        </w:rPr>
      </w:pPr>
      <w:r>
        <w:rPr>
          <w:rFonts w:hint="eastAsia"/>
          <w:b/>
          <w:bCs/>
          <w:szCs w:val="21"/>
        </w:rPr>
        <w:t>课程目标定量评价：</w:t>
      </w:r>
    </w:p>
    <w:p>
      <w:pPr>
        <w:spacing w:line="360" w:lineRule="auto"/>
        <w:ind w:firstLine="420" w:firstLineChars="200"/>
        <w:rPr>
          <w:szCs w:val="21"/>
        </w:rPr>
      </w:pPr>
      <w:r>
        <w:rPr>
          <w:szCs w:val="21"/>
        </w:rPr>
        <w:t>达成值计算法结合上表权重分配，采用</w:t>
      </w:r>
      <w:r>
        <w:rPr>
          <w:rFonts w:hint="eastAsia"/>
          <w:szCs w:val="21"/>
        </w:rPr>
        <w:t>下表进行计算。</w:t>
      </w:r>
    </w:p>
    <w:p>
      <w:pPr>
        <w:spacing w:line="360" w:lineRule="auto"/>
        <w:ind w:firstLine="420" w:firstLineChars="200"/>
        <w:rPr>
          <w:szCs w:val="21"/>
        </w:rPr>
      </w:pPr>
      <w:r>
        <w:rPr>
          <w:szCs w:val="21"/>
        </w:rPr>
        <w:t>单一课程目标达成度评价采用下式：</w:t>
      </w:r>
    </w:p>
    <w:p>
      <w:pPr>
        <w:spacing w:line="360" w:lineRule="auto"/>
        <w:ind w:firstLine="420" w:firstLineChars="200"/>
        <w:rPr>
          <w:szCs w:val="21"/>
        </w:rPr>
      </w:pPr>
      <w:r>
        <w:rPr>
          <w:position w:val="-30"/>
          <w:szCs w:val="21"/>
        </w:rPr>
        <w:object>
          <v:shape id="_x0000_i1025" o:spt="75" type="#_x0000_t75" style="height:36pt;width:165.5pt;" o:ole="t" filled="f" o:preferrelative="t" stroked="f" coordsize="21600,21600">
            <v:path/>
            <v:fill on="f" focussize="0,0"/>
            <v:stroke on="f" joinstyle="miter"/>
            <v:imagedata r:id="rId145" o:title=""/>
            <o:lock v:ext="edit" aspectratio="t"/>
            <w10:wrap type="none"/>
            <w10:anchorlock/>
          </v:shape>
          <o:OLEObject Type="Embed" ProgID="Equation.3" ShapeID="_x0000_i1025" DrawAspect="Content" ObjectID="_1468075725" r:id="rId144">
            <o:LockedField>false</o:LockedField>
          </o:OLEObject>
        </w:object>
      </w:r>
    </w:p>
    <w:p>
      <w:pPr>
        <w:spacing w:line="360" w:lineRule="auto"/>
        <w:ind w:firstLine="420" w:firstLineChars="200"/>
        <w:rPr>
          <w:szCs w:val="21"/>
        </w:rPr>
      </w:pPr>
      <w:r>
        <w:rPr>
          <w:szCs w:val="21"/>
        </w:rPr>
        <w:t>总的课程目标达成度评价采用下式：</w:t>
      </w:r>
    </w:p>
    <w:p>
      <w:pPr>
        <w:spacing w:line="360" w:lineRule="auto"/>
        <w:ind w:firstLine="420" w:firstLineChars="200"/>
        <w:rPr>
          <w:szCs w:val="21"/>
        </w:rPr>
      </w:pPr>
      <w:r>
        <w:rPr>
          <w:position w:val="-30"/>
          <w:szCs w:val="21"/>
        </w:rPr>
        <w:object>
          <v:shape id="_x0000_i1026" o:spt="75" type="#_x0000_t75" style="height:36pt;width:150pt;" o:ole="t" filled="f" o:preferrelative="t" stroked="f" coordsize="21600,21600">
            <v:path/>
            <v:fill on="f" focussize="0,0"/>
            <v:stroke on="f" joinstyle="miter"/>
            <v:imagedata r:id="rId147" o:title=""/>
            <o:lock v:ext="edit" aspectratio="t"/>
            <w10:wrap type="none"/>
            <w10:anchorlock/>
          </v:shape>
          <o:OLEObject Type="Embed" ProgID="Equation.3" ShapeID="_x0000_i1026" DrawAspect="Content" ObjectID="_1468075726" r:id="rId146">
            <o:LockedField>false</o:LockedField>
          </o:OLEObject>
        </w:object>
      </w:r>
    </w:p>
    <w:p>
      <w:pPr>
        <w:spacing w:line="360" w:lineRule="auto"/>
        <w:ind w:firstLine="420" w:firstLineChars="200"/>
        <w:rPr>
          <w:szCs w:val="21"/>
        </w:rPr>
      </w:pPr>
      <w:r>
        <w:rPr>
          <w:szCs w:val="21"/>
        </w:rPr>
        <w:t>以上公式中：</w:t>
      </w:r>
    </w:p>
    <w:p>
      <w:pPr>
        <w:spacing w:line="360" w:lineRule="auto"/>
        <w:ind w:firstLine="420" w:firstLineChars="200"/>
        <w:rPr>
          <w:szCs w:val="21"/>
        </w:rPr>
      </w:pPr>
      <w:r>
        <w:rPr>
          <w:i/>
          <w:szCs w:val="21"/>
        </w:rPr>
        <w:t>k</w:t>
      </w:r>
      <w:r>
        <w:rPr>
          <w:szCs w:val="21"/>
        </w:rPr>
        <w:t>表示不同的评价方式，</w:t>
      </w:r>
      <w:r>
        <w:rPr>
          <w:i/>
          <w:szCs w:val="21"/>
        </w:rPr>
        <w:t>i</w:t>
      </w:r>
      <w:r>
        <w:rPr>
          <w:szCs w:val="21"/>
        </w:rPr>
        <w:t>表示不同的课程目标。</w:t>
      </w:r>
    </w:p>
    <w:p>
      <w:pPr>
        <w:spacing w:line="360" w:lineRule="auto"/>
        <w:ind w:firstLine="420" w:firstLineChars="200"/>
      </w:pPr>
      <w:r>
        <w:rPr>
          <w:position w:val="-10"/>
        </w:rPr>
        <w:object>
          <v:shape id="_x0000_i1027" o:spt="75" type="#_x0000_t75" style="height:17.5pt;width:14.5pt;" o:ole="t" filled="f" o:preferrelative="t" stroked="f" coordsize="21600,21600">
            <v:path/>
            <v:fill on="f" focussize="0,0"/>
            <v:stroke on="f" joinstyle="miter"/>
            <v:imagedata r:id="rId149" o:title=""/>
            <o:lock v:ext="edit" aspectratio="t"/>
            <w10:wrap type="none"/>
            <w10:anchorlock/>
          </v:shape>
          <o:OLEObject Type="Embed" ProgID="Equation.3" ShapeID="_x0000_i1027" DrawAspect="Content" ObjectID="_1468075727" r:id="rId148">
            <o:LockedField>false</o:LockedField>
          </o:OLEObject>
        </w:object>
      </w:r>
      <w:r>
        <w:t>表示第</w:t>
      </w:r>
      <w:r>
        <w:rPr>
          <w:i/>
        </w:rPr>
        <w:t>k</w:t>
      </w:r>
      <w:r>
        <w:t>种评价方式期末评价成绩平均分，均为百分制；</w:t>
      </w:r>
    </w:p>
    <w:p>
      <w:pPr>
        <w:spacing w:line="360" w:lineRule="auto"/>
        <w:ind w:firstLine="420" w:firstLineChars="200"/>
      </w:pPr>
      <w:r>
        <w:rPr>
          <w:position w:val="-10"/>
        </w:rPr>
        <w:object>
          <v:shape id="_x0000_i1028" o:spt="75" type="#_x0000_t75" style="height:17.5pt;width:74.5pt;" o:ole="t" filled="f" o:preferrelative="t" stroked="f" coordsize="21600,21600">
            <v:path/>
            <v:fill on="f" focussize="0,0"/>
            <v:stroke on="f" joinstyle="miter"/>
            <v:imagedata r:id="rId151" o:title=""/>
            <o:lock v:ext="edit" aspectratio="t"/>
            <w10:wrap type="none"/>
            <w10:anchorlock/>
          </v:shape>
          <o:OLEObject Type="Embed" ProgID="Equation.3" ShapeID="_x0000_i1028" DrawAspect="Content" ObjectID="_1468075728" r:id="rId150">
            <o:LockedField>false</o:LockedField>
          </o:OLEObject>
        </w:object>
      </w:r>
      <w:r>
        <w:t>是第</w:t>
      </w:r>
      <w:r>
        <w:rPr>
          <w:i/>
        </w:rPr>
        <w:t>k</w:t>
      </w:r>
      <w:r>
        <w:t>种评价方式通过第</w:t>
      </w:r>
      <w:r>
        <w:rPr>
          <w:i/>
        </w:rPr>
        <w:t>i</w:t>
      </w:r>
      <w:r>
        <w:t>个课程目标反映在总的课程目标评分占比；</w:t>
      </w:r>
    </w:p>
    <w:p>
      <w:pPr>
        <w:spacing w:line="360" w:lineRule="auto"/>
        <w:ind w:firstLine="420" w:firstLineChars="200"/>
        <w:rPr>
          <w:szCs w:val="21"/>
        </w:rPr>
      </w:pPr>
      <w:r>
        <w:rPr>
          <w:position w:val="-10"/>
        </w:rPr>
        <w:object>
          <v:shape id="_x0000_i1029" o:spt="75" type="#_x0000_t75" style="height:17.5pt;width:17.5pt;" o:ole="t" filled="f" o:preferrelative="t" stroked="f" coordsize="21600,21600">
            <v:path/>
            <v:fill on="f" focussize="0,0"/>
            <v:stroke on="f" joinstyle="miter"/>
            <v:imagedata r:id="rId153" o:title=""/>
            <o:lock v:ext="edit" aspectratio="t"/>
            <w10:wrap type="none"/>
            <w10:anchorlock/>
          </v:shape>
          <o:OLEObject Type="Embed" ProgID="Equation.3" ShapeID="_x0000_i1029" DrawAspect="Content" ObjectID="_1468075729" r:id="rId152">
            <o:LockedField>false</o:LockedField>
          </o:OLEObject>
        </w:object>
      </w:r>
      <w:r>
        <w:t>表示第</w:t>
      </w:r>
      <w:r>
        <w:rPr>
          <w:i/>
        </w:rPr>
        <w:t>k</w:t>
      </w:r>
      <w:r>
        <w:t>种评价方式对第</w:t>
      </w:r>
      <w:r>
        <w:rPr>
          <w:i/>
        </w:rPr>
        <w:t>i</w:t>
      </w:r>
      <w:r>
        <w:t>个课程目标百分占比；</w:t>
      </w:r>
    </w:p>
    <w:p>
      <w:pPr>
        <w:spacing w:line="360" w:lineRule="auto"/>
        <w:ind w:firstLine="420" w:firstLineChars="200"/>
      </w:pPr>
      <w:r>
        <w:rPr>
          <w:position w:val="-10"/>
        </w:rPr>
        <w:object>
          <v:shape id="_x0000_i1030" o:spt="75" type="#_x0000_t75" style="height:17.5pt;width:13pt;" o:ole="t" filled="f" o:preferrelative="t" stroked="f" coordsize="21600,21600">
            <v:path/>
            <v:fill on="f" focussize="0,0"/>
            <v:stroke on="f" joinstyle="miter"/>
            <v:imagedata r:id="rId155" o:title=""/>
            <o:lock v:ext="edit" aspectratio="t"/>
            <w10:wrap type="none"/>
            <w10:anchorlock/>
          </v:shape>
          <o:OLEObject Type="Embed" ProgID="Equation.3" ShapeID="_x0000_i1030" DrawAspect="Content" ObjectID="_1468075730" r:id="rId154">
            <o:LockedField>false</o:LockedField>
          </o:OLEObject>
        </w:object>
      </w:r>
      <w:r>
        <w:t>表示第</w:t>
      </w:r>
      <w:r>
        <w:rPr>
          <w:i/>
        </w:rPr>
        <w:t>i</w:t>
      </w:r>
      <w:r>
        <w:t>个课程目标在课程总评价中的占比；</w:t>
      </w:r>
    </w:p>
    <w:p>
      <w:pPr>
        <w:spacing w:line="360" w:lineRule="auto"/>
        <w:ind w:firstLine="422" w:firstLineChars="200"/>
        <w:rPr>
          <w:b/>
          <w:bCs/>
          <w:position w:val="-10"/>
          <w:szCs w:val="22"/>
        </w:rPr>
      </w:pPr>
      <w:r>
        <w:rPr>
          <w:rFonts w:hint="eastAsia"/>
          <w:b/>
          <w:bCs/>
          <w:position w:val="-10"/>
          <w:szCs w:val="22"/>
        </w:rPr>
        <w:t>课程目标定性评价：</w:t>
      </w:r>
    </w:p>
    <w:p>
      <w:pPr>
        <w:spacing w:line="360" w:lineRule="auto"/>
        <w:ind w:firstLine="420" w:firstLineChars="200"/>
        <w:rPr>
          <w:rFonts w:ascii="宋体" w:hAnsi="宋体" w:cs="宋体"/>
          <w:szCs w:val="21"/>
        </w:rPr>
      </w:pPr>
      <w:r>
        <w:rPr>
          <w:rFonts w:hint="eastAsia" w:ascii="宋体" w:hAnsi="宋体" w:cs="宋体"/>
          <w:szCs w:val="21"/>
        </w:rPr>
        <w:t>针对每门课的课程目标，直接设计问题，并要求学生明确给出目标能力达到的程度“很好（0.95）、较好（0.75）、中（0.60）、较差（0.45）、很差（0.25）”，根据各区段统计比例与括号中的目标分值加权后求和得出定性评价的结果。</w:t>
      </w:r>
    </w:p>
    <w:p>
      <w:pPr>
        <w:spacing w:line="360" w:lineRule="auto"/>
        <w:ind w:firstLine="422" w:firstLineChars="200"/>
        <w:rPr>
          <w:b/>
          <w:bCs/>
          <w:position w:val="-10"/>
          <w:szCs w:val="22"/>
        </w:rPr>
      </w:pPr>
      <w:r>
        <w:rPr>
          <w:rFonts w:hint="eastAsia"/>
          <w:b/>
          <w:bCs/>
          <w:position w:val="-10"/>
          <w:szCs w:val="22"/>
        </w:rPr>
        <w:t>课程目标达成结果：</w:t>
      </w:r>
    </w:p>
    <w:p>
      <w:pPr>
        <w:spacing w:line="360" w:lineRule="auto"/>
        <w:ind w:firstLine="420" w:firstLineChars="200"/>
        <w:rPr>
          <w:rFonts w:ascii="宋体" w:hAnsi="宋体" w:cs="宋体"/>
          <w:szCs w:val="21"/>
        </w:rPr>
      </w:pPr>
      <w:r>
        <w:rPr>
          <w:rFonts w:hint="eastAsia" w:ascii="宋体" w:hAnsi="宋体" w:cs="宋体"/>
          <w:szCs w:val="21"/>
        </w:rPr>
        <w:t>同一课程目标的评价，取定性评价和定量评价的平均值，作为最终评价结果。</w:t>
      </w:r>
    </w:p>
    <w:p>
      <w:pPr>
        <w:spacing w:line="360" w:lineRule="auto"/>
        <w:ind w:firstLine="420" w:firstLineChars="200"/>
        <w:rPr>
          <w:position w:val="-10"/>
          <w:szCs w:val="22"/>
        </w:rPr>
      </w:pPr>
      <w:r>
        <w:rPr>
          <w:rFonts w:hint="eastAsia"/>
          <w:position w:val="-10"/>
          <w:szCs w:val="22"/>
        </w:rPr>
        <w:t>课程目标达成度大于等于0.71为一级达成，大于等于0.65为二级达成。</w:t>
      </w:r>
    </w:p>
    <w:p>
      <w:pPr>
        <w:widowControl/>
        <w:jc w:val="left"/>
        <w:rPr>
          <w:rFonts w:eastAsia="黑体"/>
          <w:szCs w:val="24"/>
        </w:rPr>
      </w:pPr>
    </w:p>
    <w:p>
      <w:pPr>
        <w:tabs>
          <w:tab w:val="left" w:pos="420"/>
        </w:tabs>
        <w:adjustRightInd w:val="0"/>
        <w:snapToGrid w:val="0"/>
        <w:spacing w:line="360" w:lineRule="auto"/>
        <w:ind w:left="420" w:hanging="420"/>
        <w:rPr>
          <w:rFonts w:eastAsia="黑体"/>
          <w:szCs w:val="24"/>
        </w:rPr>
      </w:pPr>
      <w:r>
        <w:rPr>
          <w:rFonts w:hint="eastAsia" w:eastAsia="黑体"/>
          <w:szCs w:val="24"/>
        </w:rPr>
        <w:t>十一、各环节评价标准</w:t>
      </w:r>
    </w:p>
    <w:p>
      <w:pPr>
        <w:spacing w:line="360" w:lineRule="auto"/>
        <w:ind w:firstLine="420" w:firstLineChars="200"/>
        <w:rPr>
          <w:szCs w:val="21"/>
        </w:rPr>
      </w:pPr>
      <w:r>
        <w:rPr>
          <w:rFonts w:hint="eastAsia"/>
          <w:szCs w:val="21"/>
        </w:rPr>
        <w:t>本课程允许教师在各评价环节根据具体情况采取多样化、个性化的考核手段，其评价标准应当在《</w:t>
      </w:r>
      <w:r>
        <w:rPr>
          <w:rFonts w:hint="eastAsia" w:ascii="宋体" w:hAnsi="宋体"/>
          <w:szCs w:val="21"/>
        </w:rPr>
        <w:t>SIE-CT-01：</w:t>
      </w:r>
      <w:r>
        <w:rPr>
          <w:rFonts w:hint="eastAsia"/>
          <w:szCs w:val="21"/>
        </w:rPr>
        <w:t>授课计划》中明确并向学生公布，教学过程中的考核评价应当严格按照标准完成。</w:t>
      </w:r>
    </w:p>
    <w:p>
      <w:pPr>
        <w:tabs>
          <w:tab w:val="left" w:pos="420"/>
        </w:tabs>
        <w:adjustRightInd w:val="0"/>
        <w:snapToGrid w:val="0"/>
        <w:spacing w:line="360" w:lineRule="auto"/>
        <w:ind w:left="420" w:hanging="420"/>
        <w:rPr>
          <w:color w:val="0000FF"/>
        </w:rPr>
      </w:pPr>
    </w:p>
    <w:p>
      <w:pPr>
        <w:tabs>
          <w:tab w:val="left" w:pos="420"/>
        </w:tabs>
        <w:adjustRightInd w:val="0"/>
        <w:snapToGrid w:val="0"/>
        <w:spacing w:line="360" w:lineRule="auto"/>
        <w:ind w:left="420" w:hanging="420"/>
        <w:rPr>
          <w:rFonts w:eastAsia="黑体"/>
          <w:szCs w:val="24"/>
        </w:rPr>
      </w:pPr>
      <w:r>
        <w:rPr>
          <w:rFonts w:hint="eastAsia" w:eastAsia="黑体"/>
          <w:szCs w:val="24"/>
        </w:rPr>
        <w:t>十二、课程目标达成评价结果用于持续改进</w:t>
      </w:r>
    </w:p>
    <w:p>
      <w:pPr>
        <w:spacing w:line="360" w:lineRule="auto"/>
        <w:ind w:firstLine="420" w:firstLineChars="200"/>
        <w:rPr>
          <w:szCs w:val="21"/>
        </w:rPr>
      </w:pPr>
      <w:r>
        <w:rPr>
          <w:rFonts w:hint="eastAsia"/>
          <w:szCs w:val="21"/>
        </w:rPr>
        <w:t>课程目标达成评价结果将用于后续教学过程的持续改进。</w:t>
      </w:r>
    </w:p>
    <w:p>
      <w:pPr>
        <w:spacing w:line="360" w:lineRule="auto"/>
        <w:ind w:firstLine="420" w:firstLineChars="200"/>
        <w:rPr>
          <w:szCs w:val="21"/>
        </w:rPr>
      </w:pPr>
      <w:r>
        <w:rPr>
          <w:rFonts w:hint="eastAsia"/>
          <w:szCs w:val="21"/>
        </w:rPr>
        <w:t>针对课程目标达成评价中发现的问题与不足，重点是达成值相对较低的项，在本次授课总结中应由授课教师分析具体原因，并给出改进建议。后续任课教师应当针对以前的问题和建议，在授课计划中做好落实改进计划，并在授课过程中予以落实。</w:t>
      </w:r>
    </w:p>
    <w:p>
      <w:pPr>
        <w:pStyle w:val="18"/>
        <w:spacing w:before="240" w:after="360"/>
      </w:pPr>
      <w:bookmarkStart w:id="3" w:name="_Toc26106"/>
      <w:r>
        <w:rPr>
          <w:rFonts w:hint="eastAsia"/>
        </w:rPr>
        <w:t>《信号与系统》教学大纲</w:t>
      </w:r>
      <w:bookmarkEnd w:id="3"/>
    </w:p>
    <w:p>
      <w:pPr>
        <w:adjustRightInd w:val="0"/>
        <w:snapToGrid w:val="0"/>
        <w:spacing w:line="360" w:lineRule="auto"/>
        <w:rPr>
          <w:bCs/>
          <w:kern w:val="0"/>
        </w:rPr>
      </w:pPr>
      <w:r>
        <w:rPr>
          <w:rFonts w:hint="eastAsia" w:eastAsia="黑体"/>
          <w:szCs w:val="21"/>
        </w:rPr>
        <w:t>课程编号：</w:t>
      </w:r>
      <w:r>
        <w:rPr>
          <w:rFonts w:eastAsia="黑体"/>
          <w:szCs w:val="21"/>
        </w:rPr>
        <w:t>Y02060011</w:t>
      </w:r>
    </w:p>
    <w:p>
      <w:pPr>
        <w:adjustRightInd w:val="0"/>
        <w:snapToGrid w:val="0"/>
        <w:spacing w:line="360" w:lineRule="auto"/>
        <w:rPr>
          <w:snapToGrid w:val="0"/>
          <w:kern w:val="0"/>
          <w:szCs w:val="21"/>
        </w:rPr>
      </w:pPr>
      <w:r>
        <w:rPr>
          <w:rFonts w:hint="eastAsia" w:eastAsia="黑体"/>
          <w:szCs w:val="21"/>
        </w:rPr>
        <w:t>课程名称：</w:t>
      </w:r>
      <w:r>
        <w:rPr>
          <w:rFonts w:hint="eastAsia"/>
          <w:szCs w:val="21"/>
        </w:rPr>
        <w:t>信号与系统</w:t>
      </w:r>
      <w:r>
        <w:rPr>
          <w:szCs w:val="21"/>
        </w:rPr>
        <w:tab/>
      </w:r>
      <w:r>
        <w:rPr>
          <w:szCs w:val="21"/>
        </w:rPr>
        <w:tab/>
      </w:r>
      <w:r>
        <w:rPr>
          <w:szCs w:val="21"/>
        </w:rPr>
        <w:tab/>
      </w:r>
      <w:r>
        <w:rPr>
          <w:szCs w:val="21"/>
        </w:rPr>
        <w:tab/>
      </w:r>
      <w:r>
        <w:rPr>
          <w:szCs w:val="21"/>
        </w:rPr>
        <w:tab/>
      </w:r>
      <w:r>
        <w:rPr>
          <w:rFonts w:hint="eastAsia" w:eastAsia="黑体"/>
          <w:szCs w:val="21"/>
        </w:rPr>
        <w:t>开课单位：</w:t>
      </w:r>
      <w:r>
        <w:rPr>
          <w:rFonts w:hint="eastAsia"/>
          <w:szCs w:val="21"/>
        </w:rPr>
        <w:t>仪器与电子学院</w:t>
      </w:r>
      <w:r>
        <w:rPr>
          <w:rFonts w:eastAsia="黑体"/>
          <w:szCs w:val="21"/>
        </w:rPr>
        <w:tab/>
      </w:r>
    </w:p>
    <w:p>
      <w:pPr>
        <w:adjustRightInd w:val="0"/>
        <w:snapToGrid w:val="0"/>
        <w:spacing w:line="360" w:lineRule="auto"/>
        <w:rPr>
          <w:rFonts w:eastAsia="黑体"/>
          <w:szCs w:val="21"/>
        </w:rPr>
      </w:pPr>
      <w:r>
        <w:rPr>
          <w:rFonts w:hint="eastAsia" w:eastAsia="黑体"/>
          <w:szCs w:val="21"/>
        </w:rPr>
        <w:t>总学时：</w:t>
      </w:r>
      <w:r>
        <w:rPr>
          <w:szCs w:val="21"/>
        </w:rPr>
        <w:t>4</w:t>
      </w:r>
      <w:r>
        <w:rPr>
          <w:rFonts w:hint="eastAsia"/>
          <w:szCs w:val="21"/>
        </w:rPr>
        <w:t>8</w:t>
      </w:r>
      <w:r>
        <w:rPr>
          <w:szCs w:val="21"/>
        </w:rPr>
        <w:t xml:space="preserve"> (</w:t>
      </w:r>
      <w:r>
        <w:rPr>
          <w:rFonts w:hint="eastAsia"/>
          <w:szCs w:val="21"/>
        </w:rPr>
        <w:t>实验8学时</w:t>
      </w:r>
      <w:r>
        <w:rPr>
          <w:szCs w:val="21"/>
        </w:rPr>
        <w:t>)</w:t>
      </w:r>
      <w:r>
        <w:rPr>
          <w:rFonts w:eastAsia="黑体"/>
          <w:szCs w:val="21"/>
        </w:rPr>
        <w:tab/>
      </w:r>
      <w:r>
        <w:rPr>
          <w:rFonts w:eastAsia="黑体"/>
          <w:szCs w:val="21"/>
        </w:rPr>
        <w:tab/>
      </w:r>
      <w:r>
        <w:rPr>
          <w:rFonts w:eastAsia="黑体"/>
          <w:szCs w:val="21"/>
        </w:rPr>
        <w:tab/>
      </w:r>
      <w:r>
        <w:rPr>
          <w:rFonts w:eastAsia="黑体"/>
          <w:szCs w:val="21"/>
        </w:rPr>
        <w:tab/>
      </w:r>
      <w:r>
        <w:rPr>
          <w:rFonts w:hint="eastAsia" w:eastAsia="黑体"/>
          <w:szCs w:val="21"/>
        </w:rPr>
        <w:t>学分：3</w:t>
      </w:r>
    </w:p>
    <w:p>
      <w:pPr>
        <w:adjustRightInd w:val="0"/>
        <w:snapToGrid w:val="0"/>
        <w:spacing w:line="360" w:lineRule="auto"/>
        <w:rPr>
          <w:rFonts w:eastAsia="黑体"/>
          <w:szCs w:val="21"/>
        </w:rPr>
      </w:pPr>
      <w:r>
        <w:rPr>
          <w:rFonts w:hint="eastAsia" w:eastAsia="黑体"/>
          <w:szCs w:val="21"/>
        </w:rPr>
        <w:t>适用专业：</w:t>
      </w:r>
      <w:r>
        <w:rPr>
          <w:rFonts w:hint="eastAsia" w:ascii="宋体" w:hAnsi="宋体" w:cs="宋体"/>
        </w:rPr>
        <w:t>测控技术与仪器专业、电子科学与技术专业、</w:t>
      </w:r>
      <w:r>
        <w:rPr>
          <w:rFonts w:hint="eastAsia" w:ascii="宋体" w:hAnsi="宋体" w:cs="宋体"/>
          <w:lang w:eastAsia="zh-CN"/>
        </w:rPr>
        <w:t>智能感知工程</w:t>
      </w:r>
      <w:r>
        <w:rPr>
          <w:rFonts w:hint="eastAsia" w:ascii="宋体" w:hAnsi="宋体" w:cs="宋体"/>
        </w:rPr>
        <w:t>专业</w:t>
      </w:r>
    </w:p>
    <w:p>
      <w:pPr>
        <w:adjustRightInd w:val="0"/>
        <w:snapToGrid w:val="0"/>
        <w:spacing w:line="360" w:lineRule="auto"/>
        <w:rPr>
          <w:rFonts w:ascii="宋体" w:hAnsi="宋体" w:cs="宋体"/>
        </w:rPr>
      </w:pPr>
      <w:r>
        <w:rPr>
          <w:rFonts w:hint="eastAsia" w:eastAsia="黑体"/>
          <w:szCs w:val="21"/>
        </w:rPr>
        <w:t>先修课程：</w:t>
      </w:r>
      <w:r>
        <w:rPr>
          <w:rFonts w:hint="eastAsia" w:ascii="宋体" w:hAnsi="宋体" w:cs="宋体"/>
        </w:rPr>
        <w:t>高等数学、复变函数与积分变换、电路分析基础、模拟电子技术</w:t>
      </w:r>
    </w:p>
    <w:p>
      <w:pPr>
        <w:adjustRightInd w:val="0"/>
        <w:snapToGrid w:val="0"/>
        <w:spacing w:line="360" w:lineRule="auto"/>
        <w:rPr>
          <w:rFonts w:ascii="宋体" w:cs="宋体"/>
        </w:rPr>
      </w:pPr>
      <w:r>
        <w:rPr>
          <w:rFonts w:hint="eastAsia" w:eastAsia="黑体"/>
        </w:rPr>
        <w:t>大纲撰写人：</w:t>
      </w:r>
      <w:r>
        <w:rPr>
          <w:rFonts w:hint="eastAsia"/>
        </w:rPr>
        <w:t>张晓明</w:t>
      </w:r>
    </w:p>
    <w:p>
      <w:pPr>
        <w:adjustRightInd w:val="0"/>
        <w:snapToGrid w:val="0"/>
        <w:spacing w:line="360" w:lineRule="auto"/>
        <w:rPr>
          <w:rFonts w:ascii="宋体" w:hAnsi="宋体"/>
          <w:szCs w:val="21"/>
        </w:rPr>
      </w:pPr>
      <w:r>
        <w:rPr>
          <w:rFonts w:hint="eastAsia" w:eastAsia="黑体"/>
          <w:szCs w:val="21"/>
        </w:rPr>
        <w:t>大纲编写（修订）时间：</w:t>
      </w:r>
      <w:r>
        <w:rPr>
          <w:szCs w:val="21"/>
        </w:rPr>
        <w:t>2019年5月</w:t>
      </w:r>
    </w:p>
    <w:p>
      <w:pPr>
        <w:rPr>
          <w:b/>
          <w:bCs/>
        </w:rPr>
      </w:pPr>
    </w:p>
    <w:p>
      <w:pPr>
        <w:spacing w:line="360" w:lineRule="auto"/>
        <w:rPr>
          <w:rFonts w:ascii="黑体" w:hAnsi="黑体" w:eastAsia="黑体"/>
        </w:rPr>
      </w:pPr>
      <w:r>
        <w:rPr>
          <w:rFonts w:hint="eastAsia" w:ascii="黑体" w:hAnsi="黑体" w:eastAsia="黑体"/>
        </w:rPr>
        <w:t>一、课程在教学计划中的地位、作用</w:t>
      </w:r>
    </w:p>
    <w:p>
      <w:pPr>
        <w:spacing w:line="360" w:lineRule="auto"/>
        <w:ind w:firstLine="420" w:firstLineChars="200"/>
      </w:pPr>
      <w:r>
        <w:rPr>
          <w:rFonts w:hint="eastAsia" w:cs="宋体"/>
        </w:rPr>
        <w:t>本课程是</w:t>
      </w:r>
      <w:r>
        <w:rPr>
          <w:rFonts w:hint="eastAsia" w:ascii="宋体" w:hAnsi="宋体" w:cs="宋体"/>
        </w:rPr>
        <w:t>测控技术及仪器专业、电子科学与技术专业、</w:t>
      </w:r>
      <w:r>
        <w:rPr>
          <w:rFonts w:hint="eastAsia" w:ascii="宋体" w:hAnsi="宋体" w:cs="宋体"/>
          <w:lang w:eastAsia="zh-CN"/>
        </w:rPr>
        <w:t>智能感知工程</w:t>
      </w:r>
      <w:r>
        <w:rPr>
          <w:rFonts w:hint="eastAsia" w:ascii="宋体" w:hAnsi="宋体" w:cs="宋体"/>
        </w:rPr>
        <w:t>专业的学科基础教育课程。信号</w:t>
      </w:r>
      <w:r>
        <w:rPr>
          <w:rFonts w:hint="eastAsia" w:cs="宋体"/>
        </w:rPr>
        <w:t>与系统课程是联系</w:t>
      </w:r>
      <w:r>
        <w:rPr>
          <w:rFonts w:hint="eastAsia"/>
          <w:bCs/>
          <w:kern w:val="0"/>
        </w:rPr>
        <w:t>数学与自然科学基本理论、</w:t>
      </w:r>
      <w:r>
        <w:rPr>
          <w:rFonts w:hint="eastAsia" w:cs="宋体"/>
        </w:rPr>
        <w:t>工程信号与系统分析设计两者的桥梁和纽带。本课程</w:t>
      </w:r>
      <w:r>
        <w:rPr>
          <w:szCs w:val="21"/>
        </w:rPr>
        <w:t>以提高学生</w:t>
      </w:r>
      <w:r>
        <w:rPr>
          <w:rFonts w:hint="eastAsia"/>
          <w:szCs w:val="21"/>
        </w:rPr>
        <w:t>利用</w:t>
      </w:r>
      <w:r>
        <w:rPr>
          <w:szCs w:val="21"/>
        </w:rPr>
        <w:t>数学工具分析工程中信号与系统为目的，</w:t>
      </w:r>
      <w:r>
        <w:rPr>
          <w:rFonts w:hint="eastAsia" w:cs="宋体"/>
        </w:rPr>
        <w:t>采用信息论和系统论对工程实际问题进行抽象分析，主要讲授确定性连续信号、线性时不变系统时域、频域及复频域分析的基本概念和方法，</w:t>
      </w:r>
      <w:r>
        <w:rPr>
          <w:rFonts w:hint="eastAsia" w:ascii="宋体" w:hAnsi="宋体"/>
        </w:rPr>
        <w:t>为解决工程实践中所遇到的信号与系统分析与设计问题打下坚实的理论基础</w:t>
      </w:r>
      <w:r>
        <w:rPr>
          <w:rFonts w:hint="eastAsia" w:cs="宋体"/>
        </w:rPr>
        <w:t>。通过该课程的学习，使学生能够运用数学工具分析和解决典型工程问题，建立运用信号与系统理论分析问题和解决问题的基本思路和方法，具备对复杂工程中信号与系统分析和设计的基础理论知识，</w:t>
      </w:r>
      <w:r>
        <w:rPr>
          <w:rFonts w:hint="eastAsia" w:ascii="宋体" w:hAnsi="宋体" w:cs="宋体"/>
          <w:snapToGrid w:val="0"/>
          <w:kern w:val="0"/>
        </w:rPr>
        <w:t>为后续专业课程的学习打下理论基础。</w:t>
      </w:r>
    </w:p>
    <w:p/>
    <w:p>
      <w:pPr>
        <w:spacing w:line="360" w:lineRule="auto"/>
        <w:rPr>
          <w:rFonts w:ascii="黑体" w:hAnsi="黑体" w:eastAsia="黑体"/>
        </w:rPr>
      </w:pPr>
      <w:r>
        <w:rPr>
          <w:rFonts w:hint="eastAsia" w:ascii="黑体" w:hAnsi="黑体" w:eastAsia="黑体"/>
        </w:rPr>
        <w:t>二、课程目标</w:t>
      </w:r>
    </w:p>
    <w:p>
      <w:pPr>
        <w:spacing w:line="360" w:lineRule="auto"/>
        <w:jc w:val="left"/>
        <w:rPr>
          <w:rFonts w:eastAsia="黑体" w:cs="黑体"/>
        </w:rPr>
      </w:pPr>
      <w:r>
        <w:rPr>
          <w:rFonts w:hint="eastAsia"/>
        </w:rPr>
        <w:t>测控技术与仪器专业：</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4000"/>
        <w:gridCol w:w="390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sz w:val="18"/>
                <w:szCs w:val="18"/>
              </w:rPr>
              <w:t>序号</w:t>
            </w:r>
          </w:p>
        </w:tc>
        <w:tc>
          <w:tcPr>
            <w:tcW w:w="2345" w:type="pct"/>
            <w:vAlign w:val="center"/>
          </w:tcPr>
          <w:p>
            <w:pPr>
              <w:spacing w:line="360" w:lineRule="auto"/>
              <w:jc w:val="center"/>
              <w:rPr>
                <w:sz w:val="18"/>
                <w:szCs w:val="18"/>
              </w:rPr>
            </w:pPr>
            <w:r>
              <w:rPr>
                <w:sz w:val="18"/>
                <w:szCs w:val="18"/>
              </w:rPr>
              <w:t>课程目标</w:t>
            </w:r>
          </w:p>
        </w:tc>
        <w:tc>
          <w:tcPr>
            <w:tcW w:w="2288" w:type="pct"/>
            <w:vAlign w:val="center"/>
          </w:tcPr>
          <w:p>
            <w:pPr>
              <w:spacing w:line="360" w:lineRule="auto"/>
              <w:jc w:val="center"/>
              <w:rPr>
                <w:sz w:val="18"/>
                <w:szCs w:val="18"/>
              </w:rPr>
            </w:pPr>
            <w:r>
              <w:rPr>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1</w:t>
            </w:r>
          </w:p>
        </w:tc>
        <w:tc>
          <w:tcPr>
            <w:tcW w:w="2345" w:type="pct"/>
          </w:tcPr>
          <w:p>
            <w:pPr>
              <w:spacing w:line="360" w:lineRule="auto"/>
              <w:rPr>
                <w:sz w:val="18"/>
                <w:szCs w:val="18"/>
              </w:rPr>
            </w:pPr>
            <w:r>
              <w:rPr>
                <w:sz w:val="18"/>
                <w:szCs w:val="18"/>
              </w:rPr>
              <w:t>能够从时域</w:t>
            </w:r>
            <w:r>
              <w:rPr>
                <w:rFonts w:hint="eastAsia"/>
                <w:sz w:val="18"/>
                <w:szCs w:val="18"/>
              </w:rPr>
              <w:t>、</w:t>
            </w:r>
            <w:r>
              <w:rPr>
                <w:sz w:val="18"/>
                <w:szCs w:val="18"/>
              </w:rPr>
              <w:t>频域及复频域角度</w:t>
            </w:r>
            <w:r>
              <w:rPr>
                <w:rFonts w:hint="eastAsia"/>
                <w:sz w:val="18"/>
                <w:szCs w:val="18"/>
              </w:rPr>
              <w:t>，</w:t>
            </w:r>
            <w:r>
              <w:rPr>
                <w:sz w:val="18"/>
                <w:szCs w:val="18"/>
              </w:rPr>
              <w:t>列写</w:t>
            </w:r>
            <w:r>
              <w:rPr>
                <w:rFonts w:hint="eastAsia"/>
                <w:sz w:val="18"/>
                <w:szCs w:val="18"/>
              </w:rPr>
              <w:t>、</w:t>
            </w:r>
            <w:r>
              <w:rPr>
                <w:sz w:val="18"/>
                <w:szCs w:val="18"/>
              </w:rPr>
              <w:t>推导连续</w:t>
            </w:r>
            <w:r>
              <w:rPr>
                <w:rFonts w:hint="eastAsia"/>
                <w:sz w:val="18"/>
                <w:szCs w:val="18"/>
              </w:rPr>
              <w:t>确定</w:t>
            </w:r>
            <w:r>
              <w:rPr>
                <w:sz w:val="18"/>
                <w:szCs w:val="18"/>
              </w:rPr>
              <w:t>信号的线性分解</w:t>
            </w:r>
            <w:r>
              <w:rPr>
                <w:rFonts w:hint="eastAsia"/>
                <w:sz w:val="18"/>
                <w:szCs w:val="18"/>
              </w:rPr>
              <w:t>、</w:t>
            </w:r>
            <w:r>
              <w:rPr>
                <w:sz w:val="18"/>
                <w:szCs w:val="18"/>
              </w:rPr>
              <w:t>变换及其基本性质</w:t>
            </w:r>
            <w:r>
              <w:rPr>
                <w:rFonts w:hint="eastAsia"/>
                <w:sz w:val="18"/>
                <w:szCs w:val="18"/>
              </w:rPr>
              <w:t>，运用时域卷积、傅里叶变换、拉氏变换方法求解线性时不变系统的响应，</w:t>
            </w:r>
            <w:r>
              <w:rPr>
                <w:sz w:val="18"/>
                <w:szCs w:val="18"/>
              </w:rPr>
              <w:t>并解释相关概念的物理工程含义</w:t>
            </w:r>
            <w:r>
              <w:rPr>
                <w:rFonts w:hint="eastAsia"/>
                <w:sz w:val="18"/>
                <w:szCs w:val="18"/>
              </w:rPr>
              <w:t>；</w:t>
            </w:r>
          </w:p>
        </w:tc>
        <w:tc>
          <w:tcPr>
            <w:tcW w:w="2288" w:type="pct"/>
          </w:tcPr>
          <w:p>
            <w:pPr>
              <w:spacing w:line="360" w:lineRule="auto"/>
              <w:rPr>
                <w:sz w:val="18"/>
                <w:szCs w:val="18"/>
              </w:rPr>
            </w:pPr>
            <w:r>
              <w:rPr>
                <w:rFonts w:hint="eastAsia"/>
                <w:b/>
                <w:sz w:val="18"/>
                <w:szCs w:val="18"/>
              </w:rPr>
              <w:t>指标点1-1 知识体系：</w:t>
            </w:r>
            <w:r>
              <w:rPr>
                <w:rFonts w:hint="eastAsia"/>
                <w:sz w:val="18"/>
                <w:szCs w:val="18"/>
              </w:rPr>
              <w:t>具备本专业相关的数学、自然科学、光学和电子学工程基础及传感、测试、仪器等多方面的知识。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2</w:t>
            </w:r>
          </w:p>
        </w:tc>
        <w:tc>
          <w:tcPr>
            <w:tcW w:w="2345" w:type="pct"/>
          </w:tcPr>
          <w:p>
            <w:pPr>
              <w:spacing w:line="360" w:lineRule="auto"/>
              <w:rPr>
                <w:sz w:val="18"/>
                <w:szCs w:val="18"/>
              </w:rPr>
            </w:pPr>
            <w:r>
              <w:rPr>
                <w:sz w:val="18"/>
                <w:szCs w:val="18"/>
              </w:rPr>
              <w:t>能够运用时域</w:t>
            </w:r>
            <w:r>
              <w:rPr>
                <w:rFonts w:hint="eastAsia"/>
                <w:sz w:val="18"/>
                <w:szCs w:val="18"/>
              </w:rPr>
              <w:t>、</w:t>
            </w:r>
            <w:r>
              <w:rPr>
                <w:sz w:val="18"/>
                <w:szCs w:val="18"/>
              </w:rPr>
              <w:t>频域及复频域分析方法</w:t>
            </w:r>
            <w:r>
              <w:rPr>
                <w:rFonts w:hint="eastAsia"/>
                <w:sz w:val="18"/>
                <w:szCs w:val="18"/>
              </w:rPr>
              <w:t>，解决测控技术及仪器专业工程问题中的信号与系统相关问题。</w:t>
            </w:r>
          </w:p>
        </w:tc>
        <w:tc>
          <w:tcPr>
            <w:tcW w:w="2288" w:type="pct"/>
          </w:tcPr>
          <w:p>
            <w:pPr>
              <w:spacing w:line="360" w:lineRule="auto"/>
              <w:rPr>
                <w:sz w:val="18"/>
                <w:szCs w:val="18"/>
              </w:rPr>
            </w:pPr>
            <w:r>
              <w:rPr>
                <w:rFonts w:hint="eastAsia"/>
                <w:b/>
                <w:sz w:val="18"/>
                <w:szCs w:val="18"/>
              </w:rPr>
              <w:t>指标点1-2 知识运用能力</w:t>
            </w:r>
            <w:r>
              <w:rPr>
                <w:rFonts w:hint="eastAsia"/>
                <w:sz w:val="18"/>
                <w:szCs w:val="18"/>
              </w:rPr>
              <w:t>：能将基础知识恰当地应用到测控技术与仪器专业传感、测试与控制等复杂工程问题的解决中。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3</w:t>
            </w:r>
          </w:p>
        </w:tc>
        <w:tc>
          <w:tcPr>
            <w:tcW w:w="2345" w:type="pct"/>
          </w:tcPr>
          <w:p>
            <w:pPr>
              <w:spacing w:line="360" w:lineRule="auto"/>
              <w:rPr>
                <w:sz w:val="18"/>
                <w:szCs w:val="18"/>
              </w:rPr>
            </w:pPr>
            <w:r>
              <w:rPr>
                <w:rFonts w:hint="eastAsia"/>
                <w:sz w:val="18"/>
                <w:szCs w:val="18"/>
              </w:rPr>
              <w:t>能够进行典型工程问题的物理建模、模型求解、工程物理解释，并识别工程物理信号和系统的关键特征和参数，分析信号与系统中</w:t>
            </w:r>
            <w:r>
              <w:rPr>
                <w:rFonts w:hint="eastAsia" w:cs="宋体"/>
                <w:sz w:val="18"/>
                <w:szCs w:val="18"/>
              </w:rPr>
              <w:t>时频域性能参数间的内在联系；</w:t>
            </w:r>
          </w:p>
        </w:tc>
        <w:tc>
          <w:tcPr>
            <w:tcW w:w="2288" w:type="pct"/>
          </w:tcPr>
          <w:p>
            <w:pPr>
              <w:spacing w:line="360" w:lineRule="auto"/>
              <w:rPr>
                <w:sz w:val="18"/>
                <w:szCs w:val="18"/>
              </w:rPr>
            </w:pPr>
            <w:r>
              <w:rPr>
                <w:rFonts w:hint="eastAsia"/>
                <w:b/>
                <w:sz w:val="18"/>
                <w:szCs w:val="18"/>
              </w:rPr>
              <w:t>指标点2-1 问题识别</w:t>
            </w:r>
            <w:r>
              <w:rPr>
                <w:rFonts w:hint="eastAsia"/>
                <w:sz w:val="18"/>
                <w:szCs w:val="18"/>
              </w:rPr>
              <w:t>：能应用科学原理对测控技术与仪器专业复杂工程问题进行分解，并识别其中的关键特征和参数。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4</w:t>
            </w:r>
          </w:p>
        </w:tc>
        <w:tc>
          <w:tcPr>
            <w:tcW w:w="2345" w:type="pct"/>
          </w:tcPr>
          <w:p>
            <w:pPr>
              <w:spacing w:line="360" w:lineRule="auto"/>
              <w:rPr>
                <w:sz w:val="18"/>
                <w:szCs w:val="18"/>
              </w:rPr>
            </w:pPr>
            <w:r>
              <w:rPr>
                <w:sz w:val="18"/>
                <w:szCs w:val="18"/>
              </w:rPr>
              <w:t>能够应用信号与系统知识对典型信号</w:t>
            </w:r>
            <w:r>
              <w:rPr>
                <w:rFonts w:hint="eastAsia"/>
                <w:sz w:val="18"/>
                <w:szCs w:val="18"/>
              </w:rPr>
              <w:t>和</w:t>
            </w:r>
            <w:r>
              <w:rPr>
                <w:sz w:val="18"/>
                <w:szCs w:val="18"/>
              </w:rPr>
              <w:t>系统动态特性进行</w:t>
            </w:r>
            <w:r>
              <w:rPr>
                <w:rFonts w:hint="eastAsia"/>
                <w:sz w:val="18"/>
                <w:szCs w:val="18"/>
              </w:rPr>
              <w:t>分析，判断问题识别和表达结论的有效性。</w:t>
            </w:r>
          </w:p>
        </w:tc>
        <w:tc>
          <w:tcPr>
            <w:tcW w:w="2288" w:type="pct"/>
          </w:tcPr>
          <w:p>
            <w:pPr>
              <w:spacing w:line="360" w:lineRule="auto"/>
              <w:rPr>
                <w:sz w:val="18"/>
                <w:szCs w:val="18"/>
              </w:rPr>
            </w:pPr>
            <w:r>
              <w:rPr>
                <w:rFonts w:hint="eastAsia"/>
                <w:b/>
                <w:sz w:val="18"/>
                <w:szCs w:val="18"/>
              </w:rPr>
              <w:t>指标点2-3 结论判断</w:t>
            </w:r>
            <w:r>
              <w:rPr>
                <w:rFonts w:hint="eastAsia"/>
                <w:sz w:val="18"/>
                <w:szCs w:val="18"/>
              </w:rPr>
              <w:t>：能够应用专业知识和原理分析判断结论的有效性。</w:t>
            </w:r>
          </w:p>
        </w:tc>
      </w:tr>
    </w:tbl>
    <w:p>
      <w:pPr>
        <w:spacing w:line="480" w:lineRule="auto"/>
      </w:pPr>
    </w:p>
    <w:p>
      <w:pPr>
        <w:spacing w:line="360" w:lineRule="auto"/>
        <w:jc w:val="left"/>
        <w:rPr>
          <w:rFonts w:eastAsia="黑体" w:cs="黑体"/>
        </w:rPr>
      </w:pPr>
      <w:r>
        <w:rPr>
          <w:rFonts w:hint="eastAsia"/>
        </w:rPr>
        <w:t>电子科学与技术专业：</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4000"/>
        <w:gridCol w:w="390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sz w:val="18"/>
                <w:szCs w:val="18"/>
              </w:rPr>
              <w:t>序号</w:t>
            </w:r>
          </w:p>
        </w:tc>
        <w:tc>
          <w:tcPr>
            <w:tcW w:w="2345" w:type="pct"/>
            <w:vAlign w:val="center"/>
          </w:tcPr>
          <w:p>
            <w:pPr>
              <w:spacing w:line="360" w:lineRule="auto"/>
              <w:jc w:val="center"/>
              <w:rPr>
                <w:sz w:val="18"/>
                <w:szCs w:val="18"/>
              </w:rPr>
            </w:pPr>
            <w:r>
              <w:rPr>
                <w:sz w:val="18"/>
                <w:szCs w:val="18"/>
              </w:rPr>
              <w:t>课程目标</w:t>
            </w:r>
          </w:p>
        </w:tc>
        <w:tc>
          <w:tcPr>
            <w:tcW w:w="2288" w:type="pct"/>
            <w:vAlign w:val="center"/>
          </w:tcPr>
          <w:p>
            <w:pPr>
              <w:spacing w:line="360" w:lineRule="auto"/>
              <w:jc w:val="center"/>
              <w:rPr>
                <w:sz w:val="18"/>
                <w:szCs w:val="18"/>
              </w:rPr>
            </w:pPr>
            <w:r>
              <w:rPr>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1</w:t>
            </w:r>
          </w:p>
        </w:tc>
        <w:tc>
          <w:tcPr>
            <w:tcW w:w="2345" w:type="pct"/>
          </w:tcPr>
          <w:p>
            <w:pPr>
              <w:spacing w:line="360" w:lineRule="auto"/>
              <w:rPr>
                <w:sz w:val="18"/>
                <w:szCs w:val="18"/>
              </w:rPr>
            </w:pPr>
            <w:r>
              <w:rPr>
                <w:sz w:val="18"/>
                <w:szCs w:val="18"/>
              </w:rPr>
              <w:t>能够从时域</w:t>
            </w:r>
            <w:r>
              <w:rPr>
                <w:rFonts w:hint="eastAsia"/>
                <w:sz w:val="18"/>
                <w:szCs w:val="18"/>
              </w:rPr>
              <w:t>、</w:t>
            </w:r>
            <w:r>
              <w:rPr>
                <w:sz w:val="18"/>
                <w:szCs w:val="18"/>
              </w:rPr>
              <w:t>频域及复频域角度</w:t>
            </w:r>
            <w:r>
              <w:rPr>
                <w:rFonts w:hint="eastAsia"/>
                <w:sz w:val="18"/>
                <w:szCs w:val="18"/>
              </w:rPr>
              <w:t>，</w:t>
            </w:r>
            <w:r>
              <w:rPr>
                <w:sz w:val="18"/>
                <w:szCs w:val="18"/>
              </w:rPr>
              <w:t>列写</w:t>
            </w:r>
            <w:r>
              <w:rPr>
                <w:rFonts w:hint="eastAsia"/>
                <w:sz w:val="18"/>
                <w:szCs w:val="18"/>
              </w:rPr>
              <w:t>、</w:t>
            </w:r>
            <w:r>
              <w:rPr>
                <w:sz w:val="18"/>
                <w:szCs w:val="18"/>
              </w:rPr>
              <w:t>推导连续</w:t>
            </w:r>
            <w:r>
              <w:rPr>
                <w:rFonts w:hint="eastAsia"/>
                <w:sz w:val="18"/>
                <w:szCs w:val="18"/>
              </w:rPr>
              <w:t>确定</w:t>
            </w:r>
            <w:r>
              <w:rPr>
                <w:sz w:val="18"/>
                <w:szCs w:val="18"/>
              </w:rPr>
              <w:t>信号的线性分解</w:t>
            </w:r>
            <w:r>
              <w:rPr>
                <w:rFonts w:hint="eastAsia"/>
                <w:sz w:val="18"/>
                <w:szCs w:val="18"/>
              </w:rPr>
              <w:t>、</w:t>
            </w:r>
            <w:r>
              <w:rPr>
                <w:sz w:val="18"/>
                <w:szCs w:val="18"/>
              </w:rPr>
              <w:t>变换及其基本性质</w:t>
            </w:r>
            <w:r>
              <w:rPr>
                <w:rFonts w:hint="eastAsia"/>
                <w:sz w:val="18"/>
                <w:szCs w:val="18"/>
              </w:rPr>
              <w:t>，运用时域卷积、傅里叶变换、拉氏变换方法求解线性时不变系统的响应，</w:t>
            </w:r>
            <w:r>
              <w:rPr>
                <w:sz w:val="18"/>
                <w:szCs w:val="18"/>
              </w:rPr>
              <w:t>并解释相关概念的物理工程含义</w:t>
            </w:r>
            <w:r>
              <w:rPr>
                <w:rFonts w:hint="eastAsia"/>
                <w:sz w:val="18"/>
                <w:szCs w:val="18"/>
              </w:rPr>
              <w:t>；</w:t>
            </w:r>
          </w:p>
        </w:tc>
        <w:tc>
          <w:tcPr>
            <w:tcW w:w="2288" w:type="pct"/>
          </w:tcPr>
          <w:p>
            <w:pPr>
              <w:spacing w:line="360" w:lineRule="auto"/>
              <w:rPr>
                <w:sz w:val="18"/>
                <w:szCs w:val="18"/>
              </w:rPr>
            </w:pPr>
            <w:r>
              <w:rPr>
                <w:rFonts w:hint="eastAsia"/>
                <w:b/>
                <w:sz w:val="18"/>
                <w:szCs w:val="18"/>
              </w:rPr>
              <w:t>指标点1-1 知识体系</w:t>
            </w:r>
            <w:r>
              <w:rPr>
                <w:rFonts w:hint="eastAsia"/>
                <w:sz w:val="18"/>
                <w:szCs w:val="18"/>
              </w:rPr>
              <w:t>：具备与本专业相关的数学、自然科学、光学和电子学工程基础及电子系统集成等多方面的知识。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2</w:t>
            </w:r>
          </w:p>
        </w:tc>
        <w:tc>
          <w:tcPr>
            <w:tcW w:w="2345" w:type="pct"/>
          </w:tcPr>
          <w:p>
            <w:pPr>
              <w:spacing w:line="360" w:lineRule="auto"/>
              <w:rPr>
                <w:sz w:val="18"/>
                <w:szCs w:val="18"/>
              </w:rPr>
            </w:pPr>
            <w:r>
              <w:rPr>
                <w:sz w:val="18"/>
                <w:szCs w:val="18"/>
              </w:rPr>
              <w:t>能够运用时域</w:t>
            </w:r>
            <w:r>
              <w:rPr>
                <w:rFonts w:hint="eastAsia"/>
                <w:sz w:val="18"/>
                <w:szCs w:val="18"/>
              </w:rPr>
              <w:t>、</w:t>
            </w:r>
            <w:r>
              <w:rPr>
                <w:sz w:val="18"/>
                <w:szCs w:val="18"/>
              </w:rPr>
              <w:t>频域及复频域分析方法</w:t>
            </w:r>
            <w:r>
              <w:rPr>
                <w:rFonts w:hint="eastAsia"/>
                <w:sz w:val="18"/>
                <w:szCs w:val="18"/>
              </w:rPr>
              <w:t>，解决电子科学与技术专业工程问题中的信号与系统相关问题。</w:t>
            </w:r>
          </w:p>
        </w:tc>
        <w:tc>
          <w:tcPr>
            <w:tcW w:w="2288" w:type="pct"/>
          </w:tcPr>
          <w:p>
            <w:pPr>
              <w:spacing w:line="360" w:lineRule="auto"/>
              <w:rPr>
                <w:sz w:val="18"/>
                <w:szCs w:val="18"/>
              </w:rPr>
            </w:pPr>
            <w:r>
              <w:rPr>
                <w:rFonts w:hint="eastAsia"/>
                <w:b/>
                <w:sz w:val="18"/>
                <w:szCs w:val="18"/>
              </w:rPr>
              <w:t>指标点1-2 知识运用能力</w:t>
            </w:r>
            <w:r>
              <w:rPr>
                <w:rFonts w:hint="eastAsia"/>
                <w:sz w:val="18"/>
                <w:szCs w:val="18"/>
              </w:rPr>
              <w:t>：</w:t>
            </w:r>
            <w:r>
              <w:rPr>
                <w:rFonts w:hint="eastAsia" w:ascii="宋体" w:hAnsi="宋体"/>
                <w:kern w:val="0"/>
                <w:sz w:val="18"/>
                <w:szCs w:val="18"/>
              </w:rPr>
              <w:t>能将基础知识恰当地运用到电子科学与技术专业电路系统、物联网及现场总线等复杂工程问题的解决中。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3</w:t>
            </w:r>
          </w:p>
        </w:tc>
        <w:tc>
          <w:tcPr>
            <w:tcW w:w="2345" w:type="pct"/>
          </w:tcPr>
          <w:p>
            <w:pPr>
              <w:spacing w:line="360" w:lineRule="auto"/>
              <w:rPr>
                <w:sz w:val="18"/>
                <w:szCs w:val="18"/>
              </w:rPr>
            </w:pPr>
            <w:r>
              <w:rPr>
                <w:rFonts w:hint="eastAsia"/>
                <w:sz w:val="18"/>
                <w:szCs w:val="18"/>
              </w:rPr>
              <w:t>能够进行典型工程问题的物理建模、模型求解、工程物理解释，并识别工程物理信号和系统的关键特征和参数，分析信号与系统中</w:t>
            </w:r>
            <w:r>
              <w:rPr>
                <w:rFonts w:hint="eastAsia" w:cs="宋体"/>
                <w:sz w:val="18"/>
                <w:szCs w:val="18"/>
              </w:rPr>
              <w:t>时频域性能参数间的内在联系；</w:t>
            </w:r>
          </w:p>
        </w:tc>
        <w:tc>
          <w:tcPr>
            <w:tcW w:w="2288" w:type="pct"/>
          </w:tcPr>
          <w:p>
            <w:pPr>
              <w:spacing w:line="360" w:lineRule="auto"/>
              <w:rPr>
                <w:sz w:val="18"/>
                <w:szCs w:val="18"/>
              </w:rPr>
            </w:pPr>
            <w:r>
              <w:rPr>
                <w:rFonts w:hint="eastAsia"/>
                <w:b/>
                <w:sz w:val="18"/>
                <w:szCs w:val="18"/>
              </w:rPr>
              <w:t>指标点2-1 问题识别</w:t>
            </w:r>
            <w:r>
              <w:rPr>
                <w:rFonts w:hint="eastAsia"/>
                <w:sz w:val="18"/>
                <w:szCs w:val="18"/>
              </w:rPr>
              <w:t>：能应用科学原理对电路系统、物联网及现场总线等领域专业复杂工程问题进行分解，并识别其中的关键特征和参数。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4</w:t>
            </w:r>
          </w:p>
        </w:tc>
        <w:tc>
          <w:tcPr>
            <w:tcW w:w="2345" w:type="pct"/>
          </w:tcPr>
          <w:p>
            <w:pPr>
              <w:spacing w:line="360" w:lineRule="auto"/>
              <w:rPr>
                <w:sz w:val="18"/>
                <w:szCs w:val="18"/>
              </w:rPr>
            </w:pPr>
            <w:r>
              <w:rPr>
                <w:sz w:val="18"/>
                <w:szCs w:val="18"/>
              </w:rPr>
              <w:t>能够应用信号与系统知识对典型信号</w:t>
            </w:r>
            <w:r>
              <w:rPr>
                <w:rFonts w:hint="eastAsia"/>
                <w:sz w:val="18"/>
                <w:szCs w:val="18"/>
              </w:rPr>
              <w:t>和</w:t>
            </w:r>
            <w:r>
              <w:rPr>
                <w:sz w:val="18"/>
                <w:szCs w:val="18"/>
              </w:rPr>
              <w:t>系统动态特性进行</w:t>
            </w:r>
            <w:r>
              <w:rPr>
                <w:rFonts w:hint="eastAsia"/>
                <w:sz w:val="18"/>
                <w:szCs w:val="18"/>
              </w:rPr>
              <w:t>分析，判断问题识别和表达结论的有效性。</w:t>
            </w:r>
          </w:p>
        </w:tc>
        <w:tc>
          <w:tcPr>
            <w:tcW w:w="2288" w:type="pct"/>
          </w:tcPr>
          <w:p>
            <w:pPr>
              <w:spacing w:line="360" w:lineRule="auto"/>
              <w:rPr>
                <w:sz w:val="18"/>
                <w:szCs w:val="18"/>
              </w:rPr>
            </w:pPr>
            <w:r>
              <w:rPr>
                <w:rFonts w:hint="eastAsia"/>
                <w:b/>
                <w:sz w:val="18"/>
                <w:szCs w:val="18"/>
              </w:rPr>
              <w:t>指标点2-3 结论判断</w:t>
            </w:r>
            <w:r>
              <w:rPr>
                <w:rFonts w:hint="eastAsia"/>
                <w:sz w:val="18"/>
                <w:szCs w:val="18"/>
              </w:rPr>
              <w:t>：能够应用专业知识和原理分析判断结论的有效性。</w:t>
            </w:r>
          </w:p>
        </w:tc>
      </w:tr>
    </w:tbl>
    <w:p>
      <w:pPr>
        <w:spacing w:line="360" w:lineRule="auto"/>
      </w:pPr>
    </w:p>
    <w:p>
      <w:pPr>
        <w:spacing w:line="360" w:lineRule="auto"/>
        <w:jc w:val="left"/>
        <w:rPr>
          <w:rFonts w:eastAsia="黑体" w:cs="黑体"/>
        </w:rPr>
      </w:pPr>
      <w:r>
        <w:rPr>
          <w:rFonts w:hint="eastAsia"/>
          <w:lang w:eastAsia="zh-CN"/>
        </w:rPr>
        <w:t>智能感知工程</w:t>
      </w:r>
      <w:r>
        <w:rPr>
          <w:rFonts w:hint="eastAsia"/>
        </w:rPr>
        <w:t>专业：</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4000"/>
        <w:gridCol w:w="390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sz w:val="18"/>
                <w:szCs w:val="18"/>
              </w:rPr>
              <w:t>序号</w:t>
            </w:r>
          </w:p>
        </w:tc>
        <w:tc>
          <w:tcPr>
            <w:tcW w:w="2345" w:type="pct"/>
            <w:vAlign w:val="center"/>
          </w:tcPr>
          <w:p>
            <w:pPr>
              <w:spacing w:line="360" w:lineRule="auto"/>
              <w:jc w:val="center"/>
              <w:rPr>
                <w:sz w:val="18"/>
                <w:szCs w:val="18"/>
              </w:rPr>
            </w:pPr>
            <w:r>
              <w:rPr>
                <w:sz w:val="18"/>
                <w:szCs w:val="18"/>
              </w:rPr>
              <w:t>课程目标</w:t>
            </w:r>
          </w:p>
        </w:tc>
        <w:tc>
          <w:tcPr>
            <w:tcW w:w="2288" w:type="pct"/>
            <w:vAlign w:val="center"/>
          </w:tcPr>
          <w:p>
            <w:pPr>
              <w:spacing w:line="360" w:lineRule="auto"/>
              <w:jc w:val="center"/>
              <w:rPr>
                <w:sz w:val="18"/>
                <w:szCs w:val="18"/>
              </w:rPr>
            </w:pPr>
            <w:r>
              <w:rPr>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1</w:t>
            </w:r>
          </w:p>
        </w:tc>
        <w:tc>
          <w:tcPr>
            <w:tcW w:w="2345" w:type="pct"/>
          </w:tcPr>
          <w:p>
            <w:pPr>
              <w:spacing w:line="360" w:lineRule="auto"/>
              <w:rPr>
                <w:sz w:val="18"/>
                <w:szCs w:val="18"/>
              </w:rPr>
            </w:pPr>
            <w:r>
              <w:rPr>
                <w:sz w:val="18"/>
                <w:szCs w:val="18"/>
              </w:rPr>
              <w:t>能够从时域</w:t>
            </w:r>
            <w:r>
              <w:rPr>
                <w:rFonts w:hint="eastAsia"/>
                <w:sz w:val="18"/>
                <w:szCs w:val="18"/>
              </w:rPr>
              <w:t>、</w:t>
            </w:r>
            <w:r>
              <w:rPr>
                <w:sz w:val="18"/>
                <w:szCs w:val="18"/>
              </w:rPr>
              <w:t>频域及复频域角度</w:t>
            </w:r>
            <w:r>
              <w:rPr>
                <w:rFonts w:hint="eastAsia"/>
                <w:sz w:val="18"/>
                <w:szCs w:val="18"/>
              </w:rPr>
              <w:t>，</w:t>
            </w:r>
            <w:r>
              <w:rPr>
                <w:sz w:val="18"/>
                <w:szCs w:val="18"/>
              </w:rPr>
              <w:t>列写</w:t>
            </w:r>
            <w:r>
              <w:rPr>
                <w:rFonts w:hint="eastAsia"/>
                <w:sz w:val="18"/>
                <w:szCs w:val="18"/>
              </w:rPr>
              <w:t>、</w:t>
            </w:r>
            <w:r>
              <w:rPr>
                <w:sz w:val="18"/>
                <w:szCs w:val="18"/>
              </w:rPr>
              <w:t>推导连续</w:t>
            </w:r>
            <w:r>
              <w:rPr>
                <w:rFonts w:hint="eastAsia"/>
                <w:sz w:val="18"/>
                <w:szCs w:val="18"/>
              </w:rPr>
              <w:t>确定</w:t>
            </w:r>
            <w:r>
              <w:rPr>
                <w:sz w:val="18"/>
                <w:szCs w:val="18"/>
              </w:rPr>
              <w:t>信号的线性分解</w:t>
            </w:r>
            <w:r>
              <w:rPr>
                <w:rFonts w:hint="eastAsia"/>
                <w:sz w:val="18"/>
                <w:szCs w:val="18"/>
              </w:rPr>
              <w:t>、</w:t>
            </w:r>
            <w:r>
              <w:rPr>
                <w:sz w:val="18"/>
                <w:szCs w:val="18"/>
              </w:rPr>
              <w:t>变换及其基本性质</w:t>
            </w:r>
            <w:r>
              <w:rPr>
                <w:rFonts w:hint="eastAsia"/>
                <w:sz w:val="18"/>
                <w:szCs w:val="18"/>
              </w:rPr>
              <w:t>，运用时域卷积、傅里叶变换、拉氏变换方法求解线性时不变系统的响应，</w:t>
            </w:r>
            <w:r>
              <w:rPr>
                <w:sz w:val="18"/>
                <w:szCs w:val="18"/>
              </w:rPr>
              <w:t>并解释相关概念的物理工程含义</w:t>
            </w:r>
            <w:r>
              <w:rPr>
                <w:rFonts w:hint="eastAsia"/>
                <w:sz w:val="18"/>
                <w:szCs w:val="18"/>
              </w:rPr>
              <w:t>；</w:t>
            </w:r>
          </w:p>
        </w:tc>
        <w:tc>
          <w:tcPr>
            <w:tcW w:w="2288" w:type="pct"/>
            <w:vAlign w:val="center"/>
          </w:tcPr>
          <w:p>
            <w:pPr>
              <w:widowControl/>
              <w:spacing w:line="360" w:lineRule="auto"/>
              <w:ind w:left="-80" w:leftChars="-38" w:right="105" w:rightChars="50" w:firstLine="2" w:firstLineChars="1"/>
              <w:rPr>
                <w:sz w:val="18"/>
                <w:szCs w:val="18"/>
              </w:rPr>
            </w:pPr>
            <w:r>
              <w:rPr>
                <w:rFonts w:ascii="宋体" w:hAnsi="宋体"/>
                <w:b/>
                <w:kern w:val="0"/>
                <w:sz w:val="18"/>
                <w:szCs w:val="18"/>
              </w:rPr>
              <w:t>指标点1-1 知识体系</w:t>
            </w:r>
            <w:r>
              <w:rPr>
                <w:rFonts w:ascii="宋体" w:hAnsi="宋体"/>
                <w:kern w:val="0"/>
                <w:sz w:val="18"/>
                <w:szCs w:val="18"/>
              </w:rPr>
              <w:t>：</w:t>
            </w:r>
            <w:r>
              <w:rPr>
                <w:bCs/>
                <w:sz w:val="18"/>
                <w:szCs w:val="18"/>
              </w:rPr>
              <w:t>具备本专业相关的数学、自然科学、计算机和电子学工程基础及传感、控制等多方面的知识。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2</w:t>
            </w:r>
          </w:p>
        </w:tc>
        <w:tc>
          <w:tcPr>
            <w:tcW w:w="2345" w:type="pct"/>
          </w:tcPr>
          <w:p>
            <w:pPr>
              <w:spacing w:line="360" w:lineRule="auto"/>
              <w:rPr>
                <w:sz w:val="18"/>
                <w:szCs w:val="18"/>
              </w:rPr>
            </w:pPr>
            <w:r>
              <w:rPr>
                <w:sz w:val="18"/>
                <w:szCs w:val="18"/>
              </w:rPr>
              <w:t>能够运用时域</w:t>
            </w:r>
            <w:r>
              <w:rPr>
                <w:rFonts w:hint="eastAsia"/>
                <w:sz w:val="18"/>
                <w:szCs w:val="18"/>
              </w:rPr>
              <w:t>、</w:t>
            </w:r>
            <w:r>
              <w:rPr>
                <w:sz w:val="18"/>
                <w:szCs w:val="18"/>
              </w:rPr>
              <w:t>频域及复频域分析方法</w:t>
            </w:r>
            <w:r>
              <w:rPr>
                <w:rFonts w:hint="eastAsia"/>
                <w:sz w:val="18"/>
                <w:szCs w:val="18"/>
              </w:rPr>
              <w:t>，解决</w:t>
            </w:r>
            <w:r>
              <w:rPr>
                <w:rFonts w:hint="eastAsia"/>
                <w:sz w:val="18"/>
                <w:szCs w:val="18"/>
                <w:lang w:eastAsia="zh-CN"/>
              </w:rPr>
              <w:t>智能感知工程</w:t>
            </w:r>
            <w:r>
              <w:rPr>
                <w:rFonts w:hint="eastAsia"/>
                <w:sz w:val="18"/>
                <w:szCs w:val="18"/>
              </w:rPr>
              <w:t>专业工程问题中的信号与系统相关问题。</w:t>
            </w:r>
          </w:p>
        </w:tc>
        <w:tc>
          <w:tcPr>
            <w:tcW w:w="2288" w:type="pct"/>
            <w:vAlign w:val="center"/>
          </w:tcPr>
          <w:p>
            <w:pPr>
              <w:widowControl/>
              <w:spacing w:line="360" w:lineRule="auto"/>
              <w:ind w:left="-80" w:leftChars="-38" w:right="105" w:rightChars="50" w:firstLine="2" w:firstLineChars="1"/>
              <w:rPr>
                <w:sz w:val="18"/>
                <w:szCs w:val="18"/>
              </w:rPr>
            </w:pPr>
            <w:r>
              <w:rPr>
                <w:b/>
                <w:kern w:val="0"/>
                <w:sz w:val="18"/>
                <w:szCs w:val="18"/>
              </w:rPr>
              <w:t>指标点1-2 知识运用能力</w:t>
            </w:r>
            <w:r>
              <w:rPr>
                <w:kern w:val="0"/>
                <w:sz w:val="18"/>
                <w:szCs w:val="18"/>
              </w:rPr>
              <w:t>：</w:t>
            </w:r>
            <w:r>
              <w:rPr>
                <w:bCs/>
                <w:sz w:val="18"/>
                <w:szCs w:val="18"/>
              </w:rPr>
              <w:t>能将基础知识恰当地应用到智能感知工程专业智能传感与控制等复杂工程问题的解决中。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3</w:t>
            </w:r>
          </w:p>
        </w:tc>
        <w:tc>
          <w:tcPr>
            <w:tcW w:w="2345" w:type="pct"/>
          </w:tcPr>
          <w:p>
            <w:pPr>
              <w:spacing w:line="360" w:lineRule="auto"/>
              <w:rPr>
                <w:sz w:val="18"/>
                <w:szCs w:val="18"/>
              </w:rPr>
            </w:pPr>
            <w:r>
              <w:rPr>
                <w:rFonts w:hint="eastAsia"/>
                <w:sz w:val="18"/>
                <w:szCs w:val="18"/>
              </w:rPr>
              <w:t>能够进行典型工程问题的物理建模、模型求解、工程物理解释，并识别工程物理信号和系统的关键特征和参数，分析信号与系统中</w:t>
            </w:r>
            <w:r>
              <w:rPr>
                <w:rFonts w:hint="eastAsia" w:cs="宋体"/>
                <w:sz w:val="18"/>
                <w:szCs w:val="18"/>
              </w:rPr>
              <w:t>时频域性能参数间的内在联系；</w:t>
            </w:r>
          </w:p>
        </w:tc>
        <w:tc>
          <w:tcPr>
            <w:tcW w:w="2288" w:type="pct"/>
            <w:vAlign w:val="center"/>
          </w:tcPr>
          <w:p>
            <w:pPr>
              <w:widowControl/>
              <w:spacing w:line="360" w:lineRule="auto"/>
              <w:ind w:left="-80" w:leftChars="-38" w:right="105" w:rightChars="50" w:firstLine="2" w:firstLineChars="1"/>
              <w:rPr>
                <w:sz w:val="18"/>
                <w:szCs w:val="18"/>
              </w:rPr>
            </w:pPr>
            <w:r>
              <w:rPr>
                <w:b/>
                <w:kern w:val="0"/>
                <w:sz w:val="18"/>
                <w:szCs w:val="18"/>
              </w:rPr>
              <w:t>指标点2-1 问题识别</w:t>
            </w:r>
            <w:r>
              <w:rPr>
                <w:kern w:val="0"/>
                <w:sz w:val="18"/>
                <w:szCs w:val="18"/>
              </w:rPr>
              <w:t>：</w:t>
            </w:r>
            <w:r>
              <w:rPr>
                <w:bCs/>
                <w:sz w:val="18"/>
                <w:szCs w:val="18"/>
              </w:rPr>
              <w:t>能应用科学原理对智能感知工程专业复杂工程问题进行分解，并识别其中的关键特征和参数。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4</w:t>
            </w:r>
          </w:p>
        </w:tc>
        <w:tc>
          <w:tcPr>
            <w:tcW w:w="2345" w:type="pct"/>
          </w:tcPr>
          <w:p>
            <w:pPr>
              <w:spacing w:line="360" w:lineRule="auto"/>
              <w:rPr>
                <w:sz w:val="18"/>
                <w:szCs w:val="18"/>
              </w:rPr>
            </w:pPr>
            <w:r>
              <w:rPr>
                <w:sz w:val="18"/>
                <w:szCs w:val="18"/>
              </w:rPr>
              <w:t>能够应用信号与系统知识对典型信号</w:t>
            </w:r>
            <w:r>
              <w:rPr>
                <w:rFonts w:hint="eastAsia"/>
                <w:sz w:val="18"/>
                <w:szCs w:val="18"/>
              </w:rPr>
              <w:t>和</w:t>
            </w:r>
            <w:r>
              <w:rPr>
                <w:sz w:val="18"/>
                <w:szCs w:val="18"/>
              </w:rPr>
              <w:t>系统动态特性进行</w:t>
            </w:r>
            <w:r>
              <w:rPr>
                <w:rFonts w:hint="eastAsia"/>
                <w:sz w:val="18"/>
                <w:szCs w:val="18"/>
              </w:rPr>
              <w:t>分析，判断问题识别和表达结论的有效性。</w:t>
            </w:r>
          </w:p>
        </w:tc>
        <w:tc>
          <w:tcPr>
            <w:tcW w:w="2288" w:type="pct"/>
          </w:tcPr>
          <w:p>
            <w:pPr>
              <w:spacing w:line="360" w:lineRule="auto"/>
              <w:rPr>
                <w:sz w:val="18"/>
                <w:szCs w:val="18"/>
              </w:rPr>
            </w:pPr>
            <w:r>
              <w:rPr>
                <w:b/>
                <w:kern w:val="0"/>
                <w:sz w:val="18"/>
                <w:szCs w:val="18"/>
              </w:rPr>
              <w:t>指标点2-3 结论判断</w:t>
            </w:r>
            <w:r>
              <w:rPr>
                <w:kern w:val="0"/>
                <w:sz w:val="18"/>
                <w:szCs w:val="18"/>
              </w:rPr>
              <w:t>：</w:t>
            </w:r>
            <w:r>
              <w:rPr>
                <w:bCs/>
                <w:sz w:val="18"/>
                <w:szCs w:val="18"/>
              </w:rPr>
              <w:t>能够应用专业知识和原理分析判断结论的有效性。</w:t>
            </w:r>
          </w:p>
        </w:tc>
      </w:tr>
    </w:tbl>
    <w:p>
      <w:pPr>
        <w:spacing w:line="360" w:lineRule="auto"/>
      </w:pPr>
    </w:p>
    <w:p>
      <w:pPr>
        <w:spacing w:line="360" w:lineRule="auto"/>
        <w:rPr>
          <w:rFonts w:ascii="黑体" w:hAnsi="黑体" w:eastAsia="黑体"/>
        </w:rPr>
      </w:pPr>
      <w:r>
        <w:rPr>
          <w:rFonts w:hint="eastAsia" w:ascii="黑体" w:hAnsi="黑体" w:eastAsia="黑体"/>
        </w:rPr>
        <w:t>三、基本要求（含先修课程）</w:t>
      </w:r>
    </w:p>
    <w:p>
      <w:pPr>
        <w:spacing w:line="360" w:lineRule="auto"/>
        <w:ind w:firstLine="420" w:firstLineChars="200"/>
      </w:pPr>
      <w:r>
        <w:t>1</w:t>
      </w:r>
      <w:r>
        <w:rPr>
          <w:rFonts w:hint="eastAsia" w:cs="宋体"/>
        </w:rPr>
        <w:t>、本课程为学科基础教育课程，要求先修</w:t>
      </w:r>
      <w:r>
        <w:rPr>
          <w:rFonts w:hint="eastAsia" w:ascii="宋体" w:hAnsi="宋体" w:cs="宋体"/>
        </w:rPr>
        <w:t>复变函数与积分变换、</w:t>
      </w:r>
      <w:r>
        <w:rPr>
          <w:rFonts w:hint="eastAsia" w:cs="宋体"/>
        </w:rPr>
        <w:t>电路</w:t>
      </w:r>
      <w:r>
        <w:rPr>
          <w:rFonts w:hint="eastAsia" w:ascii="宋体" w:hAnsi="宋体" w:cs="宋体"/>
        </w:rPr>
        <w:t>分析基础、模拟电子技术</w:t>
      </w:r>
      <w:r>
        <w:rPr>
          <w:rFonts w:hint="eastAsia" w:cs="宋体"/>
        </w:rPr>
        <w:t>，是联系</w:t>
      </w:r>
      <w:r>
        <w:rPr>
          <w:rFonts w:hint="eastAsia"/>
          <w:bCs/>
          <w:kern w:val="0"/>
        </w:rPr>
        <w:t>数学和自然科学基本理论、</w:t>
      </w:r>
      <w:r>
        <w:rPr>
          <w:rFonts w:hint="eastAsia" w:cs="宋体"/>
        </w:rPr>
        <w:t>工程信号与系统分析设计两者的桥梁和纽带。通过本课程的学习，培养学生的思维推理能力和分析运算能力，提高学生利用信号与系统理论分析和解决具体工程问题的能力，锻炼学生对复杂工程问题的探究能力。</w:t>
      </w:r>
    </w:p>
    <w:p>
      <w:pPr>
        <w:spacing w:line="360" w:lineRule="auto"/>
        <w:ind w:firstLine="420" w:firstLineChars="200"/>
      </w:pPr>
      <w:r>
        <w:t>2</w:t>
      </w:r>
      <w:r>
        <w:rPr>
          <w:rFonts w:hint="eastAsia" w:cs="宋体"/>
        </w:rPr>
        <w:t>、在教学过程中应注重从工程观点来学习、理解及应用相应的基础知识、基本概念和思维方法，将学生从只关注数学计算转移到信号与系统基本理论、方法的理解和应用上。在课堂讲授环节和实验环节中将数学运算和数学变换视为基本工具，重点放在对数学理论分析结果的工程物理意义的解释和应用上。</w:t>
      </w:r>
    </w:p>
    <w:p>
      <w:pPr>
        <w:spacing w:line="360" w:lineRule="auto"/>
        <w:ind w:firstLine="420" w:firstLineChars="200"/>
      </w:pPr>
      <w:r>
        <w:t>3</w:t>
      </w:r>
      <w:r>
        <w:rPr>
          <w:rFonts w:hint="eastAsia" w:cs="宋体"/>
        </w:rPr>
        <w:t>、结合学生熟悉的电路系统和机械系统经典实例，贯彻工程问题物理建模、模型数学分析求解及其工程物理意义解释的基本思路和方法，重点培养学生针对具体工程问题灵活运用理论知识的能力。</w:t>
      </w:r>
    </w:p>
    <w:p>
      <w:pPr>
        <w:spacing w:line="360" w:lineRule="auto"/>
        <w:ind w:firstLine="420" w:firstLineChars="200"/>
      </w:pPr>
      <w:r>
        <w:t>4、培养学生运用Matlab软件进行信号与系统时域、频域及复频域分析方法，对计算机解算数据进行物理意义解释与分析。</w:t>
      </w:r>
    </w:p>
    <w:p>
      <w:pPr>
        <w:spacing w:line="360" w:lineRule="auto"/>
        <w:ind w:firstLine="420" w:firstLineChars="200"/>
      </w:pPr>
      <w:r>
        <w:t>5、本课程是一门理论性很强的课程。要求学生通过实验环节把所学的理论知识与工程实践联系起来，具备针对典型工程问题进行信号与系统分析的能力。要求在CAI教室进行授课，教学和实验交替进行，并且辅以针对具体工程问题的综合性报告环节，以提高学生对理论知识的综合运用能力。</w:t>
      </w:r>
    </w:p>
    <w:p>
      <w:pPr>
        <w:spacing w:line="360" w:lineRule="auto"/>
        <w:ind w:firstLine="420" w:firstLineChars="200"/>
      </w:pPr>
      <w:r>
        <w:t>6、深度和广度说明：1）以确定性连续信号和线性时不变系统为重点，讲授时域、频域、复频域中信号与系统的分析方法，适当介绍离散信号、离散系统的时域分析方法；2）拉普拉氏变换变换重点讲授单边拉氏变换，简要介绍左边信号拉氏变换和双边拉氏变换知识；3）傅里叶变换、拉氏变换的性质讲解中简要介绍其数学证明，重点讲授其工程物理意义。</w:t>
      </w:r>
    </w:p>
    <w:p>
      <w:pPr>
        <w:widowControl/>
        <w:spacing w:line="360" w:lineRule="auto"/>
        <w:ind w:firstLine="420" w:firstLineChars="200"/>
        <w:jc w:val="left"/>
      </w:pPr>
      <w:r>
        <w:t>7、偏差说明：为了鼓励教师引入个人授课风格或者适应技术发展的紧迫性，本课程允许教师授课内容做适当调整，最大正偏差为10%，不允许负偏差。正偏差通过压缩同等内容的学时数来完成。特殊情况，最大正偏差和置换偏差累计可达到20%，但在开课前要申请专业责任人批准。（正偏差指大纲知识点不变，新增知识点；负偏差是大纲知识点减少；置换偏差是指大纲中部分知识点被其它类似知识点替换）。</w:t>
      </w:r>
    </w:p>
    <w:p>
      <w:pPr>
        <w:spacing w:line="360" w:lineRule="auto"/>
        <w:ind w:firstLine="420" w:firstLineChars="200"/>
      </w:pPr>
    </w:p>
    <w:p>
      <w:pPr>
        <w:spacing w:line="360" w:lineRule="auto"/>
        <w:rPr>
          <w:rFonts w:ascii="黑体" w:hAnsi="黑体" w:eastAsia="黑体"/>
        </w:rPr>
      </w:pPr>
      <w:r>
        <w:rPr>
          <w:rFonts w:hint="eastAsia" w:ascii="黑体" w:hAnsi="黑体" w:eastAsia="黑体"/>
        </w:rPr>
        <w:t>四、教学内容和教学方法</w:t>
      </w:r>
    </w:p>
    <w:p>
      <w:pPr>
        <w:widowControl/>
        <w:spacing w:line="360" w:lineRule="auto"/>
        <w:ind w:firstLine="420" w:firstLineChars="200"/>
        <w:jc w:val="left"/>
      </w:pPr>
      <w:r>
        <w:t>本课程重点讲授的内容包括：信号与系统的描述与分类、信号的时域分析、线性时不变系统（LTI系统）的时域分析、周期信号、非周期信号的频域分析、LTI系统的频域分析、信号与系统的复频域分析、Matlab辅助分析方法。</w:t>
      </w:r>
    </w:p>
    <w:p>
      <w:pPr>
        <w:widowControl/>
        <w:spacing w:line="360" w:lineRule="auto"/>
        <w:ind w:firstLine="420" w:firstLineChars="200"/>
        <w:jc w:val="left"/>
      </w:pPr>
      <w:r>
        <w:t>本课程在教学方法上，充分利用各种媒体教学手段，采取课堂教学、多媒体课件、验证性实验、课外分组实验方式有机结合，提高教学效率。</w:t>
      </w:r>
    </w:p>
    <w:p>
      <w:pPr>
        <w:widowControl/>
        <w:spacing w:line="360" w:lineRule="auto"/>
        <w:ind w:firstLine="420" w:firstLineChars="200"/>
        <w:jc w:val="left"/>
      </w:pPr>
      <w:r>
        <w:t>1）利用CAI形式讲授，辅以重要知识点的板书推导与分析，引导学生理解分析思路；</w:t>
      </w:r>
    </w:p>
    <w:p>
      <w:pPr>
        <w:widowControl/>
        <w:spacing w:line="360" w:lineRule="auto"/>
        <w:ind w:firstLine="420" w:firstLineChars="200"/>
        <w:jc w:val="left"/>
      </w:pPr>
      <w:r>
        <w:t>2）讲授过程和综合性报告中注重工程实例分析，使学生运用数学工具分析问题过程中理解其工程物理含义；</w:t>
      </w:r>
    </w:p>
    <w:p>
      <w:pPr>
        <w:widowControl/>
        <w:spacing w:line="360" w:lineRule="auto"/>
        <w:ind w:firstLine="420" w:firstLineChars="200"/>
        <w:jc w:val="left"/>
      </w:pPr>
      <w:r>
        <w:t>3）理论讲授和实验中穿插Matlab计算机辅助分析知识和应用的介绍。</w:t>
      </w:r>
    </w:p>
    <w:p>
      <w:pPr>
        <w:widowControl/>
        <w:spacing w:line="360" w:lineRule="auto"/>
        <w:ind w:left="426"/>
        <w:jc w:val="left"/>
        <w:rPr>
          <w:rFonts w:eastAsia="黑体"/>
          <w:snapToGrid w:val="0"/>
          <w:kern w:val="0"/>
        </w:rPr>
      </w:pPr>
      <w:r>
        <w:rPr>
          <w:rFonts w:eastAsia="黑体"/>
          <w:snapToGrid w:val="0"/>
          <w:kern w:val="0"/>
        </w:rPr>
        <w:t>1  信号与系统分析导论（3学时）</w:t>
      </w:r>
    </w:p>
    <w:p>
      <w:pPr>
        <w:widowControl/>
        <w:spacing w:line="360" w:lineRule="auto"/>
        <w:ind w:firstLine="420" w:firstLineChars="200"/>
        <w:rPr>
          <w:snapToGrid w:val="0"/>
          <w:kern w:val="0"/>
        </w:rPr>
      </w:pPr>
      <w:r>
        <w:rPr>
          <w:snapToGrid w:val="0"/>
          <w:kern w:val="0"/>
        </w:rPr>
        <w:t>1.1、理解信号、系统的基本概念及相互关系；</w:t>
      </w:r>
    </w:p>
    <w:p>
      <w:pPr>
        <w:widowControl/>
        <w:spacing w:line="360" w:lineRule="auto"/>
        <w:ind w:firstLine="420" w:firstLineChars="200"/>
        <w:jc w:val="left"/>
        <w:rPr>
          <w:snapToGrid w:val="0"/>
          <w:kern w:val="0"/>
        </w:rPr>
      </w:pPr>
      <w:r>
        <w:rPr>
          <w:snapToGrid w:val="0"/>
          <w:kern w:val="0"/>
        </w:rPr>
        <w:t>1.2、掌握信号的定义、描述及分类；</w:t>
      </w:r>
    </w:p>
    <w:p>
      <w:pPr>
        <w:widowControl/>
        <w:spacing w:line="360" w:lineRule="auto"/>
        <w:ind w:firstLine="420" w:firstLineChars="200"/>
        <w:jc w:val="left"/>
        <w:rPr>
          <w:snapToGrid w:val="0"/>
          <w:kern w:val="0"/>
        </w:rPr>
      </w:pPr>
      <w:r>
        <w:rPr>
          <w:snapToGrid w:val="0"/>
          <w:kern w:val="0"/>
        </w:rPr>
        <w:t>1.3、掌握系统的定义、描述、分类及联结；</w:t>
      </w:r>
    </w:p>
    <w:p>
      <w:pPr>
        <w:widowControl/>
        <w:spacing w:line="360" w:lineRule="auto"/>
        <w:ind w:firstLine="420" w:firstLineChars="200"/>
        <w:jc w:val="left"/>
        <w:rPr>
          <w:snapToGrid w:val="0"/>
          <w:kern w:val="0"/>
        </w:rPr>
      </w:pPr>
      <w:r>
        <w:rPr>
          <w:snapToGrid w:val="0"/>
          <w:kern w:val="0"/>
        </w:rPr>
        <w:t>1.4、熟悉信号与系统分析的基本方法和理论。</w:t>
      </w:r>
    </w:p>
    <w:p>
      <w:pPr>
        <w:widowControl/>
        <w:spacing w:line="360" w:lineRule="auto"/>
        <w:ind w:firstLine="422" w:firstLineChars="200"/>
        <w:jc w:val="left"/>
        <w:rPr>
          <w:snapToGrid w:val="0"/>
          <w:kern w:val="0"/>
        </w:rPr>
      </w:pPr>
      <w:r>
        <w:rPr>
          <w:b/>
          <w:snapToGrid w:val="0"/>
          <w:kern w:val="0"/>
        </w:rPr>
        <w:t>重点：</w:t>
      </w:r>
      <w:r>
        <w:rPr>
          <w:snapToGrid w:val="0"/>
          <w:kern w:val="0"/>
        </w:rPr>
        <w:t>连续信号及离散信号的特点；线性时不变系统的特性。</w:t>
      </w:r>
    </w:p>
    <w:p>
      <w:pPr>
        <w:widowControl/>
        <w:spacing w:line="360" w:lineRule="auto"/>
        <w:ind w:firstLine="422" w:firstLineChars="200"/>
        <w:jc w:val="left"/>
        <w:rPr>
          <w:snapToGrid w:val="0"/>
          <w:kern w:val="0"/>
        </w:rPr>
      </w:pPr>
      <w:r>
        <w:rPr>
          <w:b/>
          <w:snapToGrid w:val="0"/>
          <w:kern w:val="0"/>
        </w:rPr>
        <w:t>难点：</w:t>
      </w:r>
      <w:r>
        <w:rPr>
          <w:snapToGrid w:val="0"/>
          <w:kern w:val="0"/>
        </w:rPr>
        <w:t>线性系统、时变系统及因果系统的判断。</w:t>
      </w:r>
    </w:p>
    <w:p>
      <w:pPr>
        <w:widowControl/>
        <w:spacing w:line="360" w:lineRule="auto"/>
        <w:ind w:firstLine="422" w:firstLineChars="200"/>
        <w:jc w:val="left"/>
        <w:rPr>
          <w:snapToGrid w:val="0"/>
          <w:kern w:val="0"/>
        </w:rPr>
      </w:pPr>
      <w:r>
        <w:rPr>
          <w:b/>
          <w:snapToGrid w:val="0"/>
          <w:kern w:val="0"/>
        </w:rPr>
        <w:t>课程思政元素：</w:t>
      </w:r>
      <w:r>
        <w:rPr>
          <w:snapToGrid w:val="0"/>
          <w:kern w:val="0"/>
        </w:rPr>
        <w:t>结合系统的分类、联结及分析方法，引导学生深入理解马克思辩证唯物主义的系统观中普遍联系的观点、个体与整体的关系，体现马克思主义的理论自信。</w:t>
      </w:r>
    </w:p>
    <w:p>
      <w:pPr>
        <w:widowControl/>
        <w:spacing w:line="360" w:lineRule="auto"/>
        <w:ind w:firstLine="422" w:firstLineChars="200"/>
        <w:jc w:val="left"/>
        <w:rPr>
          <w:snapToGrid w:val="0"/>
          <w:kern w:val="0"/>
        </w:rPr>
      </w:pPr>
      <w:r>
        <w:rPr>
          <w:b/>
          <w:snapToGrid w:val="0"/>
          <w:kern w:val="0"/>
        </w:rPr>
        <w:t>教学方式：</w:t>
      </w:r>
      <w:r>
        <w:rPr>
          <w:snapToGrid w:val="0"/>
          <w:kern w:val="0"/>
        </w:rPr>
        <w:t>课堂教学3学时。</w:t>
      </w:r>
    </w:p>
    <w:p>
      <w:pPr>
        <w:widowControl/>
        <w:spacing w:line="360" w:lineRule="auto"/>
        <w:ind w:firstLine="420" w:firstLineChars="200"/>
        <w:jc w:val="left"/>
        <w:rPr>
          <w:snapToGrid w:val="0"/>
          <w:kern w:val="0"/>
        </w:rPr>
      </w:pPr>
      <w:r>
        <w:rPr>
          <w:bCs/>
          <w:snapToGrid w:val="0"/>
          <w:kern w:val="0"/>
          <w:szCs w:val="21"/>
        </w:rPr>
        <w:t>本章内容支撑课程目标1、2。</w:t>
      </w:r>
    </w:p>
    <w:p>
      <w:pPr>
        <w:widowControl/>
        <w:spacing w:line="360" w:lineRule="auto"/>
        <w:ind w:firstLine="420" w:firstLineChars="200"/>
        <w:jc w:val="left"/>
        <w:rPr>
          <w:rFonts w:eastAsia="黑体"/>
          <w:snapToGrid w:val="0"/>
          <w:kern w:val="0"/>
        </w:rPr>
      </w:pPr>
      <w:r>
        <w:rPr>
          <w:rFonts w:eastAsia="黑体"/>
          <w:snapToGrid w:val="0"/>
          <w:kern w:val="0"/>
        </w:rPr>
        <w:t>2  信号的时域分析（5学时）</w:t>
      </w:r>
    </w:p>
    <w:p>
      <w:pPr>
        <w:widowControl/>
        <w:spacing w:line="360" w:lineRule="auto"/>
        <w:ind w:firstLine="420" w:firstLineChars="200"/>
        <w:jc w:val="left"/>
        <w:rPr>
          <w:snapToGrid w:val="0"/>
          <w:kern w:val="0"/>
        </w:rPr>
      </w:pPr>
      <w:r>
        <w:rPr>
          <w:snapToGrid w:val="0"/>
          <w:kern w:val="0"/>
        </w:rPr>
        <w:t>2.1、掌握典型连续信号及离散信号的时域描述和基本运算；</w:t>
      </w:r>
    </w:p>
    <w:p>
      <w:pPr>
        <w:widowControl/>
        <w:spacing w:line="360" w:lineRule="auto"/>
        <w:ind w:firstLine="420" w:firstLineChars="200"/>
        <w:jc w:val="left"/>
        <w:rPr>
          <w:rFonts w:ascii="宋体"/>
          <w:snapToGrid w:val="0"/>
          <w:kern w:val="0"/>
        </w:rPr>
      </w:pPr>
      <w:r>
        <w:rPr>
          <w:snapToGrid w:val="0"/>
          <w:kern w:val="0"/>
        </w:rPr>
        <w:t>2.3、能够进行连续信号、离散信号的分解；</w:t>
      </w:r>
    </w:p>
    <w:p>
      <w:pPr>
        <w:widowControl/>
        <w:spacing w:line="360" w:lineRule="auto"/>
        <w:ind w:firstLine="420" w:firstLineChars="200"/>
        <w:jc w:val="left"/>
        <w:rPr>
          <w:snapToGrid w:val="0"/>
          <w:kern w:val="0"/>
        </w:rPr>
      </w:pPr>
      <w:r>
        <w:rPr>
          <w:snapToGrid w:val="0"/>
          <w:kern w:val="0"/>
        </w:rPr>
        <w:t>2.4、掌握确定信号的时域分解方法；</w:t>
      </w:r>
    </w:p>
    <w:p>
      <w:pPr>
        <w:widowControl/>
        <w:spacing w:line="360" w:lineRule="auto"/>
        <w:ind w:firstLine="420" w:firstLineChars="200"/>
        <w:jc w:val="left"/>
        <w:rPr>
          <w:snapToGrid w:val="0"/>
          <w:kern w:val="0"/>
        </w:rPr>
      </w:pPr>
      <w:r>
        <w:rPr>
          <w:snapToGrid w:val="0"/>
          <w:kern w:val="0"/>
        </w:rPr>
        <w:t>2.5、熟悉连续信号及离散信号的Matlab表示及运算。</w:t>
      </w:r>
    </w:p>
    <w:p>
      <w:pPr>
        <w:widowControl/>
        <w:spacing w:line="360" w:lineRule="auto"/>
        <w:ind w:left="424" w:leftChars="202"/>
        <w:jc w:val="left"/>
        <w:rPr>
          <w:snapToGrid w:val="0"/>
          <w:kern w:val="0"/>
        </w:rPr>
      </w:pPr>
      <w:r>
        <w:rPr>
          <w:b/>
          <w:snapToGrid w:val="0"/>
          <w:kern w:val="0"/>
        </w:rPr>
        <w:t>重点：</w:t>
      </w:r>
      <w:r>
        <w:rPr>
          <w:snapToGrid w:val="0"/>
          <w:kern w:val="0"/>
        </w:rPr>
        <w:t>典型连续信号的表示与特性，尤其是单位冲激信号的特性；连续信号的基本运算，尤其是卷积积分运算；任意信号分解为基本信号的线性组合，尤其是任意连续信号分解为冲激信号的线性组合。</w:t>
      </w:r>
    </w:p>
    <w:p>
      <w:pPr>
        <w:widowControl/>
        <w:spacing w:line="360" w:lineRule="auto"/>
        <w:ind w:left="424" w:leftChars="202"/>
        <w:jc w:val="left"/>
        <w:rPr>
          <w:snapToGrid w:val="0"/>
          <w:kern w:val="0"/>
        </w:rPr>
      </w:pPr>
      <w:r>
        <w:rPr>
          <w:b/>
          <w:snapToGrid w:val="0"/>
          <w:kern w:val="0"/>
        </w:rPr>
        <w:t>难点：</w:t>
      </w:r>
      <w:r>
        <w:rPr>
          <w:snapToGrid w:val="0"/>
          <w:kern w:val="0"/>
        </w:rPr>
        <w:t>单位冲激信号的特性；信号基本运算的组合；信号的卷积积分运算；任意信号分解为基本信号的线性组合。</w:t>
      </w:r>
    </w:p>
    <w:p>
      <w:pPr>
        <w:widowControl/>
        <w:spacing w:line="360" w:lineRule="auto"/>
        <w:ind w:firstLine="422" w:firstLineChars="200"/>
        <w:jc w:val="left"/>
        <w:rPr>
          <w:snapToGrid w:val="0"/>
          <w:kern w:val="0"/>
        </w:rPr>
      </w:pPr>
      <w:r>
        <w:rPr>
          <w:b/>
          <w:snapToGrid w:val="0"/>
          <w:kern w:val="0"/>
        </w:rPr>
        <w:t>教学方式：</w:t>
      </w:r>
      <w:r>
        <w:rPr>
          <w:snapToGrid w:val="0"/>
          <w:kern w:val="0"/>
        </w:rPr>
        <w:t>课堂讲授5学时，实验教学2学时。</w:t>
      </w:r>
    </w:p>
    <w:p>
      <w:pPr>
        <w:widowControl/>
        <w:spacing w:line="360" w:lineRule="auto"/>
        <w:ind w:firstLine="420" w:firstLineChars="200"/>
        <w:jc w:val="left"/>
        <w:rPr>
          <w:snapToGrid w:val="0"/>
          <w:kern w:val="0"/>
        </w:rPr>
      </w:pPr>
      <w:r>
        <w:rPr>
          <w:bCs/>
          <w:snapToGrid w:val="0"/>
          <w:kern w:val="0"/>
          <w:szCs w:val="21"/>
        </w:rPr>
        <w:t>本章内容支撑课程目标1、2。</w:t>
      </w:r>
    </w:p>
    <w:p>
      <w:pPr>
        <w:widowControl/>
        <w:spacing w:line="360" w:lineRule="auto"/>
        <w:ind w:firstLine="420" w:firstLineChars="200"/>
        <w:jc w:val="left"/>
        <w:rPr>
          <w:rFonts w:eastAsia="黑体"/>
          <w:snapToGrid w:val="0"/>
          <w:kern w:val="0"/>
        </w:rPr>
      </w:pPr>
      <w:r>
        <w:rPr>
          <w:rFonts w:eastAsia="黑体"/>
          <w:snapToGrid w:val="0"/>
          <w:kern w:val="0"/>
        </w:rPr>
        <w:t>3  系统的时域分析（6学时）</w:t>
      </w:r>
    </w:p>
    <w:p>
      <w:pPr>
        <w:widowControl/>
        <w:spacing w:line="360" w:lineRule="auto"/>
        <w:ind w:firstLine="420" w:firstLineChars="200"/>
        <w:jc w:val="left"/>
        <w:rPr>
          <w:snapToGrid w:val="0"/>
          <w:kern w:val="0"/>
        </w:rPr>
      </w:pPr>
      <w:r>
        <w:rPr>
          <w:snapToGrid w:val="0"/>
          <w:kern w:val="0"/>
        </w:rPr>
        <w:t>3.1、线性时不变系统的描述、特点及时域分析的基本思路与方法；</w:t>
      </w:r>
    </w:p>
    <w:p>
      <w:pPr>
        <w:widowControl/>
        <w:spacing w:line="360" w:lineRule="auto"/>
        <w:ind w:firstLine="420" w:firstLineChars="200"/>
        <w:jc w:val="left"/>
        <w:rPr>
          <w:snapToGrid w:val="0"/>
          <w:kern w:val="0"/>
        </w:rPr>
      </w:pPr>
      <w:r>
        <w:rPr>
          <w:snapToGrid w:val="0"/>
          <w:kern w:val="0"/>
        </w:rPr>
        <w:t>3.2、理解并学会线性常系数微分方程及线性常系数差分方程解方法及其数学概念；</w:t>
      </w:r>
    </w:p>
    <w:p>
      <w:pPr>
        <w:widowControl/>
        <w:spacing w:line="360" w:lineRule="auto"/>
        <w:ind w:left="424" w:leftChars="202"/>
        <w:jc w:val="left"/>
        <w:rPr>
          <w:snapToGrid w:val="0"/>
          <w:kern w:val="0"/>
        </w:rPr>
      </w:pPr>
      <w:r>
        <w:rPr>
          <w:snapToGrid w:val="0"/>
          <w:kern w:val="0"/>
        </w:rPr>
        <w:t>3.3、理解并学会连续LTI系统响应分解的物理概念、工程意义及其与微分方程解的关系；</w:t>
      </w:r>
    </w:p>
    <w:p>
      <w:pPr>
        <w:widowControl/>
        <w:spacing w:line="360" w:lineRule="auto"/>
        <w:ind w:firstLine="420" w:firstLineChars="200"/>
        <w:jc w:val="left"/>
        <w:rPr>
          <w:snapToGrid w:val="0"/>
          <w:kern w:val="0"/>
        </w:rPr>
      </w:pPr>
      <w:r>
        <w:rPr>
          <w:snapToGrid w:val="0"/>
          <w:kern w:val="0"/>
        </w:rPr>
        <w:t>3.4、理解掌握连续系统的单位冲激响应的概念及其求解方法；</w:t>
      </w:r>
    </w:p>
    <w:p>
      <w:pPr>
        <w:widowControl/>
        <w:spacing w:line="360" w:lineRule="auto"/>
        <w:ind w:firstLine="420" w:firstLineChars="200"/>
        <w:jc w:val="left"/>
        <w:rPr>
          <w:snapToGrid w:val="0"/>
          <w:kern w:val="0"/>
        </w:rPr>
      </w:pPr>
      <w:r>
        <w:rPr>
          <w:snapToGrid w:val="0"/>
          <w:kern w:val="0"/>
        </w:rPr>
        <w:t>3.5、熟练掌握卷积积分及用卷积积分求解连续系统零状态响应的方法及物理意义；</w:t>
      </w:r>
    </w:p>
    <w:p>
      <w:pPr>
        <w:widowControl/>
        <w:spacing w:line="360" w:lineRule="auto"/>
        <w:ind w:firstLine="420" w:firstLineChars="200"/>
        <w:jc w:val="left"/>
        <w:rPr>
          <w:snapToGrid w:val="0"/>
          <w:kern w:val="0"/>
        </w:rPr>
      </w:pPr>
      <w:r>
        <w:rPr>
          <w:snapToGrid w:val="0"/>
          <w:kern w:val="0"/>
        </w:rPr>
        <w:t>3.6、掌握系统联结方式及其冲激响应描述，理解其物理意义；</w:t>
      </w:r>
    </w:p>
    <w:p>
      <w:pPr>
        <w:widowControl/>
        <w:spacing w:line="360" w:lineRule="auto"/>
        <w:ind w:firstLine="420" w:firstLineChars="200"/>
        <w:jc w:val="left"/>
        <w:rPr>
          <w:snapToGrid w:val="0"/>
          <w:kern w:val="0"/>
        </w:rPr>
      </w:pPr>
      <w:r>
        <w:rPr>
          <w:snapToGrid w:val="0"/>
          <w:kern w:val="0"/>
        </w:rPr>
        <w:t>3.7、学会基于Matlab的系统时域分析方法。</w:t>
      </w:r>
    </w:p>
    <w:p>
      <w:pPr>
        <w:widowControl/>
        <w:spacing w:line="360" w:lineRule="auto"/>
        <w:ind w:left="424" w:leftChars="202"/>
        <w:jc w:val="left"/>
        <w:rPr>
          <w:snapToGrid w:val="0"/>
          <w:kern w:val="0"/>
        </w:rPr>
      </w:pPr>
      <w:r>
        <w:rPr>
          <w:b/>
          <w:snapToGrid w:val="0"/>
          <w:kern w:val="0"/>
        </w:rPr>
        <w:t>重点：</w:t>
      </w:r>
      <w:r>
        <w:rPr>
          <w:snapToGrid w:val="0"/>
          <w:kern w:val="0"/>
        </w:rPr>
        <w:t>连续线性时不变(LTI)系统的特性；连续LTI系统单位冲激响应的求解；用卷积法计算连续LTI系统零状态响应。</w:t>
      </w:r>
    </w:p>
    <w:p>
      <w:pPr>
        <w:widowControl/>
        <w:spacing w:line="360" w:lineRule="auto"/>
        <w:ind w:firstLine="422" w:firstLineChars="200"/>
        <w:jc w:val="left"/>
        <w:rPr>
          <w:snapToGrid w:val="0"/>
          <w:kern w:val="0"/>
        </w:rPr>
      </w:pPr>
      <w:r>
        <w:rPr>
          <w:b/>
          <w:snapToGrid w:val="0"/>
          <w:kern w:val="0"/>
        </w:rPr>
        <w:t>难点：</w:t>
      </w:r>
      <w:r>
        <w:rPr>
          <w:snapToGrid w:val="0"/>
          <w:kern w:val="0"/>
        </w:rPr>
        <w:t>卷积积分物理工程概念；系统零输入响应、零状态响应的物理工程概念。</w:t>
      </w:r>
    </w:p>
    <w:p>
      <w:pPr>
        <w:widowControl/>
        <w:spacing w:line="360" w:lineRule="auto"/>
        <w:ind w:firstLine="422" w:firstLineChars="200"/>
        <w:jc w:val="left"/>
        <w:rPr>
          <w:snapToGrid w:val="0"/>
          <w:kern w:val="0"/>
        </w:rPr>
      </w:pPr>
      <w:r>
        <w:rPr>
          <w:b/>
          <w:snapToGrid w:val="0"/>
          <w:kern w:val="0"/>
        </w:rPr>
        <w:t>课程思政元素：</w:t>
      </w:r>
      <w:r>
        <w:rPr>
          <w:snapToGrid w:val="0"/>
          <w:kern w:val="0"/>
        </w:rPr>
        <w:t>结合系统零输入响应、零状态响应及单位冲激响应，引导学生深入理解马克思主义的系统观中事物的发展变化是内因和外因共同作用的结果。但它们的作用和地位是不同的。内因是事物发展变化的根据，它规定事物发展的方向，是事物发展的根本动力；外因是事物发展的条件，一般起加速或延缓事物发展的作用。外因必须通过内因才能起作用。</w:t>
      </w:r>
    </w:p>
    <w:p>
      <w:pPr>
        <w:widowControl/>
        <w:spacing w:line="360" w:lineRule="auto"/>
        <w:ind w:firstLine="422" w:firstLineChars="200"/>
        <w:jc w:val="left"/>
        <w:rPr>
          <w:snapToGrid w:val="0"/>
          <w:kern w:val="0"/>
        </w:rPr>
      </w:pPr>
      <w:r>
        <w:rPr>
          <w:b/>
          <w:snapToGrid w:val="0"/>
          <w:kern w:val="0"/>
        </w:rPr>
        <w:t>教学方式：</w:t>
      </w:r>
      <w:r>
        <w:rPr>
          <w:snapToGrid w:val="0"/>
          <w:kern w:val="0"/>
        </w:rPr>
        <w:t>课堂讲授6学时，实验教学2学时。</w:t>
      </w:r>
    </w:p>
    <w:p>
      <w:pPr>
        <w:widowControl/>
        <w:spacing w:line="360" w:lineRule="auto"/>
        <w:ind w:firstLine="420" w:firstLineChars="200"/>
        <w:jc w:val="left"/>
        <w:rPr>
          <w:snapToGrid w:val="0"/>
          <w:kern w:val="0"/>
        </w:rPr>
      </w:pPr>
      <w:r>
        <w:rPr>
          <w:bCs/>
          <w:snapToGrid w:val="0"/>
          <w:kern w:val="0"/>
          <w:szCs w:val="21"/>
        </w:rPr>
        <w:t>本章内容支撑课程目标1、2、3、4。</w:t>
      </w:r>
    </w:p>
    <w:p>
      <w:pPr>
        <w:widowControl/>
        <w:spacing w:line="360" w:lineRule="auto"/>
        <w:ind w:firstLine="420" w:firstLineChars="200"/>
        <w:jc w:val="left"/>
        <w:rPr>
          <w:rFonts w:eastAsia="黑体"/>
          <w:snapToGrid w:val="0"/>
          <w:kern w:val="0"/>
        </w:rPr>
      </w:pPr>
      <w:r>
        <w:rPr>
          <w:rFonts w:eastAsia="黑体"/>
          <w:snapToGrid w:val="0"/>
          <w:kern w:val="0"/>
        </w:rPr>
        <w:t>4  连续信号的频域分析（10学时）</w:t>
      </w:r>
    </w:p>
    <w:p>
      <w:pPr>
        <w:widowControl/>
        <w:spacing w:line="360" w:lineRule="auto"/>
        <w:ind w:firstLine="420" w:firstLineChars="200"/>
        <w:jc w:val="left"/>
        <w:rPr>
          <w:snapToGrid w:val="0"/>
          <w:kern w:val="0"/>
        </w:rPr>
      </w:pPr>
      <w:r>
        <w:rPr>
          <w:snapToGrid w:val="0"/>
          <w:kern w:val="0"/>
        </w:rPr>
        <w:t>4.1、掌握连续时间周期信号的傅里叶级数定义、基本性质及物理意义；</w:t>
      </w:r>
    </w:p>
    <w:p>
      <w:pPr>
        <w:widowControl/>
        <w:spacing w:line="360" w:lineRule="auto"/>
        <w:ind w:firstLine="420" w:firstLineChars="200"/>
        <w:jc w:val="left"/>
        <w:rPr>
          <w:snapToGrid w:val="0"/>
          <w:kern w:val="0"/>
        </w:rPr>
      </w:pPr>
      <w:r>
        <w:rPr>
          <w:snapToGrid w:val="0"/>
          <w:kern w:val="0"/>
        </w:rPr>
        <w:t>4.2、理解连续时间周期信号的频谱概念；</w:t>
      </w:r>
    </w:p>
    <w:p>
      <w:pPr>
        <w:widowControl/>
        <w:spacing w:line="360" w:lineRule="auto"/>
        <w:ind w:firstLine="420" w:firstLineChars="200"/>
        <w:jc w:val="left"/>
        <w:rPr>
          <w:snapToGrid w:val="0"/>
          <w:kern w:val="0"/>
        </w:rPr>
      </w:pPr>
      <w:r>
        <w:rPr>
          <w:snapToGrid w:val="0"/>
          <w:kern w:val="0"/>
        </w:rPr>
        <w:t>4.3、掌握连续时间信号的傅里叶变换定义、基本性质及物理意义；</w:t>
      </w:r>
    </w:p>
    <w:p>
      <w:pPr>
        <w:widowControl/>
        <w:spacing w:line="360" w:lineRule="auto"/>
        <w:ind w:firstLine="420" w:firstLineChars="200"/>
        <w:jc w:val="left"/>
        <w:rPr>
          <w:snapToGrid w:val="0"/>
          <w:kern w:val="0"/>
        </w:rPr>
      </w:pPr>
      <w:r>
        <w:rPr>
          <w:snapToGrid w:val="0"/>
          <w:kern w:val="0"/>
        </w:rPr>
        <w:t>4.4、理解连续时间信号的有效带宽、频谱概念及其物理意义；</w:t>
      </w:r>
    </w:p>
    <w:p>
      <w:pPr>
        <w:widowControl/>
        <w:spacing w:line="360" w:lineRule="auto"/>
        <w:ind w:firstLine="420" w:firstLineChars="200"/>
        <w:jc w:val="left"/>
        <w:rPr>
          <w:snapToGrid w:val="0"/>
          <w:kern w:val="0"/>
        </w:rPr>
      </w:pPr>
      <w:r>
        <w:rPr>
          <w:snapToGrid w:val="0"/>
          <w:kern w:val="0"/>
        </w:rPr>
        <w:t>4.5、学会利用MATLAB进行周期信号和非周期信号的频域分析方法。</w:t>
      </w:r>
    </w:p>
    <w:p>
      <w:pPr>
        <w:widowControl/>
        <w:spacing w:line="360" w:lineRule="auto"/>
        <w:ind w:left="424" w:leftChars="202"/>
        <w:jc w:val="left"/>
        <w:rPr>
          <w:snapToGrid w:val="0"/>
          <w:kern w:val="0"/>
        </w:rPr>
      </w:pPr>
      <w:r>
        <w:rPr>
          <w:b/>
          <w:snapToGrid w:val="0"/>
          <w:kern w:val="0"/>
        </w:rPr>
        <w:t>重点：</w:t>
      </w:r>
      <w:r>
        <w:rPr>
          <w:snapToGrid w:val="0"/>
          <w:kern w:val="0"/>
        </w:rPr>
        <w:t>从数学概念、物理概念及工程概念深刻理解连续周期信号、连续非周期信号的频谱概念，以及信号时域与频域的关系；连续时间周期信号频谱的计算；连续时间信号傅里叶变换的基本性质、物理含义及应用，连续时间非周期信号频谱的计算；抽样信号频谱的特点，连续时间信号离散化与抽样定理的内容及其意义。</w:t>
      </w:r>
    </w:p>
    <w:p>
      <w:pPr>
        <w:widowControl/>
        <w:spacing w:line="360" w:lineRule="auto"/>
        <w:ind w:left="424" w:leftChars="202"/>
        <w:jc w:val="left"/>
        <w:rPr>
          <w:snapToGrid w:val="0"/>
          <w:kern w:val="0"/>
        </w:rPr>
      </w:pPr>
      <w:r>
        <w:rPr>
          <w:b/>
          <w:snapToGrid w:val="0"/>
          <w:kern w:val="0"/>
        </w:rPr>
        <w:t>难点：</w:t>
      </w:r>
      <w:r>
        <w:rPr>
          <w:snapToGrid w:val="0"/>
          <w:kern w:val="0"/>
        </w:rPr>
        <w:t>连续时间信号傅里叶变换的基本性质、物理含义；连续信号的频谱概念及频谱分析方法。</w:t>
      </w:r>
    </w:p>
    <w:p>
      <w:pPr>
        <w:widowControl/>
        <w:spacing w:line="360" w:lineRule="auto"/>
        <w:ind w:firstLine="422" w:firstLineChars="200"/>
        <w:jc w:val="left"/>
        <w:rPr>
          <w:snapToGrid w:val="0"/>
          <w:kern w:val="0"/>
        </w:rPr>
      </w:pPr>
      <w:r>
        <w:rPr>
          <w:b/>
          <w:snapToGrid w:val="0"/>
          <w:kern w:val="0"/>
        </w:rPr>
        <w:t>教学方式：</w:t>
      </w:r>
      <w:r>
        <w:rPr>
          <w:snapToGrid w:val="0"/>
          <w:kern w:val="0"/>
        </w:rPr>
        <w:t>课堂讲授10学时，实验教学2学时。</w:t>
      </w:r>
    </w:p>
    <w:p>
      <w:pPr>
        <w:widowControl/>
        <w:spacing w:line="360" w:lineRule="auto"/>
        <w:ind w:firstLine="420" w:firstLineChars="200"/>
        <w:jc w:val="left"/>
        <w:rPr>
          <w:snapToGrid w:val="0"/>
          <w:kern w:val="0"/>
        </w:rPr>
      </w:pPr>
      <w:r>
        <w:rPr>
          <w:bCs/>
          <w:snapToGrid w:val="0"/>
          <w:kern w:val="0"/>
          <w:szCs w:val="21"/>
        </w:rPr>
        <w:t>本章内容支撑课程目标1、2、3、4。</w:t>
      </w:r>
    </w:p>
    <w:p>
      <w:pPr>
        <w:widowControl/>
        <w:spacing w:line="360" w:lineRule="auto"/>
        <w:ind w:firstLine="420" w:firstLineChars="200"/>
        <w:jc w:val="left"/>
        <w:rPr>
          <w:rFonts w:eastAsia="黑体"/>
          <w:snapToGrid w:val="0"/>
          <w:kern w:val="0"/>
        </w:rPr>
      </w:pPr>
      <w:r>
        <w:rPr>
          <w:rFonts w:eastAsia="黑体"/>
          <w:snapToGrid w:val="0"/>
          <w:kern w:val="0"/>
        </w:rPr>
        <w:t>5  连续系统的频域分析（8学时）</w:t>
      </w:r>
    </w:p>
    <w:p>
      <w:pPr>
        <w:widowControl/>
        <w:spacing w:line="360" w:lineRule="auto"/>
        <w:ind w:firstLine="420" w:firstLineChars="200"/>
        <w:jc w:val="left"/>
        <w:rPr>
          <w:snapToGrid w:val="0"/>
          <w:kern w:val="0"/>
        </w:rPr>
      </w:pPr>
      <w:r>
        <w:rPr>
          <w:snapToGrid w:val="0"/>
          <w:kern w:val="0"/>
        </w:rPr>
        <w:t>5.1、理解连续信号通过系统响应频谱分析思路与方法；</w:t>
      </w:r>
    </w:p>
    <w:p>
      <w:pPr>
        <w:widowControl/>
        <w:spacing w:line="360" w:lineRule="auto"/>
        <w:ind w:firstLine="420" w:firstLineChars="200"/>
        <w:jc w:val="left"/>
        <w:rPr>
          <w:snapToGrid w:val="0"/>
          <w:kern w:val="0"/>
        </w:rPr>
      </w:pPr>
      <w:r>
        <w:rPr>
          <w:snapToGrid w:val="0"/>
          <w:kern w:val="0"/>
        </w:rPr>
        <w:t>5.2、理解并学会连续LTI系统的频率响应的概念、物理意义及工程应用；</w:t>
      </w:r>
    </w:p>
    <w:p>
      <w:pPr>
        <w:widowControl/>
        <w:spacing w:line="360" w:lineRule="auto"/>
        <w:ind w:firstLine="420" w:firstLineChars="200"/>
        <w:jc w:val="left"/>
        <w:rPr>
          <w:snapToGrid w:val="0"/>
          <w:kern w:val="0"/>
        </w:rPr>
      </w:pPr>
      <w:r>
        <w:rPr>
          <w:snapToGrid w:val="0"/>
          <w:kern w:val="0"/>
        </w:rPr>
        <w:t>5.3、理解无失真传输系统的定义及特征；</w:t>
      </w:r>
    </w:p>
    <w:p>
      <w:pPr>
        <w:widowControl/>
        <w:spacing w:line="360" w:lineRule="auto"/>
        <w:ind w:firstLine="420" w:firstLineChars="200"/>
        <w:jc w:val="left"/>
        <w:rPr>
          <w:snapToGrid w:val="0"/>
          <w:kern w:val="0"/>
        </w:rPr>
      </w:pPr>
      <w:r>
        <w:rPr>
          <w:snapToGrid w:val="0"/>
          <w:kern w:val="0"/>
        </w:rPr>
        <w:t>5.4、掌握理想低通滤波器的定义、特征及其冲激响应、阶跃响应的分析方法；</w:t>
      </w:r>
    </w:p>
    <w:p>
      <w:pPr>
        <w:widowControl/>
        <w:spacing w:line="360" w:lineRule="auto"/>
        <w:ind w:firstLine="420" w:firstLineChars="200"/>
        <w:jc w:val="left"/>
        <w:rPr>
          <w:snapToGrid w:val="0"/>
          <w:kern w:val="0"/>
        </w:rPr>
      </w:pPr>
      <w:r>
        <w:rPr>
          <w:snapToGrid w:val="0"/>
          <w:kern w:val="0"/>
        </w:rPr>
        <w:t>5.5、理解时域抽样定理的工程概念；</w:t>
      </w:r>
    </w:p>
    <w:p>
      <w:pPr>
        <w:widowControl/>
        <w:spacing w:line="360" w:lineRule="auto"/>
        <w:ind w:firstLine="420" w:firstLineChars="200"/>
        <w:jc w:val="left"/>
        <w:rPr>
          <w:snapToGrid w:val="0"/>
          <w:kern w:val="0"/>
        </w:rPr>
      </w:pPr>
      <w:r>
        <w:rPr>
          <w:snapToGrid w:val="0"/>
          <w:kern w:val="0"/>
        </w:rPr>
        <w:t>5.6、学会利用MATLAB进行连续系统频域分析方法。</w:t>
      </w:r>
    </w:p>
    <w:p>
      <w:pPr>
        <w:widowControl/>
        <w:spacing w:line="360" w:lineRule="auto"/>
        <w:ind w:left="424" w:leftChars="202"/>
        <w:jc w:val="left"/>
        <w:rPr>
          <w:snapToGrid w:val="0"/>
          <w:kern w:val="0"/>
        </w:rPr>
      </w:pPr>
      <w:r>
        <w:rPr>
          <w:b/>
          <w:snapToGrid w:val="0"/>
          <w:kern w:val="0"/>
        </w:rPr>
        <w:t>重点：</w:t>
      </w:r>
      <w:r>
        <w:rPr>
          <w:snapToGrid w:val="0"/>
          <w:kern w:val="0"/>
        </w:rPr>
        <w:t>连续系统特性的频域表示(频率响应)；虚指数信号通过系统响应的特点，及任意信号通过系统响应的频域分析；无失真系统与理想低通滤波器的时、频特性；时域抽样定理的工程概念</w:t>
      </w:r>
    </w:p>
    <w:p>
      <w:pPr>
        <w:widowControl/>
        <w:spacing w:line="360" w:lineRule="auto"/>
        <w:ind w:left="424" w:leftChars="202"/>
        <w:jc w:val="left"/>
        <w:rPr>
          <w:snapToGrid w:val="0"/>
          <w:kern w:val="0"/>
        </w:rPr>
      </w:pPr>
      <w:r>
        <w:rPr>
          <w:b/>
          <w:snapToGrid w:val="0"/>
          <w:kern w:val="0"/>
        </w:rPr>
        <w:t>难点：</w:t>
      </w:r>
      <w:r>
        <w:rPr>
          <w:snapToGrid w:val="0"/>
          <w:kern w:val="0"/>
        </w:rPr>
        <w:t>周期信号通过系统响应的频域分析；非周期信号进行频域分析的思路；时域抽样定理的理论基础。</w:t>
      </w:r>
    </w:p>
    <w:p>
      <w:pPr>
        <w:widowControl/>
        <w:spacing w:line="360" w:lineRule="auto"/>
        <w:ind w:firstLine="422" w:firstLineChars="200"/>
        <w:jc w:val="left"/>
        <w:rPr>
          <w:snapToGrid w:val="0"/>
          <w:kern w:val="0"/>
        </w:rPr>
      </w:pPr>
      <w:r>
        <w:rPr>
          <w:b/>
          <w:snapToGrid w:val="0"/>
          <w:kern w:val="0"/>
        </w:rPr>
        <w:t>教学方式：</w:t>
      </w:r>
      <w:r>
        <w:rPr>
          <w:snapToGrid w:val="0"/>
          <w:kern w:val="0"/>
        </w:rPr>
        <w:t>课堂讲授8学时。</w:t>
      </w:r>
    </w:p>
    <w:p>
      <w:pPr>
        <w:widowControl/>
        <w:spacing w:line="360" w:lineRule="auto"/>
        <w:ind w:firstLine="420" w:firstLineChars="200"/>
        <w:jc w:val="left"/>
        <w:rPr>
          <w:snapToGrid w:val="0"/>
          <w:kern w:val="0"/>
        </w:rPr>
      </w:pPr>
      <w:r>
        <w:rPr>
          <w:bCs/>
          <w:snapToGrid w:val="0"/>
          <w:kern w:val="0"/>
          <w:szCs w:val="21"/>
        </w:rPr>
        <w:t>本章内容支撑课程目标1、2、3、4。</w:t>
      </w:r>
    </w:p>
    <w:p>
      <w:pPr>
        <w:widowControl/>
        <w:spacing w:line="360" w:lineRule="auto"/>
        <w:ind w:firstLine="420" w:firstLineChars="200"/>
        <w:jc w:val="left"/>
        <w:rPr>
          <w:rFonts w:eastAsia="黑体"/>
          <w:snapToGrid w:val="0"/>
          <w:kern w:val="0"/>
        </w:rPr>
      </w:pPr>
      <w:r>
        <w:rPr>
          <w:rFonts w:eastAsia="黑体"/>
          <w:snapToGrid w:val="0"/>
          <w:kern w:val="0"/>
        </w:rPr>
        <w:t>6  连续时间信号与系统的复频域分析（8学时）</w:t>
      </w:r>
    </w:p>
    <w:p>
      <w:pPr>
        <w:widowControl/>
        <w:spacing w:line="360" w:lineRule="auto"/>
        <w:ind w:firstLine="420" w:firstLineChars="200"/>
        <w:jc w:val="left"/>
        <w:rPr>
          <w:snapToGrid w:val="0"/>
          <w:kern w:val="0"/>
        </w:rPr>
      </w:pPr>
      <w:r>
        <w:rPr>
          <w:snapToGrid w:val="0"/>
          <w:kern w:val="0"/>
        </w:rPr>
        <w:t>6.1、理解拉普拉斯变换的概念及其工程意义；</w:t>
      </w:r>
    </w:p>
    <w:p>
      <w:pPr>
        <w:widowControl/>
        <w:spacing w:line="360" w:lineRule="auto"/>
        <w:ind w:firstLine="420" w:firstLineChars="200"/>
        <w:jc w:val="left"/>
        <w:rPr>
          <w:snapToGrid w:val="0"/>
          <w:kern w:val="0"/>
        </w:rPr>
      </w:pPr>
      <w:r>
        <w:rPr>
          <w:snapToGrid w:val="0"/>
          <w:kern w:val="0"/>
        </w:rPr>
        <w:t>6.2、掌握拉普拉斯变换的定义、收敛域、基本性质及其与傅里叶变换的联系；</w:t>
      </w:r>
    </w:p>
    <w:p>
      <w:pPr>
        <w:widowControl/>
        <w:spacing w:line="360" w:lineRule="auto"/>
        <w:ind w:firstLine="420" w:firstLineChars="200"/>
        <w:jc w:val="left"/>
        <w:rPr>
          <w:snapToGrid w:val="0"/>
          <w:kern w:val="0"/>
        </w:rPr>
      </w:pPr>
      <w:r>
        <w:rPr>
          <w:snapToGrid w:val="0"/>
          <w:kern w:val="0"/>
        </w:rPr>
        <w:t>6.3、掌握拉普拉斯逆变换方法；</w:t>
      </w:r>
    </w:p>
    <w:p>
      <w:pPr>
        <w:widowControl/>
        <w:spacing w:line="360" w:lineRule="auto"/>
        <w:ind w:firstLine="420" w:firstLineChars="200"/>
        <w:jc w:val="left"/>
        <w:rPr>
          <w:snapToGrid w:val="0"/>
          <w:kern w:val="0"/>
        </w:rPr>
      </w:pPr>
      <w:r>
        <w:rPr>
          <w:snapToGrid w:val="0"/>
          <w:kern w:val="0"/>
        </w:rPr>
        <w:t>6.4、理解并学会连续系统的复频域求解思路及方法；</w:t>
      </w:r>
    </w:p>
    <w:p>
      <w:pPr>
        <w:widowControl/>
        <w:spacing w:line="360" w:lineRule="auto"/>
        <w:ind w:firstLine="420" w:firstLineChars="200"/>
        <w:jc w:val="left"/>
        <w:rPr>
          <w:snapToGrid w:val="0"/>
          <w:kern w:val="0"/>
        </w:rPr>
      </w:pPr>
      <w:r>
        <w:rPr>
          <w:snapToGrid w:val="0"/>
          <w:kern w:val="0"/>
        </w:rPr>
        <w:t>6.5、理解系统函数的定义及工程意义；</w:t>
      </w:r>
    </w:p>
    <w:p>
      <w:pPr>
        <w:widowControl/>
        <w:spacing w:line="360" w:lineRule="auto"/>
        <w:ind w:firstLine="420" w:firstLineChars="200"/>
        <w:jc w:val="left"/>
        <w:rPr>
          <w:snapToGrid w:val="0"/>
          <w:kern w:val="0"/>
        </w:rPr>
      </w:pPr>
      <w:r>
        <w:rPr>
          <w:snapToGrid w:val="0"/>
          <w:kern w:val="0"/>
        </w:rPr>
        <w:t>6.6、学会系统函数描述形式、零极点分布图、系统频率特性的分析方法；</w:t>
      </w:r>
    </w:p>
    <w:p>
      <w:pPr>
        <w:widowControl/>
        <w:spacing w:line="360" w:lineRule="auto"/>
        <w:ind w:firstLine="420" w:firstLineChars="200"/>
        <w:jc w:val="left"/>
        <w:rPr>
          <w:snapToGrid w:val="0"/>
          <w:kern w:val="0"/>
        </w:rPr>
      </w:pPr>
      <w:r>
        <w:rPr>
          <w:snapToGrid w:val="0"/>
          <w:kern w:val="0"/>
        </w:rPr>
        <w:t>6.7、连续系统的联结与模拟的系统函数描述；</w:t>
      </w:r>
    </w:p>
    <w:p>
      <w:pPr>
        <w:widowControl/>
        <w:spacing w:line="360" w:lineRule="auto"/>
        <w:ind w:firstLine="420" w:firstLineChars="200"/>
        <w:jc w:val="left"/>
        <w:rPr>
          <w:snapToGrid w:val="0"/>
          <w:kern w:val="0"/>
        </w:rPr>
      </w:pPr>
      <w:r>
        <w:rPr>
          <w:snapToGrid w:val="0"/>
          <w:kern w:val="0"/>
        </w:rPr>
        <w:t>6.8、学会利用MATLAB进行连续系统复频域分析方法。</w:t>
      </w:r>
    </w:p>
    <w:p>
      <w:pPr>
        <w:widowControl/>
        <w:spacing w:line="360" w:lineRule="auto"/>
        <w:ind w:left="424" w:leftChars="202"/>
        <w:jc w:val="left"/>
        <w:rPr>
          <w:rFonts w:ascii="宋体" w:hAnsi="宋体" w:cs="宋体"/>
          <w:snapToGrid w:val="0"/>
          <w:kern w:val="0"/>
        </w:rPr>
      </w:pPr>
      <w:r>
        <w:rPr>
          <w:b/>
          <w:snapToGrid w:val="0"/>
          <w:kern w:val="0"/>
        </w:rPr>
        <w:t>重点：</w:t>
      </w:r>
      <w:r>
        <w:rPr>
          <w:snapToGrid w:val="0"/>
          <w:kern w:val="0"/>
        </w:rPr>
        <w:t>单边拉普拉斯变换及其基本性质和拉普拉斯反变换；连续LTI系统完全响应的复频域求解；系统函数及其与系统特性（冲激响应、频率响应、因果性、稳定性）的关系；连续LTI系统的模拟框图</w:t>
      </w:r>
      <w:r>
        <w:rPr>
          <w:rFonts w:hint="eastAsia" w:ascii="宋体" w:hAnsi="宋体" w:cs="宋体"/>
          <w:snapToGrid w:val="0"/>
          <w:kern w:val="0"/>
        </w:rPr>
        <w:t>。</w:t>
      </w:r>
    </w:p>
    <w:p>
      <w:pPr>
        <w:widowControl/>
        <w:spacing w:line="360" w:lineRule="auto"/>
        <w:ind w:left="424" w:leftChars="202"/>
        <w:jc w:val="left"/>
        <w:rPr>
          <w:snapToGrid w:val="0"/>
          <w:kern w:val="0"/>
        </w:rPr>
      </w:pPr>
      <w:r>
        <w:rPr>
          <w:b/>
          <w:snapToGrid w:val="0"/>
          <w:kern w:val="0"/>
        </w:rPr>
        <w:t>难点：</w:t>
      </w:r>
      <w:r>
        <w:rPr>
          <w:snapToGrid w:val="0"/>
          <w:kern w:val="0"/>
        </w:rPr>
        <w:t>系统函数、系统零极点分布图与系统频率响应的关系。</w:t>
      </w:r>
    </w:p>
    <w:p>
      <w:pPr>
        <w:widowControl/>
        <w:spacing w:line="360" w:lineRule="auto"/>
        <w:ind w:left="424" w:leftChars="202"/>
        <w:jc w:val="left"/>
        <w:rPr>
          <w:snapToGrid w:val="0"/>
          <w:kern w:val="0"/>
        </w:rPr>
      </w:pPr>
      <w:r>
        <w:rPr>
          <w:b/>
          <w:snapToGrid w:val="0"/>
          <w:kern w:val="0"/>
        </w:rPr>
        <w:t>教学方式：</w:t>
      </w:r>
      <w:r>
        <w:rPr>
          <w:snapToGrid w:val="0"/>
          <w:kern w:val="0"/>
        </w:rPr>
        <w:t>课堂讲授8学时，实验教学2学时。</w:t>
      </w:r>
    </w:p>
    <w:p>
      <w:pPr>
        <w:widowControl/>
        <w:spacing w:line="360" w:lineRule="auto"/>
        <w:ind w:left="424" w:leftChars="202"/>
        <w:jc w:val="left"/>
        <w:rPr>
          <w:snapToGrid w:val="0"/>
          <w:kern w:val="0"/>
        </w:rPr>
      </w:pPr>
      <w:r>
        <w:rPr>
          <w:bCs/>
          <w:snapToGrid w:val="0"/>
          <w:kern w:val="0"/>
          <w:szCs w:val="21"/>
        </w:rPr>
        <w:t>本章内容支撑课程目标1、2、3、4。</w:t>
      </w:r>
    </w:p>
    <w:p/>
    <w:p>
      <w:pPr>
        <w:spacing w:line="360" w:lineRule="auto"/>
        <w:rPr>
          <w:rFonts w:ascii="黑体" w:hAnsi="黑体" w:eastAsia="黑体"/>
        </w:rPr>
      </w:pPr>
      <w:r>
        <w:rPr>
          <w:rFonts w:hint="eastAsia" w:ascii="黑体" w:hAnsi="黑体" w:eastAsia="黑体"/>
        </w:rPr>
        <w:t>五、实验内容</w:t>
      </w:r>
    </w:p>
    <w:p>
      <w:pPr>
        <w:spacing w:line="360" w:lineRule="auto"/>
        <w:ind w:firstLine="424"/>
        <w:rPr>
          <w:kern w:val="0"/>
        </w:rPr>
      </w:pPr>
      <w:r>
        <w:rPr>
          <w:kern w:val="0"/>
        </w:rPr>
        <w:t>实验环节主要是上机操作，要求保证上机条件，即具备常用的Matlab软件工具；要求学生学会Matlab语法、基本编程、数据可视化；学会Matlab环境下进行典型信号及系统的描述、时域分析、频域分析、复频域分析；学会针对典型工程实例运用信号与系统理论进行问题分析和探究的能力。</w:t>
      </w:r>
    </w:p>
    <w:p>
      <w:pPr>
        <w:spacing w:line="360" w:lineRule="auto"/>
        <w:ind w:firstLine="424"/>
        <w:rPr>
          <w:rFonts w:eastAsia="黑体"/>
          <w:snapToGrid w:val="0"/>
          <w:kern w:val="0"/>
        </w:rPr>
      </w:pPr>
      <w:r>
        <w:rPr>
          <w:rFonts w:eastAsia="黑体"/>
          <w:snapToGrid w:val="0"/>
          <w:kern w:val="0"/>
        </w:rPr>
        <w:t>实验一信号的时域分析（2学时）</w:t>
      </w:r>
    </w:p>
    <w:p>
      <w:pPr>
        <w:spacing w:line="360" w:lineRule="auto"/>
        <w:ind w:firstLine="420" w:firstLineChars="200"/>
        <w:rPr>
          <w:snapToGrid w:val="0"/>
          <w:kern w:val="0"/>
        </w:rPr>
      </w:pPr>
      <w:r>
        <w:rPr>
          <w:snapToGrid w:val="0"/>
          <w:kern w:val="0"/>
        </w:rPr>
        <w:t>实验要求：</w:t>
      </w:r>
    </w:p>
    <w:p>
      <w:pPr>
        <w:spacing w:line="360" w:lineRule="auto"/>
        <w:ind w:firstLine="420" w:firstLineChars="200"/>
        <w:rPr>
          <w:snapToGrid w:val="0"/>
          <w:kern w:val="0"/>
        </w:rPr>
      </w:pPr>
      <w:r>
        <w:rPr>
          <w:snapToGrid w:val="0"/>
          <w:kern w:val="0"/>
        </w:rPr>
        <w:t>1、可利用Matlab进行信号的描述，熟悉典型信号的特点；</w:t>
      </w:r>
    </w:p>
    <w:p>
      <w:pPr>
        <w:spacing w:line="360" w:lineRule="auto"/>
        <w:ind w:firstLine="420" w:firstLineChars="200"/>
        <w:rPr>
          <w:snapToGrid w:val="0"/>
          <w:kern w:val="0"/>
        </w:rPr>
      </w:pPr>
      <w:r>
        <w:rPr>
          <w:snapToGrid w:val="0"/>
          <w:kern w:val="0"/>
        </w:rPr>
        <w:t>2、理解并学会Matlab进行信号基本运算的方法。</w:t>
      </w:r>
    </w:p>
    <w:p>
      <w:pPr>
        <w:spacing w:line="360" w:lineRule="auto"/>
        <w:ind w:firstLine="420" w:firstLineChars="200"/>
        <w:rPr>
          <w:snapToGrid w:val="0"/>
          <w:kern w:val="0"/>
        </w:rPr>
      </w:pPr>
      <w:r>
        <w:rPr>
          <w:snapToGrid w:val="0"/>
          <w:kern w:val="0"/>
        </w:rPr>
        <w:t>实验内容：</w:t>
      </w:r>
    </w:p>
    <w:p>
      <w:pPr>
        <w:spacing w:line="360" w:lineRule="auto"/>
        <w:ind w:firstLine="420" w:firstLineChars="200"/>
        <w:rPr>
          <w:snapToGrid w:val="0"/>
          <w:kern w:val="0"/>
        </w:rPr>
      </w:pPr>
      <w:r>
        <w:rPr>
          <w:snapToGrid w:val="0"/>
          <w:kern w:val="0"/>
        </w:rPr>
        <w:t>在Matlab环境下进行典型信号表述、特征分析、信号的基本运算。</w:t>
      </w:r>
    </w:p>
    <w:p>
      <w:pPr>
        <w:spacing w:line="360" w:lineRule="auto"/>
        <w:ind w:firstLine="420" w:firstLineChars="200"/>
        <w:rPr>
          <w:snapToGrid w:val="0"/>
          <w:kern w:val="0"/>
        </w:rPr>
      </w:pPr>
      <w:r>
        <w:rPr>
          <w:bCs/>
          <w:snapToGrid w:val="0"/>
          <w:kern w:val="0"/>
          <w:szCs w:val="21"/>
        </w:rPr>
        <w:t>本章内容支撑课程目标1。</w:t>
      </w:r>
    </w:p>
    <w:p>
      <w:pPr>
        <w:spacing w:line="360" w:lineRule="auto"/>
        <w:ind w:firstLine="420" w:firstLineChars="200"/>
        <w:rPr>
          <w:rFonts w:eastAsia="黑体"/>
          <w:snapToGrid w:val="0"/>
          <w:kern w:val="0"/>
        </w:rPr>
      </w:pPr>
      <w:r>
        <w:rPr>
          <w:rFonts w:eastAsia="黑体"/>
          <w:snapToGrid w:val="0"/>
          <w:kern w:val="0"/>
        </w:rPr>
        <w:t>实验二系统的时域分析（2学时）</w:t>
      </w:r>
    </w:p>
    <w:p>
      <w:pPr>
        <w:spacing w:line="360" w:lineRule="auto"/>
        <w:ind w:firstLine="420" w:firstLineChars="200"/>
        <w:rPr>
          <w:snapToGrid w:val="0"/>
          <w:kern w:val="0"/>
        </w:rPr>
      </w:pPr>
      <w:r>
        <w:rPr>
          <w:snapToGrid w:val="0"/>
          <w:kern w:val="0"/>
        </w:rPr>
        <w:t>实验要求：</w:t>
      </w:r>
    </w:p>
    <w:p>
      <w:pPr>
        <w:spacing w:line="360" w:lineRule="auto"/>
        <w:ind w:firstLine="420" w:firstLineChars="200"/>
        <w:rPr>
          <w:snapToGrid w:val="0"/>
          <w:kern w:val="0"/>
        </w:rPr>
      </w:pPr>
      <w:r>
        <w:rPr>
          <w:snapToGrid w:val="0"/>
          <w:kern w:val="0"/>
        </w:rPr>
        <w:t>1、学会利用Matlab进行连续LTI系统的时域分析方法；</w:t>
      </w:r>
    </w:p>
    <w:p>
      <w:pPr>
        <w:spacing w:line="360" w:lineRule="auto"/>
        <w:ind w:firstLine="420" w:firstLineChars="200"/>
        <w:rPr>
          <w:snapToGrid w:val="0"/>
          <w:kern w:val="0"/>
        </w:rPr>
      </w:pPr>
      <w:r>
        <w:rPr>
          <w:snapToGrid w:val="0"/>
          <w:kern w:val="0"/>
        </w:rPr>
        <w:t>2、加深理解连续系统响应的求解方法及物理意义；</w:t>
      </w:r>
    </w:p>
    <w:p>
      <w:pPr>
        <w:spacing w:line="360" w:lineRule="auto"/>
        <w:ind w:firstLine="420" w:firstLineChars="200"/>
        <w:rPr>
          <w:snapToGrid w:val="0"/>
          <w:kern w:val="0"/>
        </w:rPr>
      </w:pPr>
      <w:r>
        <w:rPr>
          <w:snapToGrid w:val="0"/>
          <w:kern w:val="0"/>
        </w:rPr>
        <w:t>3、学会求解和分析系统单位冲激响应、单位阶跃响应的方法。</w:t>
      </w:r>
    </w:p>
    <w:p>
      <w:pPr>
        <w:spacing w:line="360" w:lineRule="auto"/>
        <w:ind w:firstLine="420" w:firstLineChars="200"/>
        <w:rPr>
          <w:snapToGrid w:val="0"/>
          <w:kern w:val="0"/>
        </w:rPr>
      </w:pPr>
      <w:r>
        <w:rPr>
          <w:snapToGrid w:val="0"/>
          <w:kern w:val="0"/>
        </w:rPr>
        <w:t>实验内容：</w:t>
      </w:r>
    </w:p>
    <w:p>
      <w:pPr>
        <w:spacing w:line="360" w:lineRule="auto"/>
        <w:ind w:firstLine="420" w:firstLineChars="200"/>
        <w:rPr>
          <w:snapToGrid w:val="0"/>
          <w:kern w:val="0"/>
        </w:rPr>
      </w:pPr>
      <w:r>
        <w:rPr>
          <w:snapToGrid w:val="0"/>
          <w:kern w:val="0"/>
        </w:rPr>
        <w:t>在Matlab环境下进行连续LTI系统描述、响应求解、单位冲激响应、单位阶跃响应分析。</w:t>
      </w:r>
    </w:p>
    <w:p>
      <w:pPr>
        <w:spacing w:line="360" w:lineRule="auto"/>
        <w:ind w:firstLine="420" w:firstLineChars="200"/>
        <w:rPr>
          <w:snapToGrid w:val="0"/>
          <w:kern w:val="0"/>
        </w:rPr>
      </w:pPr>
      <w:r>
        <w:rPr>
          <w:bCs/>
          <w:snapToGrid w:val="0"/>
          <w:kern w:val="0"/>
          <w:szCs w:val="21"/>
        </w:rPr>
        <w:t>本章内容支撑课程目标1、3、4。</w:t>
      </w:r>
    </w:p>
    <w:p>
      <w:pPr>
        <w:spacing w:line="360" w:lineRule="auto"/>
        <w:ind w:firstLine="420" w:firstLineChars="200"/>
        <w:rPr>
          <w:rFonts w:eastAsia="黑体"/>
          <w:snapToGrid w:val="0"/>
          <w:kern w:val="0"/>
        </w:rPr>
      </w:pPr>
      <w:r>
        <w:rPr>
          <w:rFonts w:eastAsia="黑体"/>
          <w:snapToGrid w:val="0"/>
          <w:kern w:val="0"/>
        </w:rPr>
        <w:t>实验三信号的频域分析（2学时）</w:t>
      </w:r>
    </w:p>
    <w:p>
      <w:pPr>
        <w:spacing w:line="360" w:lineRule="auto"/>
        <w:ind w:firstLine="420" w:firstLineChars="200"/>
        <w:rPr>
          <w:snapToGrid w:val="0"/>
          <w:kern w:val="0"/>
        </w:rPr>
      </w:pPr>
      <w:r>
        <w:rPr>
          <w:snapToGrid w:val="0"/>
          <w:kern w:val="0"/>
        </w:rPr>
        <w:t>实验要求：</w:t>
      </w:r>
    </w:p>
    <w:p>
      <w:pPr>
        <w:spacing w:line="360" w:lineRule="auto"/>
        <w:ind w:firstLine="420" w:firstLineChars="200"/>
        <w:rPr>
          <w:snapToGrid w:val="0"/>
          <w:kern w:val="0"/>
        </w:rPr>
      </w:pPr>
      <w:r>
        <w:rPr>
          <w:snapToGrid w:val="0"/>
          <w:kern w:val="0"/>
        </w:rPr>
        <w:t>1、学会利用Matlab进行信号频谱分析的方法；</w:t>
      </w:r>
    </w:p>
    <w:p>
      <w:pPr>
        <w:spacing w:line="360" w:lineRule="auto"/>
        <w:ind w:firstLine="420" w:firstLineChars="200"/>
        <w:rPr>
          <w:snapToGrid w:val="0"/>
          <w:kern w:val="0"/>
        </w:rPr>
      </w:pPr>
      <w:r>
        <w:rPr>
          <w:snapToGrid w:val="0"/>
          <w:kern w:val="0"/>
        </w:rPr>
        <w:t>2、理解连续周期、连续非周期信号的频谱特点；</w:t>
      </w:r>
    </w:p>
    <w:p>
      <w:pPr>
        <w:spacing w:line="360" w:lineRule="auto"/>
        <w:ind w:firstLine="420" w:firstLineChars="200"/>
        <w:rPr>
          <w:snapToGrid w:val="0"/>
          <w:kern w:val="0"/>
        </w:rPr>
      </w:pPr>
      <w:r>
        <w:rPr>
          <w:snapToGrid w:val="0"/>
          <w:kern w:val="0"/>
        </w:rPr>
        <w:t>3、理解信号调制的数学、物理概念；</w:t>
      </w:r>
    </w:p>
    <w:p>
      <w:pPr>
        <w:spacing w:line="360" w:lineRule="auto"/>
        <w:ind w:firstLine="420" w:firstLineChars="200"/>
        <w:rPr>
          <w:snapToGrid w:val="0"/>
          <w:kern w:val="0"/>
        </w:rPr>
      </w:pPr>
      <w:r>
        <w:rPr>
          <w:snapToGrid w:val="0"/>
          <w:kern w:val="0"/>
        </w:rPr>
        <w:t>4、学会信号时域分析的工程应用方法。</w:t>
      </w:r>
    </w:p>
    <w:p>
      <w:pPr>
        <w:spacing w:line="360" w:lineRule="auto"/>
        <w:ind w:firstLine="420" w:firstLineChars="200"/>
        <w:rPr>
          <w:snapToGrid w:val="0"/>
          <w:kern w:val="0"/>
        </w:rPr>
      </w:pPr>
      <w:r>
        <w:rPr>
          <w:snapToGrid w:val="0"/>
          <w:kern w:val="0"/>
        </w:rPr>
        <w:t>实验内容：</w:t>
      </w:r>
    </w:p>
    <w:p>
      <w:pPr>
        <w:spacing w:line="360" w:lineRule="auto"/>
        <w:ind w:firstLine="420" w:firstLineChars="200"/>
        <w:rPr>
          <w:snapToGrid w:val="0"/>
          <w:kern w:val="0"/>
        </w:rPr>
      </w:pPr>
      <w:r>
        <w:rPr>
          <w:snapToGrid w:val="0"/>
          <w:kern w:val="0"/>
        </w:rPr>
        <w:t>典型连续周期和连续非周期信号的频谱分析、信号调制解调中信号的频谱分析。</w:t>
      </w:r>
    </w:p>
    <w:p>
      <w:pPr>
        <w:spacing w:line="360" w:lineRule="auto"/>
        <w:ind w:firstLine="420" w:firstLineChars="200"/>
        <w:rPr>
          <w:snapToGrid w:val="0"/>
          <w:kern w:val="0"/>
        </w:rPr>
      </w:pPr>
      <w:r>
        <w:rPr>
          <w:bCs/>
          <w:snapToGrid w:val="0"/>
          <w:kern w:val="0"/>
          <w:szCs w:val="21"/>
        </w:rPr>
        <w:t>本章内容支撑课程目标2、3、4。</w:t>
      </w:r>
    </w:p>
    <w:p>
      <w:pPr>
        <w:spacing w:line="360" w:lineRule="auto"/>
        <w:ind w:firstLine="420" w:firstLineChars="200"/>
        <w:rPr>
          <w:rFonts w:eastAsia="黑体"/>
          <w:snapToGrid w:val="0"/>
          <w:kern w:val="0"/>
        </w:rPr>
      </w:pPr>
      <w:r>
        <w:rPr>
          <w:rFonts w:eastAsia="黑体"/>
          <w:snapToGrid w:val="0"/>
          <w:kern w:val="0"/>
        </w:rPr>
        <w:t>实验四系统的频域、复频域分析（2学时）</w:t>
      </w:r>
    </w:p>
    <w:p>
      <w:pPr>
        <w:spacing w:line="360" w:lineRule="auto"/>
        <w:ind w:firstLine="420" w:firstLineChars="200"/>
        <w:rPr>
          <w:snapToGrid w:val="0"/>
          <w:kern w:val="0"/>
        </w:rPr>
      </w:pPr>
      <w:r>
        <w:rPr>
          <w:snapToGrid w:val="0"/>
          <w:kern w:val="0"/>
        </w:rPr>
        <w:t>实验要求：</w:t>
      </w:r>
    </w:p>
    <w:p>
      <w:pPr>
        <w:spacing w:line="360" w:lineRule="auto"/>
        <w:ind w:firstLine="420" w:firstLineChars="200"/>
        <w:rPr>
          <w:snapToGrid w:val="0"/>
          <w:kern w:val="0"/>
        </w:rPr>
      </w:pPr>
      <w:r>
        <w:rPr>
          <w:snapToGrid w:val="0"/>
          <w:kern w:val="0"/>
        </w:rPr>
        <w:t>1、理解和熟悉连续系统的系统函数概念；</w:t>
      </w:r>
    </w:p>
    <w:p>
      <w:pPr>
        <w:spacing w:line="360" w:lineRule="auto"/>
        <w:ind w:firstLine="420" w:firstLineChars="200"/>
        <w:rPr>
          <w:snapToGrid w:val="0"/>
          <w:kern w:val="0"/>
        </w:rPr>
      </w:pPr>
      <w:r>
        <w:rPr>
          <w:snapToGrid w:val="0"/>
          <w:kern w:val="0"/>
        </w:rPr>
        <w:t>2、理解系统函数零极点分布与其频率特性的关系；</w:t>
      </w:r>
    </w:p>
    <w:p>
      <w:pPr>
        <w:spacing w:line="360" w:lineRule="auto"/>
        <w:ind w:firstLine="420" w:firstLineChars="200"/>
        <w:rPr>
          <w:snapToGrid w:val="0"/>
          <w:kern w:val="0"/>
        </w:rPr>
      </w:pPr>
      <w:r>
        <w:rPr>
          <w:snapToGrid w:val="0"/>
          <w:kern w:val="0"/>
        </w:rPr>
        <w:t>3、理解和熟悉滤波器系统对不同频率信号的处理机制；</w:t>
      </w:r>
    </w:p>
    <w:p>
      <w:pPr>
        <w:spacing w:line="360" w:lineRule="auto"/>
        <w:ind w:firstLine="420" w:firstLineChars="200"/>
        <w:rPr>
          <w:snapToGrid w:val="0"/>
          <w:kern w:val="0"/>
        </w:rPr>
      </w:pPr>
      <w:r>
        <w:rPr>
          <w:snapToGrid w:val="0"/>
          <w:kern w:val="0"/>
        </w:rPr>
        <w:t>4、学会Matlab进行系统频域、复频域分析的方法。</w:t>
      </w:r>
    </w:p>
    <w:p>
      <w:pPr>
        <w:spacing w:line="360" w:lineRule="auto"/>
        <w:ind w:firstLine="420" w:firstLineChars="200"/>
        <w:rPr>
          <w:snapToGrid w:val="0"/>
          <w:kern w:val="0"/>
        </w:rPr>
      </w:pPr>
      <w:r>
        <w:rPr>
          <w:snapToGrid w:val="0"/>
          <w:kern w:val="0"/>
        </w:rPr>
        <w:t>实验内容：</w:t>
      </w:r>
    </w:p>
    <w:p>
      <w:pPr>
        <w:spacing w:line="360" w:lineRule="auto"/>
        <w:ind w:firstLine="420" w:firstLineChars="200"/>
        <w:rPr>
          <w:snapToGrid w:val="0"/>
          <w:kern w:val="0"/>
        </w:rPr>
      </w:pPr>
      <w:r>
        <w:rPr>
          <w:snapToGrid w:val="0"/>
          <w:kern w:val="0"/>
        </w:rPr>
        <w:t>连续LTI系统零极点分布及响应分析、滤波器特性分析及对信号的处理。</w:t>
      </w:r>
    </w:p>
    <w:p>
      <w:pPr>
        <w:spacing w:line="360" w:lineRule="auto"/>
        <w:ind w:firstLine="420" w:firstLineChars="200"/>
        <w:rPr>
          <w:snapToGrid w:val="0"/>
          <w:kern w:val="0"/>
        </w:rPr>
      </w:pPr>
      <w:r>
        <w:rPr>
          <w:bCs/>
          <w:snapToGrid w:val="0"/>
          <w:kern w:val="0"/>
          <w:szCs w:val="21"/>
        </w:rPr>
        <w:t>本章内容支撑课程目标1、2、3、4。</w:t>
      </w:r>
    </w:p>
    <w:p>
      <w:pPr>
        <w:spacing w:line="360" w:lineRule="auto"/>
        <w:ind w:firstLine="424"/>
        <w:rPr>
          <w:rFonts w:ascii="宋体"/>
          <w:snapToGrid w:val="0"/>
          <w:kern w:val="0"/>
        </w:rPr>
      </w:pPr>
    </w:p>
    <w:p>
      <w:pPr>
        <w:spacing w:line="360" w:lineRule="auto"/>
        <w:rPr>
          <w:rFonts w:ascii="黑体" w:hAnsi="黑体" w:eastAsia="黑体"/>
        </w:rPr>
      </w:pPr>
      <w:r>
        <w:rPr>
          <w:rFonts w:hint="eastAsia" w:ascii="黑体" w:hAnsi="黑体" w:eastAsia="黑体"/>
        </w:rPr>
        <w:t>六、学时分配</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830"/>
        <w:gridCol w:w="1711"/>
        <w:gridCol w:w="1665"/>
        <w:gridCol w:w="132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2246" w:type="pct"/>
            <w:vAlign w:val="center"/>
          </w:tcPr>
          <w:p>
            <w:pPr>
              <w:jc w:val="center"/>
              <w:rPr>
                <w:sz w:val="18"/>
                <w:szCs w:val="18"/>
              </w:rPr>
            </w:pPr>
            <w:r>
              <w:rPr>
                <w:rFonts w:hint="eastAsia"/>
                <w:sz w:val="18"/>
                <w:szCs w:val="18"/>
              </w:rPr>
              <w:t>知识点及内容</w:t>
            </w:r>
          </w:p>
        </w:tc>
        <w:tc>
          <w:tcPr>
            <w:tcW w:w="1003" w:type="pct"/>
            <w:vAlign w:val="center"/>
          </w:tcPr>
          <w:p>
            <w:pPr>
              <w:jc w:val="center"/>
              <w:rPr>
                <w:sz w:val="18"/>
                <w:szCs w:val="18"/>
              </w:rPr>
            </w:pPr>
            <w:r>
              <w:rPr>
                <w:rFonts w:hint="eastAsia" w:cs="宋体"/>
                <w:sz w:val="18"/>
                <w:szCs w:val="18"/>
              </w:rPr>
              <w:t>讲授（学时）</w:t>
            </w:r>
          </w:p>
        </w:tc>
        <w:tc>
          <w:tcPr>
            <w:tcW w:w="976" w:type="pct"/>
            <w:vAlign w:val="center"/>
          </w:tcPr>
          <w:p>
            <w:pPr>
              <w:jc w:val="center"/>
              <w:rPr>
                <w:sz w:val="18"/>
                <w:szCs w:val="18"/>
              </w:rPr>
            </w:pPr>
            <w:r>
              <w:rPr>
                <w:rFonts w:hint="eastAsia" w:cs="宋体"/>
                <w:sz w:val="18"/>
                <w:szCs w:val="18"/>
              </w:rPr>
              <w:t>实验（学时）</w:t>
            </w:r>
          </w:p>
        </w:tc>
        <w:tc>
          <w:tcPr>
            <w:tcW w:w="775" w:type="pct"/>
            <w:vAlign w:val="center"/>
          </w:tcPr>
          <w:p>
            <w:pPr>
              <w:jc w:val="center"/>
              <w:rPr>
                <w:sz w:val="18"/>
                <w:szCs w:val="18"/>
              </w:rPr>
            </w:pPr>
            <w:r>
              <w:rPr>
                <w:rFonts w:hint="eastAsia" w:cs="宋体"/>
                <w:sz w:val="18"/>
                <w:szCs w:val="18"/>
              </w:rPr>
              <w:t>小计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2246" w:type="pct"/>
            <w:vAlign w:val="center"/>
          </w:tcPr>
          <w:p>
            <w:pPr>
              <w:jc w:val="center"/>
              <w:rPr>
                <w:sz w:val="18"/>
                <w:szCs w:val="18"/>
              </w:rPr>
            </w:pPr>
            <w:r>
              <w:rPr>
                <w:rFonts w:hint="eastAsia" w:cs="宋体"/>
                <w:sz w:val="18"/>
                <w:szCs w:val="18"/>
              </w:rPr>
              <w:t>1信号与系统分析导论</w:t>
            </w:r>
          </w:p>
        </w:tc>
        <w:tc>
          <w:tcPr>
            <w:tcW w:w="1003" w:type="pct"/>
            <w:vAlign w:val="center"/>
          </w:tcPr>
          <w:p>
            <w:pPr>
              <w:jc w:val="center"/>
              <w:rPr>
                <w:sz w:val="18"/>
                <w:szCs w:val="18"/>
              </w:rPr>
            </w:pPr>
            <w:r>
              <w:rPr>
                <w:sz w:val="18"/>
                <w:szCs w:val="18"/>
              </w:rPr>
              <w:t>3</w:t>
            </w:r>
          </w:p>
        </w:tc>
        <w:tc>
          <w:tcPr>
            <w:tcW w:w="976" w:type="pct"/>
            <w:vAlign w:val="center"/>
          </w:tcPr>
          <w:p>
            <w:pPr>
              <w:jc w:val="center"/>
              <w:rPr>
                <w:sz w:val="18"/>
                <w:szCs w:val="18"/>
              </w:rPr>
            </w:pPr>
            <w:r>
              <w:rPr>
                <w:sz w:val="18"/>
                <w:szCs w:val="18"/>
              </w:rPr>
              <w:t>0</w:t>
            </w:r>
          </w:p>
        </w:tc>
        <w:tc>
          <w:tcPr>
            <w:tcW w:w="775" w:type="pct"/>
            <w:vAlign w:val="center"/>
          </w:tcPr>
          <w:p>
            <w:pPr>
              <w:jc w:val="center"/>
              <w:rPr>
                <w:sz w:val="18"/>
                <w:szCs w:val="18"/>
              </w:rPr>
            </w:pPr>
            <w:r>
              <w:rPr>
                <w:sz w:val="18"/>
                <w:szCs w:val="18"/>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2246" w:type="pct"/>
            <w:vAlign w:val="center"/>
          </w:tcPr>
          <w:p>
            <w:pPr>
              <w:jc w:val="center"/>
              <w:rPr>
                <w:sz w:val="18"/>
                <w:szCs w:val="18"/>
              </w:rPr>
            </w:pPr>
            <w:r>
              <w:rPr>
                <w:rFonts w:hint="eastAsia" w:cs="宋体"/>
                <w:sz w:val="18"/>
                <w:szCs w:val="18"/>
              </w:rPr>
              <w:t>2信号的时域分析</w:t>
            </w:r>
          </w:p>
        </w:tc>
        <w:tc>
          <w:tcPr>
            <w:tcW w:w="1003" w:type="pct"/>
            <w:vAlign w:val="center"/>
          </w:tcPr>
          <w:p>
            <w:pPr>
              <w:jc w:val="center"/>
              <w:rPr>
                <w:sz w:val="18"/>
                <w:szCs w:val="18"/>
              </w:rPr>
            </w:pPr>
            <w:r>
              <w:rPr>
                <w:sz w:val="18"/>
                <w:szCs w:val="18"/>
              </w:rPr>
              <w:t>5</w:t>
            </w:r>
          </w:p>
        </w:tc>
        <w:tc>
          <w:tcPr>
            <w:tcW w:w="976" w:type="pct"/>
            <w:vAlign w:val="center"/>
          </w:tcPr>
          <w:p>
            <w:pPr>
              <w:jc w:val="center"/>
              <w:rPr>
                <w:sz w:val="18"/>
                <w:szCs w:val="18"/>
              </w:rPr>
            </w:pPr>
            <w:r>
              <w:rPr>
                <w:sz w:val="18"/>
                <w:szCs w:val="18"/>
              </w:rPr>
              <w:t>2</w:t>
            </w:r>
          </w:p>
        </w:tc>
        <w:tc>
          <w:tcPr>
            <w:tcW w:w="775" w:type="pct"/>
            <w:vAlign w:val="center"/>
          </w:tcPr>
          <w:p>
            <w:pPr>
              <w:jc w:val="center"/>
              <w:rPr>
                <w:sz w:val="18"/>
                <w:szCs w:val="18"/>
              </w:rPr>
            </w:pPr>
            <w:r>
              <w:rPr>
                <w:sz w:val="18"/>
                <w:szCs w:val="18"/>
              </w:rPr>
              <w:t>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2246" w:type="pct"/>
            <w:vAlign w:val="center"/>
          </w:tcPr>
          <w:p>
            <w:pPr>
              <w:jc w:val="center"/>
              <w:rPr>
                <w:sz w:val="18"/>
                <w:szCs w:val="18"/>
              </w:rPr>
            </w:pPr>
            <w:r>
              <w:rPr>
                <w:rFonts w:hint="eastAsia" w:cs="宋体"/>
                <w:sz w:val="18"/>
                <w:szCs w:val="18"/>
              </w:rPr>
              <w:t>3系统的时域分析</w:t>
            </w:r>
          </w:p>
        </w:tc>
        <w:tc>
          <w:tcPr>
            <w:tcW w:w="1003" w:type="pct"/>
            <w:vAlign w:val="center"/>
          </w:tcPr>
          <w:p>
            <w:pPr>
              <w:jc w:val="center"/>
              <w:rPr>
                <w:sz w:val="18"/>
                <w:szCs w:val="18"/>
              </w:rPr>
            </w:pPr>
            <w:r>
              <w:rPr>
                <w:sz w:val="18"/>
                <w:szCs w:val="18"/>
              </w:rPr>
              <w:t>6</w:t>
            </w:r>
          </w:p>
        </w:tc>
        <w:tc>
          <w:tcPr>
            <w:tcW w:w="976" w:type="pct"/>
            <w:vAlign w:val="center"/>
          </w:tcPr>
          <w:p>
            <w:pPr>
              <w:jc w:val="center"/>
              <w:rPr>
                <w:sz w:val="18"/>
                <w:szCs w:val="18"/>
              </w:rPr>
            </w:pPr>
            <w:r>
              <w:rPr>
                <w:sz w:val="18"/>
                <w:szCs w:val="18"/>
              </w:rPr>
              <w:t>2</w:t>
            </w:r>
          </w:p>
        </w:tc>
        <w:tc>
          <w:tcPr>
            <w:tcW w:w="775" w:type="pct"/>
            <w:vAlign w:val="center"/>
          </w:tcPr>
          <w:p>
            <w:pPr>
              <w:jc w:val="center"/>
              <w:rPr>
                <w:sz w:val="18"/>
                <w:szCs w:val="18"/>
              </w:rPr>
            </w:pPr>
            <w:r>
              <w:rPr>
                <w:sz w:val="18"/>
                <w:szCs w:val="18"/>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2246" w:type="pct"/>
            <w:vAlign w:val="center"/>
          </w:tcPr>
          <w:p>
            <w:pPr>
              <w:jc w:val="center"/>
              <w:rPr>
                <w:sz w:val="18"/>
                <w:szCs w:val="18"/>
              </w:rPr>
            </w:pPr>
            <w:r>
              <w:rPr>
                <w:rFonts w:hint="eastAsia" w:cs="宋体"/>
                <w:sz w:val="18"/>
                <w:szCs w:val="18"/>
              </w:rPr>
              <w:t>4信号的频域分析</w:t>
            </w:r>
          </w:p>
        </w:tc>
        <w:tc>
          <w:tcPr>
            <w:tcW w:w="1003" w:type="pct"/>
            <w:vAlign w:val="center"/>
          </w:tcPr>
          <w:p>
            <w:pPr>
              <w:jc w:val="center"/>
              <w:rPr>
                <w:sz w:val="18"/>
                <w:szCs w:val="18"/>
              </w:rPr>
            </w:pPr>
            <w:r>
              <w:rPr>
                <w:sz w:val="18"/>
                <w:szCs w:val="18"/>
              </w:rPr>
              <w:t>10</w:t>
            </w:r>
          </w:p>
        </w:tc>
        <w:tc>
          <w:tcPr>
            <w:tcW w:w="976" w:type="pct"/>
            <w:vAlign w:val="center"/>
          </w:tcPr>
          <w:p>
            <w:pPr>
              <w:jc w:val="center"/>
              <w:rPr>
                <w:sz w:val="18"/>
                <w:szCs w:val="18"/>
              </w:rPr>
            </w:pPr>
            <w:r>
              <w:rPr>
                <w:sz w:val="18"/>
                <w:szCs w:val="18"/>
              </w:rPr>
              <w:t>2</w:t>
            </w:r>
          </w:p>
        </w:tc>
        <w:tc>
          <w:tcPr>
            <w:tcW w:w="775" w:type="pct"/>
            <w:vAlign w:val="center"/>
          </w:tcPr>
          <w:p>
            <w:pPr>
              <w:jc w:val="center"/>
              <w:rPr>
                <w:sz w:val="18"/>
                <w:szCs w:val="18"/>
              </w:rPr>
            </w:pPr>
            <w:r>
              <w:rPr>
                <w:sz w:val="18"/>
                <w:szCs w:val="18"/>
              </w:rPr>
              <w:t>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2246" w:type="pct"/>
            <w:vAlign w:val="center"/>
          </w:tcPr>
          <w:p>
            <w:pPr>
              <w:jc w:val="center"/>
              <w:rPr>
                <w:sz w:val="18"/>
                <w:szCs w:val="18"/>
              </w:rPr>
            </w:pPr>
            <w:r>
              <w:rPr>
                <w:rFonts w:hint="eastAsia" w:cs="宋体"/>
                <w:sz w:val="18"/>
                <w:szCs w:val="18"/>
              </w:rPr>
              <w:t>5系统的频域分析</w:t>
            </w:r>
          </w:p>
        </w:tc>
        <w:tc>
          <w:tcPr>
            <w:tcW w:w="1003" w:type="pct"/>
            <w:vAlign w:val="center"/>
          </w:tcPr>
          <w:p>
            <w:pPr>
              <w:jc w:val="center"/>
              <w:rPr>
                <w:sz w:val="18"/>
                <w:szCs w:val="18"/>
              </w:rPr>
            </w:pPr>
            <w:r>
              <w:rPr>
                <w:sz w:val="18"/>
                <w:szCs w:val="18"/>
              </w:rPr>
              <w:t>8</w:t>
            </w:r>
          </w:p>
        </w:tc>
        <w:tc>
          <w:tcPr>
            <w:tcW w:w="976" w:type="pct"/>
            <w:vAlign w:val="center"/>
          </w:tcPr>
          <w:p>
            <w:pPr>
              <w:jc w:val="center"/>
              <w:rPr>
                <w:sz w:val="18"/>
                <w:szCs w:val="18"/>
              </w:rPr>
            </w:pPr>
            <w:r>
              <w:rPr>
                <w:sz w:val="18"/>
                <w:szCs w:val="18"/>
              </w:rPr>
              <w:t>0</w:t>
            </w:r>
          </w:p>
        </w:tc>
        <w:tc>
          <w:tcPr>
            <w:tcW w:w="775" w:type="pct"/>
            <w:vAlign w:val="center"/>
          </w:tcPr>
          <w:p>
            <w:pPr>
              <w:jc w:val="center"/>
              <w:rPr>
                <w:sz w:val="18"/>
                <w:szCs w:val="18"/>
              </w:rPr>
            </w:pPr>
            <w:r>
              <w:rPr>
                <w:sz w:val="18"/>
                <w:szCs w:val="18"/>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2246" w:type="pct"/>
            <w:vAlign w:val="center"/>
          </w:tcPr>
          <w:p>
            <w:pPr>
              <w:jc w:val="center"/>
              <w:rPr>
                <w:sz w:val="18"/>
                <w:szCs w:val="18"/>
              </w:rPr>
            </w:pPr>
            <w:r>
              <w:rPr>
                <w:rFonts w:hint="eastAsia" w:cs="宋体"/>
                <w:sz w:val="18"/>
                <w:szCs w:val="18"/>
              </w:rPr>
              <w:t>6连续时间信号与系统的复频域分析</w:t>
            </w:r>
          </w:p>
        </w:tc>
        <w:tc>
          <w:tcPr>
            <w:tcW w:w="1003" w:type="pct"/>
            <w:vAlign w:val="center"/>
          </w:tcPr>
          <w:p>
            <w:pPr>
              <w:jc w:val="center"/>
              <w:rPr>
                <w:sz w:val="18"/>
                <w:szCs w:val="18"/>
              </w:rPr>
            </w:pPr>
            <w:r>
              <w:rPr>
                <w:sz w:val="18"/>
                <w:szCs w:val="18"/>
              </w:rPr>
              <w:t>8</w:t>
            </w:r>
          </w:p>
        </w:tc>
        <w:tc>
          <w:tcPr>
            <w:tcW w:w="976" w:type="pct"/>
            <w:vAlign w:val="center"/>
          </w:tcPr>
          <w:p>
            <w:pPr>
              <w:jc w:val="center"/>
              <w:rPr>
                <w:sz w:val="18"/>
                <w:szCs w:val="18"/>
              </w:rPr>
            </w:pPr>
            <w:r>
              <w:rPr>
                <w:sz w:val="18"/>
                <w:szCs w:val="18"/>
              </w:rPr>
              <w:t>2</w:t>
            </w:r>
          </w:p>
        </w:tc>
        <w:tc>
          <w:tcPr>
            <w:tcW w:w="775" w:type="pct"/>
            <w:vAlign w:val="center"/>
          </w:tcPr>
          <w:p>
            <w:pPr>
              <w:jc w:val="center"/>
              <w:rPr>
                <w:sz w:val="18"/>
                <w:szCs w:val="18"/>
              </w:rPr>
            </w:pPr>
            <w:r>
              <w:rPr>
                <w:sz w:val="18"/>
                <w:szCs w:val="18"/>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2246" w:type="pct"/>
            <w:vAlign w:val="center"/>
          </w:tcPr>
          <w:p>
            <w:pPr>
              <w:jc w:val="center"/>
              <w:rPr>
                <w:sz w:val="18"/>
                <w:szCs w:val="18"/>
              </w:rPr>
            </w:pPr>
            <w:r>
              <w:rPr>
                <w:rFonts w:hint="eastAsia" w:cs="宋体"/>
                <w:sz w:val="18"/>
                <w:szCs w:val="18"/>
              </w:rPr>
              <w:t>合计</w:t>
            </w:r>
          </w:p>
        </w:tc>
        <w:tc>
          <w:tcPr>
            <w:tcW w:w="1003" w:type="pct"/>
            <w:vAlign w:val="center"/>
          </w:tcPr>
          <w:p>
            <w:pPr>
              <w:jc w:val="center"/>
              <w:rPr>
                <w:sz w:val="18"/>
                <w:szCs w:val="18"/>
              </w:rPr>
            </w:pPr>
            <w:r>
              <w:rPr>
                <w:sz w:val="18"/>
                <w:szCs w:val="18"/>
              </w:rPr>
              <w:fldChar w:fldCharType="begin"/>
            </w:r>
            <w:r>
              <w:rPr>
                <w:sz w:val="18"/>
                <w:szCs w:val="18"/>
              </w:rPr>
              <w:instrText xml:space="preserve"> =SUM(ABOVE) </w:instrText>
            </w:r>
            <w:r>
              <w:rPr>
                <w:sz w:val="18"/>
                <w:szCs w:val="18"/>
              </w:rPr>
              <w:fldChar w:fldCharType="separate"/>
            </w:r>
            <w:r>
              <w:rPr>
                <w:sz w:val="18"/>
                <w:szCs w:val="18"/>
              </w:rPr>
              <w:t>40</w:t>
            </w:r>
            <w:r>
              <w:rPr>
                <w:sz w:val="18"/>
                <w:szCs w:val="18"/>
              </w:rPr>
              <w:fldChar w:fldCharType="end"/>
            </w:r>
          </w:p>
        </w:tc>
        <w:tc>
          <w:tcPr>
            <w:tcW w:w="976" w:type="pct"/>
            <w:vAlign w:val="center"/>
          </w:tcPr>
          <w:p>
            <w:pPr>
              <w:jc w:val="center"/>
              <w:rPr>
                <w:sz w:val="18"/>
                <w:szCs w:val="18"/>
              </w:rPr>
            </w:pPr>
            <w:r>
              <w:rPr>
                <w:sz w:val="18"/>
                <w:szCs w:val="18"/>
              </w:rPr>
              <w:fldChar w:fldCharType="begin"/>
            </w:r>
            <w:r>
              <w:rPr>
                <w:sz w:val="18"/>
                <w:szCs w:val="18"/>
              </w:rPr>
              <w:instrText xml:space="preserve"> =SUM(ABOVE) </w:instrText>
            </w:r>
            <w:r>
              <w:rPr>
                <w:sz w:val="18"/>
                <w:szCs w:val="18"/>
              </w:rPr>
              <w:fldChar w:fldCharType="separate"/>
            </w:r>
            <w:r>
              <w:rPr>
                <w:sz w:val="18"/>
                <w:szCs w:val="18"/>
              </w:rPr>
              <w:t>8</w:t>
            </w:r>
            <w:r>
              <w:rPr>
                <w:sz w:val="18"/>
                <w:szCs w:val="18"/>
              </w:rPr>
              <w:fldChar w:fldCharType="end"/>
            </w:r>
          </w:p>
        </w:tc>
        <w:tc>
          <w:tcPr>
            <w:tcW w:w="775" w:type="pct"/>
            <w:vAlign w:val="center"/>
          </w:tcPr>
          <w:p>
            <w:pPr>
              <w:jc w:val="center"/>
              <w:rPr>
                <w:sz w:val="18"/>
                <w:szCs w:val="18"/>
              </w:rPr>
            </w:pPr>
            <w:r>
              <w:rPr>
                <w:sz w:val="18"/>
                <w:szCs w:val="18"/>
              </w:rPr>
              <w:fldChar w:fldCharType="begin"/>
            </w:r>
            <w:r>
              <w:rPr>
                <w:sz w:val="18"/>
                <w:szCs w:val="18"/>
              </w:rPr>
              <w:instrText xml:space="preserve"> =SUM(ABOVE) </w:instrText>
            </w:r>
            <w:r>
              <w:rPr>
                <w:sz w:val="18"/>
                <w:szCs w:val="18"/>
              </w:rPr>
              <w:fldChar w:fldCharType="separate"/>
            </w:r>
            <w:r>
              <w:rPr>
                <w:sz w:val="18"/>
                <w:szCs w:val="18"/>
              </w:rPr>
              <w:t>48</w:t>
            </w:r>
            <w:r>
              <w:rPr>
                <w:sz w:val="18"/>
                <w:szCs w:val="18"/>
              </w:rPr>
              <w:fldChar w:fldCharType="end"/>
            </w:r>
          </w:p>
        </w:tc>
      </w:tr>
    </w:tbl>
    <w:p>
      <w:pPr>
        <w:widowControl/>
        <w:spacing w:line="360" w:lineRule="auto"/>
        <w:jc w:val="left"/>
        <w:rPr>
          <w:rFonts w:ascii="黑体" w:hAnsi="宋体" w:eastAsia="黑体"/>
          <w:kern w:val="0"/>
        </w:rPr>
      </w:pPr>
    </w:p>
    <w:p>
      <w:pPr>
        <w:spacing w:line="360" w:lineRule="auto"/>
        <w:rPr>
          <w:rFonts w:ascii="黑体" w:hAnsi="黑体" w:eastAsia="黑体"/>
        </w:rPr>
      </w:pPr>
      <w:r>
        <w:rPr>
          <w:rFonts w:hint="eastAsia" w:ascii="黑体" w:hAnsi="黑体" w:eastAsia="黑体"/>
        </w:rPr>
        <w:t>七、教材、补充教材及参考资料</w:t>
      </w:r>
    </w:p>
    <w:p>
      <w:pPr>
        <w:spacing w:line="360" w:lineRule="auto"/>
        <w:ind w:firstLine="420" w:firstLineChars="200"/>
      </w:pPr>
      <w:r>
        <w:rPr>
          <w:rFonts w:hint="eastAsia" w:cs="宋体"/>
        </w:rPr>
        <w:t>1、陈后金，《信号与系统》，北京高等教育出版社</w:t>
      </w:r>
      <w:r>
        <w:rPr>
          <w:rFonts w:hint="eastAsia"/>
        </w:rPr>
        <w:t>，</w:t>
      </w:r>
      <w:r>
        <w:t xml:space="preserve">2007 </w:t>
      </w:r>
      <w:r>
        <w:rPr>
          <w:rFonts w:hint="eastAsia" w:cs="宋体"/>
        </w:rPr>
        <w:t>年。</w:t>
      </w:r>
    </w:p>
    <w:p>
      <w:pPr>
        <w:adjustRightInd w:val="0"/>
        <w:snapToGrid w:val="0"/>
        <w:spacing w:line="360" w:lineRule="auto"/>
        <w:ind w:firstLine="420" w:firstLineChars="200"/>
      </w:pPr>
      <w:r>
        <w:t>2、HaykinS,Veen B V</w:t>
      </w:r>
      <w:r>
        <w:rPr>
          <w:rFonts w:hint="eastAsia"/>
        </w:rPr>
        <w:t>，《</w:t>
      </w:r>
      <w:r>
        <w:t>Signals and Systems.</w:t>
      </w:r>
      <w:r>
        <w:rPr>
          <w:rFonts w:hint="eastAsia" w:cs="宋体"/>
        </w:rPr>
        <w:t>影印版》，北京电子工业出版社，</w:t>
      </w:r>
      <w:r>
        <w:t xml:space="preserve">2003 </w:t>
      </w:r>
      <w:r>
        <w:rPr>
          <w:rFonts w:hint="eastAsia" w:cs="宋体"/>
        </w:rPr>
        <w:t>年。</w:t>
      </w:r>
    </w:p>
    <w:p>
      <w:pPr>
        <w:adjustRightInd w:val="0"/>
        <w:snapToGrid w:val="0"/>
        <w:spacing w:line="360" w:lineRule="auto"/>
        <w:ind w:firstLine="420" w:firstLineChars="200"/>
      </w:pPr>
      <w:r>
        <w:t>3、</w:t>
      </w:r>
      <w:r>
        <w:rPr>
          <w:lang w:val="de-DE"/>
        </w:rPr>
        <w:t>Edward W. Kamen, Bonnie S. Heck</w:t>
      </w:r>
      <w:r>
        <w:rPr>
          <w:rFonts w:hint="eastAsia"/>
          <w:lang w:val="de-DE"/>
        </w:rPr>
        <w:t>，《</w:t>
      </w:r>
      <w:r>
        <w:t>Fundamentals of Signals and Systems Using MATLAB.Prentice-Hall International</w:t>
      </w:r>
      <w:r>
        <w:rPr>
          <w:rFonts w:hint="eastAsia"/>
        </w:rPr>
        <w:t>》，</w:t>
      </w:r>
      <w:r>
        <w:t>Inc. 1997</w:t>
      </w:r>
      <w:r>
        <w:rPr>
          <w:rFonts w:hint="eastAsia"/>
        </w:rPr>
        <w:t>。</w:t>
      </w:r>
    </w:p>
    <w:p>
      <w:pPr>
        <w:adjustRightInd w:val="0"/>
        <w:snapToGrid w:val="0"/>
        <w:spacing w:line="360" w:lineRule="auto"/>
        <w:ind w:firstLine="420" w:firstLineChars="200"/>
      </w:pPr>
      <w:r>
        <w:t>4、A.V.Oppenheim</w:t>
      </w:r>
      <w:r>
        <w:rPr>
          <w:rFonts w:hint="eastAsia"/>
        </w:rPr>
        <w:t>，《</w:t>
      </w:r>
      <w:r>
        <w:t>Signals and Systems.</w:t>
      </w:r>
      <w:r>
        <w:rPr>
          <w:rFonts w:hint="eastAsia" w:cs="宋体"/>
        </w:rPr>
        <w:t>影印版</w:t>
      </w:r>
      <w:r>
        <w:rPr>
          <w:rFonts w:hint="eastAsia"/>
        </w:rPr>
        <w:t>》，</w:t>
      </w:r>
      <w:r>
        <w:rPr>
          <w:rFonts w:hint="eastAsia" w:cs="宋体"/>
        </w:rPr>
        <w:t>北京：清华大学出版社，中译本，刘树棠译，西安交通大学出版社</w:t>
      </w:r>
      <w:r>
        <w:rPr>
          <w:rFonts w:hint="eastAsia"/>
        </w:rPr>
        <w:t>。</w:t>
      </w:r>
    </w:p>
    <w:p>
      <w:pPr>
        <w:adjustRightInd w:val="0"/>
        <w:snapToGrid w:val="0"/>
        <w:spacing w:line="360" w:lineRule="auto"/>
        <w:ind w:firstLine="420" w:firstLineChars="200"/>
      </w:pPr>
      <w:r>
        <w:rPr>
          <w:rFonts w:cs="宋体"/>
        </w:rPr>
        <w:t>5、</w:t>
      </w:r>
      <w:r>
        <w:t>Simon H.,Barry V.V</w:t>
      </w:r>
      <w:r>
        <w:rPr>
          <w:rFonts w:hint="eastAsia"/>
        </w:rPr>
        <w:t>，《</w:t>
      </w:r>
      <w:r>
        <w:t>Signals and Systems</w:t>
      </w:r>
      <w:r>
        <w:rPr>
          <w:rFonts w:hint="eastAsia"/>
        </w:rPr>
        <w:t>》，</w:t>
      </w:r>
      <w:r>
        <w:t>John Wiley &amp;Sons,Inc</w:t>
      </w:r>
      <w:r>
        <w:rPr>
          <w:rFonts w:hint="eastAsia"/>
        </w:rPr>
        <w:t>，</w:t>
      </w:r>
      <w:r>
        <w:t>1999</w:t>
      </w:r>
      <w:r>
        <w:rPr>
          <w:rFonts w:hint="eastAsia"/>
        </w:rPr>
        <w:t>。</w:t>
      </w:r>
    </w:p>
    <w:p>
      <w:pPr>
        <w:adjustRightInd w:val="0"/>
        <w:snapToGrid w:val="0"/>
        <w:spacing w:line="360" w:lineRule="auto"/>
        <w:ind w:firstLine="420" w:firstLineChars="200"/>
      </w:pPr>
      <w:r>
        <w:rPr>
          <w:rFonts w:hint="eastAsia" w:cs="宋体"/>
        </w:rPr>
        <w:t>6、陈后金等，《信号分析与处理实验》，北京高等教育出版社，</w:t>
      </w:r>
      <w:r>
        <w:t xml:space="preserve">2006 </w:t>
      </w:r>
      <w:r>
        <w:rPr>
          <w:rFonts w:hint="eastAsia" w:cs="宋体"/>
        </w:rPr>
        <w:t>年</w:t>
      </w:r>
      <w:r>
        <w:rPr>
          <w:rFonts w:hint="eastAsia"/>
        </w:rPr>
        <w:t>。</w:t>
      </w:r>
    </w:p>
    <w:p>
      <w:pPr>
        <w:adjustRightInd w:val="0"/>
        <w:snapToGrid w:val="0"/>
        <w:spacing w:line="360" w:lineRule="auto"/>
        <w:ind w:firstLine="420" w:firstLineChars="200"/>
      </w:pPr>
      <w:r>
        <w:rPr>
          <w:rFonts w:cs="宋体"/>
        </w:rPr>
        <w:t>7、</w:t>
      </w:r>
      <w:r>
        <w:rPr>
          <w:rFonts w:hint="eastAsia" w:cs="宋体"/>
        </w:rPr>
        <w:t>郑君里，应启珩等，《信号与系统 . 第</w:t>
      </w:r>
      <w:r>
        <w:t xml:space="preserve"> 2 </w:t>
      </w:r>
      <w:r>
        <w:rPr>
          <w:rFonts w:hint="eastAsia" w:cs="宋体"/>
        </w:rPr>
        <w:t>版》，北京高等教育出版社，</w:t>
      </w:r>
      <w:r>
        <w:t>2000</w:t>
      </w:r>
      <w:r>
        <w:rPr>
          <w:rFonts w:hint="eastAsia"/>
        </w:rPr>
        <w:t>。</w:t>
      </w:r>
    </w:p>
    <w:p>
      <w:pPr>
        <w:adjustRightInd w:val="0"/>
        <w:snapToGrid w:val="0"/>
        <w:spacing w:line="360" w:lineRule="auto"/>
        <w:ind w:firstLine="420" w:firstLineChars="200"/>
      </w:pPr>
      <w:r>
        <w:rPr>
          <w:rFonts w:cs="宋体"/>
        </w:rPr>
        <w:t>8、</w:t>
      </w:r>
      <w:r>
        <w:rPr>
          <w:rFonts w:hint="eastAsia" w:cs="宋体"/>
        </w:rPr>
        <w:t>管致中，孟桥等，《信号与线性系统</w:t>
      </w:r>
      <w:r>
        <w:t xml:space="preserve"> . </w:t>
      </w:r>
      <w:r>
        <w:rPr>
          <w:rFonts w:hint="eastAsia" w:cs="宋体"/>
        </w:rPr>
        <w:t>第</w:t>
      </w:r>
      <w:r>
        <w:t xml:space="preserve"> 4 </w:t>
      </w:r>
      <w:r>
        <w:rPr>
          <w:rFonts w:hint="eastAsia" w:cs="宋体"/>
        </w:rPr>
        <w:t>版》，北京高等教育出版社</w:t>
      </w:r>
      <w:r>
        <w:rPr>
          <w:rFonts w:hint="eastAsia"/>
        </w:rPr>
        <w:t>，</w:t>
      </w:r>
      <w:r>
        <w:t>2004</w:t>
      </w:r>
      <w:r>
        <w:rPr>
          <w:rFonts w:hint="eastAsia"/>
        </w:rPr>
        <w:t>。</w:t>
      </w:r>
    </w:p>
    <w:p>
      <w:pPr>
        <w:adjustRightInd w:val="0"/>
        <w:snapToGrid w:val="0"/>
        <w:spacing w:line="360" w:lineRule="auto"/>
        <w:ind w:firstLine="420" w:firstLineChars="200"/>
      </w:pPr>
      <w:r>
        <w:rPr>
          <w:rFonts w:cs="宋体"/>
        </w:rPr>
        <w:t>9、</w:t>
      </w:r>
      <w:r>
        <w:rPr>
          <w:rFonts w:hint="eastAsia" w:cs="宋体"/>
        </w:rPr>
        <w:t>吴大正等</w:t>
      </w:r>
      <w:r>
        <w:rPr>
          <w:rFonts w:hint="eastAsia"/>
        </w:rPr>
        <w:t>，《</w:t>
      </w:r>
      <w:r>
        <w:rPr>
          <w:rFonts w:hint="eastAsia" w:cs="宋体"/>
        </w:rPr>
        <w:t>信号与线性系统分析</w:t>
      </w:r>
      <w:r>
        <w:t xml:space="preserve"> . </w:t>
      </w:r>
      <w:r>
        <w:rPr>
          <w:rFonts w:hint="eastAsia" w:cs="宋体"/>
        </w:rPr>
        <w:t>第</w:t>
      </w:r>
      <w:r>
        <w:t xml:space="preserve"> 3 </w:t>
      </w:r>
      <w:r>
        <w:rPr>
          <w:rFonts w:hint="eastAsia" w:cs="宋体"/>
        </w:rPr>
        <w:t>版》，北京高等教育出版社，</w:t>
      </w:r>
      <w:r>
        <w:t>2005</w:t>
      </w:r>
      <w:r>
        <w:rPr>
          <w:rFonts w:hint="eastAsia"/>
        </w:rPr>
        <w:t>。</w:t>
      </w:r>
    </w:p>
    <w:p>
      <w:pPr>
        <w:adjustRightInd w:val="0"/>
        <w:snapToGrid w:val="0"/>
        <w:spacing w:line="360" w:lineRule="auto"/>
        <w:ind w:firstLine="420" w:firstLineChars="200"/>
      </w:pPr>
      <w:r>
        <w:rPr>
          <w:rFonts w:cs="宋体"/>
        </w:rPr>
        <w:t>10、</w:t>
      </w:r>
      <w:r>
        <w:rPr>
          <w:rFonts w:hint="eastAsia" w:cs="宋体"/>
        </w:rPr>
        <w:t>吴湘淇等</w:t>
      </w:r>
      <w:r>
        <w:rPr>
          <w:rFonts w:hint="eastAsia"/>
        </w:rPr>
        <w:t>，《</w:t>
      </w:r>
      <w:r>
        <w:rPr>
          <w:rFonts w:hint="eastAsia" w:cs="宋体"/>
        </w:rPr>
        <w:t>信号、系统与信号处理</w:t>
      </w:r>
      <w:r>
        <w:t xml:space="preserve"> ( </w:t>
      </w:r>
      <w:r>
        <w:rPr>
          <w:rFonts w:hint="eastAsia" w:cs="宋体"/>
        </w:rPr>
        <w:t>上</w:t>
      </w:r>
      <w:r>
        <w:t xml:space="preserve"> ). </w:t>
      </w:r>
      <w:r>
        <w:rPr>
          <w:rFonts w:hint="eastAsia" w:cs="宋体"/>
        </w:rPr>
        <w:t>第</w:t>
      </w:r>
      <w:r>
        <w:t xml:space="preserve"> 2 </w:t>
      </w:r>
      <w:r>
        <w:rPr>
          <w:rFonts w:hint="eastAsia" w:cs="宋体"/>
        </w:rPr>
        <w:t>版</w:t>
      </w:r>
      <w:r>
        <w:rPr>
          <w:rFonts w:hint="eastAsia"/>
        </w:rPr>
        <w:t>》，</w:t>
      </w:r>
      <w:r>
        <w:rPr>
          <w:rFonts w:hint="eastAsia" w:cs="宋体"/>
        </w:rPr>
        <w:t>北京电子工业出版社</w:t>
      </w:r>
      <w:r>
        <w:rPr>
          <w:rFonts w:hint="eastAsia"/>
        </w:rPr>
        <w:t>，</w:t>
      </w:r>
      <w:r>
        <w:t>1999</w:t>
      </w:r>
      <w:r>
        <w:rPr>
          <w:rFonts w:hint="eastAsia"/>
        </w:rPr>
        <w:t>。</w:t>
      </w:r>
    </w:p>
    <w:p>
      <w:pPr>
        <w:adjustRightInd w:val="0"/>
        <w:snapToGrid w:val="0"/>
        <w:spacing w:line="360" w:lineRule="auto"/>
        <w:ind w:firstLine="420" w:firstLineChars="200"/>
      </w:pPr>
      <w:r>
        <w:rPr>
          <w:rFonts w:cs="宋体"/>
        </w:rPr>
        <w:t>11、</w:t>
      </w:r>
      <w:r>
        <w:rPr>
          <w:rFonts w:hint="eastAsia" w:cs="宋体"/>
        </w:rPr>
        <w:t>吴湘淇等，《信号、系统与信号处理</w:t>
      </w:r>
      <w:r>
        <w:t>——</w:t>
      </w:r>
      <w:r>
        <w:rPr>
          <w:rFonts w:hint="eastAsia" w:cs="宋体"/>
        </w:rPr>
        <w:t>软硬件实现》，北京电子工业出版社</w:t>
      </w:r>
      <w:r>
        <w:rPr>
          <w:rFonts w:hint="eastAsia"/>
        </w:rPr>
        <w:t>，</w:t>
      </w:r>
      <w:r>
        <w:t>2002</w:t>
      </w:r>
      <w:r>
        <w:rPr>
          <w:rFonts w:hint="eastAsia"/>
        </w:rPr>
        <w:t>。</w:t>
      </w:r>
    </w:p>
    <w:p>
      <w:pPr>
        <w:adjustRightInd w:val="0"/>
        <w:snapToGrid w:val="0"/>
        <w:spacing w:line="360" w:lineRule="auto"/>
        <w:ind w:firstLine="420" w:firstLineChars="200"/>
      </w:pPr>
      <w:r>
        <w:rPr>
          <w:rFonts w:cs="宋体"/>
        </w:rPr>
        <w:t>12、</w:t>
      </w:r>
      <w:r>
        <w:rPr>
          <w:rFonts w:hint="eastAsia" w:cs="宋体"/>
        </w:rPr>
        <w:t>陈后金，胡健等</w:t>
      </w:r>
      <w:r>
        <w:rPr>
          <w:rFonts w:hint="eastAsia"/>
        </w:rPr>
        <w:t>，《</w:t>
      </w:r>
      <w:r>
        <w:rPr>
          <w:rFonts w:hint="eastAsia" w:cs="宋体"/>
        </w:rPr>
        <w:t>信号与系统学习指导及题解</w:t>
      </w:r>
      <w:r>
        <w:rPr>
          <w:rFonts w:hint="eastAsia"/>
        </w:rPr>
        <w:t>》，</w:t>
      </w:r>
      <w:r>
        <w:rPr>
          <w:rFonts w:hint="eastAsia" w:cs="宋体"/>
        </w:rPr>
        <w:t>北京高等教育出版社，</w:t>
      </w:r>
      <w:r>
        <w:t>2008</w:t>
      </w:r>
      <w:r>
        <w:rPr>
          <w:rFonts w:hint="eastAsia"/>
        </w:rPr>
        <w:t>。</w:t>
      </w:r>
    </w:p>
    <w:p>
      <w:pPr>
        <w:adjustRightInd w:val="0"/>
        <w:snapToGrid w:val="0"/>
        <w:spacing w:line="360" w:lineRule="auto"/>
        <w:ind w:firstLine="420" w:firstLineChars="200"/>
        <w:rPr>
          <w:rFonts w:cs="宋体"/>
        </w:rPr>
      </w:pPr>
      <w:r>
        <w:rPr>
          <w:rFonts w:hint="eastAsia" w:cs="宋体"/>
        </w:rPr>
        <w:t>13、视频资源：信号与系统：模拟与数字信号处理，麻省理工学院，资料链接：</w:t>
      </w:r>
      <w:r>
        <w:rPr>
          <w:rFonts w:cs="宋体"/>
        </w:rPr>
        <w:t>http://open.163.com/special/opencourse/signals.html</w:t>
      </w:r>
    </w:p>
    <w:p>
      <w:pPr>
        <w:adjustRightInd w:val="0"/>
        <w:snapToGrid w:val="0"/>
        <w:spacing w:line="360" w:lineRule="auto"/>
        <w:ind w:firstLine="420" w:firstLineChars="200"/>
        <w:rPr>
          <w:rFonts w:cs="宋体"/>
        </w:rPr>
      </w:pPr>
    </w:p>
    <w:p>
      <w:pPr>
        <w:adjustRightInd w:val="0"/>
        <w:snapToGrid w:val="0"/>
        <w:spacing w:line="360" w:lineRule="auto"/>
        <w:rPr>
          <w:rFonts w:eastAsia="黑体"/>
        </w:rPr>
      </w:pPr>
      <w:r>
        <w:rPr>
          <w:rFonts w:hint="eastAsia" w:eastAsia="黑体" w:cs="黑体"/>
        </w:rPr>
        <w:t>八、达成课程目标的途径和措施</w:t>
      </w:r>
    </w:p>
    <w:p>
      <w:pPr>
        <w:spacing w:line="360" w:lineRule="auto"/>
        <w:ind w:firstLine="420" w:firstLineChars="200"/>
      </w:pPr>
      <w:r>
        <w:rPr>
          <w:rFonts w:hint="eastAsia"/>
        </w:rPr>
        <w:t>1</w:t>
      </w:r>
      <w:r>
        <w:rPr>
          <w:rFonts w:hint="eastAsia" w:cs="宋体"/>
        </w:rPr>
        <w:t>、考核目标：在考核学生对信号与系统的基本知识、基本原理和方法的基础上，重点考核学生对信号与系统的时域、频域、复频域分析方法的综合应用能力。</w:t>
      </w:r>
    </w:p>
    <w:p>
      <w:pPr>
        <w:spacing w:line="360" w:lineRule="auto"/>
        <w:ind w:firstLine="420" w:firstLineChars="200"/>
      </w:pPr>
      <w:r>
        <w:rPr>
          <w:rFonts w:hint="eastAsia"/>
        </w:rPr>
        <w:t>2</w:t>
      </w:r>
      <w:r>
        <w:rPr>
          <w:rFonts w:hint="eastAsia" w:cs="宋体"/>
        </w:rPr>
        <w:t>、考核方式：作业、实验、综合报告、期末考试</w:t>
      </w:r>
    </w:p>
    <w:p>
      <w:pPr>
        <w:spacing w:line="360" w:lineRule="auto"/>
        <w:ind w:firstLine="420" w:firstLineChars="200"/>
      </w:pPr>
      <w:r>
        <w:t>3</w:t>
      </w:r>
      <w:r>
        <w:rPr>
          <w:rFonts w:hint="eastAsia" w:cs="宋体"/>
        </w:rPr>
        <w:t>、</w:t>
      </w:r>
      <w:r>
        <w:rPr>
          <w:rFonts w:hint="eastAsia"/>
        </w:rPr>
        <w:t>评价环节对课程目标达成贡献率及支撑材料：</w:t>
      </w:r>
    </w:p>
    <w:tbl>
      <w:tblPr>
        <w:tblStyle w:val="19"/>
        <w:tblW w:w="5000" w:type="pct"/>
        <w:jc w:val="center"/>
        <w:tblLayout w:type="autofit"/>
        <w:tblCellMar>
          <w:top w:w="0" w:type="dxa"/>
          <w:left w:w="108" w:type="dxa"/>
          <w:bottom w:w="0" w:type="dxa"/>
          <w:right w:w="108" w:type="dxa"/>
        </w:tblCellMar>
      </w:tblPr>
      <w:tblGrid>
        <w:gridCol w:w="1545"/>
        <w:gridCol w:w="1501"/>
        <w:gridCol w:w="2217"/>
        <w:gridCol w:w="1888"/>
        <w:gridCol w:w="1377"/>
      </w:tblGrid>
      <w:tr>
        <w:tblPrEx>
          <w:tblCellMar>
            <w:top w:w="0" w:type="dxa"/>
            <w:left w:w="108" w:type="dxa"/>
            <w:bottom w:w="0" w:type="dxa"/>
            <w:right w:w="108" w:type="dxa"/>
          </w:tblCellMar>
        </w:tblPrEx>
        <w:trPr>
          <w:trHeight w:val="355" w:hRule="atLeast"/>
          <w:jc w:val="center"/>
        </w:trPr>
        <w:tc>
          <w:tcPr>
            <w:tcW w:w="906" w:type="pct"/>
            <w:tcBorders>
              <w:top w:val="single" w:color="auto" w:sz="4" w:space="0"/>
              <w:bottom w:val="single" w:color="auto" w:sz="4" w:space="0"/>
              <w:right w:val="single" w:color="auto" w:sz="4" w:space="0"/>
            </w:tcBorders>
            <w:vAlign w:val="center"/>
          </w:tcPr>
          <w:p>
            <w:pPr>
              <w:widowControl/>
              <w:jc w:val="center"/>
              <w:rPr>
                <w:rFonts w:ascii="宋体" w:hAnsi="宋体" w:cs="宋体"/>
                <w:kern w:val="0"/>
                <w:sz w:val="18"/>
              </w:rPr>
            </w:pPr>
            <w:r>
              <w:rPr>
                <w:rFonts w:hint="eastAsia" w:ascii="宋体" w:hAnsi="宋体" w:cs="宋体"/>
                <w:kern w:val="0"/>
                <w:sz w:val="18"/>
              </w:rPr>
              <w:t>考察环节</w:t>
            </w:r>
          </w:p>
        </w:tc>
        <w:tc>
          <w:tcPr>
            <w:tcW w:w="88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rPr>
            </w:pPr>
            <w:r>
              <w:rPr>
                <w:rFonts w:hint="eastAsia" w:ascii="宋体" w:hAnsi="宋体" w:cs="宋体"/>
                <w:kern w:val="0"/>
                <w:sz w:val="18"/>
              </w:rPr>
              <w:t>作业</w:t>
            </w:r>
          </w:p>
        </w:tc>
        <w:tc>
          <w:tcPr>
            <w:tcW w:w="13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rPr>
            </w:pPr>
            <w:r>
              <w:rPr>
                <w:rFonts w:hint="eastAsia" w:ascii="宋体" w:hAnsi="宋体" w:cs="宋体"/>
                <w:kern w:val="0"/>
                <w:sz w:val="18"/>
              </w:rPr>
              <w:t>实验</w:t>
            </w:r>
          </w:p>
        </w:tc>
        <w:tc>
          <w:tcPr>
            <w:tcW w:w="1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rPr>
            </w:pPr>
            <w:r>
              <w:rPr>
                <w:rFonts w:hint="eastAsia" w:ascii="宋体" w:hAnsi="宋体" w:cs="宋体"/>
                <w:kern w:val="0"/>
                <w:sz w:val="18"/>
              </w:rPr>
              <w:t>综合报告</w:t>
            </w:r>
          </w:p>
        </w:tc>
        <w:tc>
          <w:tcPr>
            <w:tcW w:w="807" w:type="pct"/>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cs="宋体"/>
                <w:kern w:val="0"/>
                <w:sz w:val="18"/>
              </w:rPr>
            </w:pPr>
            <w:r>
              <w:rPr>
                <w:rFonts w:hint="eastAsia" w:ascii="宋体" w:hAnsi="宋体" w:cs="宋体"/>
                <w:kern w:val="0"/>
                <w:sz w:val="18"/>
              </w:rPr>
              <w:t>期末考试</w:t>
            </w:r>
          </w:p>
        </w:tc>
      </w:tr>
      <w:tr>
        <w:tblPrEx>
          <w:tblCellMar>
            <w:top w:w="0" w:type="dxa"/>
            <w:left w:w="108" w:type="dxa"/>
            <w:bottom w:w="0" w:type="dxa"/>
            <w:right w:w="108" w:type="dxa"/>
          </w:tblCellMar>
        </w:tblPrEx>
        <w:trPr>
          <w:trHeight w:val="90" w:hRule="atLeast"/>
          <w:jc w:val="center"/>
        </w:trPr>
        <w:tc>
          <w:tcPr>
            <w:tcW w:w="906" w:type="pct"/>
            <w:tcBorders>
              <w:top w:val="single" w:color="auto" w:sz="4" w:space="0"/>
              <w:bottom w:val="single" w:color="auto" w:sz="4" w:space="0"/>
              <w:right w:val="single" w:color="auto" w:sz="4" w:space="0"/>
            </w:tcBorders>
            <w:vAlign w:val="center"/>
          </w:tcPr>
          <w:p>
            <w:pPr>
              <w:widowControl/>
              <w:jc w:val="center"/>
              <w:rPr>
                <w:rFonts w:ascii="宋体" w:hAnsi="宋体" w:cs="宋体"/>
                <w:kern w:val="0"/>
                <w:sz w:val="18"/>
              </w:rPr>
            </w:pPr>
            <w:r>
              <w:rPr>
                <w:rFonts w:hint="eastAsia" w:ascii="宋体" w:hAnsi="宋体" w:cs="宋体"/>
                <w:kern w:val="0"/>
                <w:sz w:val="18"/>
              </w:rPr>
              <w:t>课程目标达成</w:t>
            </w:r>
          </w:p>
          <w:p>
            <w:pPr>
              <w:widowControl/>
              <w:jc w:val="center"/>
              <w:rPr>
                <w:rFonts w:ascii="宋体" w:hAnsi="宋体" w:cs="宋体"/>
                <w:kern w:val="0"/>
                <w:sz w:val="18"/>
              </w:rPr>
            </w:pPr>
            <w:r>
              <w:rPr>
                <w:rFonts w:hint="eastAsia" w:ascii="宋体" w:hAnsi="宋体" w:cs="宋体"/>
                <w:kern w:val="0"/>
                <w:sz w:val="18"/>
              </w:rPr>
              <w:t>的贡献率</w:t>
            </w:r>
          </w:p>
        </w:tc>
        <w:tc>
          <w:tcPr>
            <w:tcW w:w="88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xml:space="preserve">0.14 </w:t>
            </w:r>
          </w:p>
        </w:tc>
        <w:tc>
          <w:tcPr>
            <w:tcW w:w="13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xml:space="preserve">0.15 </w:t>
            </w:r>
          </w:p>
        </w:tc>
        <w:tc>
          <w:tcPr>
            <w:tcW w:w="1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xml:space="preserve">0.25 </w:t>
            </w:r>
          </w:p>
        </w:tc>
        <w:tc>
          <w:tcPr>
            <w:tcW w:w="807" w:type="pct"/>
            <w:tcBorders>
              <w:top w:val="single" w:color="auto" w:sz="4" w:space="0"/>
              <w:left w:val="single" w:color="auto" w:sz="4" w:space="0"/>
              <w:bottom w:val="single" w:color="auto" w:sz="4" w:space="0"/>
            </w:tcBorders>
            <w:shd w:val="clear" w:color="auto" w:fill="auto"/>
            <w:vAlign w:val="center"/>
          </w:tcPr>
          <w:p>
            <w:pPr>
              <w:widowControl/>
              <w:jc w:val="center"/>
              <w:rPr>
                <w:kern w:val="0"/>
                <w:sz w:val="18"/>
                <w:szCs w:val="18"/>
              </w:rPr>
            </w:pPr>
            <w:r>
              <w:rPr>
                <w:kern w:val="0"/>
                <w:sz w:val="18"/>
                <w:szCs w:val="18"/>
              </w:rPr>
              <w:t xml:space="preserve">0.46 </w:t>
            </w:r>
          </w:p>
        </w:tc>
      </w:tr>
      <w:tr>
        <w:tblPrEx>
          <w:tblCellMar>
            <w:top w:w="0" w:type="dxa"/>
            <w:left w:w="108" w:type="dxa"/>
            <w:bottom w:w="0" w:type="dxa"/>
            <w:right w:w="108" w:type="dxa"/>
          </w:tblCellMar>
        </w:tblPrEx>
        <w:trPr>
          <w:trHeight w:val="1043" w:hRule="atLeast"/>
          <w:jc w:val="center"/>
        </w:trPr>
        <w:tc>
          <w:tcPr>
            <w:tcW w:w="906" w:type="pct"/>
            <w:tcBorders>
              <w:top w:val="single" w:color="auto" w:sz="4" w:space="0"/>
              <w:bottom w:val="single" w:color="auto" w:sz="4" w:space="0"/>
              <w:right w:val="single" w:color="auto" w:sz="4" w:space="0"/>
            </w:tcBorders>
            <w:vAlign w:val="center"/>
          </w:tcPr>
          <w:p>
            <w:pPr>
              <w:widowControl/>
              <w:jc w:val="center"/>
              <w:rPr>
                <w:rFonts w:ascii="宋体" w:hAnsi="宋体" w:cs="宋体"/>
                <w:kern w:val="0"/>
                <w:sz w:val="18"/>
              </w:rPr>
            </w:pPr>
            <w:r>
              <w:rPr>
                <w:rFonts w:hint="eastAsia" w:ascii="宋体" w:hAnsi="宋体" w:cs="宋体"/>
                <w:kern w:val="0"/>
                <w:sz w:val="18"/>
              </w:rPr>
              <w:t>支撑材料</w:t>
            </w:r>
          </w:p>
        </w:tc>
        <w:tc>
          <w:tcPr>
            <w:tcW w:w="88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rPr>
            </w:pPr>
            <w:r>
              <w:rPr>
                <w:rFonts w:ascii="宋体" w:hAnsi="宋体" w:cs="宋体"/>
                <w:kern w:val="0"/>
                <w:sz w:val="18"/>
              </w:rPr>
              <w:t>作业评价标准</w:t>
            </w:r>
            <w:r>
              <w:rPr>
                <w:rFonts w:hint="eastAsia" w:ascii="宋体" w:hAnsi="宋体" w:cs="宋体"/>
                <w:kern w:val="0"/>
                <w:sz w:val="18"/>
              </w:rPr>
              <w:t>、作业评分登记表</w:t>
            </w:r>
          </w:p>
          <w:p>
            <w:pPr>
              <w:widowControl/>
              <w:jc w:val="center"/>
              <w:rPr>
                <w:rFonts w:ascii="宋体" w:hAnsi="宋体" w:cs="宋体"/>
                <w:kern w:val="0"/>
                <w:sz w:val="18"/>
              </w:rPr>
            </w:pPr>
          </w:p>
        </w:tc>
        <w:tc>
          <w:tcPr>
            <w:tcW w:w="13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rPr>
            </w:pPr>
            <w:r>
              <w:rPr>
                <w:rFonts w:ascii="宋体" w:hAnsi="宋体" w:cs="宋体"/>
                <w:kern w:val="0"/>
                <w:sz w:val="18"/>
              </w:rPr>
              <w:t>课内实验评价标准，</w:t>
            </w:r>
            <w:r>
              <w:rPr>
                <w:rFonts w:hint="eastAsia" w:ascii="宋体" w:hAnsi="宋体" w:cs="宋体"/>
                <w:kern w:val="0"/>
                <w:sz w:val="18"/>
              </w:rPr>
              <w:t>实验课堂记录记录，典型实验报告（可以提交电子版）</w:t>
            </w:r>
          </w:p>
        </w:tc>
        <w:tc>
          <w:tcPr>
            <w:tcW w:w="1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rPr>
            </w:pPr>
            <w:r>
              <w:rPr>
                <w:rFonts w:hint="eastAsia" w:ascii="宋体" w:hAnsi="宋体" w:cs="宋体"/>
                <w:kern w:val="0"/>
                <w:sz w:val="18"/>
              </w:rPr>
              <w:t>综合报告</w:t>
            </w:r>
            <w:r>
              <w:rPr>
                <w:rFonts w:ascii="宋体" w:hAnsi="宋体" w:cs="宋体"/>
                <w:kern w:val="0"/>
                <w:sz w:val="18"/>
              </w:rPr>
              <w:t>评价标准</w:t>
            </w:r>
            <w:r>
              <w:rPr>
                <w:rFonts w:hint="eastAsia" w:ascii="宋体" w:hAnsi="宋体" w:cs="宋体"/>
                <w:kern w:val="0"/>
                <w:sz w:val="18"/>
              </w:rPr>
              <w:t>，综合性报告评分登记表</w:t>
            </w:r>
            <w:r>
              <w:rPr>
                <w:rFonts w:ascii="宋体" w:hAnsi="宋体" w:cs="宋体"/>
                <w:kern w:val="0"/>
                <w:sz w:val="18"/>
              </w:rPr>
              <w:t>，</w:t>
            </w:r>
            <w:r>
              <w:rPr>
                <w:rFonts w:hint="eastAsia" w:ascii="宋体" w:hAnsi="宋体" w:cs="宋体"/>
                <w:kern w:val="0"/>
                <w:sz w:val="18"/>
              </w:rPr>
              <w:t>典型综合性报告</w:t>
            </w:r>
          </w:p>
        </w:tc>
        <w:tc>
          <w:tcPr>
            <w:tcW w:w="807" w:type="pct"/>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cs="宋体"/>
                <w:kern w:val="0"/>
                <w:sz w:val="18"/>
              </w:rPr>
            </w:pPr>
            <w:r>
              <w:rPr>
                <w:rFonts w:hint="eastAsia" w:ascii="宋体" w:hAnsi="宋体" w:cs="宋体"/>
                <w:kern w:val="0"/>
                <w:sz w:val="18"/>
              </w:rPr>
              <w:t>试题评分标准，</w:t>
            </w:r>
            <w:r>
              <w:rPr>
                <w:rFonts w:ascii="宋体" w:hAnsi="宋体" w:cs="宋体"/>
                <w:kern w:val="0"/>
                <w:sz w:val="18"/>
              </w:rPr>
              <w:t>试卷，</w:t>
            </w:r>
          </w:p>
        </w:tc>
      </w:tr>
    </w:tbl>
    <w:p/>
    <w:p>
      <w:pPr>
        <w:adjustRightInd w:val="0"/>
        <w:snapToGrid w:val="0"/>
        <w:spacing w:line="360" w:lineRule="auto"/>
        <w:rPr>
          <w:rFonts w:eastAsia="黑体" w:cs="黑体"/>
        </w:rPr>
      </w:pPr>
      <w:r>
        <w:rPr>
          <w:rFonts w:eastAsia="黑体" w:cs="黑体"/>
        </w:rPr>
        <w:t>九</w:t>
      </w:r>
      <w:r>
        <w:rPr>
          <w:rFonts w:hint="eastAsia" w:eastAsia="黑体" w:cs="黑体"/>
        </w:rPr>
        <w:t>、覆盖课程目标达成评价的知识点及权重</w:t>
      </w:r>
    </w:p>
    <w:tbl>
      <w:tblPr>
        <w:tblStyle w:val="20"/>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562"/>
        <w:gridCol w:w="1179"/>
        <w:gridCol w:w="178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261" w:type="pct"/>
            <w:vAlign w:val="center"/>
          </w:tcPr>
          <w:p>
            <w:pPr>
              <w:jc w:val="center"/>
              <w:rPr>
                <w:sz w:val="18"/>
                <w:szCs w:val="18"/>
              </w:rPr>
            </w:pPr>
            <w:r>
              <w:rPr>
                <w:sz w:val="18"/>
                <w:szCs w:val="18"/>
              </w:rPr>
              <w:t>知识点</w:t>
            </w:r>
          </w:p>
        </w:tc>
        <w:tc>
          <w:tcPr>
            <w:tcW w:w="691" w:type="pct"/>
            <w:vAlign w:val="center"/>
          </w:tcPr>
          <w:p>
            <w:pPr>
              <w:jc w:val="center"/>
              <w:rPr>
                <w:sz w:val="18"/>
                <w:szCs w:val="18"/>
              </w:rPr>
            </w:pPr>
            <w:r>
              <w:rPr>
                <w:sz w:val="18"/>
                <w:szCs w:val="18"/>
              </w:rPr>
              <w:t>权重</w:t>
            </w:r>
          </w:p>
        </w:tc>
        <w:tc>
          <w:tcPr>
            <w:tcW w:w="1048" w:type="pct"/>
            <w:vAlign w:val="center"/>
          </w:tcPr>
          <w:p>
            <w:pPr>
              <w:jc w:val="center"/>
              <w:rPr>
                <w:sz w:val="18"/>
                <w:szCs w:val="18"/>
              </w:rPr>
            </w:pPr>
            <w:r>
              <w:rPr>
                <w:sz w:val="18"/>
                <w:szCs w:val="18"/>
              </w:rPr>
              <w:t>支撑课程目标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261" w:type="pct"/>
            <w:vAlign w:val="center"/>
          </w:tcPr>
          <w:p>
            <w:pPr>
              <w:rPr>
                <w:sz w:val="18"/>
                <w:szCs w:val="18"/>
              </w:rPr>
            </w:pPr>
            <w:r>
              <w:rPr>
                <w:rFonts w:hint="eastAsia"/>
                <w:sz w:val="18"/>
                <w:szCs w:val="18"/>
              </w:rPr>
              <w:t>1. 信号与系统的基本概念、分类、描述，信号与系统分析的基本方法及理论</w:t>
            </w:r>
          </w:p>
        </w:tc>
        <w:tc>
          <w:tcPr>
            <w:tcW w:w="691" w:type="pct"/>
            <w:vAlign w:val="center"/>
          </w:tcPr>
          <w:p>
            <w:pPr>
              <w:jc w:val="center"/>
              <w:rPr>
                <w:sz w:val="18"/>
                <w:szCs w:val="18"/>
              </w:rPr>
            </w:pPr>
            <w:r>
              <w:rPr>
                <w:sz w:val="18"/>
                <w:szCs w:val="18"/>
              </w:rPr>
              <w:t>0.10</w:t>
            </w:r>
          </w:p>
        </w:tc>
        <w:tc>
          <w:tcPr>
            <w:tcW w:w="1048" w:type="pct"/>
            <w:vAlign w:val="center"/>
          </w:tcPr>
          <w:p>
            <w:pPr>
              <w:jc w:val="center"/>
              <w:rPr>
                <w:sz w:val="18"/>
                <w:szCs w:val="18"/>
              </w:rPr>
            </w:pPr>
            <w:r>
              <w:rPr>
                <w:rFonts w:hint="eastAsia"/>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261" w:type="pct"/>
            <w:vAlign w:val="center"/>
          </w:tcPr>
          <w:p>
            <w:pPr>
              <w:rPr>
                <w:sz w:val="18"/>
                <w:szCs w:val="18"/>
              </w:rPr>
            </w:pPr>
            <w:r>
              <w:rPr>
                <w:rFonts w:hint="eastAsia"/>
                <w:sz w:val="18"/>
                <w:szCs w:val="18"/>
              </w:rPr>
              <w:t>2. 信号的基本运算、信号的卷积运算、信号的时域分解</w:t>
            </w:r>
          </w:p>
        </w:tc>
        <w:tc>
          <w:tcPr>
            <w:tcW w:w="691" w:type="pct"/>
            <w:vAlign w:val="center"/>
          </w:tcPr>
          <w:p>
            <w:pPr>
              <w:jc w:val="center"/>
              <w:rPr>
                <w:sz w:val="18"/>
                <w:szCs w:val="18"/>
              </w:rPr>
            </w:pPr>
            <w:r>
              <w:rPr>
                <w:sz w:val="18"/>
                <w:szCs w:val="18"/>
              </w:rPr>
              <w:t>0.10</w:t>
            </w:r>
          </w:p>
        </w:tc>
        <w:tc>
          <w:tcPr>
            <w:tcW w:w="1048" w:type="pct"/>
            <w:vAlign w:val="center"/>
          </w:tcPr>
          <w:p>
            <w:pPr>
              <w:jc w:val="center"/>
              <w:rPr>
                <w:sz w:val="18"/>
                <w:szCs w:val="18"/>
              </w:rPr>
            </w:pPr>
            <w:r>
              <w:rPr>
                <w:rFonts w:hint="eastAsia"/>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261" w:type="pct"/>
            <w:vAlign w:val="center"/>
          </w:tcPr>
          <w:p>
            <w:pPr>
              <w:rPr>
                <w:sz w:val="18"/>
                <w:szCs w:val="18"/>
              </w:rPr>
            </w:pPr>
            <w:r>
              <w:rPr>
                <w:rFonts w:hint="eastAsia"/>
                <w:sz w:val="18"/>
                <w:szCs w:val="18"/>
              </w:rPr>
              <w:t>3. 线性时不变系统描述与特点，LTI系统响应的求解方法、分类及工程物理概念，单位冲激响应，卷积法求解系统零状态响应</w:t>
            </w:r>
          </w:p>
        </w:tc>
        <w:tc>
          <w:tcPr>
            <w:tcW w:w="691" w:type="pct"/>
            <w:vAlign w:val="center"/>
          </w:tcPr>
          <w:p>
            <w:pPr>
              <w:jc w:val="center"/>
              <w:rPr>
                <w:sz w:val="18"/>
                <w:szCs w:val="18"/>
              </w:rPr>
            </w:pPr>
            <w:r>
              <w:rPr>
                <w:sz w:val="18"/>
                <w:szCs w:val="18"/>
              </w:rPr>
              <w:t>0.15</w:t>
            </w:r>
          </w:p>
        </w:tc>
        <w:tc>
          <w:tcPr>
            <w:tcW w:w="1048" w:type="pct"/>
            <w:vAlign w:val="center"/>
          </w:tcPr>
          <w:p>
            <w:pPr>
              <w:jc w:val="center"/>
              <w:rPr>
                <w:sz w:val="18"/>
                <w:szCs w:val="18"/>
              </w:rPr>
            </w:pPr>
            <w:r>
              <w:rPr>
                <w:rFonts w:hint="eastAsia"/>
                <w:sz w:val="18"/>
                <w:szCs w:val="18"/>
              </w:rPr>
              <w:t>1,2,3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261" w:type="pct"/>
            <w:vAlign w:val="center"/>
          </w:tcPr>
          <w:p>
            <w:pPr>
              <w:rPr>
                <w:sz w:val="18"/>
                <w:szCs w:val="18"/>
              </w:rPr>
            </w:pPr>
            <w:r>
              <w:rPr>
                <w:rFonts w:hint="eastAsia"/>
                <w:sz w:val="18"/>
                <w:szCs w:val="18"/>
              </w:rPr>
              <w:t>4. 周期信号傅里叶级数和非周期信号傅里叶变换定义、基本性质及物理概念，信号的带宽、频谱基本概念及工程含义</w:t>
            </w:r>
          </w:p>
        </w:tc>
        <w:tc>
          <w:tcPr>
            <w:tcW w:w="691" w:type="pct"/>
            <w:vAlign w:val="center"/>
          </w:tcPr>
          <w:p>
            <w:pPr>
              <w:jc w:val="center"/>
              <w:rPr>
                <w:sz w:val="18"/>
                <w:szCs w:val="18"/>
              </w:rPr>
            </w:pPr>
            <w:r>
              <w:rPr>
                <w:sz w:val="18"/>
                <w:szCs w:val="18"/>
              </w:rPr>
              <w:t>0.15</w:t>
            </w:r>
          </w:p>
        </w:tc>
        <w:tc>
          <w:tcPr>
            <w:tcW w:w="1048" w:type="pct"/>
            <w:vAlign w:val="center"/>
          </w:tcPr>
          <w:p>
            <w:pPr>
              <w:jc w:val="center"/>
              <w:rPr>
                <w:sz w:val="18"/>
                <w:szCs w:val="18"/>
              </w:rPr>
            </w:pPr>
            <w:r>
              <w:rPr>
                <w:rFonts w:hint="eastAsia"/>
                <w:sz w:val="18"/>
                <w:szCs w:val="18"/>
              </w:rPr>
              <w:t>1,3,4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261" w:type="pct"/>
            <w:vAlign w:val="center"/>
          </w:tcPr>
          <w:p>
            <w:pPr>
              <w:rPr>
                <w:sz w:val="18"/>
                <w:szCs w:val="18"/>
              </w:rPr>
            </w:pPr>
            <w:r>
              <w:rPr>
                <w:rFonts w:hint="eastAsia"/>
                <w:sz w:val="18"/>
                <w:szCs w:val="18"/>
              </w:rPr>
              <w:t>5. LTI系统的频率响应的概念、物理意义及工程应用，无失真传输系统、理想滤波器、信号抽样等典型系统的频域分析及工程概念</w:t>
            </w:r>
          </w:p>
        </w:tc>
        <w:tc>
          <w:tcPr>
            <w:tcW w:w="691" w:type="pct"/>
            <w:vAlign w:val="center"/>
          </w:tcPr>
          <w:p>
            <w:pPr>
              <w:jc w:val="center"/>
              <w:rPr>
                <w:sz w:val="18"/>
                <w:szCs w:val="18"/>
              </w:rPr>
            </w:pPr>
            <w:r>
              <w:rPr>
                <w:sz w:val="18"/>
                <w:szCs w:val="18"/>
              </w:rPr>
              <w:t>0.20</w:t>
            </w:r>
          </w:p>
        </w:tc>
        <w:tc>
          <w:tcPr>
            <w:tcW w:w="1048" w:type="pct"/>
            <w:vAlign w:val="center"/>
          </w:tcPr>
          <w:p>
            <w:pPr>
              <w:jc w:val="center"/>
              <w:rPr>
                <w:sz w:val="18"/>
                <w:szCs w:val="18"/>
              </w:rPr>
            </w:pPr>
            <w:r>
              <w:rPr>
                <w:rFonts w:hint="eastAsia"/>
                <w:sz w:val="18"/>
                <w:szCs w:val="18"/>
              </w:rPr>
              <w:t>1,2,3,4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261" w:type="pct"/>
            <w:vAlign w:val="center"/>
          </w:tcPr>
          <w:p>
            <w:pPr>
              <w:rPr>
                <w:sz w:val="18"/>
                <w:szCs w:val="18"/>
              </w:rPr>
            </w:pPr>
            <w:r>
              <w:rPr>
                <w:rFonts w:hint="eastAsia"/>
                <w:sz w:val="18"/>
                <w:szCs w:val="18"/>
              </w:rPr>
              <w:t>6. 信号的拉氏变换定义、收敛域、基本性质，信号拉氏反变换方法</w:t>
            </w:r>
          </w:p>
        </w:tc>
        <w:tc>
          <w:tcPr>
            <w:tcW w:w="691" w:type="pct"/>
            <w:vAlign w:val="center"/>
          </w:tcPr>
          <w:p>
            <w:pPr>
              <w:jc w:val="center"/>
              <w:rPr>
                <w:sz w:val="18"/>
                <w:szCs w:val="18"/>
              </w:rPr>
            </w:pPr>
            <w:r>
              <w:rPr>
                <w:sz w:val="18"/>
                <w:szCs w:val="18"/>
              </w:rPr>
              <w:t>0.10</w:t>
            </w:r>
          </w:p>
        </w:tc>
        <w:tc>
          <w:tcPr>
            <w:tcW w:w="1048" w:type="pct"/>
            <w:vAlign w:val="center"/>
          </w:tcPr>
          <w:p>
            <w:pPr>
              <w:jc w:val="center"/>
              <w:rPr>
                <w:sz w:val="18"/>
                <w:szCs w:val="18"/>
              </w:rPr>
            </w:pPr>
            <w:r>
              <w:rPr>
                <w:rFonts w:hint="eastAsia"/>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261" w:type="pct"/>
            <w:vAlign w:val="center"/>
          </w:tcPr>
          <w:p>
            <w:pPr>
              <w:rPr>
                <w:sz w:val="18"/>
                <w:szCs w:val="18"/>
              </w:rPr>
            </w:pPr>
            <w:r>
              <w:rPr>
                <w:rFonts w:hint="eastAsia"/>
                <w:sz w:val="18"/>
                <w:szCs w:val="18"/>
              </w:rPr>
              <w:t>7. LTI系统的系统函数定义、零极点分布图、频率特性分析，系统的联结与模拟框图表示</w:t>
            </w:r>
          </w:p>
        </w:tc>
        <w:tc>
          <w:tcPr>
            <w:tcW w:w="691" w:type="pct"/>
            <w:vAlign w:val="center"/>
          </w:tcPr>
          <w:p>
            <w:pPr>
              <w:jc w:val="center"/>
              <w:rPr>
                <w:sz w:val="18"/>
                <w:szCs w:val="18"/>
              </w:rPr>
            </w:pPr>
            <w:r>
              <w:rPr>
                <w:sz w:val="18"/>
                <w:szCs w:val="18"/>
              </w:rPr>
              <w:t>0.20</w:t>
            </w:r>
          </w:p>
        </w:tc>
        <w:tc>
          <w:tcPr>
            <w:tcW w:w="1048" w:type="pct"/>
            <w:vAlign w:val="center"/>
          </w:tcPr>
          <w:p>
            <w:pPr>
              <w:jc w:val="center"/>
              <w:rPr>
                <w:sz w:val="18"/>
                <w:szCs w:val="18"/>
              </w:rPr>
            </w:pPr>
            <w:r>
              <w:rPr>
                <w:rFonts w:hint="eastAsia"/>
                <w:sz w:val="18"/>
                <w:szCs w:val="18"/>
              </w:rPr>
              <w:t>1,2,4</w:t>
            </w:r>
          </w:p>
        </w:tc>
      </w:tr>
    </w:tbl>
    <w:p>
      <w:pPr>
        <w:spacing w:before="120" w:beforeLines="50" w:line="360" w:lineRule="auto"/>
        <w:ind w:firstLine="420" w:firstLineChars="200"/>
        <w:rPr>
          <w:rFonts w:ascii="宋体" w:hAnsi="宋体" w:cs="宋体"/>
          <w:szCs w:val="21"/>
        </w:rPr>
      </w:pPr>
      <w:r>
        <w:rPr>
          <w:rFonts w:hint="eastAsia" w:ascii="宋体" w:hAnsi="宋体" w:cs="宋体"/>
          <w:szCs w:val="21"/>
        </w:rPr>
        <w:t>本课程不可以申请免修。</w:t>
      </w:r>
    </w:p>
    <w:p>
      <w:pPr>
        <w:spacing w:line="360" w:lineRule="auto"/>
        <w:ind w:firstLine="420" w:firstLineChars="200"/>
        <w:rPr>
          <w:szCs w:val="21"/>
        </w:rPr>
        <w:sectPr>
          <w:headerReference r:id="rId14" w:type="first"/>
          <w:footerReference r:id="rId17" w:type="first"/>
          <w:headerReference r:id="rId12" w:type="default"/>
          <w:footerReference r:id="rId15" w:type="default"/>
          <w:headerReference r:id="rId13" w:type="even"/>
          <w:footerReference r:id="rId16" w:type="even"/>
          <w:pgSz w:w="11906" w:h="16838"/>
          <w:pgMar w:top="1440" w:right="1797" w:bottom="1440" w:left="1797" w:header="851" w:footer="992" w:gutter="0"/>
          <w:pgNumType w:fmt="decimal"/>
          <w:cols w:space="425" w:num="1"/>
          <w:docGrid w:linePitch="312" w:charSpace="0"/>
        </w:sectPr>
      </w:pPr>
    </w:p>
    <w:p>
      <w:pPr>
        <w:tabs>
          <w:tab w:val="left" w:pos="420"/>
        </w:tabs>
        <w:adjustRightInd w:val="0"/>
        <w:snapToGrid w:val="0"/>
        <w:spacing w:line="360" w:lineRule="auto"/>
        <w:ind w:left="420" w:hanging="420"/>
        <w:rPr>
          <w:rFonts w:eastAsia="黑体"/>
          <w:szCs w:val="24"/>
        </w:rPr>
      </w:pPr>
      <w:r>
        <w:rPr>
          <w:rFonts w:hint="eastAsia" w:eastAsia="黑体"/>
          <w:szCs w:val="24"/>
        </w:rPr>
        <w:t>十、课程目标达成评价</w:t>
      </w:r>
    </w:p>
    <w:p>
      <w:pPr>
        <w:spacing w:line="360" w:lineRule="auto"/>
        <w:ind w:firstLine="420" w:firstLineChars="200"/>
        <w:jc w:val="center"/>
      </w:pPr>
      <w:r>
        <w:rPr>
          <w:rFonts w:hint="eastAsia"/>
        </w:rPr>
        <w:t>各环节对课程目标达成评价所使用到的权重占比分配及考核权重分配</w:t>
      </w:r>
    </w:p>
    <w:tbl>
      <w:tblPr>
        <w:tblStyle w:val="19"/>
        <w:tblW w:w="5000" w:type="pct"/>
        <w:tblInd w:w="0" w:type="dxa"/>
        <w:tblLayout w:type="autofit"/>
        <w:tblCellMar>
          <w:top w:w="0" w:type="dxa"/>
          <w:left w:w="108" w:type="dxa"/>
          <w:bottom w:w="0" w:type="dxa"/>
          <w:right w:w="108" w:type="dxa"/>
        </w:tblCellMar>
      </w:tblPr>
      <w:tblGrid>
        <w:gridCol w:w="958"/>
        <w:gridCol w:w="961"/>
        <w:gridCol w:w="961"/>
        <w:gridCol w:w="961"/>
        <w:gridCol w:w="961"/>
        <w:gridCol w:w="967"/>
        <w:gridCol w:w="961"/>
        <w:gridCol w:w="961"/>
        <w:gridCol w:w="961"/>
        <w:gridCol w:w="964"/>
        <w:gridCol w:w="1681"/>
        <w:gridCol w:w="961"/>
        <w:gridCol w:w="961"/>
        <w:gridCol w:w="955"/>
      </w:tblGrid>
      <w:tr>
        <w:tblPrEx>
          <w:tblCellMar>
            <w:top w:w="0" w:type="dxa"/>
            <w:left w:w="108" w:type="dxa"/>
            <w:bottom w:w="0" w:type="dxa"/>
            <w:right w:w="108" w:type="dxa"/>
          </w:tblCellMar>
        </w:tblPrEx>
        <w:trPr>
          <w:trHeight w:val="270" w:hRule="atLeast"/>
        </w:trPr>
        <w:tc>
          <w:tcPr>
            <w:tcW w:w="3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课程目标</w:t>
            </w:r>
          </w:p>
        </w:tc>
        <w:tc>
          <w:tcPr>
            <w:tcW w:w="33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知识面比例（本列总和为1）</w:t>
            </w:r>
            <w:r>
              <w:rPr>
                <w:kern w:val="0"/>
                <w:sz w:val="18"/>
                <w:szCs w:val="18"/>
              </w:rPr>
              <w:br w:type="textWrapping"/>
            </w:r>
            <w:r>
              <w:rPr>
                <w:kern w:val="0"/>
                <w:sz w:val="18"/>
                <w:szCs w:val="18"/>
              </w:rPr>
              <w:t>P</w:t>
            </w:r>
            <w:r>
              <w:rPr>
                <w:kern w:val="0"/>
                <w:sz w:val="18"/>
                <w:szCs w:val="18"/>
                <w:vertAlign w:val="subscript"/>
              </w:rPr>
              <w:t>i</w:t>
            </w:r>
          </w:p>
        </w:tc>
        <w:tc>
          <w:tcPr>
            <w:tcW w:w="1358" w:type="pct"/>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各环节评价比例分配</w:t>
            </w:r>
            <w:r>
              <w:rPr>
                <w:kern w:val="0"/>
                <w:sz w:val="18"/>
                <w:szCs w:val="18"/>
              </w:rPr>
              <w:br w:type="textWrapping"/>
            </w:r>
            <w:r>
              <w:rPr>
                <w:kern w:val="0"/>
                <w:sz w:val="18"/>
                <w:szCs w:val="18"/>
              </w:rPr>
              <w:t>（每行总和为1）</w:t>
            </w:r>
            <w:r>
              <w:rPr>
                <w:kern w:val="0"/>
                <w:sz w:val="18"/>
                <w:szCs w:val="18"/>
              </w:rPr>
              <w:br w:type="textWrapping"/>
            </w:r>
            <w:r>
              <w:rPr>
                <w:kern w:val="0"/>
                <w:sz w:val="18"/>
                <w:szCs w:val="18"/>
              </w:rPr>
              <w:t>W</w:t>
            </w:r>
            <w:r>
              <w:rPr>
                <w:kern w:val="0"/>
                <w:sz w:val="18"/>
                <w:szCs w:val="18"/>
                <w:vertAlign w:val="subscript"/>
              </w:rPr>
              <w:t>ik</w:t>
            </w:r>
          </w:p>
        </w:tc>
        <w:tc>
          <w:tcPr>
            <w:tcW w:w="1357" w:type="pct"/>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各环节在课程达成中的占比</w:t>
            </w:r>
            <w:r>
              <w:rPr>
                <w:kern w:val="0"/>
                <w:sz w:val="18"/>
                <w:szCs w:val="18"/>
              </w:rPr>
              <w:br w:type="textWrapping"/>
            </w:r>
            <w:r>
              <w:rPr>
                <w:kern w:val="0"/>
                <w:sz w:val="18"/>
                <w:szCs w:val="18"/>
              </w:rPr>
              <w:t>（所有行列总和为1）</w:t>
            </w:r>
            <w:r>
              <w:rPr>
                <w:kern w:val="0"/>
                <w:sz w:val="18"/>
                <w:szCs w:val="18"/>
              </w:rPr>
              <w:br w:type="textWrapping"/>
            </w:r>
            <w:r>
              <w:rPr>
                <w:kern w:val="0"/>
                <w:sz w:val="18"/>
                <w:szCs w:val="18"/>
              </w:rPr>
              <w:t>S</w:t>
            </w:r>
            <w:r>
              <w:rPr>
                <w:kern w:val="0"/>
                <w:sz w:val="18"/>
                <w:szCs w:val="18"/>
                <w:vertAlign w:val="subscript"/>
              </w:rPr>
              <w:t>ik</w:t>
            </w:r>
            <w:r>
              <w:rPr>
                <w:kern w:val="0"/>
                <w:sz w:val="18"/>
                <w:szCs w:val="18"/>
              </w:rPr>
              <w:t>=P</w:t>
            </w:r>
            <w:r>
              <w:rPr>
                <w:kern w:val="0"/>
                <w:sz w:val="18"/>
                <w:szCs w:val="18"/>
                <w:vertAlign w:val="subscript"/>
              </w:rPr>
              <w:t>i</w:t>
            </w:r>
            <w:r>
              <w:rPr>
                <w:kern w:val="0"/>
                <w:sz w:val="18"/>
                <w:szCs w:val="18"/>
              </w:rPr>
              <w:t>*W</w:t>
            </w:r>
            <w:r>
              <w:rPr>
                <w:kern w:val="0"/>
                <w:sz w:val="18"/>
                <w:szCs w:val="18"/>
                <w:vertAlign w:val="subscript"/>
              </w:rPr>
              <w:t>ik</w:t>
            </w:r>
          </w:p>
        </w:tc>
        <w:tc>
          <w:tcPr>
            <w:tcW w:w="1608" w:type="pct"/>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各环节课程目标考核权重分布</w:t>
            </w:r>
            <w:r>
              <w:rPr>
                <w:kern w:val="0"/>
                <w:sz w:val="18"/>
                <w:szCs w:val="18"/>
              </w:rPr>
              <w:br w:type="textWrapping"/>
            </w:r>
            <w:r>
              <w:rPr>
                <w:kern w:val="0"/>
                <w:sz w:val="18"/>
                <w:szCs w:val="18"/>
              </w:rPr>
              <w:t>（每一列总和为1）</w:t>
            </w:r>
            <w:r>
              <w:rPr>
                <w:kern w:val="0"/>
                <w:sz w:val="18"/>
                <w:szCs w:val="18"/>
              </w:rPr>
              <w:br w:type="textWrapping"/>
            </w:r>
            <w:r>
              <w:rPr>
                <w:kern w:val="0"/>
                <w:sz w:val="18"/>
                <w:szCs w:val="18"/>
              </w:rPr>
              <w:t>E</w:t>
            </w:r>
            <w:r>
              <w:rPr>
                <w:kern w:val="0"/>
                <w:sz w:val="18"/>
                <w:szCs w:val="18"/>
                <w:vertAlign w:val="subscript"/>
              </w:rPr>
              <w:t>ik</w:t>
            </w:r>
            <w:r>
              <w:rPr>
                <w:kern w:val="0"/>
                <w:sz w:val="18"/>
                <w:szCs w:val="18"/>
              </w:rPr>
              <w:t>=S</w:t>
            </w:r>
            <w:r>
              <w:rPr>
                <w:kern w:val="0"/>
                <w:sz w:val="18"/>
                <w:szCs w:val="18"/>
                <w:vertAlign w:val="subscript"/>
              </w:rPr>
              <w:t>ik</w:t>
            </w:r>
            <w:r>
              <w:rPr>
                <w:kern w:val="0"/>
                <w:sz w:val="18"/>
                <w:szCs w:val="18"/>
              </w:rPr>
              <w:t>/M</w:t>
            </w:r>
            <w:r>
              <w:rPr>
                <w:kern w:val="0"/>
                <w:sz w:val="18"/>
                <w:szCs w:val="18"/>
                <w:vertAlign w:val="subscript"/>
              </w:rPr>
              <w:t>ik</w:t>
            </w:r>
          </w:p>
        </w:tc>
      </w:tr>
      <w:tr>
        <w:tblPrEx>
          <w:tblCellMar>
            <w:top w:w="0" w:type="dxa"/>
            <w:left w:w="108" w:type="dxa"/>
            <w:bottom w:w="0" w:type="dxa"/>
            <w:right w:w="108" w:type="dxa"/>
          </w:tblCellMar>
        </w:tblPrEx>
        <w:trPr>
          <w:trHeight w:val="270" w:hRule="atLeast"/>
        </w:trPr>
        <w:tc>
          <w:tcPr>
            <w:tcW w:w="3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3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58" w:type="pct"/>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57" w:type="pct"/>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608" w:type="pct"/>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270" w:hRule="atLeast"/>
        </w:trPr>
        <w:tc>
          <w:tcPr>
            <w:tcW w:w="3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3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58" w:type="pct"/>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57" w:type="pct"/>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608" w:type="pct"/>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270" w:hRule="atLeast"/>
        </w:trPr>
        <w:tc>
          <w:tcPr>
            <w:tcW w:w="3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3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3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作业</w:t>
            </w:r>
          </w:p>
        </w:tc>
        <w:tc>
          <w:tcPr>
            <w:tcW w:w="33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实验</w:t>
            </w:r>
          </w:p>
        </w:tc>
        <w:tc>
          <w:tcPr>
            <w:tcW w:w="33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综合报告</w:t>
            </w:r>
          </w:p>
        </w:tc>
        <w:tc>
          <w:tcPr>
            <w:tcW w:w="34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期末考试</w:t>
            </w:r>
          </w:p>
        </w:tc>
        <w:tc>
          <w:tcPr>
            <w:tcW w:w="33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作业</w:t>
            </w:r>
          </w:p>
        </w:tc>
        <w:tc>
          <w:tcPr>
            <w:tcW w:w="33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实验</w:t>
            </w:r>
          </w:p>
        </w:tc>
        <w:tc>
          <w:tcPr>
            <w:tcW w:w="33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综合报告</w:t>
            </w:r>
          </w:p>
        </w:tc>
        <w:tc>
          <w:tcPr>
            <w:tcW w:w="34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期末考试</w:t>
            </w:r>
          </w:p>
        </w:tc>
        <w:tc>
          <w:tcPr>
            <w:tcW w:w="59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作业</w:t>
            </w:r>
          </w:p>
        </w:tc>
        <w:tc>
          <w:tcPr>
            <w:tcW w:w="33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实验</w:t>
            </w:r>
          </w:p>
        </w:tc>
        <w:tc>
          <w:tcPr>
            <w:tcW w:w="33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综合报告</w:t>
            </w:r>
          </w:p>
        </w:tc>
        <w:tc>
          <w:tcPr>
            <w:tcW w:w="3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期末考试</w:t>
            </w:r>
          </w:p>
        </w:tc>
      </w:tr>
      <w:tr>
        <w:tblPrEx>
          <w:tblCellMar>
            <w:top w:w="0" w:type="dxa"/>
            <w:left w:w="108" w:type="dxa"/>
            <w:bottom w:w="0" w:type="dxa"/>
            <w:right w:w="108" w:type="dxa"/>
          </w:tblCellMar>
        </w:tblPrEx>
        <w:trPr>
          <w:trHeight w:val="270" w:hRule="atLeast"/>
        </w:trPr>
        <w:tc>
          <w:tcPr>
            <w:tcW w:w="3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3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3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3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3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4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3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3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3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4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93" w:type="pct"/>
            <w:vMerge w:val="continue"/>
            <w:tcBorders>
              <w:top w:val="nil"/>
              <w:left w:val="single" w:color="auto" w:sz="4" w:space="0"/>
              <w:bottom w:val="single" w:color="auto" w:sz="4" w:space="0"/>
              <w:right w:val="single" w:color="auto" w:sz="4" w:space="0"/>
            </w:tcBorders>
            <w:vAlign w:val="center"/>
          </w:tcPr>
          <w:p>
            <w:pPr>
              <w:widowControl/>
              <w:jc w:val="left"/>
              <w:rPr>
                <w:kern w:val="0"/>
                <w:sz w:val="18"/>
                <w:szCs w:val="18"/>
              </w:rPr>
            </w:pPr>
          </w:p>
        </w:tc>
        <w:tc>
          <w:tcPr>
            <w:tcW w:w="339" w:type="pct"/>
            <w:vMerge w:val="continue"/>
            <w:tcBorders>
              <w:top w:val="nil"/>
              <w:left w:val="single" w:color="auto" w:sz="4" w:space="0"/>
              <w:bottom w:val="single" w:color="auto" w:sz="4" w:space="0"/>
              <w:right w:val="single" w:color="auto" w:sz="4" w:space="0"/>
            </w:tcBorders>
            <w:vAlign w:val="center"/>
          </w:tcPr>
          <w:p>
            <w:pPr>
              <w:widowControl/>
              <w:jc w:val="left"/>
              <w:rPr>
                <w:kern w:val="0"/>
                <w:sz w:val="18"/>
                <w:szCs w:val="18"/>
              </w:rPr>
            </w:pPr>
          </w:p>
        </w:tc>
        <w:tc>
          <w:tcPr>
            <w:tcW w:w="339" w:type="pct"/>
            <w:vMerge w:val="continue"/>
            <w:tcBorders>
              <w:top w:val="nil"/>
              <w:left w:val="single" w:color="auto" w:sz="4" w:space="0"/>
              <w:bottom w:val="single" w:color="auto" w:sz="4" w:space="0"/>
              <w:right w:val="single" w:color="auto" w:sz="4" w:space="0"/>
            </w:tcBorders>
            <w:vAlign w:val="center"/>
          </w:tcPr>
          <w:p>
            <w:pPr>
              <w:widowControl/>
              <w:jc w:val="left"/>
              <w:rPr>
                <w:kern w:val="0"/>
                <w:sz w:val="18"/>
                <w:szCs w:val="18"/>
              </w:rPr>
            </w:pPr>
          </w:p>
        </w:tc>
        <w:tc>
          <w:tcPr>
            <w:tcW w:w="337" w:type="pct"/>
            <w:vMerge w:val="continue"/>
            <w:tcBorders>
              <w:top w:val="nil"/>
              <w:left w:val="single" w:color="auto" w:sz="4" w:space="0"/>
              <w:bottom w:val="single" w:color="auto" w:sz="4" w:space="0"/>
              <w:right w:val="single" w:color="auto" w:sz="4" w:space="0"/>
            </w:tcBorders>
            <w:vAlign w:val="center"/>
          </w:tcPr>
          <w:p>
            <w:pPr>
              <w:widowControl/>
              <w:jc w:val="left"/>
              <w:rPr>
                <w:kern w:val="0"/>
                <w:sz w:val="18"/>
                <w:szCs w:val="18"/>
              </w:rPr>
            </w:pPr>
          </w:p>
        </w:tc>
      </w:tr>
      <w:tr>
        <w:tblPrEx>
          <w:tblCellMar>
            <w:top w:w="0" w:type="dxa"/>
            <w:left w:w="108" w:type="dxa"/>
            <w:bottom w:w="0" w:type="dxa"/>
            <w:right w:w="108" w:type="dxa"/>
          </w:tblCellMar>
        </w:tblPrEx>
        <w:trPr>
          <w:trHeight w:val="270" w:hRule="atLeast"/>
        </w:trPr>
        <w:tc>
          <w:tcPr>
            <w:tcW w:w="3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3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3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3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3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4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3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3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3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4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93" w:type="pct"/>
            <w:vMerge w:val="continue"/>
            <w:tcBorders>
              <w:top w:val="nil"/>
              <w:left w:val="single" w:color="auto" w:sz="4" w:space="0"/>
              <w:bottom w:val="single" w:color="auto" w:sz="4" w:space="0"/>
              <w:right w:val="single" w:color="auto" w:sz="4" w:space="0"/>
            </w:tcBorders>
            <w:vAlign w:val="center"/>
          </w:tcPr>
          <w:p>
            <w:pPr>
              <w:widowControl/>
              <w:jc w:val="left"/>
              <w:rPr>
                <w:kern w:val="0"/>
                <w:sz w:val="18"/>
                <w:szCs w:val="18"/>
              </w:rPr>
            </w:pPr>
          </w:p>
        </w:tc>
        <w:tc>
          <w:tcPr>
            <w:tcW w:w="339" w:type="pct"/>
            <w:vMerge w:val="continue"/>
            <w:tcBorders>
              <w:top w:val="nil"/>
              <w:left w:val="single" w:color="auto" w:sz="4" w:space="0"/>
              <w:bottom w:val="single" w:color="auto" w:sz="4" w:space="0"/>
              <w:right w:val="single" w:color="auto" w:sz="4" w:space="0"/>
            </w:tcBorders>
            <w:vAlign w:val="center"/>
          </w:tcPr>
          <w:p>
            <w:pPr>
              <w:widowControl/>
              <w:jc w:val="left"/>
              <w:rPr>
                <w:kern w:val="0"/>
                <w:sz w:val="18"/>
                <w:szCs w:val="18"/>
              </w:rPr>
            </w:pPr>
          </w:p>
        </w:tc>
        <w:tc>
          <w:tcPr>
            <w:tcW w:w="339" w:type="pct"/>
            <w:vMerge w:val="continue"/>
            <w:tcBorders>
              <w:top w:val="nil"/>
              <w:left w:val="single" w:color="auto" w:sz="4" w:space="0"/>
              <w:bottom w:val="single" w:color="auto" w:sz="4" w:space="0"/>
              <w:right w:val="single" w:color="auto" w:sz="4" w:space="0"/>
            </w:tcBorders>
            <w:vAlign w:val="center"/>
          </w:tcPr>
          <w:p>
            <w:pPr>
              <w:widowControl/>
              <w:jc w:val="left"/>
              <w:rPr>
                <w:kern w:val="0"/>
                <w:sz w:val="18"/>
                <w:szCs w:val="18"/>
              </w:rPr>
            </w:pPr>
          </w:p>
        </w:tc>
        <w:tc>
          <w:tcPr>
            <w:tcW w:w="337" w:type="pct"/>
            <w:vMerge w:val="continue"/>
            <w:tcBorders>
              <w:top w:val="nil"/>
              <w:left w:val="single" w:color="auto" w:sz="4" w:space="0"/>
              <w:bottom w:val="single" w:color="auto" w:sz="4" w:space="0"/>
              <w:right w:val="single" w:color="auto" w:sz="4" w:space="0"/>
            </w:tcBorders>
            <w:vAlign w:val="center"/>
          </w:tcPr>
          <w:p>
            <w:pPr>
              <w:widowControl/>
              <w:jc w:val="left"/>
              <w:rPr>
                <w:kern w:val="0"/>
                <w:sz w:val="18"/>
                <w:szCs w:val="18"/>
              </w:rPr>
            </w:pPr>
          </w:p>
        </w:tc>
      </w:tr>
      <w:tr>
        <w:tblPrEx>
          <w:tblCellMar>
            <w:top w:w="0" w:type="dxa"/>
            <w:left w:w="108" w:type="dxa"/>
            <w:bottom w:w="0" w:type="dxa"/>
            <w:right w:w="108" w:type="dxa"/>
          </w:tblCellMar>
        </w:tblPrEx>
        <w:trPr>
          <w:trHeight w:val="534" w:hRule="atLeast"/>
        </w:trPr>
        <w:tc>
          <w:tcPr>
            <w:tcW w:w="338"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1</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0.5</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0.2</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0.1</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0.1</w:t>
            </w:r>
          </w:p>
        </w:tc>
        <w:tc>
          <w:tcPr>
            <w:tcW w:w="3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0.6</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xml:space="preserve">0.10 </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xml:space="preserve">0.05 </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xml:space="preserve">0.05 </w:t>
            </w:r>
          </w:p>
        </w:tc>
        <w:tc>
          <w:tcPr>
            <w:tcW w:w="340"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xml:space="preserve">0.30 </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xml:space="preserve">0.71 </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xml:space="preserve">0.33 </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xml:space="preserve">0.20 </w:t>
            </w:r>
          </w:p>
        </w:tc>
        <w:tc>
          <w:tcPr>
            <w:tcW w:w="337"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xml:space="preserve">0.65 </w:t>
            </w:r>
          </w:p>
        </w:tc>
      </w:tr>
      <w:tr>
        <w:tblPrEx>
          <w:tblCellMar>
            <w:top w:w="0" w:type="dxa"/>
            <w:left w:w="108" w:type="dxa"/>
            <w:bottom w:w="0" w:type="dxa"/>
            <w:right w:w="108" w:type="dxa"/>
          </w:tblCellMar>
        </w:tblPrEx>
        <w:trPr>
          <w:trHeight w:val="546" w:hRule="atLeast"/>
        </w:trPr>
        <w:tc>
          <w:tcPr>
            <w:tcW w:w="338"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2</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0.1</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0.2</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0.6</w:t>
            </w:r>
          </w:p>
        </w:tc>
        <w:tc>
          <w:tcPr>
            <w:tcW w:w="3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0.2</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xml:space="preserve">0.02 </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xml:space="preserve">0.06 </w:t>
            </w:r>
          </w:p>
        </w:tc>
        <w:tc>
          <w:tcPr>
            <w:tcW w:w="340"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xml:space="preserve">0.02 </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xml:space="preserve">0.13 </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xml:space="preserve">0.24 </w:t>
            </w:r>
          </w:p>
        </w:tc>
        <w:tc>
          <w:tcPr>
            <w:tcW w:w="337"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xml:space="preserve">0.04 </w:t>
            </w:r>
          </w:p>
        </w:tc>
      </w:tr>
      <w:tr>
        <w:tblPrEx>
          <w:tblCellMar>
            <w:top w:w="0" w:type="dxa"/>
            <w:left w:w="108" w:type="dxa"/>
            <w:bottom w:w="0" w:type="dxa"/>
            <w:right w:w="108" w:type="dxa"/>
          </w:tblCellMar>
        </w:tblPrEx>
        <w:trPr>
          <w:trHeight w:val="546" w:hRule="atLeast"/>
        </w:trPr>
        <w:tc>
          <w:tcPr>
            <w:tcW w:w="338"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3</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0.2</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0.2</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0.2</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0.4</w:t>
            </w:r>
          </w:p>
        </w:tc>
        <w:tc>
          <w:tcPr>
            <w:tcW w:w="3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0.2</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xml:space="preserve">0.04 </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xml:space="preserve">0.04 </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xml:space="preserve">0.08 </w:t>
            </w:r>
          </w:p>
        </w:tc>
        <w:tc>
          <w:tcPr>
            <w:tcW w:w="340"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xml:space="preserve">0.04 </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xml:space="preserve">0.29 </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xml:space="preserve">0.27 </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xml:space="preserve">0.32 </w:t>
            </w:r>
          </w:p>
        </w:tc>
        <w:tc>
          <w:tcPr>
            <w:tcW w:w="337"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xml:space="preserve">0.09 </w:t>
            </w:r>
          </w:p>
        </w:tc>
      </w:tr>
      <w:tr>
        <w:tblPrEx>
          <w:tblCellMar>
            <w:top w:w="0" w:type="dxa"/>
            <w:left w:w="108" w:type="dxa"/>
            <w:bottom w:w="0" w:type="dxa"/>
            <w:right w:w="108" w:type="dxa"/>
          </w:tblCellMar>
        </w:tblPrEx>
        <w:trPr>
          <w:trHeight w:val="546" w:hRule="atLeast"/>
        </w:trPr>
        <w:tc>
          <w:tcPr>
            <w:tcW w:w="338"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4</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0.2</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0.2</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0.3</w:t>
            </w:r>
          </w:p>
        </w:tc>
        <w:tc>
          <w:tcPr>
            <w:tcW w:w="3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0.5</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xml:space="preserve">0.04 </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xml:space="preserve">0.06 </w:t>
            </w:r>
          </w:p>
        </w:tc>
        <w:tc>
          <w:tcPr>
            <w:tcW w:w="340"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xml:space="preserve">0.10 </w:t>
            </w:r>
          </w:p>
        </w:tc>
        <w:tc>
          <w:tcPr>
            <w:tcW w:w="593"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xml:space="preserve">0.27 </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xml:space="preserve">0.24 </w:t>
            </w:r>
          </w:p>
        </w:tc>
        <w:tc>
          <w:tcPr>
            <w:tcW w:w="337"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xml:space="preserve">0.22 </w:t>
            </w:r>
          </w:p>
        </w:tc>
      </w:tr>
      <w:tr>
        <w:tblPrEx>
          <w:tblCellMar>
            <w:top w:w="0" w:type="dxa"/>
            <w:left w:w="108" w:type="dxa"/>
            <w:bottom w:w="0" w:type="dxa"/>
            <w:right w:w="108" w:type="dxa"/>
          </w:tblCellMar>
        </w:tblPrEx>
        <w:trPr>
          <w:trHeight w:val="555" w:hRule="atLeast"/>
        </w:trPr>
        <w:tc>
          <w:tcPr>
            <w:tcW w:w="2035"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各环节对课程目标达成的贡献率（M</w:t>
            </w:r>
            <w:r>
              <w:rPr>
                <w:kern w:val="0"/>
                <w:sz w:val="18"/>
                <w:szCs w:val="18"/>
                <w:vertAlign w:val="subscript"/>
              </w:rPr>
              <w:t>ik</w:t>
            </w:r>
            <w:r>
              <w:rPr>
                <w:kern w:val="0"/>
                <w:sz w:val="18"/>
                <w:szCs w:val="18"/>
              </w:rPr>
              <w:t>）</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xml:space="preserve">0.14 </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xml:space="preserve">0.15 </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xml:space="preserve">0.25 </w:t>
            </w:r>
          </w:p>
        </w:tc>
        <w:tc>
          <w:tcPr>
            <w:tcW w:w="340"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xml:space="preserve">0.46 </w:t>
            </w:r>
          </w:p>
        </w:tc>
        <w:tc>
          <w:tcPr>
            <w:tcW w:w="1608" w:type="pct"/>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教师出题或布置作业时</w:t>
            </w:r>
            <w:r>
              <w:rPr>
                <w:rFonts w:hint="eastAsia" w:ascii="宋体" w:hAnsi="宋体" w:cs="宋体"/>
                <w:kern w:val="0"/>
                <w:sz w:val="18"/>
                <w:szCs w:val="18"/>
              </w:rPr>
              <w:br w:type="textWrapping"/>
            </w:r>
            <w:r>
              <w:rPr>
                <w:rFonts w:hint="eastAsia" w:ascii="宋体" w:hAnsi="宋体" w:cs="宋体"/>
                <w:kern w:val="0"/>
                <w:sz w:val="18"/>
                <w:szCs w:val="18"/>
              </w:rPr>
              <w:t>要尽量做到按照以上比例布局</w:t>
            </w:r>
          </w:p>
        </w:tc>
      </w:tr>
    </w:tbl>
    <w:p>
      <w:pPr>
        <w:spacing w:line="360" w:lineRule="auto"/>
        <w:jc w:val="left"/>
      </w:pPr>
    </w:p>
    <w:p>
      <w:pPr>
        <w:spacing w:line="360" w:lineRule="auto"/>
        <w:jc w:val="left"/>
        <w:sectPr>
          <w:footerReference r:id="rId18" w:type="default"/>
          <w:pgSz w:w="16838" w:h="11906" w:orient="landscape"/>
          <w:pgMar w:top="1797" w:right="1440" w:bottom="1797" w:left="1440" w:header="851" w:footer="992" w:gutter="0"/>
          <w:pgNumType w:fmt="decimal"/>
          <w:cols w:space="425" w:num="1"/>
          <w:docGrid w:linePitch="312" w:charSpace="0"/>
        </w:sectPr>
      </w:pPr>
    </w:p>
    <w:p>
      <w:pPr>
        <w:spacing w:line="360" w:lineRule="auto"/>
        <w:ind w:firstLine="420" w:firstLineChars="200"/>
        <w:rPr>
          <w:szCs w:val="21"/>
        </w:rPr>
      </w:pPr>
      <w:r>
        <w:rPr>
          <w:rFonts w:hint="eastAsia"/>
          <w:szCs w:val="21"/>
        </w:rPr>
        <w:t>采用达成值计算法，辅以对学生的问卷调查法。</w:t>
      </w:r>
    </w:p>
    <w:p>
      <w:pPr>
        <w:spacing w:line="360" w:lineRule="auto"/>
        <w:ind w:firstLine="422" w:firstLineChars="200"/>
        <w:rPr>
          <w:b/>
          <w:bCs/>
          <w:szCs w:val="21"/>
        </w:rPr>
      </w:pPr>
      <w:r>
        <w:rPr>
          <w:rFonts w:hint="eastAsia"/>
          <w:b/>
          <w:bCs/>
          <w:szCs w:val="21"/>
        </w:rPr>
        <w:t>课程目标定量评价：</w:t>
      </w:r>
    </w:p>
    <w:p>
      <w:pPr>
        <w:spacing w:line="360" w:lineRule="auto"/>
        <w:ind w:firstLine="420" w:firstLineChars="200"/>
        <w:rPr>
          <w:szCs w:val="21"/>
        </w:rPr>
      </w:pPr>
      <w:r>
        <w:rPr>
          <w:szCs w:val="21"/>
        </w:rPr>
        <w:t>达成值计算法结合上表权重分配，采用</w:t>
      </w:r>
      <w:r>
        <w:rPr>
          <w:rFonts w:hint="eastAsia"/>
          <w:szCs w:val="21"/>
        </w:rPr>
        <w:t>下表进行计算。</w:t>
      </w:r>
    </w:p>
    <w:p>
      <w:pPr>
        <w:spacing w:line="360" w:lineRule="auto"/>
        <w:ind w:firstLine="420" w:firstLineChars="200"/>
        <w:rPr>
          <w:szCs w:val="21"/>
        </w:rPr>
      </w:pPr>
      <w:r>
        <w:rPr>
          <w:szCs w:val="21"/>
        </w:rPr>
        <w:t>单一课程目标达成度评价采用下式：</w:t>
      </w:r>
    </w:p>
    <w:p>
      <w:pPr>
        <w:spacing w:line="360" w:lineRule="auto"/>
        <w:ind w:firstLine="420" w:firstLineChars="200"/>
        <w:rPr>
          <w:szCs w:val="21"/>
        </w:rPr>
      </w:pPr>
      <w:r>
        <w:rPr>
          <w:position w:val="-30"/>
          <w:szCs w:val="21"/>
        </w:rPr>
        <w:object>
          <v:shape id="_x0000_i1031" o:spt="75" type="#_x0000_t75" style="height:36pt;width:165.5pt;" o:ole="t" filled="f" o:preferrelative="t" stroked="f" coordsize="21600,21600">
            <v:path/>
            <v:fill on="f" focussize="0,0"/>
            <v:stroke on="f" joinstyle="miter"/>
            <v:imagedata r:id="rId145" o:title=""/>
            <o:lock v:ext="edit" aspectratio="t"/>
            <w10:wrap type="none"/>
            <w10:anchorlock/>
          </v:shape>
          <o:OLEObject Type="Embed" ProgID="Equation.3" ShapeID="_x0000_i1031" DrawAspect="Content" ObjectID="_1468075731" r:id="rId156">
            <o:LockedField>false</o:LockedField>
          </o:OLEObject>
        </w:object>
      </w:r>
    </w:p>
    <w:p>
      <w:pPr>
        <w:spacing w:line="360" w:lineRule="auto"/>
        <w:ind w:firstLine="420" w:firstLineChars="200"/>
        <w:rPr>
          <w:szCs w:val="21"/>
        </w:rPr>
      </w:pPr>
      <w:r>
        <w:rPr>
          <w:szCs w:val="21"/>
        </w:rPr>
        <w:t>总的课程目标达成度评价采用下式：</w:t>
      </w:r>
    </w:p>
    <w:p>
      <w:pPr>
        <w:spacing w:line="360" w:lineRule="auto"/>
        <w:ind w:firstLine="420" w:firstLineChars="200"/>
        <w:rPr>
          <w:szCs w:val="21"/>
        </w:rPr>
      </w:pPr>
      <w:r>
        <w:rPr>
          <w:position w:val="-30"/>
          <w:szCs w:val="21"/>
        </w:rPr>
        <w:object>
          <v:shape id="_x0000_i1032" o:spt="75" type="#_x0000_t75" style="height:36pt;width:150pt;" o:ole="t" filled="f" o:preferrelative="t" stroked="f" coordsize="21600,21600">
            <v:path/>
            <v:fill on="f" focussize="0,0"/>
            <v:stroke on="f" joinstyle="miter"/>
            <v:imagedata r:id="rId147" o:title=""/>
            <o:lock v:ext="edit" aspectratio="t"/>
            <w10:wrap type="none"/>
            <w10:anchorlock/>
          </v:shape>
          <o:OLEObject Type="Embed" ProgID="Equation.3" ShapeID="_x0000_i1032" DrawAspect="Content" ObjectID="_1468075732" r:id="rId157">
            <o:LockedField>false</o:LockedField>
          </o:OLEObject>
        </w:object>
      </w:r>
    </w:p>
    <w:p>
      <w:pPr>
        <w:spacing w:line="360" w:lineRule="auto"/>
        <w:ind w:firstLine="420" w:firstLineChars="200"/>
        <w:rPr>
          <w:szCs w:val="21"/>
        </w:rPr>
      </w:pPr>
      <w:r>
        <w:rPr>
          <w:szCs w:val="21"/>
        </w:rPr>
        <w:t>以上公式中：</w:t>
      </w:r>
    </w:p>
    <w:p>
      <w:pPr>
        <w:spacing w:line="360" w:lineRule="auto"/>
        <w:ind w:firstLine="420" w:firstLineChars="200"/>
        <w:rPr>
          <w:szCs w:val="21"/>
        </w:rPr>
      </w:pPr>
      <w:r>
        <w:rPr>
          <w:i/>
          <w:szCs w:val="21"/>
        </w:rPr>
        <w:t>k</w:t>
      </w:r>
      <w:r>
        <w:rPr>
          <w:szCs w:val="21"/>
        </w:rPr>
        <w:t>表示不同的评价方式，</w:t>
      </w:r>
      <w:r>
        <w:rPr>
          <w:i/>
          <w:szCs w:val="21"/>
        </w:rPr>
        <w:t>i</w:t>
      </w:r>
      <w:r>
        <w:rPr>
          <w:szCs w:val="21"/>
        </w:rPr>
        <w:t>表示不同的课程目标。</w:t>
      </w:r>
    </w:p>
    <w:p>
      <w:pPr>
        <w:spacing w:line="360" w:lineRule="auto"/>
        <w:ind w:firstLine="420" w:firstLineChars="200"/>
      </w:pPr>
      <w:r>
        <w:rPr>
          <w:position w:val="-10"/>
        </w:rPr>
        <w:object>
          <v:shape id="_x0000_i1033" o:spt="75" type="#_x0000_t75" style="height:17.5pt;width:14.5pt;" o:ole="t" filled="f" o:preferrelative="t" stroked="f" coordsize="21600,21600">
            <v:path/>
            <v:fill on="f" focussize="0,0"/>
            <v:stroke on="f" joinstyle="miter"/>
            <v:imagedata r:id="rId149" o:title=""/>
            <o:lock v:ext="edit" aspectratio="t"/>
            <w10:wrap type="none"/>
            <w10:anchorlock/>
          </v:shape>
          <o:OLEObject Type="Embed" ProgID="Equation.3" ShapeID="_x0000_i1033" DrawAspect="Content" ObjectID="_1468075733" r:id="rId158">
            <o:LockedField>false</o:LockedField>
          </o:OLEObject>
        </w:object>
      </w:r>
      <w:r>
        <w:t>表示第</w:t>
      </w:r>
      <w:r>
        <w:rPr>
          <w:i/>
        </w:rPr>
        <w:t>k</w:t>
      </w:r>
      <w:r>
        <w:t>种评价方式期末评价成绩平均分，均为百分制；</w:t>
      </w:r>
    </w:p>
    <w:p>
      <w:pPr>
        <w:spacing w:line="360" w:lineRule="auto"/>
        <w:ind w:firstLine="420" w:firstLineChars="200"/>
      </w:pPr>
      <w:r>
        <w:rPr>
          <w:position w:val="-10"/>
        </w:rPr>
        <w:object>
          <v:shape id="_x0000_i1034" o:spt="75" type="#_x0000_t75" style="height:17.5pt;width:74.5pt;" o:ole="t" filled="f" o:preferrelative="t" stroked="f" coordsize="21600,21600">
            <v:path/>
            <v:fill on="f" focussize="0,0"/>
            <v:stroke on="f" joinstyle="miter"/>
            <v:imagedata r:id="rId151" o:title=""/>
            <o:lock v:ext="edit" aspectratio="t"/>
            <w10:wrap type="none"/>
            <w10:anchorlock/>
          </v:shape>
          <o:OLEObject Type="Embed" ProgID="Equation.3" ShapeID="_x0000_i1034" DrawAspect="Content" ObjectID="_1468075734" r:id="rId159">
            <o:LockedField>false</o:LockedField>
          </o:OLEObject>
        </w:object>
      </w:r>
      <w:r>
        <w:t>是第</w:t>
      </w:r>
      <w:r>
        <w:rPr>
          <w:i/>
        </w:rPr>
        <w:t>k</w:t>
      </w:r>
      <w:r>
        <w:t>种评价方式通过第</w:t>
      </w:r>
      <w:r>
        <w:rPr>
          <w:i/>
        </w:rPr>
        <w:t>i</w:t>
      </w:r>
      <w:r>
        <w:t>个课程目标反映在总的课程目标评分占比；</w:t>
      </w:r>
    </w:p>
    <w:p>
      <w:pPr>
        <w:spacing w:line="360" w:lineRule="auto"/>
        <w:ind w:firstLine="420" w:firstLineChars="200"/>
        <w:rPr>
          <w:szCs w:val="21"/>
        </w:rPr>
      </w:pPr>
      <w:r>
        <w:rPr>
          <w:position w:val="-10"/>
        </w:rPr>
        <w:object>
          <v:shape id="_x0000_i1035" o:spt="75" type="#_x0000_t75" style="height:17.5pt;width:17.5pt;" o:ole="t" filled="f" o:preferrelative="t" stroked="f" coordsize="21600,21600">
            <v:path/>
            <v:fill on="f" focussize="0,0"/>
            <v:stroke on="f" joinstyle="miter"/>
            <v:imagedata r:id="rId153" o:title=""/>
            <o:lock v:ext="edit" aspectratio="t"/>
            <w10:wrap type="none"/>
            <w10:anchorlock/>
          </v:shape>
          <o:OLEObject Type="Embed" ProgID="Equation.3" ShapeID="_x0000_i1035" DrawAspect="Content" ObjectID="_1468075735" r:id="rId160">
            <o:LockedField>false</o:LockedField>
          </o:OLEObject>
        </w:object>
      </w:r>
      <w:r>
        <w:t>表示第</w:t>
      </w:r>
      <w:r>
        <w:rPr>
          <w:i/>
        </w:rPr>
        <w:t>k</w:t>
      </w:r>
      <w:r>
        <w:t>种评价方式对第</w:t>
      </w:r>
      <w:r>
        <w:rPr>
          <w:i/>
        </w:rPr>
        <w:t>i</w:t>
      </w:r>
      <w:r>
        <w:t>个课程目标百分占比；</w:t>
      </w:r>
    </w:p>
    <w:p>
      <w:pPr>
        <w:spacing w:line="360" w:lineRule="auto"/>
        <w:ind w:firstLine="420" w:firstLineChars="200"/>
      </w:pPr>
      <w:r>
        <w:rPr>
          <w:position w:val="-10"/>
        </w:rPr>
        <w:object>
          <v:shape id="_x0000_i1036" o:spt="75" type="#_x0000_t75" style="height:17.5pt;width:13pt;" o:ole="t" filled="f" o:preferrelative="t" stroked="f" coordsize="21600,21600">
            <v:path/>
            <v:fill on="f" focussize="0,0"/>
            <v:stroke on="f" joinstyle="miter"/>
            <v:imagedata r:id="rId155" o:title=""/>
            <o:lock v:ext="edit" aspectratio="t"/>
            <w10:wrap type="none"/>
            <w10:anchorlock/>
          </v:shape>
          <o:OLEObject Type="Embed" ProgID="Equation.3" ShapeID="_x0000_i1036" DrawAspect="Content" ObjectID="_1468075736" r:id="rId161">
            <o:LockedField>false</o:LockedField>
          </o:OLEObject>
        </w:object>
      </w:r>
      <w:r>
        <w:t>表示第</w:t>
      </w:r>
      <w:r>
        <w:rPr>
          <w:i/>
        </w:rPr>
        <w:t>i</w:t>
      </w:r>
      <w:r>
        <w:t>个课程目标在课程总评价中的占比；</w:t>
      </w:r>
    </w:p>
    <w:p>
      <w:pPr>
        <w:spacing w:line="360" w:lineRule="auto"/>
        <w:ind w:firstLine="422" w:firstLineChars="200"/>
        <w:rPr>
          <w:b/>
          <w:bCs/>
          <w:position w:val="-10"/>
          <w:szCs w:val="22"/>
        </w:rPr>
      </w:pPr>
      <w:r>
        <w:rPr>
          <w:rFonts w:hint="eastAsia"/>
          <w:b/>
          <w:bCs/>
          <w:position w:val="-10"/>
          <w:szCs w:val="22"/>
        </w:rPr>
        <w:t>课程目标定性评价：</w:t>
      </w:r>
    </w:p>
    <w:p>
      <w:pPr>
        <w:spacing w:line="360" w:lineRule="auto"/>
        <w:ind w:firstLine="420" w:firstLineChars="200"/>
        <w:rPr>
          <w:rFonts w:ascii="宋体" w:hAnsi="宋体" w:cs="宋体"/>
          <w:szCs w:val="21"/>
        </w:rPr>
      </w:pPr>
      <w:r>
        <w:rPr>
          <w:rFonts w:hint="eastAsia" w:ascii="宋体" w:hAnsi="宋体" w:cs="宋体"/>
          <w:szCs w:val="21"/>
        </w:rPr>
        <w:t>针对每门课的课程目标，直接设计问题，并要求学生明确给出目标能力达到的程度“很好（0.95）、较好（0.75）、中（0.60）、较差（0.45）、很差（0.25）”，根据各区段统计比例与括号中的目标分值加权后求和得出定性评价的结果。</w:t>
      </w:r>
    </w:p>
    <w:p>
      <w:pPr>
        <w:spacing w:line="360" w:lineRule="auto"/>
        <w:ind w:firstLine="422" w:firstLineChars="200"/>
        <w:rPr>
          <w:b/>
          <w:bCs/>
          <w:position w:val="-10"/>
          <w:szCs w:val="22"/>
        </w:rPr>
      </w:pPr>
      <w:r>
        <w:rPr>
          <w:rFonts w:hint="eastAsia"/>
          <w:b/>
          <w:bCs/>
          <w:position w:val="-10"/>
          <w:szCs w:val="22"/>
        </w:rPr>
        <w:t>课程目标达成结果：</w:t>
      </w:r>
    </w:p>
    <w:p>
      <w:pPr>
        <w:spacing w:line="360" w:lineRule="auto"/>
        <w:ind w:firstLine="420" w:firstLineChars="200"/>
        <w:rPr>
          <w:rFonts w:ascii="宋体" w:hAnsi="宋体" w:cs="宋体"/>
          <w:szCs w:val="21"/>
        </w:rPr>
      </w:pPr>
      <w:r>
        <w:rPr>
          <w:rFonts w:hint="eastAsia" w:ascii="宋体" w:hAnsi="宋体" w:cs="宋体"/>
          <w:szCs w:val="21"/>
        </w:rPr>
        <w:t>同一课程目标的评价，取定性评价和定量评价的平均值，作为最终评价结果。</w:t>
      </w:r>
    </w:p>
    <w:p>
      <w:pPr>
        <w:spacing w:line="360" w:lineRule="auto"/>
        <w:ind w:firstLine="420" w:firstLineChars="200"/>
        <w:rPr>
          <w:position w:val="-10"/>
          <w:szCs w:val="22"/>
        </w:rPr>
      </w:pPr>
      <w:r>
        <w:rPr>
          <w:rFonts w:hint="eastAsia"/>
          <w:position w:val="-10"/>
          <w:szCs w:val="22"/>
        </w:rPr>
        <w:t>课程目标达成度大于等于0.71为一级达成，大于等于0.65为二级达成。</w:t>
      </w:r>
    </w:p>
    <w:p>
      <w:pPr>
        <w:widowControl/>
        <w:jc w:val="left"/>
        <w:rPr>
          <w:rFonts w:eastAsia="黑体"/>
          <w:szCs w:val="24"/>
        </w:rPr>
      </w:pPr>
    </w:p>
    <w:p>
      <w:pPr>
        <w:tabs>
          <w:tab w:val="left" w:pos="420"/>
        </w:tabs>
        <w:adjustRightInd w:val="0"/>
        <w:snapToGrid w:val="0"/>
        <w:spacing w:line="360" w:lineRule="auto"/>
        <w:ind w:left="420" w:hanging="420"/>
        <w:rPr>
          <w:rFonts w:eastAsia="黑体"/>
          <w:szCs w:val="24"/>
        </w:rPr>
      </w:pPr>
      <w:r>
        <w:rPr>
          <w:rFonts w:hint="eastAsia" w:eastAsia="黑体"/>
          <w:szCs w:val="24"/>
        </w:rPr>
        <w:t>十一、各环节评价标准</w:t>
      </w:r>
    </w:p>
    <w:p>
      <w:pPr>
        <w:spacing w:line="360" w:lineRule="auto"/>
        <w:ind w:firstLine="420" w:firstLineChars="200"/>
        <w:rPr>
          <w:szCs w:val="21"/>
        </w:rPr>
      </w:pPr>
      <w:r>
        <w:rPr>
          <w:rFonts w:hint="eastAsia"/>
          <w:szCs w:val="21"/>
        </w:rPr>
        <w:t>本课程允许教师在各评价环节根据具体情况采取多样化、个性化的考核手段，其评价标准应当在《</w:t>
      </w:r>
      <w:r>
        <w:rPr>
          <w:rFonts w:hint="eastAsia" w:ascii="宋体" w:hAnsi="宋体"/>
          <w:szCs w:val="21"/>
        </w:rPr>
        <w:t>SIE-CT-01：</w:t>
      </w:r>
      <w:r>
        <w:rPr>
          <w:rFonts w:hint="eastAsia"/>
          <w:szCs w:val="21"/>
        </w:rPr>
        <w:t>授课计划》中明确并向学生公布，教学过程中的考核评价应当严格按照标准完成。</w:t>
      </w:r>
    </w:p>
    <w:p>
      <w:pPr>
        <w:tabs>
          <w:tab w:val="left" w:pos="420"/>
        </w:tabs>
        <w:adjustRightInd w:val="0"/>
        <w:snapToGrid w:val="0"/>
        <w:spacing w:line="360" w:lineRule="auto"/>
        <w:ind w:left="420" w:hanging="420"/>
        <w:rPr>
          <w:color w:val="0000FF"/>
        </w:rPr>
      </w:pPr>
    </w:p>
    <w:p>
      <w:pPr>
        <w:tabs>
          <w:tab w:val="left" w:pos="420"/>
        </w:tabs>
        <w:adjustRightInd w:val="0"/>
        <w:snapToGrid w:val="0"/>
        <w:spacing w:line="360" w:lineRule="auto"/>
        <w:ind w:left="420" w:hanging="420"/>
        <w:rPr>
          <w:rFonts w:eastAsia="黑体"/>
          <w:szCs w:val="24"/>
        </w:rPr>
      </w:pPr>
      <w:r>
        <w:rPr>
          <w:rFonts w:hint="eastAsia" w:eastAsia="黑体"/>
          <w:szCs w:val="24"/>
        </w:rPr>
        <w:t>十二、课程目标达成评价结果用于持续改进</w:t>
      </w:r>
    </w:p>
    <w:p>
      <w:pPr>
        <w:spacing w:line="360" w:lineRule="auto"/>
        <w:ind w:firstLine="420" w:firstLineChars="200"/>
        <w:rPr>
          <w:szCs w:val="21"/>
        </w:rPr>
      </w:pPr>
      <w:r>
        <w:rPr>
          <w:rFonts w:hint="eastAsia"/>
          <w:szCs w:val="21"/>
        </w:rPr>
        <w:t>课程目标达成评价结果将用于后续教学过程的持续改进。</w:t>
      </w:r>
    </w:p>
    <w:p>
      <w:pPr>
        <w:spacing w:line="360" w:lineRule="auto"/>
        <w:ind w:firstLine="420" w:firstLineChars="200"/>
        <w:rPr>
          <w:szCs w:val="21"/>
        </w:rPr>
      </w:pPr>
      <w:r>
        <w:rPr>
          <w:rFonts w:hint="eastAsia"/>
          <w:szCs w:val="21"/>
        </w:rPr>
        <w:t>针对课程目标达成评价中发现的问题与不足，重点是达成值相对较低的项，在本次授课总结中应由授课教师分析具体原因，并给出改进建议。后续任课教师应当针对以前的问题和建议，在授课计划中做好落实改进计划，并在授课过程中予以落实。</w:t>
      </w:r>
    </w:p>
    <w:p>
      <w:pPr>
        <w:spacing w:line="360" w:lineRule="auto"/>
        <w:sectPr>
          <w:footerReference r:id="rId19" w:type="default"/>
          <w:pgSz w:w="16838" w:h="11906" w:orient="landscape"/>
          <w:pgMar w:top="1797" w:right="1440" w:bottom="1797" w:left="1440" w:header="851" w:footer="992" w:gutter="0"/>
          <w:pgNumType w:fmt="decimal"/>
          <w:cols w:space="425" w:num="1"/>
          <w:docGrid w:linePitch="312" w:charSpace="0"/>
        </w:sectPr>
      </w:pPr>
    </w:p>
    <w:p>
      <w:pPr>
        <w:pStyle w:val="18"/>
        <w:spacing w:before="240" w:after="360"/>
      </w:pPr>
      <w:bookmarkStart w:id="4" w:name="_Toc7003"/>
      <w:r>
        <w:rPr>
          <w:rFonts w:hint="eastAsia"/>
        </w:rPr>
        <w:t>《微机原理及接口技术》教学大纲</w:t>
      </w:r>
      <w:bookmarkEnd w:id="4"/>
    </w:p>
    <w:p>
      <w:pPr>
        <w:adjustRightInd w:val="0"/>
        <w:snapToGrid w:val="0"/>
        <w:spacing w:line="360" w:lineRule="auto"/>
        <w:rPr>
          <w:bCs/>
          <w:kern w:val="0"/>
        </w:rPr>
      </w:pPr>
      <w:r>
        <w:rPr>
          <w:rFonts w:hint="eastAsia" w:eastAsia="黑体"/>
          <w:szCs w:val="21"/>
        </w:rPr>
        <w:t>课程编号：</w:t>
      </w:r>
      <w:r>
        <w:rPr>
          <w:bCs/>
          <w:kern w:val="0"/>
        </w:rPr>
        <w:t>Y03060003</w:t>
      </w:r>
    </w:p>
    <w:p>
      <w:pPr>
        <w:adjustRightInd w:val="0"/>
        <w:snapToGrid w:val="0"/>
        <w:spacing w:line="360" w:lineRule="auto"/>
        <w:rPr>
          <w:snapToGrid w:val="0"/>
          <w:kern w:val="0"/>
          <w:szCs w:val="21"/>
        </w:rPr>
      </w:pPr>
      <w:r>
        <w:rPr>
          <w:rFonts w:hint="eastAsia" w:eastAsia="黑体"/>
          <w:szCs w:val="21"/>
        </w:rPr>
        <w:t>课程名称：</w:t>
      </w:r>
      <w:r>
        <w:rPr>
          <w:rFonts w:hint="eastAsia"/>
          <w:szCs w:val="21"/>
        </w:rPr>
        <w:t>微机原理及接口技术</w:t>
      </w:r>
      <w:r>
        <w:rPr>
          <w:szCs w:val="21"/>
        </w:rPr>
        <w:tab/>
      </w:r>
      <w:r>
        <w:rPr>
          <w:szCs w:val="21"/>
        </w:rPr>
        <w:tab/>
      </w:r>
      <w:r>
        <w:rPr>
          <w:szCs w:val="21"/>
        </w:rPr>
        <w:tab/>
      </w:r>
      <w:r>
        <w:rPr>
          <w:szCs w:val="21"/>
        </w:rPr>
        <w:tab/>
      </w:r>
      <w:r>
        <w:rPr>
          <w:rFonts w:hint="eastAsia" w:eastAsia="黑体"/>
          <w:szCs w:val="21"/>
        </w:rPr>
        <w:t>开课单位：</w:t>
      </w:r>
      <w:r>
        <w:rPr>
          <w:rFonts w:hint="eastAsia"/>
          <w:szCs w:val="21"/>
        </w:rPr>
        <w:t>仪器与电子学院</w:t>
      </w:r>
      <w:r>
        <w:rPr>
          <w:rFonts w:eastAsia="黑体"/>
          <w:szCs w:val="21"/>
        </w:rPr>
        <w:tab/>
      </w:r>
    </w:p>
    <w:p>
      <w:pPr>
        <w:adjustRightInd w:val="0"/>
        <w:snapToGrid w:val="0"/>
        <w:spacing w:line="360" w:lineRule="auto"/>
        <w:rPr>
          <w:rFonts w:eastAsia="黑体"/>
          <w:szCs w:val="21"/>
        </w:rPr>
      </w:pPr>
      <w:r>
        <w:rPr>
          <w:rFonts w:hint="eastAsia" w:eastAsia="黑体"/>
          <w:szCs w:val="21"/>
        </w:rPr>
        <w:t>总学时：</w:t>
      </w:r>
      <w:r>
        <w:rPr>
          <w:szCs w:val="21"/>
        </w:rPr>
        <w:t>56 (</w:t>
      </w:r>
      <w:r>
        <w:rPr>
          <w:rFonts w:hint="eastAsia"/>
          <w:szCs w:val="21"/>
        </w:rPr>
        <w:t>实验</w:t>
      </w:r>
      <w:r>
        <w:rPr>
          <w:szCs w:val="21"/>
        </w:rPr>
        <w:t>10</w:t>
      </w:r>
      <w:r>
        <w:rPr>
          <w:rFonts w:hint="eastAsia"/>
          <w:szCs w:val="21"/>
        </w:rPr>
        <w:t>学时</w:t>
      </w:r>
      <w:r>
        <w:rPr>
          <w:szCs w:val="21"/>
        </w:rPr>
        <w:t>)</w:t>
      </w:r>
      <w:r>
        <w:rPr>
          <w:rFonts w:eastAsia="黑体"/>
          <w:szCs w:val="21"/>
        </w:rPr>
        <w:tab/>
      </w:r>
      <w:r>
        <w:rPr>
          <w:rFonts w:eastAsia="黑体"/>
          <w:szCs w:val="21"/>
        </w:rPr>
        <w:tab/>
      </w:r>
      <w:r>
        <w:rPr>
          <w:rFonts w:eastAsia="黑体"/>
          <w:szCs w:val="21"/>
        </w:rPr>
        <w:tab/>
      </w:r>
      <w:r>
        <w:rPr>
          <w:rFonts w:eastAsia="黑体"/>
          <w:szCs w:val="21"/>
        </w:rPr>
        <w:tab/>
      </w:r>
      <w:r>
        <w:rPr>
          <w:rFonts w:hint="eastAsia" w:eastAsia="黑体"/>
          <w:szCs w:val="21"/>
        </w:rPr>
        <w:t>学分：</w:t>
      </w:r>
      <w:r>
        <w:rPr>
          <w:rFonts w:eastAsia="黑体"/>
          <w:szCs w:val="21"/>
        </w:rPr>
        <w:t>3.5</w:t>
      </w:r>
    </w:p>
    <w:p>
      <w:pPr>
        <w:adjustRightInd w:val="0"/>
        <w:snapToGrid w:val="0"/>
        <w:spacing w:line="360" w:lineRule="auto"/>
        <w:rPr>
          <w:rFonts w:eastAsia="黑体"/>
          <w:szCs w:val="21"/>
        </w:rPr>
      </w:pPr>
      <w:r>
        <w:rPr>
          <w:rFonts w:hint="eastAsia" w:eastAsia="黑体"/>
          <w:szCs w:val="21"/>
        </w:rPr>
        <w:t>适用专业：</w:t>
      </w:r>
      <w:r>
        <w:rPr>
          <w:rFonts w:hint="eastAsia"/>
          <w:szCs w:val="21"/>
        </w:rPr>
        <w:t>测控技术与仪器专业、电子科学与技术专业、</w:t>
      </w:r>
      <w:r>
        <w:rPr>
          <w:rFonts w:hint="eastAsia"/>
          <w:szCs w:val="21"/>
          <w:lang w:eastAsia="zh-CN"/>
        </w:rPr>
        <w:t>智能感知工程</w:t>
      </w:r>
      <w:r>
        <w:rPr>
          <w:rFonts w:hint="eastAsia"/>
          <w:szCs w:val="21"/>
        </w:rPr>
        <w:t>专业</w:t>
      </w:r>
    </w:p>
    <w:p>
      <w:pPr>
        <w:adjustRightInd w:val="0"/>
        <w:snapToGrid w:val="0"/>
        <w:spacing w:line="360" w:lineRule="auto"/>
        <w:rPr>
          <w:szCs w:val="21"/>
        </w:rPr>
      </w:pPr>
      <w:r>
        <w:rPr>
          <w:rFonts w:hint="eastAsia" w:eastAsia="黑体"/>
          <w:szCs w:val="21"/>
        </w:rPr>
        <w:t>先修课程：</w:t>
      </w:r>
      <w:r>
        <w:rPr>
          <w:rFonts w:hint="eastAsia"/>
          <w:szCs w:val="21"/>
        </w:rPr>
        <w:t>电路原理、模拟电子技术、数字电子技术</w:t>
      </w:r>
    </w:p>
    <w:p>
      <w:pPr>
        <w:adjustRightInd w:val="0"/>
        <w:snapToGrid w:val="0"/>
        <w:spacing w:line="360" w:lineRule="auto"/>
        <w:rPr>
          <w:szCs w:val="21"/>
        </w:rPr>
      </w:pPr>
      <w:r>
        <w:rPr>
          <w:rFonts w:hint="eastAsia" w:eastAsia="黑体"/>
          <w:szCs w:val="21"/>
        </w:rPr>
        <w:t>大纲撰写人：</w:t>
      </w:r>
      <w:r>
        <w:rPr>
          <w:rFonts w:hint="eastAsia"/>
          <w:szCs w:val="21"/>
        </w:rPr>
        <w:t>赵冬青</w:t>
      </w:r>
    </w:p>
    <w:p>
      <w:pPr>
        <w:adjustRightInd w:val="0"/>
        <w:snapToGrid w:val="0"/>
        <w:spacing w:line="360" w:lineRule="auto"/>
        <w:rPr>
          <w:szCs w:val="21"/>
        </w:rPr>
      </w:pPr>
      <w:r>
        <w:rPr>
          <w:rFonts w:hint="eastAsia" w:eastAsia="黑体"/>
          <w:szCs w:val="21"/>
        </w:rPr>
        <w:t>大纲编写（修订）时间：</w:t>
      </w:r>
      <w:r>
        <w:rPr>
          <w:rFonts w:eastAsiaTheme="minorEastAsia"/>
          <w:szCs w:val="21"/>
        </w:rPr>
        <w:t>2019年5月</w:t>
      </w:r>
    </w:p>
    <w:p>
      <w:pPr>
        <w:rPr>
          <w:b/>
          <w:szCs w:val="21"/>
        </w:rPr>
      </w:pPr>
    </w:p>
    <w:p>
      <w:pPr>
        <w:tabs>
          <w:tab w:val="left" w:pos="420"/>
        </w:tabs>
        <w:adjustRightInd w:val="0"/>
        <w:snapToGrid w:val="0"/>
        <w:spacing w:line="360" w:lineRule="auto"/>
        <w:rPr>
          <w:rFonts w:eastAsia="黑体"/>
          <w:szCs w:val="21"/>
        </w:rPr>
      </w:pPr>
      <w:r>
        <w:rPr>
          <w:rFonts w:hint="eastAsia" w:eastAsia="黑体"/>
          <w:szCs w:val="21"/>
        </w:rPr>
        <w:t>一、课程在教学计划中的地位、作用</w:t>
      </w:r>
    </w:p>
    <w:p>
      <w:pPr>
        <w:spacing w:line="360" w:lineRule="auto"/>
        <w:ind w:firstLine="420" w:firstLineChars="200"/>
        <w:rPr>
          <w:szCs w:val="21"/>
        </w:rPr>
      </w:pPr>
      <w:r>
        <w:rPr>
          <w:rFonts w:hint="eastAsia"/>
          <w:szCs w:val="21"/>
        </w:rPr>
        <w:t>《微机原理与接口技术》是工科专业中非常重要的一门专业技术基础课程，也是学生学习计算机硬件结构、工作原理和汇编语言程序设计的入门课程。通过本门课程的学习使学生从应用的角度了解计算机的基本原理、基本组成、接口技术及硬件连接和汇编语言编程方法，培养学生具有进行微机系统软件和硬件设计、开发的基本能力，同时为后续计算机相关课程的学习奠定扎实的基础。</w:t>
      </w:r>
    </w:p>
    <w:p>
      <w:pPr>
        <w:spacing w:line="360" w:lineRule="auto"/>
        <w:ind w:firstLine="420" w:firstLineChars="200"/>
        <w:rPr>
          <w:szCs w:val="21"/>
        </w:rPr>
      </w:pPr>
    </w:p>
    <w:p>
      <w:pPr>
        <w:tabs>
          <w:tab w:val="left" w:pos="420"/>
        </w:tabs>
        <w:adjustRightInd w:val="0"/>
        <w:snapToGrid w:val="0"/>
        <w:spacing w:line="360" w:lineRule="auto"/>
        <w:ind w:left="420" w:hanging="420"/>
        <w:rPr>
          <w:szCs w:val="21"/>
        </w:rPr>
      </w:pPr>
      <w:r>
        <w:rPr>
          <w:rFonts w:hint="eastAsia" w:eastAsia="黑体"/>
          <w:szCs w:val="21"/>
        </w:rPr>
        <w:t>二、课程目标</w:t>
      </w:r>
    </w:p>
    <w:p>
      <w:pPr>
        <w:spacing w:line="360" w:lineRule="auto"/>
        <w:rPr>
          <w:szCs w:val="21"/>
        </w:rPr>
      </w:pPr>
      <w:r>
        <w:rPr>
          <w:rFonts w:hint="eastAsia"/>
          <w:szCs w:val="21"/>
        </w:rPr>
        <w:t>测控技术与仪器专业：</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4000"/>
        <w:gridCol w:w="390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before="120" w:beforeLines="50" w:line="360" w:lineRule="auto"/>
              <w:jc w:val="center"/>
              <w:rPr>
                <w:sz w:val="18"/>
                <w:szCs w:val="18"/>
              </w:rPr>
            </w:pPr>
            <w:r>
              <w:rPr>
                <w:sz w:val="18"/>
                <w:szCs w:val="18"/>
              </w:rPr>
              <w:t>序号</w:t>
            </w:r>
          </w:p>
        </w:tc>
        <w:tc>
          <w:tcPr>
            <w:tcW w:w="2345" w:type="pct"/>
            <w:vAlign w:val="center"/>
          </w:tcPr>
          <w:p>
            <w:pPr>
              <w:spacing w:before="120" w:beforeLines="50" w:line="360" w:lineRule="auto"/>
              <w:jc w:val="center"/>
              <w:rPr>
                <w:sz w:val="18"/>
                <w:szCs w:val="18"/>
              </w:rPr>
            </w:pPr>
            <w:r>
              <w:rPr>
                <w:sz w:val="18"/>
                <w:szCs w:val="18"/>
              </w:rPr>
              <w:t>课程目标</w:t>
            </w:r>
          </w:p>
        </w:tc>
        <w:tc>
          <w:tcPr>
            <w:tcW w:w="2288" w:type="pct"/>
            <w:vAlign w:val="center"/>
          </w:tcPr>
          <w:p>
            <w:pPr>
              <w:spacing w:before="120" w:beforeLines="50" w:line="360" w:lineRule="auto"/>
              <w:jc w:val="center"/>
              <w:rPr>
                <w:sz w:val="18"/>
                <w:szCs w:val="18"/>
              </w:rPr>
            </w:pPr>
            <w:r>
              <w:rPr>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1</w:t>
            </w:r>
          </w:p>
        </w:tc>
        <w:tc>
          <w:tcPr>
            <w:tcW w:w="2345" w:type="pct"/>
          </w:tcPr>
          <w:p>
            <w:pPr>
              <w:spacing w:line="360" w:lineRule="auto"/>
              <w:rPr>
                <w:sz w:val="18"/>
                <w:szCs w:val="18"/>
              </w:rPr>
            </w:pPr>
            <w:r>
              <w:rPr>
                <w:rFonts w:hint="eastAsia"/>
                <w:sz w:val="18"/>
                <w:szCs w:val="18"/>
              </w:rPr>
              <w:t>掌握微型计算机的硬件结构、工作原理、汇编语言程序结构、编程方法及相关专业术语。</w:t>
            </w:r>
          </w:p>
        </w:tc>
        <w:tc>
          <w:tcPr>
            <w:tcW w:w="2288" w:type="pct"/>
          </w:tcPr>
          <w:p>
            <w:pPr>
              <w:spacing w:line="360" w:lineRule="auto"/>
              <w:rPr>
                <w:sz w:val="18"/>
                <w:szCs w:val="18"/>
              </w:rPr>
            </w:pPr>
            <w:r>
              <w:rPr>
                <w:rFonts w:hint="eastAsia"/>
                <w:b/>
                <w:sz w:val="18"/>
                <w:szCs w:val="18"/>
              </w:rPr>
              <w:t>指标点</w:t>
            </w:r>
            <w:r>
              <w:rPr>
                <w:b/>
                <w:sz w:val="18"/>
                <w:szCs w:val="18"/>
              </w:rPr>
              <w:t>1</w:t>
            </w:r>
            <w:r>
              <w:rPr>
                <w:rFonts w:hint="eastAsia"/>
                <w:b/>
                <w:sz w:val="18"/>
                <w:szCs w:val="18"/>
              </w:rPr>
              <w:t>-1 知识体系：</w:t>
            </w:r>
            <w:r>
              <w:rPr>
                <w:rFonts w:hint="eastAsia"/>
                <w:sz w:val="18"/>
                <w:szCs w:val="18"/>
              </w:rPr>
              <w:t>系统地学习本专业相关的数学、自然科学、电子类工程基础和专业等多方面的知识。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2</w:t>
            </w:r>
          </w:p>
        </w:tc>
        <w:tc>
          <w:tcPr>
            <w:tcW w:w="2345" w:type="pct"/>
          </w:tcPr>
          <w:p>
            <w:pPr>
              <w:spacing w:line="360" w:lineRule="auto"/>
              <w:rPr>
                <w:sz w:val="18"/>
                <w:szCs w:val="18"/>
              </w:rPr>
            </w:pPr>
            <w:r>
              <w:rPr>
                <w:rFonts w:hint="eastAsia"/>
                <w:sz w:val="18"/>
                <w:szCs w:val="18"/>
              </w:rPr>
              <w:t>通过学习微机系统的一般设计方法，能够针对特定工程问题设计解决方案，具有将微机系统用于解决工程问题的能力。</w:t>
            </w:r>
          </w:p>
        </w:tc>
        <w:tc>
          <w:tcPr>
            <w:tcW w:w="2288" w:type="pct"/>
          </w:tcPr>
          <w:p>
            <w:pPr>
              <w:spacing w:line="360" w:lineRule="auto"/>
              <w:rPr>
                <w:sz w:val="18"/>
                <w:szCs w:val="18"/>
              </w:rPr>
            </w:pPr>
            <w:r>
              <w:rPr>
                <w:rFonts w:hint="eastAsia"/>
                <w:b/>
                <w:sz w:val="18"/>
                <w:szCs w:val="18"/>
              </w:rPr>
              <w:t>指标点</w:t>
            </w:r>
            <w:r>
              <w:rPr>
                <w:b/>
                <w:sz w:val="18"/>
                <w:szCs w:val="18"/>
              </w:rPr>
              <w:t>1</w:t>
            </w:r>
            <w:r>
              <w:rPr>
                <w:rFonts w:hint="eastAsia"/>
                <w:b/>
                <w:sz w:val="18"/>
                <w:szCs w:val="18"/>
              </w:rPr>
              <w:t>-</w:t>
            </w:r>
            <w:r>
              <w:rPr>
                <w:b/>
                <w:sz w:val="18"/>
                <w:szCs w:val="18"/>
              </w:rPr>
              <w:t>2</w:t>
            </w:r>
            <w:r>
              <w:rPr>
                <w:rFonts w:hint="eastAsia"/>
                <w:b/>
                <w:sz w:val="18"/>
                <w:szCs w:val="18"/>
              </w:rPr>
              <w:t>知识运用能力：</w:t>
            </w:r>
            <w:r>
              <w:rPr>
                <w:rFonts w:hint="eastAsia"/>
                <w:sz w:val="18"/>
                <w:szCs w:val="18"/>
              </w:rPr>
              <w:t>能将基础知识与本专业基本工程问题结合起来，灵活、恰当地将其运用到复杂电子类工程问题的解决中。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3</w:t>
            </w:r>
          </w:p>
        </w:tc>
        <w:tc>
          <w:tcPr>
            <w:tcW w:w="2345" w:type="pct"/>
          </w:tcPr>
          <w:p>
            <w:pPr>
              <w:spacing w:line="360" w:lineRule="auto"/>
              <w:rPr>
                <w:sz w:val="18"/>
                <w:szCs w:val="18"/>
              </w:rPr>
            </w:pPr>
            <w:r>
              <w:rPr>
                <w:rFonts w:hint="eastAsia"/>
                <w:sz w:val="18"/>
                <w:szCs w:val="18"/>
              </w:rPr>
              <w:t>能够理解以微型计算机系统为核心的现代化仪器、设备的工作原理；针对复杂工程问题，设计以微机系统为核心的系统解决方案，并对具体工程实践应用进行优化。</w:t>
            </w:r>
          </w:p>
        </w:tc>
        <w:tc>
          <w:tcPr>
            <w:tcW w:w="2288" w:type="pct"/>
          </w:tcPr>
          <w:p>
            <w:pPr>
              <w:spacing w:line="360" w:lineRule="auto"/>
              <w:rPr>
                <w:sz w:val="18"/>
                <w:szCs w:val="18"/>
              </w:rPr>
            </w:pPr>
            <w:r>
              <w:rPr>
                <w:rFonts w:hint="eastAsia"/>
                <w:b/>
                <w:sz w:val="18"/>
                <w:szCs w:val="18"/>
              </w:rPr>
              <w:t>指标点</w:t>
            </w:r>
            <w:r>
              <w:rPr>
                <w:b/>
                <w:sz w:val="18"/>
                <w:szCs w:val="18"/>
              </w:rPr>
              <w:t>3</w:t>
            </w:r>
            <w:r>
              <w:rPr>
                <w:rFonts w:hint="eastAsia"/>
                <w:b/>
                <w:sz w:val="18"/>
                <w:szCs w:val="18"/>
              </w:rPr>
              <w:t>-1 按需设计：</w:t>
            </w:r>
            <w:r>
              <w:rPr>
                <w:rFonts w:hint="eastAsia"/>
                <w:sz w:val="18"/>
                <w:szCs w:val="18"/>
              </w:rPr>
              <w:t>能够根据用户特定需求设计复杂工程问题的解决方案，设计相关的电路、系统和工艺流程。并能够针对方案进行优化选择。</w:t>
            </w:r>
          </w:p>
        </w:tc>
      </w:tr>
    </w:tbl>
    <w:p>
      <w:pPr>
        <w:spacing w:line="360" w:lineRule="auto"/>
        <w:rPr>
          <w:szCs w:val="21"/>
        </w:rPr>
      </w:pPr>
    </w:p>
    <w:p>
      <w:pPr>
        <w:spacing w:line="360" w:lineRule="auto"/>
        <w:rPr>
          <w:szCs w:val="21"/>
        </w:rPr>
      </w:pPr>
      <w:r>
        <w:rPr>
          <w:rFonts w:hint="eastAsia"/>
          <w:szCs w:val="21"/>
        </w:rPr>
        <w:t>电子科学与技术专业：</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4000"/>
        <w:gridCol w:w="390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before="120" w:beforeLines="50" w:line="360" w:lineRule="auto"/>
              <w:jc w:val="center"/>
              <w:rPr>
                <w:sz w:val="18"/>
                <w:szCs w:val="18"/>
              </w:rPr>
            </w:pPr>
            <w:r>
              <w:rPr>
                <w:sz w:val="18"/>
                <w:szCs w:val="18"/>
              </w:rPr>
              <w:t>序号</w:t>
            </w:r>
          </w:p>
        </w:tc>
        <w:tc>
          <w:tcPr>
            <w:tcW w:w="2345" w:type="pct"/>
            <w:vAlign w:val="center"/>
          </w:tcPr>
          <w:p>
            <w:pPr>
              <w:spacing w:before="120" w:beforeLines="50" w:line="360" w:lineRule="auto"/>
              <w:jc w:val="center"/>
              <w:rPr>
                <w:sz w:val="18"/>
                <w:szCs w:val="18"/>
              </w:rPr>
            </w:pPr>
            <w:r>
              <w:rPr>
                <w:sz w:val="18"/>
                <w:szCs w:val="18"/>
              </w:rPr>
              <w:t>课程目标</w:t>
            </w:r>
          </w:p>
        </w:tc>
        <w:tc>
          <w:tcPr>
            <w:tcW w:w="2288" w:type="pct"/>
            <w:vAlign w:val="center"/>
          </w:tcPr>
          <w:p>
            <w:pPr>
              <w:spacing w:before="120" w:beforeLines="50" w:line="360" w:lineRule="auto"/>
              <w:jc w:val="center"/>
              <w:rPr>
                <w:sz w:val="18"/>
                <w:szCs w:val="18"/>
              </w:rPr>
            </w:pPr>
            <w:r>
              <w:rPr>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1</w:t>
            </w:r>
          </w:p>
        </w:tc>
        <w:tc>
          <w:tcPr>
            <w:tcW w:w="2345" w:type="pct"/>
          </w:tcPr>
          <w:p>
            <w:pPr>
              <w:spacing w:line="360" w:lineRule="auto"/>
              <w:rPr>
                <w:sz w:val="18"/>
                <w:szCs w:val="18"/>
              </w:rPr>
            </w:pPr>
            <w:r>
              <w:rPr>
                <w:rFonts w:hint="eastAsia"/>
                <w:sz w:val="18"/>
                <w:szCs w:val="18"/>
              </w:rPr>
              <w:t>掌握微型计算机的硬件结构、工作原理、汇编语言程序结构、编程方法及相关专业术语。</w:t>
            </w:r>
          </w:p>
          <w:p>
            <w:pPr>
              <w:spacing w:line="360" w:lineRule="auto"/>
              <w:rPr>
                <w:sz w:val="18"/>
                <w:szCs w:val="18"/>
              </w:rPr>
            </w:pPr>
          </w:p>
          <w:p>
            <w:pPr>
              <w:spacing w:line="360" w:lineRule="auto"/>
              <w:jc w:val="right"/>
              <w:rPr>
                <w:sz w:val="18"/>
                <w:szCs w:val="18"/>
              </w:rPr>
            </w:pPr>
          </w:p>
        </w:tc>
        <w:tc>
          <w:tcPr>
            <w:tcW w:w="2288" w:type="pct"/>
          </w:tcPr>
          <w:p>
            <w:pPr>
              <w:spacing w:line="360" w:lineRule="auto"/>
              <w:rPr>
                <w:sz w:val="18"/>
                <w:szCs w:val="18"/>
              </w:rPr>
            </w:pPr>
            <w:r>
              <w:rPr>
                <w:rFonts w:hint="eastAsia"/>
                <w:b/>
                <w:sz w:val="18"/>
                <w:szCs w:val="18"/>
              </w:rPr>
              <w:t>指标点</w:t>
            </w:r>
            <w:r>
              <w:rPr>
                <w:b/>
                <w:sz w:val="18"/>
                <w:szCs w:val="18"/>
              </w:rPr>
              <w:t>1</w:t>
            </w:r>
            <w:r>
              <w:rPr>
                <w:rFonts w:hint="eastAsia"/>
                <w:b/>
                <w:sz w:val="18"/>
                <w:szCs w:val="18"/>
              </w:rPr>
              <w:t>-1 知识体系：</w:t>
            </w:r>
            <w:r>
              <w:rPr>
                <w:rFonts w:hint="eastAsia"/>
                <w:sz w:val="18"/>
                <w:szCs w:val="18"/>
              </w:rPr>
              <w:t>系统地学习本专业相关的数学、自然科学、电子类工程基础和专业等多方面的知识。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2</w:t>
            </w:r>
          </w:p>
        </w:tc>
        <w:tc>
          <w:tcPr>
            <w:tcW w:w="2345" w:type="pct"/>
          </w:tcPr>
          <w:p>
            <w:pPr>
              <w:spacing w:line="360" w:lineRule="auto"/>
              <w:rPr>
                <w:sz w:val="18"/>
                <w:szCs w:val="18"/>
              </w:rPr>
            </w:pPr>
            <w:r>
              <w:rPr>
                <w:rFonts w:hint="eastAsia"/>
                <w:sz w:val="18"/>
                <w:szCs w:val="18"/>
              </w:rPr>
              <w:t>通过学习微机系统的一般设计方法，能够针对特定工程问题设计解决方案，具有将微机系统用于解决工程问题的能力。</w:t>
            </w:r>
          </w:p>
        </w:tc>
        <w:tc>
          <w:tcPr>
            <w:tcW w:w="2288" w:type="pct"/>
          </w:tcPr>
          <w:p>
            <w:pPr>
              <w:spacing w:line="360" w:lineRule="auto"/>
              <w:rPr>
                <w:sz w:val="18"/>
                <w:szCs w:val="18"/>
              </w:rPr>
            </w:pPr>
            <w:r>
              <w:rPr>
                <w:rFonts w:hint="eastAsia"/>
                <w:b/>
                <w:sz w:val="18"/>
                <w:szCs w:val="18"/>
              </w:rPr>
              <w:t>指标点</w:t>
            </w:r>
            <w:r>
              <w:rPr>
                <w:b/>
                <w:sz w:val="18"/>
                <w:szCs w:val="18"/>
              </w:rPr>
              <w:t>1</w:t>
            </w:r>
            <w:r>
              <w:rPr>
                <w:rFonts w:hint="eastAsia"/>
                <w:b/>
                <w:sz w:val="18"/>
                <w:szCs w:val="18"/>
              </w:rPr>
              <w:t>-</w:t>
            </w:r>
            <w:r>
              <w:rPr>
                <w:b/>
                <w:sz w:val="18"/>
                <w:szCs w:val="18"/>
              </w:rPr>
              <w:t>2</w:t>
            </w:r>
            <w:r>
              <w:rPr>
                <w:rFonts w:hint="eastAsia"/>
                <w:b/>
                <w:sz w:val="18"/>
                <w:szCs w:val="18"/>
              </w:rPr>
              <w:t>知识运用能力：</w:t>
            </w:r>
            <w:r>
              <w:rPr>
                <w:rFonts w:hint="eastAsia"/>
                <w:sz w:val="18"/>
                <w:szCs w:val="18"/>
              </w:rPr>
              <w:t>能将基础知识与本专业基本工程问题结合起来，灵活、恰当地将其运用到复杂电子类工程问题的解决中。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3</w:t>
            </w:r>
          </w:p>
        </w:tc>
        <w:tc>
          <w:tcPr>
            <w:tcW w:w="2345" w:type="pct"/>
          </w:tcPr>
          <w:p>
            <w:pPr>
              <w:spacing w:line="360" w:lineRule="auto"/>
              <w:rPr>
                <w:sz w:val="18"/>
                <w:szCs w:val="18"/>
              </w:rPr>
            </w:pPr>
            <w:r>
              <w:rPr>
                <w:rFonts w:hint="eastAsia"/>
                <w:sz w:val="18"/>
                <w:szCs w:val="18"/>
              </w:rPr>
              <w:t>能够理解以微型计算机系统为核心的现代化仪器、设备的工作原理；针对复杂工程问题，设计以微机系统为核心的系统解决方案，并对具体工程实践应用进行优化。</w:t>
            </w:r>
          </w:p>
        </w:tc>
        <w:tc>
          <w:tcPr>
            <w:tcW w:w="2288" w:type="pct"/>
          </w:tcPr>
          <w:p>
            <w:pPr>
              <w:spacing w:line="360" w:lineRule="auto"/>
              <w:rPr>
                <w:sz w:val="18"/>
                <w:szCs w:val="18"/>
              </w:rPr>
            </w:pPr>
            <w:r>
              <w:rPr>
                <w:rFonts w:hint="eastAsia"/>
                <w:b/>
                <w:sz w:val="18"/>
                <w:szCs w:val="18"/>
              </w:rPr>
              <w:t>指标点</w:t>
            </w:r>
            <w:r>
              <w:rPr>
                <w:b/>
                <w:sz w:val="18"/>
                <w:szCs w:val="18"/>
              </w:rPr>
              <w:t>3</w:t>
            </w:r>
            <w:r>
              <w:rPr>
                <w:rFonts w:hint="eastAsia"/>
                <w:b/>
                <w:sz w:val="18"/>
                <w:szCs w:val="18"/>
              </w:rPr>
              <w:t>-1 按需设计：</w:t>
            </w:r>
            <w:r>
              <w:rPr>
                <w:rFonts w:hint="eastAsia"/>
                <w:sz w:val="18"/>
                <w:szCs w:val="18"/>
              </w:rPr>
              <w:t>能够根据用户特定需求设计复杂工程问题的解决方案，设计相关的电路、系统和工艺流程。并能够针对方案进行优化选择。</w:t>
            </w:r>
          </w:p>
        </w:tc>
      </w:tr>
    </w:tbl>
    <w:p>
      <w:pPr>
        <w:spacing w:line="360" w:lineRule="auto"/>
        <w:rPr>
          <w:szCs w:val="21"/>
        </w:rPr>
      </w:pPr>
    </w:p>
    <w:p>
      <w:pPr>
        <w:spacing w:line="360" w:lineRule="auto"/>
        <w:rPr>
          <w:szCs w:val="21"/>
        </w:rPr>
      </w:pPr>
      <w:r>
        <w:rPr>
          <w:rFonts w:hint="eastAsia"/>
          <w:szCs w:val="21"/>
          <w:lang w:eastAsia="zh-CN"/>
        </w:rPr>
        <w:t>智能感知工程</w:t>
      </w:r>
      <w:r>
        <w:rPr>
          <w:rFonts w:hint="eastAsia"/>
          <w:szCs w:val="21"/>
        </w:rPr>
        <w:t>专业：</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4000"/>
        <w:gridCol w:w="390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before="120" w:beforeLines="50" w:line="360" w:lineRule="auto"/>
              <w:jc w:val="center"/>
              <w:rPr>
                <w:sz w:val="18"/>
                <w:szCs w:val="18"/>
              </w:rPr>
            </w:pPr>
            <w:r>
              <w:rPr>
                <w:sz w:val="18"/>
                <w:szCs w:val="18"/>
              </w:rPr>
              <w:t>序号</w:t>
            </w:r>
          </w:p>
        </w:tc>
        <w:tc>
          <w:tcPr>
            <w:tcW w:w="2345" w:type="pct"/>
            <w:vAlign w:val="center"/>
          </w:tcPr>
          <w:p>
            <w:pPr>
              <w:spacing w:before="120" w:beforeLines="50" w:line="360" w:lineRule="auto"/>
              <w:jc w:val="center"/>
              <w:rPr>
                <w:sz w:val="18"/>
                <w:szCs w:val="18"/>
              </w:rPr>
            </w:pPr>
            <w:r>
              <w:rPr>
                <w:sz w:val="18"/>
                <w:szCs w:val="18"/>
              </w:rPr>
              <w:t>课程目标</w:t>
            </w:r>
          </w:p>
        </w:tc>
        <w:tc>
          <w:tcPr>
            <w:tcW w:w="2288" w:type="pct"/>
            <w:vAlign w:val="center"/>
          </w:tcPr>
          <w:p>
            <w:pPr>
              <w:spacing w:before="120" w:beforeLines="50" w:line="360" w:lineRule="auto"/>
              <w:jc w:val="center"/>
              <w:rPr>
                <w:sz w:val="18"/>
                <w:szCs w:val="18"/>
              </w:rPr>
            </w:pPr>
            <w:r>
              <w:rPr>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1</w:t>
            </w:r>
          </w:p>
        </w:tc>
        <w:tc>
          <w:tcPr>
            <w:tcW w:w="2345" w:type="pct"/>
          </w:tcPr>
          <w:p>
            <w:pPr>
              <w:spacing w:line="360" w:lineRule="auto"/>
              <w:rPr>
                <w:sz w:val="18"/>
                <w:szCs w:val="18"/>
              </w:rPr>
            </w:pPr>
            <w:r>
              <w:rPr>
                <w:rFonts w:hint="eastAsia"/>
                <w:sz w:val="18"/>
                <w:szCs w:val="18"/>
              </w:rPr>
              <w:t>掌握微型计算机的硬件结构、工作原理、汇编语言程序结构、编程方法及相关专业术语。</w:t>
            </w:r>
          </w:p>
        </w:tc>
        <w:tc>
          <w:tcPr>
            <w:tcW w:w="2288" w:type="pct"/>
          </w:tcPr>
          <w:p>
            <w:pPr>
              <w:spacing w:line="360" w:lineRule="auto"/>
              <w:rPr>
                <w:sz w:val="18"/>
                <w:szCs w:val="18"/>
              </w:rPr>
            </w:pPr>
            <w:r>
              <w:rPr>
                <w:rFonts w:hint="eastAsia"/>
                <w:b/>
                <w:sz w:val="18"/>
                <w:szCs w:val="18"/>
              </w:rPr>
              <w:t>指标点</w:t>
            </w:r>
            <w:r>
              <w:rPr>
                <w:b/>
                <w:sz w:val="18"/>
                <w:szCs w:val="18"/>
              </w:rPr>
              <w:t>1</w:t>
            </w:r>
            <w:r>
              <w:rPr>
                <w:rFonts w:hint="eastAsia"/>
                <w:b/>
                <w:sz w:val="18"/>
                <w:szCs w:val="18"/>
              </w:rPr>
              <w:t>-1 知识体系：</w:t>
            </w:r>
            <w:r>
              <w:rPr>
                <w:bCs/>
                <w:sz w:val="18"/>
                <w:szCs w:val="18"/>
              </w:rPr>
              <w:t>具备本专业相关的数学、自然科学、计算机和电子学工程基础及传感、控制等多方面的知识。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2</w:t>
            </w:r>
          </w:p>
        </w:tc>
        <w:tc>
          <w:tcPr>
            <w:tcW w:w="2345" w:type="pct"/>
          </w:tcPr>
          <w:p>
            <w:pPr>
              <w:spacing w:line="360" w:lineRule="auto"/>
              <w:rPr>
                <w:sz w:val="18"/>
                <w:szCs w:val="18"/>
              </w:rPr>
            </w:pPr>
            <w:r>
              <w:rPr>
                <w:rFonts w:hint="eastAsia"/>
                <w:sz w:val="18"/>
                <w:szCs w:val="18"/>
              </w:rPr>
              <w:t>通过学习微机系统的一般设计方法，能够针对特定工程问题设计解决方案，具有将微机系统用于解决工程问题的能力。</w:t>
            </w:r>
          </w:p>
        </w:tc>
        <w:tc>
          <w:tcPr>
            <w:tcW w:w="2288" w:type="pct"/>
          </w:tcPr>
          <w:p>
            <w:pPr>
              <w:spacing w:line="360" w:lineRule="auto"/>
              <w:rPr>
                <w:sz w:val="18"/>
                <w:szCs w:val="18"/>
              </w:rPr>
            </w:pPr>
            <w:r>
              <w:rPr>
                <w:rFonts w:hint="eastAsia"/>
                <w:b/>
                <w:sz w:val="18"/>
                <w:szCs w:val="18"/>
              </w:rPr>
              <w:t>指标点</w:t>
            </w:r>
            <w:r>
              <w:rPr>
                <w:b/>
                <w:sz w:val="18"/>
                <w:szCs w:val="18"/>
              </w:rPr>
              <w:t>1</w:t>
            </w:r>
            <w:r>
              <w:rPr>
                <w:rFonts w:hint="eastAsia"/>
                <w:b/>
                <w:sz w:val="18"/>
                <w:szCs w:val="18"/>
              </w:rPr>
              <w:t>-</w:t>
            </w:r>
            <w:r>
              <w:rPr>
                <w:b/>
                <w:sz w:val="18"/>
                <w:szCs w:val="18"/>
              </w:rPr>
              <w:t>2</w:t>
            </w:r>
            <w:r>
              <w:rPr>
                <w:rFonts w:hint="eastAsia"/>
                <w:b/>
                <w:sz w:val="18"/>
                <w:szCs w:val="18"/>
              </w:rPr>
              <w:t>知识运用能力：</w:t>
            </w:r>
            <w:r>
              <w:rPr>
                <w:bCs/>
                <w:sz w:val="18"/>
                <w:szCs w:val="18"/>
              </w:rPr>
              <w:t>能将基础知识恰当地应用到智能感知工程专业智能传感与控制等复杂工程问题的解决中。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3</w:t>
            </w:r>
          </w:p>
        </w:tc>
        <w:tc>
          <w:tcPr>
            <w:tcW w:w="2345" w:type="pct"/>
          </w:tcPr>
          <w:p>
            <w:pPr>
              <w:spacing w:line="360" w:lineRule="auto"/>
              <w:rPr>
                <w:sz w:val="18"/>
                <w:szCs w:val="18"/>
              </w:rPr>
            </w:pPr>
            <w:r>
              <w:rPr>
                <w:rFonts w:hint="eastAsia"/>
                <w:sz w:val="18"/>
                <w:szCs w:val="18"/>
              </w:rPr>
              <w:t>能够理解以微型计算机系统为核心的现代化仪器、设备的工作原理；针对复杂工程问题，设计以微机系统为核心的系统解决方案，并对具体工程实践应用进行优化。</w:t>
            </w:r>
          </w:p>
        </w:tc>
        <w:tc>
          <w:tcPr>
            <w:tcW w:w="2288" w:type="pct"/>
          </w:tcPr>
          <w:p>
            <w:pPr>
              <w:spacing w:line="360" w:lineRule="auto"/>
              <w:rPr>
                <w:sz w:val="18"/>
                <w:szCs w:val="18"/>
              </w:rPr>
            </w:pPr>
            <w:r>
              <w:rPr>
                <w:rFonts w:hint="eastAsia"/>
                <w:b/>
                <w:sz w:val="18"/>
                <w:szCs w:val="18"/>
              </w:rPr>
              <w:t>指标点</w:t>
            </w:r>
            <w:r>
              <w:rPr>
                <w:b/>
                <w:sz w:val="18"/>
                <w:szCs w:val="18"/>
              </w:rPr>
              <w:t>3</w:t>
            </w:r>
            <w:r>
              <w:rPr>
                <w:rFonts w:hint="eastAsia"/>
                <w:b/>
                <w:sz w:val="18"/>
                <w:szCs w:val="18"/>
              </w:rPr>
              <w:t>-1 按需设计：</w:t>
            </w:r>
            <w:r>
              <w:rPr>
                <w:bCs/>
                <w:sz w:val="18"/>
                <w:szCs w:val="18"/>
              </w:rPr>
              <w:t>能够根据用户特定需求设计复杂工程问题的解决方案，设计相关的信息处理系统、智能控制系统以及工艺流程，并能够针对方案进行优化选择。</w:t>
            </w:r>
          </w:p>
        </w:tc>
      </w:tr>
    </w:tbl>
    <w:p>
      <w:pPr>
        <w:spacing w:line="360" w:lineRule="auto"/>
        <w:ind w:firstLine="420" w:firstLineChars="200"/>
        <w:rPr>
          <w:szCs w:val="21"/>
        </w:rPr>
      </w:pPr>
    </w:p>
    <w:p>
      <w:pPr>
        <w:tabs>
          <w:tab w:val="left" w:pos="420"/>
        </w:tabs>
        <w:adjustRightInd w:val="0"/>
        <w:snapToGrid w:val="0"/>
        <w:spacing w:line="360" w:lineRule="auto"/>
        <w:ind w:left="420" w:hanging="420"/>
        <w:rPr>
          <w:rFonts w:eastAsia="黑体"/>
          <w:szCs w:val="21"/>
        </w:rPr>
      </w:pPr>
      <w:r>
        <w:rPr>
          <w:rFonts w:hint="eastAsia" w:eastAsia="黑体"/>
          <w:szCs w:val="21"/>
        </w:rPr>
        <w:t>三、基本要求</w:t>
      </w:r>
    </w:p>
    <w:p>
      <w:pPr>
        <w:spacing w:line="360" w:lineRule="auto"/>
        <w:ind w:firstLine="420" w:firstLineChars="200"/>
        <w:rPr>
          <w:szCs w:val="21"/>
        </w:rPr>
      </w:pPr>
      <w:r>
        <w:rPr>
          <w:rFonts w:hint="eastAsia"/>
          <w:szCs w:val="21"/>
        </w:rPr>
        <w:t>1、本课程为专业技术基础课，要求先修电路原理、模拟电子技术、数字电子技术课程。</w:t>
      </w:r>
    </w:p>
    <w:p>
      <w:pPr>
        <w:spacing w:line="360" w:lineRule="auto"/>
        <w:ind w:firstLine="420" w:firstLineChars="200"/>
        <w:rPr>
          <w:szCs w:val="21"/>
        </w:rPr>
      </w:pPr>
      <w:r>
        <w:rPr>
          <w:rFonts w:hint="eastAsia"/>
          <w:szCs w:val="21"/>
        </w:rPr>
        <w:t>2、针对本门课程内容繁杂、知识点多的特点，在教学中应注重基础知识、基本概念和系统设计思维方法的传授。</w:t>
      </w:r>
    </w:p>
    <w:p>
      <w:pPr>
        <w:spacing w:line="360" w:lineRule="auto"/>
        <w:ind w:firstLine="420" w:firstLineChars="200"/>
        <w:rPr>
          <w:szCs w:val="21"/>
        </w:rPr>
      </w:pPr>
      <w:r>
        <w:rPr>
          <w:rFonts w:hint="eastAsia"/>
          <w:szCs w:val="21"/>
        </w:rPr>
        <w:t>3、要求在每次课上对上次课所讲的知识点进行概括和总结，加深学生对知识点的学习和巩固；本课程是一门实践性很强的课程，要求教学和实验环节交替进行，通过实验环节把所学的内容巩固和学习。</w:t>
      </w:r>
    </w:p>
    <w:p>
      <w:pPr>
        <w:spacing w:line="360" w:lineRule="auto"/>
        <w:ind w:firstLine="420" w:firstLineChars="200"/>
        <w:rPr>
          <w:szCs w:val="21"/>
        </w:rPr>
      </w:pPr>
      <w:r>
        <w:rPr>
          <w:rFonts w:hint="eastAsia"/>
          <w:szCs w:val="21"/>
        </w:rPr>
        <w:t>4、深度和广度说明：以8086/8088微处理器为主，对微处理器的内部编程结构、外部引脚等硬件相关内容进行详细讲解，结合计算机操作系统启动过程及应用程序启动执行过程，充分说明微型计算机的工作原理与工作过程；综合外部接口设计、中断管理、指令系统进行讲解，建立系统设计的整体概念。为了提高学生的学习兴趣，并取得良好的教学效果，教师在知识讲解的过程中要充分利用问题引导、案例分析等多种教学方法，以进一步提高教学质量。</w:t>
      </w:r>
    </w:p>
    <w:p>
      <w:pPr>
        <w:spacing w:line="360" w:lineRule="auto"/>
        <w:ind w:firstLine="420" w:firstLineChars="200"/>
        <w:rPr>
          <w:color w:val="FF0000"/>
          <w:szCs w:val="21"/>
        </w:rPr>
      </w:pPr>
      <w:r>
        <w:rPr>
          <w:rFonts w:hint="eastAsia"/>
          <w:szCs w:val="21"/>
        </w:rPr>
        <w:t>5、偏差说明：为了鼓励教师引入个人授课风格或者适应技术发展的紧迫性，本课程允许教师授课内容做适当调整，最大正偏差为10%，不允许负偏差。正偏差通过压缩同等内容的学时数来完成。特殊情况，最大正偏差和置换偏差累计可达到20%，但在开课前要申请专业责任人批准。（正偏差指大纲知识点不变，新增知识点；负偏差是大纲知识点减少；置换偏差是指大纲中部分知识点被其它类似知识点替换）。</w:t>
      </w:r>
    </w:p>
    <w:p>
      <w:pPr>
        <w:spacing w:line="360" w:lineRule="auto"/>
        <w:ind w:firstLine="420" w:firstLineChars="200"/>
        <w:rPr>
          <w:szCs w:val="21"/>
        </w:rPr>
      </w:pPr>
    </w:p>
    <w:p>
      <w:pPr>
        <w:tabs>
          <w:tab w:val="left" w:pos="420"/>
        </w:tabs>
        <w:spacing w:line="360" w:lineRule="auto"/>
        <w:ind w:left="420" w:hanging="420"/>
        <w:rPr>
          <w:rFonts w:eastAsia="黑体"/>
          <w:szCs w:val="21"/>
        </w:rPr>
      </w:pPr>
      <w:r>
        <w:rPr>
          <w:rFonts w:hint="eastAsia" w:eastAsia="黑体"/>
          <w:szCs w:val="21"/>
        </w:rPr>
        <w:t>四、教学内容和教学方法</w:t>
      </w:r>
    </w:p>
    <w:p>
      <w:pPr>
        <w:spacing w:line="360" w:lineRule="auto"/>
        <w:ind w:firstLine="420" w:firstLineChars="200"/>
        <w:rPr>
          <w:szCs w:val="21"/>
        </w:rPr>
      </w:pPr>
      <w:r>
        <w:rPr>
          <w:rFonts w:hint="eastAsia"/>
          <w:szCs w:val="21"/>
        </w:rPr>
        <w:t>本课程重点讲授的内容包括：现代EDA技术及其设计方法、可编程器件的基本原理及其分类与选用原则、相关电路设计方法、集成开发环境使用方法、至少1种硬件描述语言的语法规则及编程方法、时序仿真方法；典型逻辑电路的设计包括：组合逻辑电路、时序逻辑电路、等间隔状态控制、状态机以及较为复杂的时序逻辑控制设计等。</w:t>
      </w:r>
    </w:p>
    <w:p>
      <w:pPr>
        <w:spacing w:line="360" w:lineRule="auto"/>
        <w:ind w:firstLine="420" w:firstLineChars="200"/>
        <w:rPr>
          <w:szCs w:val="21"/>
        </w:rPr>
      </w:pPr>
      <w:r>
        <w:rPr>
          <w:szCs w:val="21"/>
        </w:rPr>
        <w:t>（此处详细列举本课程用到的手段，注意一定要与课程匹配！）</w:t>
      </w:r>
    </w:p>
    <w:p>
      <w:pPr>
        <w:spacing w:line="360" w:lineRule="auto"/>
        <w:ind w:firstLine="420" w:firstLineChars="200"/>
        <w:rPr>
          <w:szCs w:val="21"/>
        </w:rPr>
      </w:pPr>
      <w:r>
        <w:rPr>
          <w:szCs w:val="21"/>
        </w:rPr>
        <w:t>本课程在教学方法上，充分利用各种媒体教学手段，采取课堂教学、多媒体课件、验证性实验、课外分组实验方式有机结合，提高教学效率。（要根据实际需要适当修改，可以具体到采用什么MOOC，如何置换成绩，等等。）</w:t>
      </w:r>
    </w:p>
    <w:p>
      <w:pPr>
        <w:spacing w:line="360" w:lineRule="auto"/>
        <w:ind w:firstLine="420" w:firstLineChars="200"/>
        <w:rPr>
          <w:szCs w:val="21"/>
        </w:rPr>
      </w:pPr>
      <w:r>
        <w:rPr>
          <w:szCs w:val="21"/>
        </w:rPr>
        <w:t>硬件描述语言（VHDL）在数字逻辑系统设计、集成电路设计中占有非常重要的地位，因此教师要重点讲授以使学生完全掌握。</w:t>
      </w:r>
    </w:p>
    <w:p>
      <w:pPr>
        <w:spacing w:line="360" w:lineRule="auto"/>
        <w:ind w:firstLine="420" w:firstLineChars="200"/>
        <w:rPr>
          <w:szCs w:val="21"/>
        </w:rPr>
      </w:pPr>
      <w:r>
        <w:rPr>
          <w:szCs w:val="21"/>
        </w:rPr>
        <w:t>为了提高学生的学习兴趣，并取得良好的教学效果，教师在知识讲解的过程中要充分利用问题引导、案例分析等多种教学方法，以进一步提高教学质量。</w:t>
      </w:r>
    </w:p>
    <w:p>
      <w:pPr>
        <w:spacing w:line="360" w:lineRule="auto"/>
        <w:ind w:firstLine="420" w:firstLineChars="200"/>
        <w:rPr>
          <w:szCs w:val="21"/>
        </w:rPr>
      </w:pPr>
      <w:r>
        <w:rPr>
          <w:szCs w:val="21"/>
        </w:rPr>
        <w:t>本课程重点讲授的内容包括：</w:t>
      </w:r>
      <w:r>
        <w:rPr>
          <w:rFonts w:hint="eastAsia"/>
          <w:szCs w:val="21"/>
        </w:rPr>
        <w:t>微处理器</w:t>
      </w:r>
      <w:r>
        <w:rPr>
          <w:szCs w:val="21"/>
        </w:rPr>
        <w:t>的内部</w:t>
      </w:r>
      <w:r>
        <w:rPr>
          <w:rFonts w:hint="eastAsia"/>
          <w:szCs w:val="21"/>
        </w:rPr>
        <w:t>编程</w:t>
      </w:r>
      <w:r>
        <w:rPr>
          <w:szCs w:val="21"/>
        </w:rPr>
        <w:t>结构、外部引脚、指令系统、中断系统、汇编语言程序设计、接口设计等。</w:t>
      </w:r>
    </w:p>
    <w:p>
      <w:pPr>
        <w:widowControl/>
        <w:adjustRightInd w:val="0"/>
        <w:snapToGrid w:val="0"/>
        <w:spacing w:line="360" w:lineRule="auto"/>
        <w:ind w:left="426"/>
        <w:jc w:val="left"/>
        <w:rPr>
          <w:rFonts w:eastAsia="黑体" w:cs="宋体"/>
          <w:snapToGrid w:val="0"/>
          <w:kern w:val="0"/>
          <w:szCs w:val="21"/>
        </w:rPr>
      </w:pPr>
      <w:r>
        <w:rPr>
          <w:rFonts w:eastAsia="黑体" w:cs="宋体"/>
          <w:snapToGrid w:val="0"/>
          <w:kern w:val="0"/>
          <w:szCs w:val="21"/>
        </w:rPr>
        <w:t>1</w:t>
      </w:r>
      <w:r>
        <w:rPr>
          <w:rFonts w:hint="eastAsia" w:eastAsia="黑体" w:cs="宋体"/>
          <w:snapToGrid w:val="0"/>
          <w:kern w:val="0"/>
          <w:szCs w:val="21"/>
        </w:rPr>
        <w:t>计算机系统概述（</w:t>
      </w:r>
      <w:r>
        <w:rPr>
          <w:rFonts w:eastAsia="黑体" w:cs="宋体"/>
          <w:snapToGrid w:val="0"/>
          <w:kern w:val="0"/>
          <w:szCs w:val="21"/>
        </w:rPr>
        <w:t>2</w:t>
      </w:r>
      <w:r>
        <w:rPr>
          <w:rFonts w:hint="eastAsia" w:eastAsia="黑体" w:cs="宋体"/>
          <w:snapToGrid w:val="0"/>
          <w:kern w:val="0"/>
          <w:szCs w:val="21"/>
        </w:rPr>
        <w:t>学时）</w:t>
      </w:r>
    </w:p>
    <w:p>
      <w:pPr>
        <w:widowControl/>
        <w:adjustRightInd w:val="0"/>
        <w:snapToGrid w:val="0"/>
        <w:spacing w:line="360" w:lineRule="auto"/>
        <w:ind w:left="426"/>
        <w:jc w:val="left"/>
        <w:rPr>
          <w:rFonts w:cs="宋体"/>
          <w:snapToGrid w:val="0"/>
          <w:kern w:val="0"/>
          <w:szCs w:val="21"/>
        </w:rPr>
      </w:pPr>
      <w:r>
        <w:rPr>
          <w:rFonts w:cs="宋体"/>
          <w:snapToGrid w:val="0"/>
          <w:kern w:val="0"/>
          <w:szCs w:val="21"/>
        </w:rPr>
        <w:t>1.1</w:t>
      </w:r>
      <w:r>
        <w:rPr>
          <w:rFonts w:hint="eastAsia" w:cs="宋体"/>
          <w:snapToGrid w:val="0"/>
          <w:kern w:val="0"/>
          <w:szCs w:val="21"/>
        </w:rPr>
        <w:t>、计算机及微型机的发展、分类、性能指标；</w:t>
      </w:r>
    </w:p>
    <w:p>
      <w:pPr>
        <w:widowControl/>
        <w:adjustRightInd w:val="0"/>
        <w:snapToGrid w:val="0"/>
        <w:spacing w:line="360" w:lineRule="auto"/>
        <w:ind w:left="426"/>
        <w:jc w:val="left"/>
        <w:rPr>
          <w:rFonts w:cs="宋体"/>
          <w:snapToGrid w:val="0"/>
          <w:kern w:val="0"/>
          <w:szCs w:val="21"/>
        </w:rPr>
      </w:pPr>
      <w:r>
        <w:rPr>
          <w:rFonts w:cs="宋体"/>
          <w:snapToGrid w:val="0"/>
          <w:kern w:val="0"/>
          <w:szCs w:val="21"/>
        </w:rPr>
        <w:t>1.2</w:t>
      </w:r>
      <w:r>
        <w:rPr>
          <w:rFonts w:hint="eastAsia" w:cs="宋体"/>
          <w:snapToGrid w:val="0"/>
          <w:kern w:val="0"/>
          <w:szCs w:val="21"/>
        </w:rPr>
        <w:t>、计算机的构成体系和计算机的层次结构。</w:t>
      </w:r>
    </w:p>
    <w:p>
      <w:pPr>
        <w:widowControl/>
        <w:adjustRightInd w:val="0"/>
        <w:snapToGrid w:val="0"/>
        <w:spacing w:line="360" w:lineRule="auto"/>
        <w:ind w:left="426"/>
        <w:jc w:val="left"/>
        <w:rPr>
          <w:rFonts w:cs="宋体"/>
          <w:snapToGrid w:val="0"/>
          <w:kern w:val="0"/>
          <w:szCs w:val="21"/>
        </w:rPr>
      </w:pPr>
      <w:r>
        <w:rPr>
          <w:rFonts w:hint="eastAsia" w:cs="宋体"/>
          <w:snapToGrid w:val="0"/>
          <w:kern w:val="0"/>
          <w:szCs w:val="21"/>
        </w:rPr>
        <w:t>本章内容支撑课程目标1</w:t>
      </w:r>
    </w:p>
    <w:p>
      <w:pPr>
        <w:widowControl/>
        <w:adjustRightInd w:val="0"/>
        <w:snapToGrid w:val="0"/>
        <w:spacing w:line="360" w:lineRule="auto"/>
        <w:ind w:left="426"/>
        <w:jc w:val="left"/>
        <w:rPr>
          <w:rFonts w:eastAsia="黑体" w:cs="宋体"/>
          <w:snapToGrid w:val="0"/>
          <w:kern w:val="0"/>
          <w:szCs w:val="21"/>
        </w:rPr>
      </w:pPr>
      <w:r>
        <w:rPr>
          <w:rFonts w:eastAsia="黑体" w:cs="宋体"/>
          <w:snapToGrid w:val="0"/>
          <w:kern w:val="0"/>
          <w:szCs w:val="21"/>
        </w:rPr>
        <w:t>28086/8088</w:t>
      </w:r>
      <w:r>
        <w:rPr>
          <w:rFonts w:hint="eastAsia" w:eastAsia="黑体" w:cs="宋体"/>
          <w:snapToGrid w:val="0"/>
          <w:kern w:val="0"/>
          <w:szCs w:val="21"/>
        </w:rPr>
        <w:t>微处理器结构（</w:t>
      </w:r>
      <w:r>
        <w:rPr>
          <w:rFonts w:eastAsia="黑体" w:cs="宋体"/>
          <w:snapToGrid w:val="0"/>
          <w:kern w:val="0"/>
          <w:szCs w:val="21"/>
        </w:rPr>
        <w:t>4</w:t>
      </w:r>
      <w:r>
        <w:rPr>
          <w:rFonts w:hint="eastAsia" w:eastAsia="黑体" w:cs="宋体"/>
          <w:snapToGrid w:val="0"/>
          <w:kern w:val="0"/>
          <w:szCs w:val="21"/>
        </w:rPr>
        <w:t>学时）</w:t>
      </w:r>
    </w:p>
    <w:p>
      <w:pPr>
        <w:widowControl/>
        <w:adjustRightInd w:val="0"/>
        <w:snapToGrid w:val="0"/>
        <w:spacing w:line="360" w:lineRule="auto"/>
        <w:ind w:left="426"/>
        <w:jc w:val="left"/>
        <w:rPr>
          <w:rFonts w:cs="宋体"/>
          <w:snapToGrid w:val="0"/>
          <w:kern w:val="0"/>
          <w:szCs w:val="21"/>
        </w:rPr>
      </w:pPr>
      <w:r>
        <w:rPr>
          <w:rFonts w:cs="宋体"/>
          <w:snapToGrid w:val="0"/>
          <w:kern w:val="0"/>
          <w:szCs w:val="21"/>
        </w:rPr>
        <w:t>2.1</w:t>
      </w:r>
      <w:r>
        <w:rPr>
          <w:rFonts w:hint="eastAsia" w:cs="宋体"/>
          <w:snapToGrid w:val="0"/>
          <w:kern w:val="0"/>
          <w:szCs w:val="21"/>
        </w:rPr>
        <w:t>、</w:t>
      </w:r>
      <w:r>
        <w:rPr>
          <w:rFonts w:cs="宋体"/>
          <w:snapToGrid w:val="0"/>
          <w:kern w:val="0"/>
          <w:szCs w:val="21"/>
        </w:rPr>
        <w:t>8086/8088CPU</w:t>
      </w:r>
      <w:r>
        <w:rPr>
          <w:rFonts w:hint="eastAsia" w:cs="宋体"/>
          <w:snapToGrid w:val="0"/>
          <w:kern w:val="0"/>
          <w:szCs w:val="21"/>
        </w:rPr>
        <w:t>的内部结构；（难点）</w:t>
      </w:r>
    </w:p>
    <w:p>
      <w:pPr>
        <w:widowControl/>
        <w:adjustRightInd w:val="0"/>
        <w:snapToGrid w:val="0"/>
        <w:spacing w:line="360" w:lineRule="auto"/>
        <w:ind w:left="426"/>
        <w:jc w:val="left"/>
        <w:rPr>
          <w:rFonts w:cs="宋体"/>
          <w:snapToGrid w:val="0"/>
          <w:kern w:val="0"/>
          <w:szCs w:val="21"/>
        </w:rPr>
      </w:pPr>
      <w:r>
        <w:rPr>
          <w:rFonts w:cs="宋体"/>
          <w:snapToGrid w:val="0"/>
          <w:kern w:val="0"/>
          <w:szCs w:val="21"/>
        </w:rPr>
        <w:t>2.2</w:t>
      </w:r>
      <w:r>
        <w:rPr>
          <w:rFonts w:hint="eastAsia" w:cs="宋体"/>
          <w:snapToGrid w:val="0"/>
          <w:kern w:val="0"/>
          <w:szCs w:val="21"/>
        </w:rPr>
        <w:t>、</w:t>
      </w:r>
      <w:r>
        <w:rPr>
          <w:rFonts w:cs="宋体"/>
          <w:snapToGrid w:val="0"/>
          <w:kern w:val="0"/>
          <w:szCs w:val="21"/>
        </w:rPr>
        <w:t>8086/8088CPU</w:t>
      </w:r>
      <w:r>
        <w:rPr>
          <w:rFonts w:hint="eastAsia" w:cs="宋体"/>
          <w:snapToGrid w:val="0"/>
          <w:kern w:val="0"/>
          <w:szCs w:val="21"/>
        </w:rPr>
        <w:t>的工作方式及外部引脚；（重点）</w:t>
      </w:r>
    </w:p>
    <w:p>
      <w:pPr>
        <w:widowControl/>
        <w:adjustRightInd w:val="0"/>
        <w:snapToGrid w:val="0"/>
        <w:spacing w:line="360" w:lineRule="auto"/>
        <w:ind w:left="426"/>
        <w:jc w:val="left"/>
        <w:rPr>
          <w:rFonts w:cs="宋体"/>
          <w:snapToGrid w:val="0"/>
          <w:kern w:val="0"/>
          <w:szCs w:val="21"/>
        </w:rPr>
      </w:pPr>
      <w:r>
        <w:rPr>
          <w:rFonts w:cs="宋体"/>
          <w:snapToGrid w:val="0"/>
          <w:kern w:val="0"/>
          <w:szCs w:val="21"/>
        </w:rPr>
        <w:t>2.3</w:t>
      </w:r>
      <w:r>
        <w:rPr>
          <w:rFonts w:hint="eastAsia" w:cs="宋体"/>
          <w:snapToGrid w:val="0"/>
          <w:kern w:val="0"/>
          <w:szCs w:val="21"/>
        </w:rPr>
        <w:t>、</w:t>
      </w:r>
      <w:r>
        <w:rPr>
          <w:rFonts w:cs="宋体"/>
          <w:snapToGrid w:val="0"/>
          <w:kern w:val="0"/>
          <w:szCs w:val="21"/>
        </w:rPr>
        <w:t>8086/8088CPU</w:t>
      </w:r>
      <w:r>
        <w:rPr>
          <w:rFonts w:hint="eastAsia" w:cs="宋体"/>
          <w:snapToGrid w:val="0"/>
          <w:kern w:val="0"/>
          <w:szCs w:val="21"/>
        </w:rPr>
        <w:t>的时序及总线操作。</w:t>
      </w:r>
    </w:p>
    <w:p>
      <w:pPr>
        <w:widowControl/>
        <w:adjustRightInd w:val="0"/>
        <w:snapToGrid w:val="0"/>
        <w:spacing w:line="360" w:lineRule="auto"/>
        <w:ind w:left="426"/>
        <w:jc w:val="left"/>
        <w:rPr>
          <w:rFonts w:cs="宋体"/>
          <w:snapToGrid w:val="0"/>
          <w:kern w:val="0"/>
          <w:szCs w:val="21"/>
        </w:rPr>
      </w:pPr>
      <w:r>
        <w:rPr>
          <w:rFonts w:hint="eastAsia" w:cs="宋体"/>
          <w:snapToGrid w:val="0"/>
          <w:kern w:val="0"/>
          <w:szCs w:val="21"/>
        </w:rPr>
        <w:t>本章内容支撑课程目标1</w:t>
      </w:r>
    </w:p>
    <w:p>
      <w:pPr>
        <w:widowControl/>
        <w:adjustRightInd w:val="0"/>
        <w:snapToGrid w:val="0"/>
        <w:spacing w:line="360" w:lineRule="auto"/>
        <w:ind w:left="426"/>
        <w:jc w:val="left"/>
        <w:rPr>
          <w:rFonts w:eastAsia="黑体" w:cs="宋体"/>
          <w:snapToGrid w:val="0"/>
          <w:kern w:val="0"/>
          <w:szCs w:val="21"/>
        </w:rPr>
      </w:pPr>
      <w:r>
        <w:rPr>
          <w:rFonts w:eastAsia="黑体" w:cs="宋体"/>
          <w:snapToGrid w:val="0"/>
          <w:kern w:val="0"/>
          <w:szCs w:val="21"/>
        </w:rPr>
        <w:t>38086/8088</w:t>
      </w:r>
      <w:r>
        <w:rPr>
          <w:rFonts w:hint="eastAsia" w:eastAsia="黑体" w:cs="宋体"/>
          <w:snapToGrid w:val="0"/>
          <w:kern w:val="0"/>
          <w:szCs w:val="21"/>
        </w:rPr>
        <w:t>指令系统（</w:t>
      </w:r>
      <w:r>
        <w:rPr>
          <w:rFonts w:eastAsia="黑体" w:cs="宋体"/>
          <w:snapToGrid w:val="0"/>
          <w:kern w:val="0"/>
          <w:szCs w:val="21"/>
        </w:rPr>
        <w:t>12</w:t>
      </w:r>
      <w:r>
        <w:rPr>
          <w:rFonts w:hint="eastAsia" w:eastAsia="黑体" w:cs="宋体"/>
          <w:snapToGrid w:val="0"/>
          <w:kern w:val="0"/>
          <w:szCs w:val="21"/>
        </w:rPr>
        <w:t>学时）</w:t>
      </w:r>
    </w:p>
    <w:p>
      <w:pPr>
        <w:widowControl/>
        <w:adjustRightInd w:val="0"/>
        <w:snapToGrid w:val="0"/>
        <w:spacing w:line="360" w:lineRule="auto"/>
        <w:ind w:left="426"/>
        <w:jc w:val="left"/>
        <w:rPr>
          <w:rFonts w:cs="宋体"/>
          <w:snapToGrid w:val="0"/>
          <w:kern w:val="0"/>
          <w:szCs w:val="21"/>
        </w:rPr>
      </w:pPr>
      <w:r>
        <w:rPr>
          <w:rFonts w:cs="宋体"/>
          <w:snapToGrid w:val="0"/>
          <w:kern w:val="0"/>
          <w:szCs w:val="21"/>
        </w:rPr>
        <w:t>3.</w:t>
      </w:r>
      <w:r>
        <w:rPr>
          <w:rFonts w:hint="eastAsia" w:cs="宋体"/>
          <w:snapToGrid w:val="0"/>
          <w:kern w:val="0"/>
          <w:szCs w:val="21"/>
        </w:rPr>
        <w:t>1、</w:t>
      </w:r>
      <w:r>
        <w:rPr>
          <w:rFonts w:cs="宋体"/>
          <w:snapToGrid w:val="0"/>
          <w:kern w:val="0"/>
          <w:szCs w:val="21"/>
        </w:rPr>
        <w:t>8086/8088</w:t>
      </w:r>
      <w:r>
        <w:rPr>
          <w:rFonts w:hint="eastAsia" w:cs="宋体"/>
          <w:snapToGrid w:val="0"/>
          <w:kern w:val="0"/>
          <w:szCs w:val="21"/>
        </w:rPr>
        <w:t>指令寻址方式；</w:t>
      </w:r>
    </w:p>
    <w:p>
      <w:pPr>
        <w:widowControl/>
        <w:adjustRightInd w:val="0"/>
        <w:snapToGrid w:val="0"/>
        <w:spacing w:line="360" w:lineRule="auto"/>
        <w:ind w:left="426"/>
        <w:jc w:val="left"/>
        <w:rPr>
          <w:rFonts w:cs="宋体"/>
          <w:snapToGrid w:val="0"/>
          <w:kern w:val="0"/>
          <w:szCs w:val="21"/>
        </w:rPr>
      </w:pPr>
      <w:r>
        <w:rPr>
          <w:rFonts w:hint="eastAsia" w:cs="宋体"/>
          <w:snapToGrid w:val="0"/>
          <w:kern w:val="0"/>
          <w:szCs w:val="21"/>
        </w:rPr>
        <w:t>3.2、</w:t>
      </w:r>
      <w:r>
        <w:rPr>
          <w:rFonts w:cs="宋体"/>
          <w:snapToGrid w:val="0"/>
          <w:kern w:val="0"/>
          <w:szCs w:val="21"/>
        </w:rPr>
        <w:t>8086/8088</w:t>
      </w:r>
      <w:r>
        <w:rPr>
          <w:rFonts w:hint="eastAsia" w:cs="宋体"/>
          <w:snapToGrid w:val="0"/>
          <w:kern w:val="0"/>
          <w:szCs w:val="21"/>
        </w:rPr>
        <w:t>指令功能；</w:t>
      </w:r>
    </w:p>
    <w:p>
      <w:pPr>
        <w:widowControl/>
        <w:adjustRightInd w:val="0"/>
        <w:snapToGrid w:val="0"/>
        <w:spacing w:line="360" w:lineRule="auto"/>
        <w:ind w:left="426"/>
        <w:jc w:val="left"/>
        <w:rPr>
          <w:rFonts w:cs="宋体"/>
          <w:snapToGrid w:val="0"/>
          <w:kern w:val="0"/>
          <w:szCs w:val="21"/>
        </w:rPr>
      </w:pPr>
      <w:r>
        <w:rPr>
          <w:rFonts w:hint="eastAsia" w:cs="宋体"/>
          <w:snapToGrid w:val="0"/>
          <w:kern w:val="0"/>
          <w:szCs w:val="21"/>
        </w:rPr>
        <w:t>3.3、伪指令功能。</w:t>
      </w:r>
    </w:p>
    <w:p>
      <w:pPr>
        <w:widowControl/>
        <w:adjustRightInd w:val="0"/>
        <w:snapToGrid w:val="0"/>
        <w:spacing w:line="360" w:lineRule="auto"/>
        <w:ind w:left="426"/>
        <w:jc w:val="left"/>
        <w:rPr>
          <w:rFonts w:cs="宋体"/>
          <w:snapToGrid w:val="0"/>
          <w:kern w:val="0"/>
          <w:szCs w:val="21"/>
        </w:rPr>
      </w:pPr>
      <w:r>
        <w:rPr>
          <w:rFonts w:hint="eastAsia" w:cs="宋体"/>
          <w:snapToGrid w:val="0"/>
          <w:kern w:val="0"/>
          <w:szCs w:val="21"/>
        </w:rPr>
        <w:t>本章内容支撑课程目标1</w:t>
      </w:r>
    </w:p>
    <w:p>
      <w:pPr>
        <w:widowControl/>
        <w:adjustRightInd w:val="0"/>
        <w:snapToGrid w:val="0"/>
        <w:spacing w:line="360" w:lineRule="auto"/>
        <w:ind w:left="426"/>
        <w:jc w:val="left"/>
        <w:rPr>
          <w:rFonts w:eastAsia="黑体" w:cs="宋体"/>
          <w:snapToGrid w:val="0"/>
          <w:kern w:val="0"/>
          <w:szCs w:val="21"/>
        </w:rPr>
      </w:pPr>
      <w:r>
        <w:rPr>
          <w:rFonts w:eastAsia="黑体" w:cs="宋体"/>
          <w:snapToGrid w:val="0"/>
          <w:kern w:val="0"/>
          <w:szCs w:val="21"/>
        </w:rPr>
        <w:t>4</w:t>
      </w:r>
      <w:r>
        <w:rPr>
          <w:rFonts w:hint="eastAsia" w:eastAsia="黑体" w:cs="宋体"/>
          <w:snapToGrid w:val="0"/>
          <w:kern w:val="0"/>
          <w:szCs w:val="21"/>
        </w:rPr>
        <w:t>汇编语言程序设计基础（</w:t>
      </w:r>
      <w:r>
        <w:rPr>
          <w:rFonts w:eastAsia="黑体" w:cs="宋体"/>
          <w:snapToGrid w:val="0"/>
          <w:kern w:val="0"/>
          <w:szCs w:val="21"/>
        </w:rPr>
        <w:t>6</w:t>
      </w:r>
      <w:r>
        <w:rPr>
          <w:rFonts w:hint="eastAsia" w:eastAsia="黑体" w:cs="宋体"/>
          <w:snapToGrid w:val="0"/>
          <w:kern w:val="0"/>
          <w:szCs w:val="21"/>
        </w:rPr>
        <w:t>学时）</w:t>
      </w:r>
    </w:p>
    <w:p>
      <w:pPr>
        <w:widowControl/>
        <w:adjustRightInd w:val="0"/>
        <w:snapToGrid w:val="0"/>
        <w:spacing w:line="360" w:lineRule="auto"/>
        <w:ind w:left="426"/>
        <w:jc w:val="left"/>
        <w:rPr>
          <w:rFonts w:cs="宋体"/>
          <w:snapToGrid w:val="0"/>
          <w:kern w:val="0"/>
          <w:szCs w:val="21"/>
        </w:rPr>
      </w:pPr>
      <w:r>
        <w:rPr>
          <w:rFonts w:cs="宋体"/>
          <w:snapToGrid w:val="0"/>
          <w:kern w:val="0"/>
          <w:szCs w:val="21"/>
        </w:rPr>
        <w:t>4.1</w:t>
      </w:r>
      <w:r>
        <w:rPr>
          <w:rFonts w:hint="eastAsia" w:cs="宋体"/>
          <w:snapToGrid w:val="0"/>
          <w:kern w:val="0"/>
          <w:szCs w:val="21"/>
        </w:rPr>
        <w:t>、汇编语言程序结构：编语言程序的程序框架及顺序结构、分支结构、循环结构、主子程序结构；（重点）</w:t>
      </w:r>
    </w:p>
    <w:p>
      <w:pPr>
        <w:widowControl/>
        <w:adjustRightInd w:val="0"/>
        <w:snapToGrid w:val="0"/>
        <w:spacing w:line="360" w:lineRule="auto"/>
        <w:ind w:left="426"/>
        <w:jc w:val="left"/>
        <w:rPr>
          <w:rFonts w:cs="宋体"/>
          <w:snapToGrid w:val="0"/>
          <w:kern w:val="0"/>
          <w:szCs w:val="21"/>
        </w:rPr>
      </w:pPr>
      <w:r>
        <w:rPr>
          <w:rFonts w:cs="宋体"/>
          <w:snapToGrid w:val="0"/>
          <w:kern w:val="0"/>
          <w:szCs w:val="21"/>
        </w:rPr>
        <w:t>4.2</w:t>
      </w:r>
      <w:r>
        <w:rPr>
          <w:rFonts w:hint="eastAsia" w:cs="宋体"/>
          <w:snapToGrid w:val="0"/>
          <w:kern w:val="0"/>
          <w:szCs w:val="21"/>
        </w:rPr>
        <w:t>、汇编语言程序设计举例。</w:t>
      </w:r>
    </w:p>
    <w:p>
      <w:pPr>
        <w:widowControl/>
        <w:adjustRightInd w:val="0"/>
        <w:snapToGrid w:val="0"/>
        <w:spacing w:line="360" w:lineRule="auto"/>
        <w:ind w:left="426"/>
        <w:jc w:val="left"/>
        <w:rPr>
          <w:rFonts w:cs="宋体"/>
          <w:snapToGrid w:val="0"/>
          <w:kern w:val="0"/>
          <w:szCs w:val="21"/>
        </w:rPr>
      </w:pPr>
      <w:r>
        <w:rPr>
          <w:rFonts w:hint="eastAsia" w:cs="宋体"/>
          <w:snapToGrid w:val="0"/>
          <w:kern w:val="0"/>
          <w:szCs w:val="21"/>
        </w:rPr>
        <w:t>本章内容支撑课程目标1</w:t>
      </w:r>
    </w:p>
    <w:p>
      <w:pPr>
        <w:widowControl/>
        <w:adjustRightInd w:val="0"/>
        <w:snapToGrid w:val="0"/>
        <w:spacing w:line="360" w:lineRule="auto"/>
        <w:ind w:left="426"/>
        <w:jc w:val="left"/>
        <w:rPr>
          <w:rFonts w:eastAsia="黑体" w:cs="宋体"/>
          <w:snapToGrid w:val="0"/>
          <w:kern w:val="0"/>
          <w:szCs w:val="21"/>
        </w:rPr>
      </w:pPr>
      <w:r>
        <w:rPr>
          <w:rFonts w:eastAsia="黑体" w:cs="宋体"/>
          <w:snapToGrid w:val="0"/>
          <w:kern w:val="0"/>
          <w:szCs w:val="21"/>
        </w:rPr>
        <w:t>5</w:t>
      </w:r>
      <w:r>
        <w:rPr>
          <w:rFonts w:hint="eastAsia" w:eastAsia="黑体" w:cs="宋体"/>
          <w:snapToGrid w:val="0"/>
          <w:kern w:val="0"/>
          <w:szCs w:val="21"/>
        </w:rPr>
        <w:t>微机存储系统（</w:t>
      </w:r>
      <w:r>
        <w:rPr>
          <w:rFonts w:eastAsia="黑体" w:cs="宋体"/>
          <w:snapToGrid w:val="0"/>
          <w:kern w:val="0"/>
          <w:szCs w:val="21"/>
        </w:rPr>
        <w:t>4</w:t>
      </w:r>
      <w:r>
        <w:rPr>
          <w:rFonts w:hint="eastAsia" w:eastAsia="黑体" w:cs="宋体"/>
          <w:snapToGrid w:val="0"/>
          <w:kern w:val="0"/>
          <w:szCs w:val="21"/>
        </w:rPr>
        <w:t>学时）</w:t>
      </w:r>
    </w:p>
    <w:p>
      <w:pPr>
        <w:widowControl/>
        <w:adjustRightInd w:val="0"/>
        <w:snapToGrid w:val="0"/>
        <w:spacing w:line="360" w:lineRule="auto"/>
        <w:ind w:left="426"/>
        <w:jc w:val="left"/>
        <w:rPr>
          <w:rFonts w:cs="宋体"/>
          <w:snapToGrid w:val="0"/>
          <w:kern w:val="0"/>
          <w:szCs w:val="21"/>
        </w:rPr>
      </w:pPr>
      <w:r>
        <w:rPr>
          <w:rFonts w:cs="宋体"/>
          <w:snapToGrid w:val="0"/>
          <w:kern w:val="0"/>
          <w:szCs w:val="21"/>
        </w:rPr>
        <w:t>5.1</w:t>
      </w:r>
      <w:r>
        <w:rPr>
          <w:rFonts w:hint="eastAsia" w:cs="宋体"/>
          <w:snapToGrid w:val="0"/>
          <w:kern w:val="0"/>
          <w:szCs w:val="21"/>
        </w:rPr>
        <w:t>、存储器系统概述；</w:t>
      </w:r>
    </w:p>
    <w:p>
      <w:pPr>
        <w:widowControl/>
        <w:adjustRightInd w:val="0"/>
        <w:snapToGrid w:val="0"/>
        <w:spacing w:line="360" w:lineRule="auto"/>
        <w:ind w:left="426"/>
        <w:jc w:val="left"/>
        <w:rPr>
          <w:rFonts w:cs="宋体"/>
          <w:snapToGrid w:val="0"/>
          <w:kern w:val="0"/>
          <w:szCs w:val="21"/>
        </w:rPr>
      </w:pPr>
      <w:r>
        <w:rPr>
          <w:rFonts w:cs="宋体"/>
          <w:snapToGrid w:val="0"/>
          <w:kern w:val="0"/>
          <w:szCs w:val="21"/>
        </w:rPr>
        <w:t>5.2</w:t>
      </w:r>
      <w:r>
        <w:rPr>
          <w:rFonts w:hint="eastAsia" w:cs="宋体"/>
          <w:snapToGrid w:val="0"/>
          <w:kern w:val="0"/>
          <w:szCs w:val="21"/>
        </w:rPr>
        <w:t>、半导体存储器；</w:t>
      </w:r>
    </w:p>
    <w:p>
      <w:pPr>
        <w:widowControl/>
        <w:adjustRightInd w:val="0"/>
        <w:snapToGrid w:val="0"/>
        <w:spacing w:line="360" w:lineRule="auto"/>
        <w:ind w:left="426"/>
        <w:jc w:val="left"/>
        <w:rPr>
          <w:rFonts w:cs="宋体"/>
          <w:snapToGrid w:val="0"/>
          <w:kern w:val="0"/>
          <w:szCs w:val="21"/>
        </w:rPr>
      </w:pPr>
      <w:r>
        <w:rPr>
          <w:rFonts w:cs="宋体"/>
          <w:snapToGrid w:val="0"/>
          <w:kern w:val="0"/>
          <w:szCs w:val="21"/>
        </w:rPr>
        <w:t>5.3</w:t>
      </w:r>
      <w:r>
        <w:rPr>
          <w:rFonts w:hint="eastAsia" w:cs="宋体"/>
          <w:snapToGrid w:val="0"/>
          <w:kern w:val="0"/>
          <w:szCs w:val="21"/>
        </w:rPr>
        <w:t>、存储器与</w:t>
      </w:r>
      <w:r>
        <w:rPr>
          <w:rFonts w:cs="宋体"/>
          <w:snapToGrid w:val="0"/>
          <w:kern w:val="0"/>
          <w:szCs w:val="21"/>
        </w:rPr>
        <w:t>CPU</w:t>
      </w:r>
      <w:r>
        <w:rPr>
          <w:rFonts w:hint="eastAsia" w:cs="宋体"/>
          <w:snapToGrid w:val="0"/>
          <w:kern w:val="0"/>
          <w:szCs w:val="21"/>
        </w:rPr>
        <w:t>的连接。（难点、重点）</w:t>
      </w:r>
    </w:p>
    <w:p>
      <w:pPr>
        <w:widowControl/>
        <w:adjustRightInd w:val="0"/>
        <w:snapToGrid w:val="0"/>
        <w:spacing w:line="360" w:lineRule="auto"/>
        <w:ind w:left="426"/>
        <w:jc w:val="left"/>
        <w:rPr>
          <w:rFonts w:cs="宋体"/>
          <w:snapToGrid w:val="0"/>
          <w:kern w:val="0"/>
          <w:szCs w:val="21"/>
        </w:rPr>
      </w:pPr>
      <w:r>
        <w:rPr>
          <w:rFonts w:hint="eastAsia" w:cs="宋体"/>
          <w:snapToGrid w:val="0"/>
          <w:kern w:val="0"/>
          <w:szCs w:val="21"/>
        </w:rPr>
        <w:t>本章内容支撑课程目标1</w:t>
      </w:r>
    </w:p>
    <w:p>
      <w:pPr>
        <w:widowControl/>
        <w:adjustRightInd w:val="0"/>
        <w:snapToGrid w:val="0"/>
        <w:spacing w:line="360" w:lineRule="auto"/>
        <w:ind w:left="426"/>
        <w:jc w:val="left"/>
        <w:rPr>
          <w:rFonts w:eastAsia="黑体" w:cs="宋体"/>
          <w:snapToGrid w:val="0"/>
          <w:kern w:val="0"/>
          <w:szCs w:val="21"/>
        </w:rPr>
      </w:pPr>
      <w:r>
        <w:rPr>
          <w:rFonts w:eastAsia="黑体" w:cs="宋体"/>
          <w:snapToGrid w:val="0"/>
          <w:kern w:val="0"/>
          <w:szCs w:val="21"/>
        </w:rPr>
        <w:t>6</w:t>
      </w:r>
      <w:r>
        <w:rPr>
          <w:rFonts w:hint="eastAsia" w:eastAsia="黑体" w:cs="宋体"/>
          <w:snapToGrid w:val="0"/>
          <w:kern w:val="0"/>
          <w:szCs w:val="21"/>
        </w:rPr>
        <w:t>输入</w:t>
      </w:r>
      <w:r>
        <w:rPr>
          <w:rFonts w:eastAsia="黑体" w:cs="宋体"/>
          <w:snapToGrid w:val="0"/>
          <w:kern w:val="0"/>
          <w:szCs w:val="21"/>
        </w:rPr>
        <w:t>/</w:t>
      </w:r>
      <w:r>
        <w:rPr>
          <w:rFonts w:hint="eastAsia" w:eastAsia="黑体" w:cs="宋体"/>
          <w:snapToGrid w:val="0"/>
          <w:kern w:val="0"/>
          <w:szCs w:val="21"/>
        </w:rPr>
        <w:t>输出及中断技术（</w:t>
      </w:r>
      <w:r>
        <w:rPr>
          <w:rFonts w:eastAsia="黑体" w:cs="宋体"/>
          <w:snapToGrid w:val="0"/>
          <w:kern w:val="0"/>
          <w:szCs w:val="21"/>
        </w:rPr>
        <w:t>4</w:t>
      </w:r>
      <w:r>
        <w:rPr>
          <w:rFonts w:hint="eastAsia" w:eastAsia="黑体" w:cs="宋体"/>
          <w:snapToGrid w:val="0"/>
          <w:kern w:val="0"/>
          <w:szCs w:val="21"/>
        </w:rPr>
        <w:t>学时）</w:t>
      </w:r>
    </w:p>
    <w:p>
      <w:pPr>
        <w:widowControl/>
        <w:adjustRightInd w:val="0"/>
        <w:snapToGrid w:val="0"/>
        <w:spacing w:line="360" w:lineRule="auto"/>
        <w:ind w:left="426"/>
        <w:jc w:val="left"/>
        <w:rPr>
          <w:rFonts w:cs="宋体"/>
          <w:snapToGrid w:val="0"/>
          <w:kern w:val="0"/>
          <w:szCs w:val="21"/>
        </w:rPr>
      </w:pPr>
      <w:r>
        <w:rPr>
          <w:rFonts w:cs="宋体"/>
          <w:snapToGrid w:val="0"/>
          <w:kern w:val="0"/>
          <w:szCs w:val="21"/>
        </w:rPr>
        <w:t>6.1</w:t>
      </w:r>
      <w:r>
        <w:rPr>
          <w:rFonts w:hint="eastAsia" w:cs="宋体"/>
          <w:snapToGrid w:val="0"/>
          <w:kern w:val="0"/>
          <w:szCs w:val="21"/>
        </w:rPr>
        <w:t>、接口电路的功能及内部结构；</w:t>
      </w:r>
    </w:p>
    <w:p>
      <w:pPr>
        <w:widowControl/>
        <w:adjustRightInd w:val="0"/>
        <w:snapToGrid w:val="0"/>
        <w:spacing w:line="360" w:lineRule="auto"/>
        <w:ind w:left="426"/>
        <w:jc w:val="left"/>
        <w:rPr>
          <w:rFonts w:cs="宋体"/>
          <w:snapToGrid w:val="0"/>
          <w:kern w:val="0"/>
          <w:szCs w:val="21"/>
        </w:rPr>
      </w:pPr>
      <w:r>
        <w:rPr>
          <w:rFonts w:cs="宋体"/>
          <w:snapToGrid w:val="0"/>
          <w:kern w:val="0"/>
          <w:szCs w:val="21"/>
        </w:rPr>
        <w:t>6.</w:t>
      </w:r>
      <w:r>
        <w:rPr>
          <w:rFonts w:hint="eastAsia" w:cs="宋体"/>
          <w:snapToGrid w:val="0"/>
          <w:kern w:val="0"/>
          <w:szCs w:val="21"/>
        </w:rPr>
        <w:t>2、</w:t>
      </w:r>
      <w:r>
        <w:rPr>
          <w:rFonts w:cs="宋体"/>
          <w:snapToGrid w:val="0"/>
          <w:kern w:val="0"/>
          <w:szCs w:val="21"/>
        </w:rPr>
        <w:t>CPU</w:t>
      </w:r>
      <w:r>
        <w:rPr>
          <w:rFonts w:hint="eastAsia" w:cs="宋体"/>
          <w:snapToGrid w:val="0"/>
          <w:kern w:val="0"/>
          <w:szCs w:val="21"/>
        </w:rPr>
        <w:t>与外设的数据传送方式；</w:t>
      </w:r>
    </w:p>
    <w:p>
      <w:pPr>
        <w:widowControl/>
        <w:adjustRightInd w:val="0"/>
        <w:snapToGrid w:val="0"/>
        <w:spacing w:line="360" w:lineRule="auto"/>
        <w:ind w:left="426"/>
        <w:jc w:val="left"/>
        <w:rPr>
          <w:rFonts w:cs="宋体"/>
          <w:snapToGrid w:val="0"/>
          <w:kern w:val="0"/>
          <w:szCs w:val="21"/>
        </w:rPr>
      </w:pPr>
      <w:r>
        <w:rPr>
          <w:rFonts w:cs="宋体"/>
          <w:snapToGrid w:val="0"/>
          <w:kern w:val="0"/>
          <w:szCs w:val="21"/>
        </w:rPr>
        <w:t>6.</w:t>
      </w:r>
      <w:r>
        <w:rPr>
          <w:rFonts w:hint="eastAsia" w:cs="宋体"/>
          <w:snapToGrid w:val="0"/>
          <w:kern w:val="0"/>
          <w:szCs w:val="21"/>
        </w:rPr>
        <w:t>3、中断系统及中断处理</w:t>
      </w:r>
    </w:p>
    <w:p>
      <w:pPr>
        <w:widowControl/>
        <w:adjustRightInd w:val="0"/>
        <w:snapToGrid w:val="0"/>
        <w:spacing w:line="360" w:lineRule="auto"/>
        <w:ind w:left="426"/>
        <w:jc w:val="left"/>
        <w:rPr>
          <w:rFonts w:cs="宋体"/>
          <w:snapToGrid w:val="0"/>
          <w:kern w:val="0"/>
          <w:szCs w:val="21"/>
        </w:rPr>
      </w:pPr>
      <w:r>
        <w:rPr>
          <w:rFonts w:hint="eastAsia" w:cs="宋体"/>
          <w:snapToGrid w:val="0"/>
          <w:kern w:val="0"/>
          <w:szCs w:val="21"/>
        </w:rPr>
        <w:t>（</w:t>
      </w:r>
      <w:r>
        <w:rPr>
          <w:rFonts w:cs="宋体"/>
          <w:snapToGrid w:val="0"/>
          <w:kern w:val="0"/>
          <w:szCs w:val="21"/>
        </w:rPr>
        <w:t>1</w:t>
      </w:r>
      <w:r>
        <w:rPr>
          <w:rFonts w:hint="eastAsia" w:cs="宋体"/>
          <w:snapToGrid w:val="0"/>
          <w:kern w:val="0"/>
          <w:szCs w:val="21"/>
        </w:rPr>
        <w:t>）中断的基本概念；</w:t>
      </w:r>
    </w:p>
    <w:p>
      <w:pPr>
        <w:widowControl/>
        <w:adjustRightInd w:val="0"/>
        <w:snapToGrid w:val="0"/>
        <w:spacing w:line="360" w:lineRule="auto"/>
        <w:ind w:left="426"/>
        <w:jc w:val="left"/>
        <w:rPr>
          <w:rFonts w:cs="宋体"/>
          <w:snapToGrid w:val="0"/>
          <w:kern w:val="0"/>
          <w:szCs w:val="21"/>
        </w:rPr>
      </w:pPr>
      <w:r>
        <w:rPr>
          <w:rFonts w:hint="eastAsia" w:cs="宋体"/>
          <w:snapToGrid w:val="0"/>
          <w:kern w:val="0"/>
          <w:szCs w:val="21"/>
        </w:rPr>
        <w:t>（</w:t>
      </w:r>
      <w:r>
        <w:rPr>
          <w:rFonts w:cs="宋体"/>
          <w:snapToGrid w:val="0"/>
          <w:kern w:val="0"/>
          <w:szCs w:val="21"/>
        </w:rPr>
        <w:t>2</w:t>
      </w:r>
      <w:r>
        <w:rPr>
          <w:rFonts w:hint="eastAsia" w:cs="宋体"/>
          <w:snapToGrid w:val="0"/>
          <w:kern w:val="0"/>
          <w:szCs w:val="21"/>
        </w:rPr>
        <w:t>）8</w:t>
      </w:r>
      <w:r>
        <w:rPr>
          <w:rFonts w:cs="宋体"/>
          <w:snapToGrid w:val="0"/>
          <w:kern w:val="0"/>
          <w:szCs w:val="21"/>
        </w:rPr>
        <w:t>086/808</w:t>
      </w:r>
      <w:r>
        <w:rPr>
          <w:rFonts w:hint="eastAsia" w:cs="宋体"/>
          <w:snapToGrid w:val="0"/>
          <w:kern w:val="0"/>
          <w:szCs w:val="21"/>
        </w:rPr>
        <w:t>8中断系统的结构和和矢量中断的原理。（重点）</w:t>
      </w:r>
    </w:p>
    <w:p>
      <w:pPr>
        <w:widowControl/>
        <w:adjustRightInd w:val="0"/>
        <w:snapToGrid w:val="0"/>
        <w:spacing w:line="360" w:lineRule="auto"/>
        <w:ind w:left="426"/>
        <w:jc w:val="left"/>
        <w:rPr>
          <w:rFonts w:cs="宋体"/>
          <w:snapToGrid w:val="0"/>
          <w:kern w:val="0"/>
          <w:szCs w:val="21"/>
        </w:rPr>
      </w:pPr>
      <w:r>
        <w:rPr>
          <w:rFonts w:hint="eastAsia" w:cs="宋体"/>
          <w:snapToGrid w:val="0"/>
          <w:kern w:val="0"/>
          <w:szCs w:val="21"/>
        </w:rPr>
        <w:t>本章内容支撑课程目标1</w:t>
      </w:r>
    </w:p>
    <w:p>
      <w:pPr>
        <w:widowControl/>
        <w:adjustRightInd w:val="0"/>
        <w:snapToGrid w:val="0"/>
        <w:spacing w:line="360" w:lineRule="auto"/>
        <w:ind w:left="426"/>
        <w:jc w:val="left"/>
        <w:rPr>
          <w:rFonts w:eastAsia="黑体" w:cs="宋体"/>
          <w:snapToGrid w:val="0"/>
          <w:kern w:val="0"/>
          <w:szCs w:val="21"/>
        </w:rPr>
      </w:pPr>
      <w:r>
        <w:rPr>
          <w:rFonts w:eastAsia="黑体" w:cs="宋体"/>
          <w:snapToGrid w:val="0"/>
          <w:kern w:val="0"/>
          <w:szCs w:val="21"/>
        </w:rPr>
        <w:t>7</w:t>
      </w:r>
      <w:r>
        <w:rPr>
          <w:rFonts w:hint="eastAsia" w:eastAsia="黑体" w:cs="宋体"/>
          <w:snapToGrid w:val="0"/>
          <w:kern w:val="0"/>
          <w:szCs w:val="21"/>
        </w:rPr>
        <w:t>串、并行通信及接口电路（</w:t>
      </w:r>
      <w:r>
        <w:rPr>
          <w:rFonts w:eastAsia="黑体" w:cs="宋体"/>
          <w:snapToGrid w:val="0"/>
          <w:kern w:val="0"/>
          <w:szCs w:val="21"/>
        </w:rPr>
        <w:t>6</w:t>
      </w:r>
      <w:r>
        <w:rPr>
          <w:rFonts w:hint="eastAsia" w:eastAsia="黑体" w:cs="宋体"/>
          <w:snapToGrid w:val="0"/>
          <w:kern w:val="0"/>
          <w:szCs w:val="21"/>
        </w:rPr>
        <w:t>学时）</w:t>
      </w:r>
    </w:p>
    <w:p>
      <w:pPr>
        <w:widowControl/>
        <w:adjustRightInd w:val="0"/>
        <w:snapToGrid w:val="0"/>
        <w:spacing w:line="360" w:lineRule="auto"/>
        <w:ind w:left="426"/>
        <w:jc w:val="left"/>
        <w:rPr>
          <w:rFonts w:cs="宋体"/>
          <w:snapToGrid w:val="0"/>
          <w:kern w:val="0"/>
          <w:szCs w:val="21"/>
        </w:rPr>
      </w:pPr>
      <w:r>
        <w:rPr>
          <w:rFonts w:cs="宋体"/>
          <w:snapToGrid w:val="0"/>
          <w:kern w:val="0"/>
          <w:szCs w:val="21"/>
        </w:rPr>
        <w:t>7.1</w:t>
      </w:r>
      <w:r>
        <w:rPr>
          <w:rFonts w:hint="eastAsia" w:cs="宋体"/>
          <w:snapToGrid w:val="0"/>
          <w:kern w:val="0"/>
          <w:szCs w:val="21"/>
        </w:rPr>
        <w:t>、可编程并行通信接口</w:t>
      </w:r>
      <w:r>
        <w:rPr>
          <w:rFonts w:cs="宋体"/>
          <w:snapToGrid w:val="0"/>
          <w:kern w:val="0"/>
          <w:szCs w:val="21"/>
        </w:rPr>
        <w:t>8255A</w:t>
      </w:r>
      <w:r>
        <w:rPr>
          <w:rFonts w:hint="eastAsia" w:cs="宋体"/>
          <w:snapToGrid w:val="0"/>
          <w:kern w:val="0"/>
          <w:szCs w:val="21"/>
        </w:rPr>
        <w:t>；（重点）</w:t>
      </w:r>
    </w:p>
    <w:p>
      <w:pPr>
        <w:widowControl/>
        <w:adjustRightInd w:val="0"/>
        <w:snapToGrid w:val="0"/>
        <w:spacing w:line="360" w:lineRule="auto"/>
        <w:ind w:left="426"/>
        <w:jc w:val="left"/>
        <w:rPr>
          <w:rFonts w:cs="宋体"/>
          <w:snapToGrid w:val="0"/>
          <w:kern w:val="0"/>
          <w:szCs w:val="21"/>
        </w:rPr>
      </w:pPr>
      <w:r>
        <w:rPr>
          <w:rFonts w:cs="宋体"/>
          <w:snapToGrid w:val="0"/>
          <w:kern w:val="0"/>
          <w:szCs w:val="21"/>
        </w:rPr>
        <w:t>7.2</w:t>
      </w:r>
      <w:r>
        <w:rPr>
          <w:rFonts w:hint="eastAsia" w:cs="宋体"/>
          <w:snapToGrid w:val="0"/>
          <w:kern w:val="0"/>
          <w:szCs w:val="21"/>
        </w:rPr>
        <w:t>、</w:t>
      </w:r>
      <w:r>
        <w:rPr>
          <w:rFonts w:cs="宋体"/>
          <w:snapToGrid w:val="0"/>
          <w:kern w:val="0"/>
          <w:szCs w:val="21"/>
        </w:rPr>
        <w:t>8255</w:t>
      </w:r>
      <w:r>
        <w:rPr>
          <w:rFonts w:hint="eastAsia" w:cs="宋体"/>
          <w:snapToGrid w:val="0"/>
          <w:kern w:val="0"/>
          <w:szCs w:val="21"/>
        </w:rPr>
        <w:t>应用举例；</w:t>
      </w:r>
    </w:p>
    <w:p>
      <w:pPr>
        <w:widowControl/>
        <w:adjustRightInd w:val="0"/>
        <w:snapToGrid w:val="0"/>
        <w:spacing w:line="360" w:lineRule="auto"/>
        <w:ind w:left="426"/>
        <w:jc w:val="left"/>
        <w:rPr>
          <w:rFonts w:cs="宋体"/>
          <w:snapToGrid w:val="0"/>
          <w:kern w:val="0"/>
          <w:szCs w:val="21"/>
        </w:rPr>
      </w:pPr>
      <w:r>
        <w:rPr>
          <w:rFonts w:cs="宋体"/>
          <w:snapToGrid w:val="0"/>
          <w:kern w:val="0"/>
          <w:szCs w:val="21"/>
        </w:rPr>
        <w:t>7.</w:t>
      </w:r>
      <w:r>
        <w:rPr>
          <w:rFonts w:hint="eastAsia" w:cs="宋体"/>
          <w:snapToGrid w:val="0"/>
          <w:kern w:val="0"/>
          <w:szCs w:val="21"/>
        </w:rPr>
        <w:t>3、串行通信及串行接口</w:t>
      </w:r>
      <w:r>
        <w:rPr>
          <w:rFonts w:cs="宋体"/>
          <w:snapToGrid w:val="0"/>
          <w:kern w:val="0"/>
          <w:szCs w:val="21"/>
        </w:rPr>
        <w:t>8250</w:t>
      </w:r>
      <w:r>
        <w:rPr>
          <w:rFonts w:hint="eastAsia" w:cs="宋体"/>
          <w:snapToGrid w:val="0"/>
          <w:kern w:val="0"/>
          <w:szCs w:val="21"/>
        </w:rPr>
        <w:t>。</w:t>
      </w:r>
    </w:p>
    <w:p>
      <w:pPr>
        <w:widowControl/>
        <w:adjustRightInd w:val="0"/>
        <w:snapToGrid w:val="0"/>
        <w:spacing w:line="360" w:lineRule="auto"/>
        <w:ind w:left="426"/>
        <w:jc w:val="left"/>
        <w:rPr>
          <w:rFonts w:cs="宋体"/>
          <w:snapToGrid w:val="0"/>
          <w:kern w:val="0"/>
          <w:szCs w:val="21"/>
        </w:rPr>
      </w:pPr>
      <w:r>
        <w:rPr>
          <w:rFonts w:hint="eastAsia" w:cs="宋体"/>
          <w:snapToGrid w:val="0"/>
          <w:kern w:val="0"/>
          <w:szCs w:val="21"/>
        </w:rPr>
        <w:t>本章内容支撑课程目标</w:t>
      </w:r>
      <w:r>
        <w:rPr>
          <w:rFonts w:cs="宋体"/>
          <w:snapToGrid w:val="0"/>
          <w:kern w:val="0"/>
          <w:szCs w:val="21"/>
        </w:rPr>
        <w:t>2</w:t>
      </w:r>
    </w:p>
    <w:p>
      <w:pPr>
        <w:widowControl/>
        <w:adjustRightInd w:val="0"/>
        <w:snapToGrid w:val="0"/>
        <w:spacing w:line="360" w:lineRule="auto"/>
        <w:ind w:left="426"/>
        <w:jc w:val="left"/>
        <w:rPr>
          <w:rFonts w:eastAsia="黑体" w:cs="宋体"/>
          <w:snapToGrid w:val="0"/>
          <w:kern w:val="0"/>
          <w:szCs w:val="21"/>
        </w:rPr>
      </w:pPr>
      <w:r>
        <w:rPr>
          <w:rFonts w:eastAsia="黑体" w:cs="宋体"/>
          <w:snapToGrid w:val="0"/>
          <w:kern w:val="0"/>
          <w:szCs w:val="21"/>
        </w:rPr>
        <w:t>8</w:t>
      </w:r>
      <w:r>
        <w:rPr>
          <w:rFonts w:hint="eastAsia" w:eastAsia="黑体" w:cs="宋体"/>
          <w:snapToGrid w:val="0"/>
          <w:kern w:val="0"/>
          <w:szCs w:val="21"/>
        </w:rPr>
        <w:t>微机系统中的定时器</w:t>
      </w:r>
      <w:r>
        <w:rPr>
          <w:rFonts w:eastAsia="黑体" w:cs="宋体"/>
          <w:snapToGrid w:val="0"/>
          <w:kern w:val="0"/>
          <w:szCs w:val="21"/>
        </w:rPr>
        <w:t>/</w:t>
      </w:r>
      <w:r>
        <w:rPr>
          <w:rFonts w:hint="eastAsia" w:eastAsia="黑体" w:cs="宋体"/>
          <w:snapToGrid w:val="0"/>
          <w:kern w:val="0"/>
          <w:szCs w:val="21"/>
        </w:rPr>
        <w:t>计数器（</w:t>
      </w:r>
      <w:r>
        <w:rPr>
          <w:rFonts w:eastAsia="黑体" w:cs="宋体"/>
          <w:snapToGrid w:val="0"/>
          <w:kern w:val="0"/>
          <w:szCs w:val="21"/>
        </w:rPr>
        <w:t>4</w:t>
      </w:r>
      <w:r>
        <w:rPr>
          <w:rFonts w:hint="eastAsia" w:eastAsia="黑体" w:cs="宋体"/>
          <w:snapToGrid w:val="0"/>
          <w:kern w:val="0"/>
          <w:szCs w:val="21"/>
        </w:rPr>
        <w:t>学时）</w:t>
      </w:r>
    </w:p>
    <w:p>
      <w:pPr>
        <w:widowControl/>
        <w:adjustRightInd w:val="0"/>
        <w:snapToGrid w:val="0"/>
        <w:spacing w:line="360" w:lineRule="auto"/>
        <w:ind w:left="426"/>
        <w:jc w:val="left"/>
        <w:rPr>
          <w:rFonts w:cs="宋体"/>
          <w:snapToGrid w:val="0"/>
          <w:kern w:val="0"/>
          <w:szCs w:val="21"/>
        </w:rPr>
      </w:pPr>
      <w:r>
        <w:rPr>
          <w:rFonts w:cs="宋体"/>
          <w:snapToGrid w:val="0"/>
          <w:kern w:val="0"/>
          <w:szCs w:val="21"/>
        </w:rPr>
        <w:t>8.1</w:t>
      </w:r>
      <w:r>
        <w:rPr>
          <w:rFonts w:hint="eastAsia" w:cs="宋体"/>
          <w:snapToGrid w:val="0"/>
          <w:kern w:val="0"/>
          <w:szCs w:val="21"/>
        </w:rPr>
        <w:t>、定时器</w:t>
      </w:r>
      <w:r>
        <w:rPr>
          <w:rFonts w:cs="宋体"/>
          <w:snapToGrid w:val="0"/>
          <w:kern w:val="0"/>
          <w:szCs w:val="21"/>
        </w:rPr>
        <w:t>/</w:t>
      </w:r>
      <w:r>
        <w:rPr>
          <w:rFonts w:hint="eastAsia" w:cs="宋体"/>
          <w:snapToGrid w:val="0"/>
          <w:kern w:val="0"/>
          <w:szCs w:val="21"/>
        </w:rPr>
        <w:t>计数器概述；</w:t>
      </w:r>
    </w:p>
    <w:p>
      <w:pPr>
        <w:widowControl/>
        <w:adjustRightInd w:val="0"/>
        <w:snapToGrid w:val="0"/>
        <w:spacing w:line="360" w:lineRule="auto"/>
        <w:ind w:left="426"/>
        <w:jc w:val="left"/>
        <w:rPr>
          <w:rFonts w:cs="宋体"/>
          <w:snapToGrid w:val="0"/>
          <w:kern w:val="0"/>
          <w:szCs w:val="21"/>
        </w:rPr>
      </w:pPr>
      <w:r>
        <w:rPr>
          <w:rFonts w:cs="宋体"/>
          <w:snapToGrid w:val="0"/>
          <w:kern w:val="0"/>
          <w:szCs w:val="21"/>
        </w:rPr>
        <w:t>8.2</w:t>
      </w:r>
      <w:r>
        <w:rPr>
          <w:rFonts w:hint="eastAsia" w:cs="宋体"/>
          <w:snapToGrid w:val="0"/>
          <w:kern w:val="0"/>
          <w:szCs w:val="21"/>
        </w:rPr>
        <w:t>、可编程定时器</w:t>
      </w:r>
      <w:r>
        <w:rPr>
          <w:rFonts w:cs="宋体"/>
          <w:snapToGrid w:val="0"/>
          <w:kern w:val="0"/>
          <w:szCs w:val="21"/>
        </w:rPr>
        <w:t>/</w:t>
      </w:r>
      <w:r>
        <w:rPr>
          <w:rFonts w:hint="eastAsia" w:cs="宋体"/>
          <w:snapToGrid w:val="0"/>
          <w:kern w:val="0"/>
          <w:szCs w:val="21"/>
        </w:rPr>
        <w:t>计数器</w:t>
      </w:r>
      <w:r>
        <w:rPr>
          <w:rFonts w:cs="宋体"/>
          <w:snapToGrid w:val="0"/>
          <w:kern w:val="0"/>
          <w:szCs w:val="21"/>
        </w:rPr>
        <w:t>8253</w:t>
      </w:r>
      <w:r>
        <w:rPr>
          <w:rFonts w:hint="eastAsia" w:cs="宋体"/>
          <w:snapToGrid w:val="0"/>
          <w:kern w:val="0"/>
          <w:szCs w:val="21"/>
        </w:rPr>
        <w:t>；（重点）</w:t>
      </w:r>
    </w:p>
    <w:p>
      <w:pPr>
        <w:widowControl/>
        <w:adjustRightInd w:val="0"/>
        <w:snapToGrid w:val="0"/>
        <w:spacing w:line="360" w:lineRule="auto"/>
        <w:ind w:left="426"/>
        <w:jc w:val="left"/>
        <w:rPr>
          <w:rFonts w:cs="宋体"/>
          <w:snapToGrid w:val="0"/>
          <w:kern w:val="0"/>
          <w:szCs w:val="21"/>
        </w:rPr>
      </w:pPr>
      <w:r>
        <w:rPr>
          <w:rFonts w:cs="宋体"/>
          <w:snapToGrid w:val="0"/>
          <w:kern w:val="0"/>
          <w:szCs w:val="21"/>
        </w:rPr>
        <w:t>8.3</w:t>
      </w:r>
      <w:r>
        <w:rPr>
          <w:rFonts w:hint="eastAsia" w:cs="宋体"/>
          <w:snapToGrid w:val="0"/>
          <w:kern w:val="0"/>
          <w:szCs w:val="21"/>
        </w:rPr>
        <w:t>、</w:t>
      </w:r>
      <w:r>
        <w:rPr>
          <w:rFonts w:cs="宋体"/>
          <w:snapToGrid w:val="0"/>
          <w:kern w:val="0"/>
          <w:szCs w:val="21"/>
        </w:rPr>
        <w:t>8253</w:t>
      </w:r>
      <w:r>
        <w:rPr>
          <w:rFonts w:hint="eastAsia" w:cs="宋体"/>
          <w:snapToGrid w:val="0"/>
          <w:kern w:val="0"/>
          <w:szCs w:val="21"/>
        </w:rPr>
        <w:t>应用举例。</w:t>
      </w:r>
    </w:p>
    <w:p>
      <w:pPr>
        <w:widowControl/>
        <w:adjustRightInd w:val="0"/>
        <w:snapToGrid w:val="0"/>
        <w:spacing w:line="360" w:lineRule="auto"/>
        <w:ind w:left="426"/>
        <w:jc w:val="left"/>
        <w:rPr>
          <w:rFonts w:cs="宋体"/>
          <w:snapToGrid w:val="0"/>
          <w:kern w:val="0"/>
          <w:szCs w:val="21"/>
        </w:rPr>
      </w:pPr>
      <w:r>
        <w:rPr>
          <w:rFonts w:hint="eastAsia" w:cs="宋体"/>
          <w:snapToGrid w:val="0"/>
          <w:kern w:val="0"/>
          <w:szCs w:val="21"/>
        </w:rPr>
        <w:t>本章内容支撑课程目标</w:t>
      </w:r>
      <w:r>
        <w:rPr>
          <w:rFonts w:cs="宋体"/>
          <w:snapToGrid w:val="0"/>
          <w:kern w:val="0"/>
          <w:szCs w:val="21"/>
        </w:rPr>
        <w:t>2</w:t>
      </w:r>
    </w:p>
    <w:p>
      <w:pPr>
        <w:widowControl/>
        <w:adjustRightInd w:val="0"/>
        <w:snapToGrid w:val="0"/>
        <w:spacing w:line="360" w:lineRule="auto"/>
        <w:ind w:left="426"/>
        <w:jc w:val="left"/>
        <w:rPr>
          <w:rFonts w:eastAsia="黑体" w:cs="宋体"/>
          <w:snapToGrid w:val="0"/>
          <w:kern w:val="0"/>
          <w:szCs w:val="21"/>
        </w:rPr>
      </w:pPr>
      <w:r>
        <w:rPr>
          <w:rFonts w:eastAsia="黑体" w:cs="宋体"/>
          <w:snapToGrid w:val="0"/>
          <w:kern w:val="0"/>
          <w:szCs w:val="21"/>
        </w:rPr>
        <w:t>9.</w:t>
      </w:r>
      <w:r>
        <w:rPr>
          <w:rFonts w:hint="eastAsia" w:eastAsia="黑体" w:cs="宋体"/>
          <w:snapToGrid w:val="0"/>
          <w:kern w:val="0"/>
          <w:szCs w:val="21"/>
        </w:rPr>
        <w:t>微机系统中的</w:t>
      </w:r>
      <w:r>
        <w:rPr>
          <w:rFonts w:eastAsia="黑体" w:cs="宋体"/>
          <w:snapToGrid w:val="0"/>
          <w:kern w:val="0"/>
          <w:szCs w:val="21"/>
        </w:rPr>
        <w:t>A/D</w:t>
      </w:r>
      <w:r>
        <w:rPr>
          <w:rFonts w:hint="eastAsia" w:eastAsia="黑体" w:cs="宋体"/>
          <w:snapToGrid w:val="0"/>
          <w:kern w:val="0"/>
          <w:szCs w:val="21"/>
        </w:rPr>
        <w:t>、</w:t>
      </w:r>
      <w:r>
        <w:rPr>
          <w:rFonts w:eastAsia="黑体" w:cs="宋体"/>
          <w:snapToGrid w:val="0"/>
          <w:kern w:val="0"/>
          <w:szCs w:val="21"/>
        </w:rPr>
        <w:t>D/A</w:t>
      </w:r>
      <w:r>
        <w:rPr>
          <w:rFonts w:hint="eastAsia" w:eastAsia="黑体" w:cs="宋体"/>
          <w:snapToGrid w:val="0"/>
          <w:kern w:val="0"/>
          <w:szCs w:val="21"/>
        </w:rPr>
        <w:t>转换器接口（</w:t>
      </w:r>
      <w:r>
        <w:rPr>
          <w:rFonts w:eastAsia="黑体" w:cs="宋体"/>
          <w:snapToGrid w:val="0"/>
          <w:kern w:val="0"/>
          <w:szCs w:val="21"/>
        </w:rPr>
        <w:t>2</w:t>
      </w:r>
      <w:r>
        <w:rPr>
          <w:rFonts w:hint="eastAsia" w:eastAsia="黑体" w:cs="宋体"/>
          <w:snapToGrid w:val="0"/>
          <w:kern w:val="0"/>
          <w:szCs w:val="21"/>
        </w:rPr>
        <w:t>学时）</w:t>
      </w:r>
    </w:p>
    <w:p>
      <w:pPr>
        <w:widowControl/>
        <w:adjustRightInd w:val="0"/>
        <w:snapToGrid w:val="0"/>
        <w:spacing w:line="360" w:lineRule="auto"/>
        <w:ind w:left="426"/>
        <w:jc w:val="left"/>
        <w:rPr>
          <w:rFonts w:cs="宋体"/>
          <w:snapToGrid w:val="0"/>
          <w:kern w:val="0"/>
          <w:szCs w:val="21"/>
        </w:rPr>
      </w:pPr>
      <w:r>
        <w:rPr>
          <w:rFonts w:cs="宋体"/>
          <w:snapToGrid w:val="0"/>
          <w:kern w:val="0"/>
          <w:szCs w:val="21"/>
        </w:rPr>
        <w:t>9.1</w:t>
      </w:r>
      <w:r>
        <w:rPr>
          <w:rFonts w:hint="eastAsia" w:cs="宋体"/>
          <w:snapToGrid w:val="0"/>
          <w:kern w:val="0"/>
          <w:szCs w:val="21"/>
        </w:rPr>
        <w:t>、</w:t>
      </w:r>
      <w:r>
        <w:rPr>
          <w:rFonts w:cs="宋体"/>
          <w:snapToGrid w:val="0"/>
          <w:kern w:val="0"/>
          <w:szCs w:val="21"/>
        </w:rPr>
        <w:t>A/D</w:t>
      </w:r>
      <w:r>
        <w:rPr>
          <w:rFonts w:hint="eastAsia" w:cs="宋体"/>
          <w:snapToGrid w:val="0"/>
          <w:kern w:val="0"/>
          <w:szCs w:val="21"/>
        </w:rPr>
        <w:t>转换器接口原理及</w:t>
      </w:r>
      <w:r>
        <w:rPr>
          <w:rFonts w:cs="宋体"/>
          <w:snapToGrid w:val="0"/>
          <w:kern w:val="0"/>
          <w:szCs w:val="21"/>
        </w:rPr>
        <w:t>应用</w:t>
      </w:r>
      <w:r>
        <w:rPr>
          <w:rFonts w:hint="eastAsia" w:cs="宋体"/>
          <w:snapToGrid w:val="0"/>
          <w:kern w:val="0"/>
          <w:szCs w:val="21"/>
        </w:rPr>
        <w:t>；</w:t>
      </w:r>
    </w:p>
    <w:p>
      <w:pPr>
        <w:widowControl/>
        <w:adjustRightInd w:val="0"/>
        <w:snapToGrid w:val="0"/>
        <w:spacing w:line="360" w:lineRule="auto"/>
        <w:ind w:left="426"/>
        <w:jc w:val="left"/>
        <w:rPr>
          <w:rFonts w:cs="宋体"/>
          <w:snapToGrid w:val="0"/>
          <w:kern w:val="0"/>
          <w:szCs w:val="21"/>
        </w:rPr>
      </w:pPr>
      <w:r>
        <w:rPr>
          <w:rFonts w:cs="宋体"/>
          <w:snapToGrid w:val="0"/>
          <w:kern w:val="0"/>
          <w:szCs w:val="21"/>
        </w:rPr>
        <w:t>9.2</w:t>
      </w:r>
      <w:r>
        <w:rPr>
          <w:rFonts w:hint="eastAsia" w:cs="宋体"/>
          <w:snapToGrid w:val="0"/>
          <w:kern w:val="0"/>
          <w:szCs w:val="21"/>
        </w:rPr>
        <w:t>、</w:t>
      </w:r>
      <w:r>
        <w:rPr>
          <w:rFonts w:cs="宋体"/>
          <w:snapToGrid w:val="0"/>
          <w:kern w:val="0"/>
          <w:szCs w:val="21"/>
        </w:rPr>
        <w:t>D/A</w:t>
      </w:r>
      <w:r>
        <w:rPr>
          <w:rFonts w:hint="eastAsia" w:cs="宋体"/>
          <w:snapToGrid w:val="0"/>
          <w:kern w:val="0"/>
          <w:szCs w:val="21"/>
        </w:rPr>
        <w:t>转换器接口原理及</w:t>
      </w:r>
      <w:r>
        <w:rPr>
          <w:rFonts w:cs="宋体"/>
          <w:snapToGrid w:val="0"/>
          <w:kern w:val="0"/>
          <w:szCs w:val="21"/>
        </w:rPr>
        <w:t>应用</w:t>
      </w:r>
      <w:r>
        <w:rPr>
          <w:rFonts w:hint="eastAsia" w:cs="宋体"/>
          <w:snapToGrid w:val="0"/>
          <w:kern w:val="0"/>
          <w:szCs w:val="21"/>
        </w:rPr>
        <w:t>。</w:t>
      </w:r>
    </w:p>
    <w:p>
      <w:pPr>
        <w:widowControl/>
        <w:adjustRightInd w:val="0"/>
        <w:snapToGrid w:val="0"/>
        <w:spacing w:line="360" w:lineRule="auto"/>
        <w:ind w:left="426"/>
        <w:jc w:val="left"/>
        <w:rPr>
          <w:rFonts w:cs="宋体"/>
          <w:snapToGrid w:val="0"/>
          <w:kern w:val="0"/>
          <w:szCs w:val="21"/>
        </w:rPr>
      </w:pPr>
      <w:r>
        <w:rPr>
          <w:rFonts w:hint="eastAsia" w:cs="宋体"/>
          <w:snapToGrid w:val="0"/>
          <w:kern w:val="0"/>
          <w:szCs w:val="21"/>
        </w:rPr>
        <w:t>本章内容支撑课程目标</w:t>
      </w:r>
      <w:r>
        <w:rPr>
          <w:rFonts w:cs="宋体"/>
          <w:snapToGrid w:val="0"/>
          <w:kern w:val="0"/>
          <w:szCs w:val="21"/>
        </w:rPr>
        <w:t>2</w:t>
      </w:r>
    </w:p>
    <w:p>
      <w:pPr>
        <w:widowControl/>
        <w:adjustRightInd w:val="0"/>
        <w:snapToGrid w:val="0"/>
        <w:spacing w:line="360" w:lineRule="auto"/>
        <w:ind w:left="426"/>
        <w:jc w:val="left"/>
        <w:rPr>
          <w:rFonts w:eastAsia="黑体" w:cs="宋体"/>
          <w:snapToGrid w:val="0"/>
          <w:kern w:val="0"/>
          <w:szCs w:val="21"/>
        </w:rPr>
      </w:pPr>
      <w:r>
        <w:rPr>
          <w:rFonts w:eastAsia="黑体" w:cs="宋体"/>
          <w:snapToGrid w:val="0"/>
          <w:kern w:val="0"/>
          <w:szCs w:val="21"/>
        </w:rPr>
        <w:t>10</w:t>
      </w:r>
      <w:r>
        <w:rPr>
          <w:rFonts w:hint="eastAsia" w:eastAsia="黑体" w:cs="宋体"/>
          <w:snapToGrid w:val="0"/>
          <w:kern w:val="0"/>
          <w:szCs w:val="21"/>
        </w:rPr>
        <w:t>键盘、显示器接口设计（</w:t>
      </w:r>
      <w:r>
        <w:rPr>
          <w:rFonts w:eastAsia="黑体" w:cs="宋体"/>
          <w:snapToGrid w:val="0"/>
          <w:kern w:val="0"/>
          <w:szCs w:val="21"/>
        </w:rPr>
        <w:t>2</w:t>
      </w:r>
      <w:r>
        <w:rPr>
          <w:rFonts w:hint="eastAsia" w:eastAsia="黑体" w:cs="宋体"/>
          <w:snapToGrid w:val="0"/>
          <w:kern w:val="0"/>
          <w:szCs w:val="21"/>
        </w:rPr>
        <w:t>学时）</w:t>
      </w:r>
    </w:p>
    <w:p>
      <w:pPr>
        <w:widowControl/>
        <w:adjustRightInd w:val="0"/>
        <w:snapToGrid w:val="0"/>
        <w:spacing w:line="360" w:lineRule="auto"/>
        <w:ind w:left="426"/>
        <w:jc w:val="left"/>
        <w:rPr>
          <w:rFonts w:cs="宋体"/>
          <w:snapToGrid w:val="0"/>
          <w:kern w:val="0"/>
          <w:szCs w:val="21"/>
        </w:rPr>
      </w:pPr>
      <w:r>
        <w:rPr>
          <w:rFonts w:cs="宋体"/>
          <w:snapToGrid w:val="0"/>
          <w:kern w:val="0"/>
          <w:szCs w:val="21"/>
        </w:rPr>
        <w:t>10.1</w:t>
      </w:r>
      <w:r>
        <w:rPr>
          <w:rFonts w:hint="eastAsia" w:cs="宋体"/>
          <w:snapToGrid w:val="0"/>
          <w:kern w:val="0"/>
          <w:szCs w:val="21"/>
        </w:rPr>
        <w:t>、键盘接口设计；</w:t>
      </w:r>
    </w:p>
    <w:p>
      <w:pPr>
        <w:widowControl/>
        <w:adjustRightInd w:val="0"/>
        <w:snapToGrid w:val="0"/>
        <w:spacing w:line="360" w:lineRule="auto"/>
        <w:ind w:left="426"/>
        <w:jc w:val="left"/>
        <w:rPr>
          <w:rFonts w:cs="宋体"/>
          <w:snapToGrid w:val="0"/>
          <w:kern w:val="0"/>
          <w:szCs w:val="21"/>
        </w:rPr>
      </w:pPr>
      <w:r>
        <w:rPr>
          <w:rFonts w:cs="宋体"/>
          <w:snapToGrid w:val="0"/>
          <w:kern w:val="0"/>
          <w:szCs w:val="21"/>
        </w:rPr>
        <w:t>10.2</w:t>
      </w:r>
      <w:r>
        <w:rPr>
          <w:rFonts w:hint="eastAsia" w:cs="宋体"/>
          <w:snapToGrid w:val="0"/>
          <w:kern w:val="0"/>
          <w:szCs w:val="21"/>
        </w:rPr>
        <w:t>、显示器接口设计。</w:t>
      </w:r>
    </w:p>
    <w:p>
      <w:pPr>
        <w:widowControl/>
        <w:adjustRightInd w:val="0"/>
        <w:snapToGrid w:val="0"/>
        <w:spacing w:line="360" w:lineRule="auto"/>
        <w:ind w:left="426"/>
        <w:jc w:val="left"/>
        <w:rPr>
          <w:rFonts w:cs="宋体"/>
          <w:snapToGrid w:val="0"/>
          <w:kern w:val="0"/>
          <w:szCs w:val="21"/>
        </w:rPr>
      </w:pPr>
      <w:r>
        <w:rPr>
          <w:rFonts w:hint="eastAsia" w:cs="宋体"/>
          <w:snapToGrid w:val="0"/>
          <w:kern w:val="0"/>
          <w:szCs w:val="21"/>
        </w:rPr>
        <w:t>本章内容支撑课程目标</w:t>
      </w:r>
      <w:r>
        <w:rPr>
          <w:rFonts w:cs="宋体"/>
          <w:snapToGrid w:val="0"/>
          <w:kern w:val="0"/>
          <w:szCs w:val="21"/>
        </w:rPr>
        <w:t>3</w:t>
      </w:r>
    </w:p>
    <w:p>
      <w:pPr>
        <w:widowControl/>
        <w:adjustRightInd w:val="0"/>
        <w:snapToGrid w:val="0"/>
        <w:spacing w:line="360" w:lineRule="auto"/>
        <w:ind w:left="426"/>
        <w:jc w:val="left"/>
        <w:rPr>
          <w:rFonts w:cs="宋体"/>
          <w:snapToGrid w:val="0"/>
          <w:kern w:val="0"/>
          <w:szCs w:val="21"/>
        </w:rPr>
      </w:pPr>
    </w:p>
    <w:p>
      <w:pPr>
        <w:tabs>
          <w:tab w:val="left" w:pos="420"/>
        </w:tabs>
        <w:adjustRightInd w:val="0"/>
        <w:snapToGrid w:val="0"/>
        <w:spacing w:line="360" w:lineRule="auto"/>
        <w:ind w:left="420" w:hanging="420"/>
        <w:rPr>
          <w:rFonts w:eastAsia="黑体"/>
          <w:szCs w:val="24"/>
        </w:rPr>
      </w:pPr>
      <w:r>
        <w:rPr>
          <w:rFonts w:hint="eastAsia" w:eastAsia="黑体"/>
          <w:szCs w:val="24"/>
        </w:rPr>
        <w:t>五、实验内容</w:t>
      </w:r>
      <w:r>
        <w:rPr>
          <w:rFonts w:hint="eastAsia" w:ascii="黑体" w:hAnsi="宋体" w:eastAsia="黑体" w:cs="宋体"/>
          <w:snapToGrid w:val="0"/>
          <w:kern w:val="0"/>
          <w:szCs w:val="21"/>
        </w:rPr>
        <w:t>（没有实验的课也要保留本章节，内容写“无”）</w:t>
      </w:r>
    </w:p>
    <w:p>
      <w:pPr>
        <w:adjustRightInd w:val="0"/>
        <w:snapToGrid w:val="0"/>
        <w:spacing w:line="360" w:lineRule="auto"/>
        <w:ind w:firstLine="420" w:firstLineChars="200"/>
        <w:rPr>
          <w:rFonts w:cs="宋体"/>
          <w:kern w:val="0"/>
          <w:szCs w:val="21"/>
        </w:rPr>
      </w:pPr>
      <w:r>
        <w:rPr>
          <w:rFonts w:hint="eastAsia" w:cs="宋体"/>
          <w:kern w:val="0"/>
          <w:szCs w:val="21"/>
        </w:rPr>
        <w:t>实验环节主要是上机操作与运用实验箱运行、验证程序，要求保证上机条件及实验箱正常；掌握在汇编集成开发环境下程序设计方法；掌握使用实验箱验证程序功能的方法。</w:t>
      </w:r>
    </w:p>
    <w:p>
      <w:pPr>
        <w:adjustRightInd w:val="0"/>
        <w:snapToGrid w:val="0"/>
        <w:spacing w:line="360" w:lineRule="auto"/>
        <w:ind w:firstLine="420" w:firstLineChars="200"/>
        <w:rPr>
          <w:rFonts w:cs="宋体"/>
          <w:kern w:val="0"/>
          <w:szCs w:val="21"/>
        </w:rPr>
      </w:pPr>
      <w:r>
        <w:rPr>
          <w:rFonts w:hint="eastAsia" w:cs="宋体"/>
          <w:kern w:val="0"/>
          <w:szCs w:val="21"/>
        </w:rPr>
        <w:t>10个学时共完成5个实验，均为正常课内实验。实验前讲解实验要求和指导。</w:t>
      </w:r>
    </w:p>
    <w:p>
      <w:pPr>
        <w:widowControl/>
        <w:adjustRightInd w:val="0"/>
        <w:snapToGrid w:val="0"/>
        <w:spacing w:line="360" w:lineRule="auto"/>
        <w:ind w:left="426"/>
        <w:jc w:val="left"/>
        <w:rPr>
          <w:rFonts w:eastAsia="黑体" w:cs="宋体"/>
          <w:snapToGrid w:val="0"/>
          <w:kern w:val="0"/>
          <w:szCs w:val="21"/>
        </w:rPr>
      </w:pPr>
      <w:r>
        <w:rPr>
          <w:rFonts w:hint="eastAsia" w:eastAsia="黑体" w:cs="宋体"/>
          <w:snapToGrid w:val="0"/>
          <w:kern w:val="0"/>
          <w:szCs w:val="21"/>
        </w:rPr>
        <w:t>实验一汇编语言程序设计与调试环境 (2学时)</w:t>
      </w:r>
    </w:p>
    <w:p>
      <w:pPr>
        <w:adjustRightInd w:val="0"/>
        <w:snapToGrid w:val="0"/>
        <w:spacing w:line="360" w:lineRule="auto"/>
        <w:ind w:firstLine="420" w:firstLineChars="200"/>
        <w:rPr>
          <w:rFonts w:cs="宋体"/>
          <w:kern w:val="0"/>
          <w:szCs w:val="21"/>
        </w:rPr>
      </w:pPr>
      <w:r>
        <w:rPr>
          <w:rFonts w:hint="eastAsia" w:cs="宋体"/>
          <w:kern w:val="0"/>
          <w:szCs w:val="21"/>
        </w:rPr>
        <w:t>内容：</w:t>
      </w:r>
    </w:p>
    <w:p>
      <w:pPr>
        <w:adjustRightInd w:val="0"/>
        <w:snapToGrid w:val="0"/>
        <w:spacing w:line="360" w:lineRule="auto"/>
        <w:ind w:firstLine="420" w:firstLineChars="200"/>
        <w:rPr>
          <w:rFonts w:cs="宋体"/>
          <w:kern w:val="0"/>
          <w:szCs w:val="21"/>
        </w:rPr>
      </w:pPr>
      <w:r>
        <w:rPr>
          <w:rFonts w:hint="eastAsia" w:cs="宋体"/>
          <w:kern w:val="0"/>
          <w:szCs w:val="21"/>
        </w:rPr>
        <w:t>1、在教师的带领下，完成一个简单汇编程序的录入、汇编、调试、运行；</w:t>
      </w:r>
    </w:p>
    <w:p>
      <w:pPr>
        <w:adjustRightInd w:val="0"/>
        <w:snapToGrid w:val="0"/>
        <w:spacing w:line="360" w:lineRule="auto"/>
        <w:ind w:firstLine="420" w:firstLineChars="200"/>
        <w:rPr>
          <w:rFonts w:cs="宋体"/>
          <w:kern w:val="0"/>
          <w:szCs w:val="21"/>
        </w:rPr>
      </w:pPr>
      <w:r>
        <w:rPr>
          <w:rFonts w:hint="eastAsia" w:cs="宋体"/>
          <w:kern w:val="0"/>
          <w:szCs w:val="21"/>
        </w:rPr>
        <w:t>2、由学生独立完成一个排序程序的录入、汇编、调试、运行；</w:t>
      </w:r>
    </w:p>
    <w:p>
      <w:pPr>
        <w:adjustRightInd w:val="0"/>
        <w:snapToGrid w:val="0"/>
        <w:spacing w:line="360" w:lineRule="auto"/>
        <w:ind w:firstLine="420" w:firstLineChars="200"/>
        <w:rPr>
          <w:rFonts w:cs="宋体"/>
          <w:kern w:val="0"/>
          <w:szCs w:val="21"/>
        </w:rPr>
      </w:pPr>
      <w:r>
        <w:rPr>
          <w:rFonts w:hint="eastAsia" w:cs="宋体"/>
          <w:kern w:val="0"/>
          <w:szCs w:val="21"/>
        </w:rPr>
        <w:t>基本要求：</w:t>
      </w:r>
    </w:p>
    <w:p>
      <w:pPr>
        <w:adjustRightInd w:val="0"/>
        <w:snapToGrid w:val="0"/>
        <w:spacing w:line="360" w:lineRule="auto"/>
        <w:ind w:firstLine="420" w:firstLineChars="200"/>
        <w:rPr>
          <w:rFonts w:cs="宋体"/>
          <w:kern w:val="0"/>
          <w:szCs w:val="21"/>
        </w:rPr>
      </w:pPr>
      <w:r>
        <w:rPr>
          <w:rFonts w:hint="eastAsia" w:cs="宋体"/>
          <w:kern w:val="0"/>
          <w:szCs w:val="21"/>
        </w:rPr>
        <w:t>1、使学生熟悉实验系统；</w:t>
      </w:r>
    </w:p>
    <w:p>
      <w:pPr>
        <w:adjustRightInd w:val="0"/>
        <w:snapToGrid w:val="0"/>
        <w:spacing w:line="360" w:lineRule="auto"/>
        <w:ind w:firstLine="420" w:firstLineChars="200"/>
        <w:rPr>
          <w:rFonts w:cs="宋体"/>
          <w:kern w:val="0"/>
          <w:szCs w:val="21"/>
        </w:rPr>
      </w:pPr>
      <w:r>
        <w:rPr>
          <w:rFonts w:hint="eastAsia" w:cs="宋体"/>
          <w:kern w:val="0"/>
          <w:szCs w:val="21"/>
        </w:rPr>
        <w:t>2、学习汇编语言程序设计中工具软件（Edit、masm、link、DEBUG）的使用；</w:t>
      </w:r>
    </w:p>
    <w:p>
      <w:pPr>
        <w:adjustRightInd w:val="0"/>
        <w:snapToGrid w:val="0"/>
        <w:spacing w:line="360" w:lineRule="auto"/>
        <w:ind w:firstLine="420" w:firstLineChars="200"/>
        <w:rPr>
          <w:rFonts w:cs="宋体"/>
          <w:kern w:val="0"/>
          <w:szCs w:val="21"/>
        </w:rPr>
      </w:pPr>
      <w:r>
        <w:rPr>
          <w:rFonts w:hint="eastAsia" w:cs="宋体"/>
          <w:kern w:val="0"/>
          <w:szCs w:val="21"/>
        </w:rPr>
        <w:t>3、学习分支、循环程序的结构及编程方法。</w:t>
      </w:r>
    </w:p>
    <w:p>
      <w:pPr>
        <w:adjustRightInd w:val="0"/>
        <w:snapToGrid w:val="0"/>
        <w:spacing w:line="360" w:lineRule="auto"/>
        <w:ind w:firstLine="420" w:firstLineChars="200"/>
        <w:rPr>
          <w:rFonts w:cs="宋体"/>
          <w:kern w:val="0"/>
          <w:szCs w:val="21"/>
        </w:rPr>
      </w:pPr>
      <w:r>
        <w:rPr>
          <w:rFonts w:hint="eastAsia" w:cs="宋体"/>
          <w:kern w:val="0"/>
          <w:szCs w:val="21"/>
        </w:rPr>
        <w:t>本实验支撑课程目标1。</w:t>
      </w:r>
    </w:p>
    <w:p>
      <w:pPr>
        <w:widowControl/>
        <w:adjustRightInd w:val="0"/>
        <w:snapToGrid w:val="0"/>
        <w:spacing w:line="360" w:lineRule="auto"/>
        <w:ind w:left="426"/>
        <w:jc w:val="left"/>
        <w:rPr>
          <w:rFonts w:eastAsia="黑体" w:cs="宋体"/>
          <w:snapToGrid w:val="0"/>
          <w:kern w:val="0"/>
          <w:szCs w:val="21"/>
        </w:rPr>
      </w:pPr>
      <w:r>
        <w:rPr>
          <w:rFonts w:hint="eastAsia" w:eastAsia="黑体" w:cs="宋体"/>
          <w:snapToGrid w:val="0"/>
          <w:kern w:val="0"/>
          <w:szCs w:val="21"/>
        </w:rPr>
        <w:t>实验二主-子程序、循环程序设计（2学时）</w:t>
      </w:r>
    </w:p>
    <w:p>
      <w:pPr>
        <w:adjustRightInd w:val="0"/>
        <w:snapToGrid w:val="0"/>
        <w:spacing w:line="360" w:lineRule="auto"/>
        <w:ind w:firstLine="420" w:firstLineChars="200"/>
        <w:rPr>
          <w:rFonts w:cs="宋体"/>
          <w:kern w:val="0"/>
          <w:szCs w:val="21"/>
        </w:rPr>
      </w:pPr>
      <w:r>
        <w:rPr>
          <w:rFonts w:hint="eastAsia" w:cs="宋体"/>
          <w:kern w:val="0"/>
          <w:szCs w:val="21"/>
        </w:rPr>
        <w:t>内容：</w:t>
      </w:r>
    </w:p>
    <w:p>
      <w:pPr>
        <w:adjustRightInd w:val="0"/>
        <w:snapToGrid w:val="0"/>
        <w:spacing w:line="360" w:lineRule="auto"/>
        <w:ind w:firstLine="420" w:firstLineChars="200"/>
        <w:rPr>
          <w:rFonts w:cs="宋体"/>
          <w:kern w:val="0"/>
          <w:szCs w:val="21"/>
        </w:rPr>
      </w:pPr>
      <w:r>
        <w:rPr>
          <w:rFonts w:hint="eastAsia" w:cs="宋体"/>
          <w:kern w:val="0"/>
          <w:szCs w:val="21"/>
        </w:rPr>
        <w:t>1、编写一个主-子程序将内存中以BCD形式存放的10个两位十进制数转换成二进制数；</w:t>
      </w:r>
    </w:p>
    <w:p>
      <w:pPr>
        <w:adjustRightInd w:val="0"/>
        <w:snapToGrid w:val="0"/>
        <w:spacing w:line="360" w:lineRule="auto"/>
        <w:ind w:firstLine="420" w:firstLineChars="200"/>
        <w:rPr>
          <w:rFonts w:cs="宋体"/>
          <w:kern w:val="0"/>
          <w:szCs w:val="21"/>
        </w:rPr>
      </w:pPr>
      <w:r>
        <w:rPr>
          <w:rFonts w:hint="eastAsia" w:cs="宋体"/>
          <w:kern w:val="0"/>
          <w:szCs w:val="21"/>
        </w:rPr>
        <w:t>2、编写一个排序程序，将内存中的字节型无符号整数，从小到大排序。</w:t>
      </w:r>
    </w:p>
    <w:p>
      <w:pPr>
        <w:adjustRightInd w:val="0"/>
        <w:snapToGrid w:val="0"/>
        <w:spacing w:line="360" w:lineRule="auto"/>
        <w:ind w:firstLine="420" w:firstLineChars="200"/>
        <w:rPr>
          <w:rFonts w:cs="宋体"/>
          <w:kern w:val="0"/>
          <w:szCs w:val="21"/>
        </w:rPr>
      </w:pPr>
      <w:r>
        <w:rPr>
          <w:rFonts w:hint="eastAsia" w:cs="宋体"/>
          <w:kern w:val="0"/>
          <w:szCs w:val="21"/>
        </w:rPr>
        <w:t>3、完成程序的上机调试。</w:t>
      </w:r>
    </w:p>
    <w:p>
      <w:pPr>
        <w:adjustRightInd w:val="0"/>
        <w:snapToGrid w:val="0"/>
        <w:spacing w:line="360" w:lineRule="auto"/>
        <w:ind w:firstLine="420" w:firstLineChars="200"/>
        <w:rPr>
          <w:rFonts w:cs="宋体"/>
          <w:kern w:val="0"/>
          <w:szCs w:val="21"/>
        </w:rPr>
      </w:pPr>
      <w:r>
        <w:rPr>
          <w:rFonts w:hint="eastAsia" w:cs="宋体"/>
          <w:kern w:val="0"/>
          <w:szCs w:val="21"/>
        </w:rPr>
        <w:t>基本要求：</w:t>
      </w:r>
    </w:p>
    <w:p>
      <w:pPr>
        <w:adjustRightInd w:val="0"/>
        <w:snapToGrid w:val="0"/>
        <w:spacing w:line="360" w:lineRule="auto"/>
        <w:ind w:firstLine="420" w:firstLineChars="200"/>
        <w:rPr>
          <w:rFonts w:cs="宋体"/>
          <w:kern w:val="0"/>
          <w:szCs w:val="21"/>
        </w:rPr>
      </w:pPr>
      <w:r>
        <w:rPr>
          <w:rFonts w:hint="eastAsia" w:cs="宋体"/>
          <w:kern w:val="0"/>
          <w:szCs w:val="21"/>
        </w:rPr>
        <w:t>1、学习主子结构程序、循环程序的编程方法；</w:t>
      </w:r>
    </w:p>
    <w:p>
      <w:pPr>
        <w:adjustRightInd w:val="0"/>
        <w:snapToGrid w:val="0"/>
        <w:spacing w:line="360" w:lineRule="auto"/>
        <w:ind w:firstLine="420" w:firstLineChars="200"/>
        <w:rPr>
          <w:rFonts w:cs="宋体"/>
          <w:kern w:val="0"/>
          <w:szCs w:val="21"/>
        </w:rPr>
      </w:pPr>
      <w:r>
        <w:rPr>
          <w:rFonts w:hint="eastAsia" w:cs="宋体"/>
          <w:kern w:val="0"/>
          <w:szCs w:val="21"/>
        </w:rPr>
        <w:t>2、学习单步运行、断点运行等程序调试方法。</w:t>
      </w:r>
    </w:p>
    <w:p>
      <w:pPr>
        <w:adjustRightInd w:val="0"/>
        <w:snapToGrid w:val="0"/>
        <w:spacing w:line="360" w:lineRule="auto"/>
        <w:ind w:firstLine="420" w:firstLineChars="200"/>
        <w:rPr>
          <w:rFonts w:cs="宋体"/>
          <w:kern w:val="0"/>
          <w:szCs w:val="21"/>
        </w:rPr>
      </w:pPr>
      <w:r>
        <w:rPr>
          <w:rFonts w:hint="eastAsia" w:cs="宋体"/>
          <w:kern w:val="0"/>
          <w:szCs w:val="21"/>
        </w:rPr>
        <w:t>本实验支撑课程目标1、2。</w:t>
      </w:r>
    </w:p>
    <w:p>
      <w:pPr>
        <w:widowControl/>
        <w:adjustRightInd w:val="0"/>
        <w:snapToGrid w:val="0"/>
        <w:spacing w:line="360" w:lineRule="auto"/>
        <w:ind w:left="426"/>
        <w:jc w:val="left"/>
        <w:rPr>
          <w:rFonts w:eastAsia="黑体" w:cs="宋体"/>
          <w:snapToGrid w:val="0"/>
          <w:kern w:val="0"/>
          <w:szCs w:val="21"/>
        </w:rPr>
      </w:pPr>
      <w:r>
        <w:rPr>
          <w:rFonts w:hint="eastAsia" w:eastAsia="黑体" w:cs="宋体"/>
          <w:snapToGrid w:val="0"/>
          <w:kern w:val="0"/>
          <w:szCs w:val="21"/>
        </w:rPr>
        <w:t>实验三 8255并行接口实验（2学时）</w:t>
      </w:r>
    </w:p>
    <w:p>
      <w:pPr>
        <w:adjustRightInd w:val="0"/>
        <w:snapToGrid w:val="0"/>
        <w:spacing w:line="360" w:lineRule="auto"/>
        <w:ind w:firstLine="420" w:firstLineChars="200"/>
        <w:rPr>
          <w:rFonts w:cs="宋体"/>
          <w:kern w:val="0"/>
          <w:szCs w:val="21"/>
        </w:rPr>
      </w:pPr>
      <w:r>
        <w:rPr>
          <w:rFonts w:hint="eastAsia" w:cs="宋体"/>
          <w:kern w:val="0"/>
          <w:szCs w:val="21"/>
        </w:rPr>
        <w:t>内容：</w:t>
      </w:r>
    </w:p>
    <w:p>
      <w:pPr>
        <w:adjustRightInd w:val="0"/>
        <w:snapToGrid w:val="0"/>
        <w:spacing w:line="360" w:lineRule="auto"/>
        <w:ind w:firstLine="420" w:firstLineChars="200"/>
        <w:rPr>
          <w:rFonts w:cs="宋体"/>
          <w:kern w:val="0"/>
          <w:szCs w:val="21"/>
        </w:rPr>
      </w:pPr>
      <w:r>
        <w:rPr>
          <w:rFonts w:hint="eastAsia" w:cs="宋体"/>
          <w:kern w:val="0"/>
          <w:szCs w:val="21"/>
        </w:rPr>
        <w:t>1、利用实验箱上的8255、开关和LED模块搭建一个实验系统；</w:t>
      </w:r>
    </w:p>
    <w:p>
      <w:pPr>
        <w:adjustRightInd w:val="0"/>
        <w:snapToGrid w:val="0"/>
        <w:spacing w:line="360" w:lineRule="auto"/>
        <w:ind w:firstLine="420" w:firstLineChars="200"/>
        <w:rPr>
          <w:rFonts w:cs="宋体"/>
          <w:kern w:val="0"/>
          <w:szCs w:val="21"/>
        </w:rPr>
      </w:pPr>
      <w:r>
        <w:rPr>
          <w:rFonts w:hint="eastAsia" w:cs="宋体"/>
          <w:kern w:val="0"/>
          <w:szCs w:val="21"/>
        </w:rPr>
        <w:t>2、编程实现利用8个开关控制8个发光二极管发光；</w:t>
      </w:r>
    </w:p>
    <w:p>
      <w:pPr>
        <w:adjustRightInd w:val="0"/>
        <w:snapToGrid w:val="0"/>
        <w:spacing w:line="360" w:lineRule="auto"/>
        <w:ind w:firstLine="420" w:firstLineChars="200"/>
        <w:rPr>
          <w:rFonts w:cs="宋体"/>
          <w:kern w:val="0"/>
          <w:szCs w:val="21"/>
        </w:rPr>
      </w:pPr>
      <w:r>
        <w:rPr>
          <w:rFonts w:hint="eastAsia" w:cs="宋体"/>
          <w:kern w:val="0"/>
          <w:szCs w:val="21"/>
        </w:rPr>
        <w:t>3、实验系统调试。</w:t>
      </w:r>
    </w:p>
    <w:p>
      <w:pPr>
        <w:adjustRightInd w:val="0"/>
        <w:snapToGrid w:val="0"/>
        <w:spacing w:line="360" w:lineRule="auto"/>
        <w:ind w:firstLine="420" w:firstLineChars="200"/>
        <w:rPr>
          <w:rFonts w:cs="宋体"/>
          <w:kern w:val="0"/>
          <w:szCs w:val="21"/>
        </w:rPr>
      </w:pPr>
      <w:r>
        <w:rPr>
          <w:rFonts w:hint="eastAsia" w:cs="宋体"/>
          <w:kern w:val="0"/>
          <w:szCs w:val="21"/>
        </w:rPr>
        <w:t>基本要求：</w:t>
      </w:r>
    </w:p>
    <w:p>
      <w:pPr>
        <w:adjustRightInd w:val="0"/>
        <w:snapToGrid w:val="0"/>
        <w:spacing w:line="360" w:lineRule="auto"/>
        <w:ind w:firstLine="420" w:firstLineChars="200"/>
        <w:rPr>
          <w:rFonts w:cs="宋体"/>
          <w:kern w:val="0"/>
          <w:szCs w:val="21"/>
        </w:rPr>
      </w:pPr>
      <w:r>
        <w:rPr>
          <w:rFonts w:hint="eastAsia" w:cs="宋体"/>
          <w:kern w:val="0"/>
          <w:szCs w:val="21"/>
        </w:rPr>
        <w:t>1、学习可编程并行接口芯片工作原理及初始化方法；</w:t>
      </w:r>
    </w:p>
    <w:p>
      <w:pPr>
        <w:adjustRightInd w:val="0"/>
        <w:snapToGrid w:val="0"/>
        <w:spacing w:line="360" w:lineRule="auto"/>
        <w:ind w:firstLine="420" w:firstLineChars="200"/>
        <w:rPr>
          <w:rFonts w:cs="宋体"/>
          <w:kern w:val="0"/>
          <w:szCs w:val="21"/>
        </w:rPr>
      </w:pPr>
      <w:r>
        <w:rPr>
          <w:rFonts w:hint="eastAsia" w:cs="宋体"/>
          <w:kern w:val="0"/>
          <w:szCs w:val="21"/>
        </w:rPr>
        <w:t>2、学习微机系统中简单IO口的设计方法。</w:t>
      </w:r>
    </w:p>
    <w:p>
      <w:pPr>
        <w:adjustRightInd w:val="0"/>
        <w:snapToGrid w:val="0"/>
        <w:spacing w:line="360" w:lineRule="auto"/>
        <w:ind w:firstLine="420" w:firstLineChars="200"/>
        <w:rPr>
          <w:rFonts w:cs="宋体"/>
          <w:kern w:val="0"/>
          <w:szCs w:val="21"/>
        </w:rPr>
      </w:pPr>
      <w:r>
        <w:rPr>
          <w:rFonts w:hint="eastAsia" w:cs="宋体"/>
          <w:kern w:val="0"/>
          <w:szCs w:val="21"/>
        </w:rPr>
        <w:t>本实验支撑课程目标2、3。</w:t>
      </w:r>
    </w:p>
    <w:p>
      <w:pPr>
        <w:widowControl/>
        <w:adjustRightInd w:val="0"/>
        <w:snapToGrid w:val="0"/>
        <w:spacing w:line="360" w:lineRule="auto"/>
        <w:ind w:left="426"/>
        <w:jc w:val="left"/>
        <w:rPr>
          <w:rFonts w:eastAsia="黑体" w:cs="宋体"/>
          <w:snapToGrid w:val="0"/>
          <w:kern w:val="0"/>
          <w:szCs w:val="21"/>
        </w:rPr>
      </w:pPr>
      <w:r>
        <w:rPr>
          <w:rFonts w:hint="eastAsia" w:eastAsia="黑体" w:cs="宋体"/>
          <w:snapToGrid w:val="0"/>
          <w:kern w:val="0"/>
          <w:szCs w:val="21"/>
        </w:rPr>
        <w:t>实验四 8253定时器/计数器接口实验（2学时）</w:t>
      </w:r>
    </w:p>
    <w:p>
      <w:pPr>
        <w:adjustRightInd w:val="0"/>
        <w:snapToGrid w:val="0"/>
        <w:spacing w:line="360" w:lineRule="auto"/>
        <w:ind w:firstLine="420" w:firstLineChars="200"/>
        <w:rPr>
          <w:rFonts w:cs="宋体"/>
          <w:kern w:val="0"/>
          <w:szCs w:val="21"/>
        </w:rPr>
      </w:pPr>
      <w:r>
        <w:rPr>
          <w:rFonts w:hint="eastAsia" w:cs="宋体"/>
          <w:kern w:val="0"/>
          <w:szCs w:val="21"/>
        </w:rPr>
        <w:t>内容：</w:t>
      </w:r>
    </w:p>
    <w:p>
      <w:pPr>
        <w:adjustRightInd w:val="0"/>
        <w:snapToGrid w:val="0"/>
        <w:spacing w:line="360" w:lineRule="auto"/>
        <w:ind w:firstLine="420" w:firstLineChars="200"/>
        <w:rPr>
          <w:rFonts w:cs="宋体"/>
          <w:kern w:val="0"/>
          <w:szCs w:val="21"/>
        </w:rPr>
      </w:pPr>
      <w:r>
        <w:rPr>
          <w:rFonts w:hint="eastAsia" w:cs="宋体"/>
          <w:kern w:val="0"/>
          <w:szCs w:val="21"/>
        </w:rPr>
        <w:t>1、利用实验箱上的8255、8253、LED模块搭建一个实验系统；</w:t>
      </w:r>
    </w:p>
    <w:p>
      <w:pPr>
        <w:adjustRightInd w:val="0"/>
        <w:snapToGrid w:val="0"/>
        <w:spacing w:line="360" w:lineRule="auto"/>
        <w:ind w:firstLine="420" w:firstLineChars="200"/>
        <w:rPr>
          <w:rFonts w:cs="宋体"/>
          <w:kern w:val="0"/>
          <w:szCs w:val="21"/>
        </w:rPr>
      </w:pPr>
      <w:r>
        <w:rPr>
          <w:rFonts w:hint="eastAsia" w:cs="宋体"/>
          <w:kern w:val="0"/>
          <w:szCs w:val="21"/>
        </w:rPr>
        <w:t>2、编程实现控制一个发光二极管以0.5秒闪烁；</w:t>
      </w:r>
    </w:p>
    <w:p>
      <w:pPr>
        <w:adjustRightInd w:val="0"/>
        <w:snapToGrid w:val="0"/>
        <w:spacing w:line="360" w:lineRule="auto"/>
        <w:ind w:firstLine="420" w:firstLineChars="200"/>
        <w:rPr>
          <w:rFonts w:cs="宋体"/>
          <w:kern w:val="0"/>
          <w:szCs w:val="21"/>
        </w:rPr>
      </w:pPr>
      <w:r>
        <w:rPr>
          <w:rFonts w:hint="eastAsia" w:cs="宋体"/>
          <w:kern w:val="0"/>
          <w:szCs w:val="21"/>
        </w:rPr>
        <w:t>3、实验系统调试。</w:t>
      </w:r>
    </w:p>
    <w:p>
      <w:pPr>
        <w:adjustRightInd w:val="0"/>
        <w:snapToGrid w:val="0"/>
        <w:spacing w:line="360" w:lineRule="auto"/>
        <w:ind w:firstLine="420" w:firstLineChars="200"/>
        <w:rPr>
          <w:rFonts w:cs="宋体"/>
          <w:kern w:val="0"/>
          <w:szCs w:val="21"/>
        </w:rPr>
      </w:pPr>
      <w:r>
        <w:rPr>
          <w:rFonts w:hint="eastAsia" w:cs="宋体"/>
          <w:kern w:val="0"/>
          <w:szCs w:val="21"/>
        </w:rPr>
        <w:t>基本要求：</w:t>
      </w:r>
    </w:p>
    <w:p>
      <w:pPr>
        <w:adjustRightInd w:val="0"/>
        <w:snapToGrid w:val="0"/>
        <w:spacing w:line="360" w:lineRule="auto"/>
        <w:ind w:firstLine="420" w:firstLineChars="200"/>
        <w:rPr>
          <w:rFonts w:cs="宋体"/>
          <w:kern w:val="0"/>
          <w:szCs w:val="21"/>
        </w:rPr>
      </w:pPr>
      <w:r>
        <w:rPr>
          <w:rFonts w:hint="eastAsia" w:cs="宋体"/>
          <w:kern w:val="0"/>
          <w:szCs w:val="21"/>
        </w:rPr>
        <w:t>1、学习8253定时器/计数器的工作原理及初始化方法；</w:t>
      </w:r>
    </w:p>
    <w:p>
      <w:pPr>
        <w:adjustRightInd w:val="0"/>
        <w:snapToGrid w:val="0"/>
        <w:spacing w:line="360" w:lineRule="auto"/>
        <w:ind w:firstLine="420" w:firstLineChars="200"/>
        <w:rPr>
          <w:rFonts w:cs="宋体"/>
          <w:kern w:val="0"/>
          <w:szCs w:val="21"/>
        </w:rPr>
      </w:pPr>
      <w:r>
        <w:rPr>
          <w:rFonts w:hint="eastAsia" w:cs="宋体"/>
          <w:kern w:val="0"/>
          <w:szCs w:val="21"/>
        </w:rPr>
        <w:t>2、学习微机系统中定时器/计数器的设计方法。</w:t>
      </w:r>
    </w:p>
    <w:p>
      <w:pPr>
        <w:adjustRightInd w:val="0"/>
        <w:snapToGrid w:val="0"/>
        <w:spacing w:line="360" w:lineRule="auto"/>
        <w:ind w:firstLine="420" w:firstLineChars="200"/>
        <w:rPr>
          <w:rFonts w:cs="宋体"/>
          <w:kern w:val="0"/>
          <w:szCs w:val="21"/>
        </w:rPr>
      </w:pPr>
      <w:r>
        <w:rPr>
          <w:rFonts w:hint="eastAsia" w:cs="宋体"/>
          <w:kern w:val="0"/>
          <w:szCs w:val="21"/>
        </w:rPr>
        <w:t>本实验支撑课程目标2、3。</w:t>
      </w:r>
    </w:p>
    <w:p>
      <w:pPr>
        <w:widowControl/>
        <w:adjustRightInd w:val="0"/>
        <w:snapToGrid w:val="0"/>
        <w:spacing w:line="360" w:lineRule="auto"/>
        <w:ind w:left="426"/>
        <w:jc w:val="left"/>
        <w:rPr>
          <w:rFonts w:eastAsia="黑体" w:cs="宋体"/>
          <w:snapToGrid w:val="0"/>
          <w:kern w:val="0"/>
          <w:szCs w:val="21"/>
        </w:rPr>
      </w:pPr>
      <w:r>
        <w:rPr>
          <w:rFonts w:hint="eastAsia" w:eastAsia="黑体" w:cs="宋体"/>
          <w:snapToGrid w:val="0"/>
          <w:kern w:val="0"/>
          <w:szCs w:val="21"/>
        </w:rPr>
        <w:t>实验五 A/D、D/A转换接口实验（2学时）</w:t>
      </w:r>
    </w:p>
    <w:p>
      <w:pPr>
        <w:adjustRightInd w:val="0"/>
        <w:snapToGrid w:val="0"/>
        <w:spacing w:line="360" w:lineRule="auto"/>
        <w:ind w:firstLine="420" w:firstLineChars="200"/>
        <w:rPr>
          <w:rFonts w:cs="宋体"/>
          <w:kern w:val="0"/>
          <w:szCs w:val="21"/>
        </w:rPr>
      </w:pPr>
      <w:r>
        <w:rPr>
          <w:rFonts w:hint="eastAsia" w:cs="宋体"/>
          <w:kern w:val="0"/>
          <w:szCs w:val="21"/>
        </w:rPr>
        <w:t>A/D实验内容：</w:t>
      </w:r>
    </w:p>
    <w:p>
      <w:pPr>
        <w:adjustRightInd w:val="0"/>
        <w:snapToGrid w:val="0"/>
        <w:spacing w:line="360" w:lineRule="auto"/>
        <w:ind w:firstLine="420" w:firstLineChars="200"/>
        <w:rPr>
          <w:rFonts w:cs="宋体"/>
          <w:kern w:val="0"/>
          <w:szCs w:val="21"/>
        </w:rPr>
      </w:pPr>
      <w:r>
        <w:rPr>
          <w:rFonts w:hint="eastAsia" w:cs="宋体"/>
          <w:kern w:val="0"/>
          <w:szCs w:val="21"/>
        </w:rPr>
        <w:t>1、利用实验箱上的A/D转换器模块和可调电位器构建一个实验系统；</w:t>
      </w:r>
    </w:p>
    <w:p>
      <w:pPr>
        <w:adjustRightInd w:val="0"/>
        <w:snapToGrid w:val="0"/>
        <w:spacing w:line="360" w:lineRule="auto"/>
        <w:ind w:firstLine="420" w:firstLineChars="200"/>
        <w:rPr>
          <w:rFonts w:cs="宋体"/>
          <w:kern w:val="0"/>
          <w:szCs w:val="21"/>
        </w:rPr>
      </w:pPr>
      <w:r>
        <w:rPr>
          <w:rFonts w:hint="eastAsia" w:cs="宋体"/>
          <w:kern w:val="0"/>
          <w:szCs w:val="21"/>
        </w:rPr>
        <w:t>2、编程实现采集100个数并保存在内存单元中；</w:t>
      </w:r>
    </w:p>
    <w:p>
      <w:pPr>
        <w:adjustRightInd w:val="0"/>
        <w:snapToGrid w:val="0"/>
        <w:spacing w:line="360" w:lineRule="auto"/>
        <w:ind w:firstLine="420" w:firstLineChars="200"/>
        <w:rPr>
          <w:rFonts w:cs="宋体"/>
          <w:kern w:val="0"/>
          <w:szCs w:val="21"/>
        </w:rPr>
      </w:pPr>
      <w:r>
        <w:rPr>
          <w:rFonts w:hint="eastAsia" w:cs="宋体"/>
          <w:kern w:val="0"/>
          <w:szCs w:val="21"/>
        </w:rPr>
        <w:t>3、实验系统调试。</w:t>
      </w:r>
    </w:p>
    <w:p>
      <w:pPr>
        <w:adjustRightInd w:val="0"/>
        <w:snapToGrid w:val="0"/>
        <w:spacing w:line="360" w:lineRule="auto"/>
        <w:ind w:firstLine="420" w:firstLineChars="200"/>
        <w:rPr>
          <w:rFonts w:cs="宋体"/>
          <w:kern w:val="0"/>
          <w:szCs w:val="21"/>
        </w:rPr>
      </w:pPr>
      <w:r>
        <w:rPr>
          <w:rFonts w:hint="eastAsia" w:cs="宋体"/>
          <w:kern w:val="0"/>
          <w:szCs w:val="21"/>
        </w:rPr>
        <w:t>基本要求：</w:t>
      </w:r>
    </w:p>
    <w:p>
      <w:pPr>
        <w:adjustRightInd w:val="0"/>
        <w:snapToGrid w:val="0"/>
        <w:spacing w:line="360" w:lineRule="auto"/>
        <w:ind w:firstLine="420" w:firstLineChars="200"/>
        <w:rPr>
          <w:rFonts w:cs="宋体"/>
          <w:kern w:val="0"/>
          <w:szCs w:val="21"/>
        </w:rPr>
      </w:pPr>
      <w:r>
        <w:rPr>
          <w:rFonts w:hint="eastAsia" w:cs="宋体"/>
          <w:kern w:val="0"/>
          <w:szCs w:val="21"/>
        </w:rPr>
        <w:t>1、学习A/D转换器的工作原理；</w:t>
      </w:r>
    </w:p>
    <w:p>
      <w:pPr>
        <w:adjustRightInd w:val="0"/>
        <w:snapToGrid w:val="0"/>
        <w:spacing w:line="360" w:lineRule="auto"/>
        <w:ind w:firstLine="420" w:firstLineChars="200"/>
        <w:rPr>
          <w:rFonts w:cs="宋体"/>
          <w:kern w:val="0"/>
          <w:szCs w:val="21"/>
        </w:rPr>
      </w:pPr>
      <w:r>
        <w:rPr>
          <w:rFonts w:hint="eastAsia" w:cs="宋体"/>
          <w:kern w:val="0"/>
          <w:szCs w:val="21"/>
        </w:rPr>
        <w:t>2、学习基于微机系统中的数据采集系统的设计方法。</w:t>
      </w:r>
    </w:p>
    <w:p>
      <w:pPr>
        <w:adjustRightInd w:val="0"/>
        <w:snapToGrid w:val="0"/>
        <w:spacing w:line="360" w:lineRule="auto"/>
        <w:ind w:firstLine="420" w:firstLineChars="200"/>
        <w:rPr>
          <w:rFonts w:cs="宋体"/>
          <w:kern w:val="0"/>
          <w:szCs w:val="21"/>
        </w:rPr>
      </w:pPr>
      <w:r>
        <w:rPr>
          <w:rFonts w:hint="eastAsia" w:cs="宋体"/>
          <w:kern w:val="0"/>
          <w:szCs w:val="21"/>
        </w:rPr>
        <w:t>D/A实验内容</w:t>
      </w:r>
    </w:p>
    <w:p>
      <w:pPr>
        <w:adjustRightInd w:val="0"/>
        <w:snapToGrid w:val="0"/>
        <w:spacing w:line="360" w:lineRule="auto"/>
        <w:ind w:firstLine="420" w:firstLineChars="200"/>
        <w:rPr>
          <w:rFonts w:cs="宋体"/>
          <w:kern w:val="0"/>
          <w:szCs w:val="21"/>
        </w:rPr>
      </w:pPr>
      <w:r>
        <w:rPr>
          <w:rFonts w:hint="eastAsia" w:cs="宋体"/>
          <w:kern w:val="0"/>
          <w:szCs w:val="21"/>
        </w:rPr>
        <w:t>1、利用实验箱上的D/A转换器模块构成一个实验系统；</w:t>
      </w:r>
    </w:p>
    <w:p>
      <w:pPr>
        <w:adjustRightInd w:val="0"/>
        <w:snapToGrid w:val="0"/>
        <w:spacing w:line="360" w:lineRule="auto"/>
        <w:ind w:firstLine="420" w:firstLineChars="200"/>
        <w:rPr>
          <w:rFonts w:cs="宋体"/>
          <w:kern w:val="0"/>
          <w:szCs w:val="21"/>
        </w:rPr>
      </w:pPr>
      <w:r>
        <w:rPr>
          <w:rFonts w:hint="eastAsia" w:cs="宋体"/>
          <w:kern w:val="0"/>
          <w:szCs w:val="21"/>
        </w:rPr>
        <w:t>2、编程实现一种或者几种波形输出；</w:t>
      </w:r>
    </w:p>
    <w:p>
      <w:pPr>
        <w:adjustRightInd w:val="0"/>
        <w:snapToGrid w:val="0"/>
        <w:spacing w:line="360" w:lineRule="auto"/>
        <w:ind w:firstLine="420" w:firstLineChars="200"/>
        <w:rPr>
          <w:rFonts w:cs="宋体"/>
          <w:kern w:val="0"/>
          <w:szCs w:val="21"/>
        </w:rPr>
      </w:pPr>
      <w:r>
        <w:rPr>
          <w:rFonts w:hint="eastAsia" w:cs="宋体"/>
          <w:kern w:val="0"/>
          <w:szCs w:val="21"/>
        </w:rPr>
        <w:t>3、实验系统调试。</w:t>
      </w:r>
    </w:p>
    <w:p>
      <w:pPr>
        <w:adjustRightInd w:val="0"/>
        <w:snapToGrid w:val="0"/>
        <w:spacing w:line="360" w:lineRule="auto"/>
        <w:ind w:firstLine="420" w:firstLineChars="200"/>
        <w:rPr>
          <w:rFonts w:cs="宋体"/>
          <w:kern w:val="0"/>
          <w:szCs w:val="21"/>
        </w:rPr>
      </w:pPr>
      <w:r>
        <w:rPr>
          <w:rFonts w:hint="eastAsia" w:cs="宋体"/>
          <w:kern w:val="0"/>
          <w:szCs w:val="21"/>
        </w:rPr>
        <w:t>基本要求：</w:t>
      </w:r>
    </w:p>
    <w:p>
      <w:pPr>
        <w:adjustRightInd w:val="0"/>
        <w:snapToGrid w:val="0"/>
        <w:spacing w:line="360" w:lineRule="auto"/>
        <w:ind w:firstLine="420" w:firstLineChars="200"/>
        <w:rPr>
          <w:rFonts w:cs="宋体"/>
          <w:kern w:val="0"/>
          <w:szCs w:val="21"/>
        </w:rPr>
      </w:pPr>
      <w:r>
        <w:rPr>
          <w:rFonts w:hint="eastAsia" w:cs="宋体"/>
          <w:kern w:val="0"/>
          <w:szCs w:val="21"/>
        </w:rPr>
        <w:t>1、学习D/A转换器的工作原理；</w:t>
      </w:r>
    </w:p>
    <w:p>
      <w:pPr>
        <w:adjustRightInd w:val="0"/>
        <w:snapToGrid w:val="0"/>
        <w:spacing w:line="360" w:lineRule="auto"/>
        <w:ind w:firstLine="420" w:firstLineChars="200"/>
        <w:rPr>
          <w:rFonts w:cs="宋体"/>
          <w:kern w:val="0"/>
          <w:szCs w:val="21"/>
        </w:rPr>
      </w:pPr>
      <w:r>
        <w:rPr>
          <w:rFonts w:hint="eastAsia" w:cs="宋体"/>
          <w:kern w:val="0"/>
          <w:szCs w:val="21"/>
        </w:rPr>
        <w:t>2、学习基于微机系统中的信号发生器的设计方法。</w:t>
      </w:r>
    </w:p>
    <w:p>
      <w:pPr>
        <w:adjustRightInd w:val="0"/>
        <w:snapToGrid w:val="0"/>
        <w:spacing w:line="360" w:lineRule="auto"/>
        <w:ind w:firstLine="420" w:firstLineChars="200"/>
        <w:rPr>
          <w:rFonts w:cs="宋体"/>
          <w:kern w:val="0"/>
          <w:szCs w:val="21"/>
        </w:rPr>
      </w:pPr>
      <w:r>
        <w:rPr>
          <w:rFonts w:hint="eastAsia" w:cs="宋体"/>
          <w:kern w:val="0"/>
          <w:szCs w:val="21"/>
        </w:rPr>
        <w:t>本实验支撑课程目标2、3。</w:t>
      </w:r>
    </w:p>
    <w:p>
      <w:pPr>
        <w:adjustRightInd w:val="0"/>
        <w:snapToGrid w:val="0"/>
        <w:spacing w:line="360" w:lineRule="auto"/>
        <w:ind w:firstLine="420" w:firstLineChars="200"/>
        <w:rPr>
          <w:szCs w:val="21"/>
        </w:rPr>
      </w:pPr>
    </w:p>
    <w:p>
      <w:pPr>
        <w:widowControl/>
        <w:spacing w:line="360" w:lineRule="auto"/>
        <w:jc w:val="left"/>
        <w:rPr>
          <w:rFonts w:ascii="黑体" w:hAnsi="宋体" w:eastAsia="黑体" w:cs="宋体"/>
          <w:kern w:val="0"/>
          <w:szCs w:val="21"/>
        </w:rPr>
      </w:pPr>
      <w:r>
        <w:rPr>
          <w:rFonts w:hint="eastAsia" w:ascii="黑体" w:hAnsi="宋体" w:eastAsia="黑体" w:cs="宋体"/>
          <w:kern w:val="0"/>
          <w:szCs w:val="21"/>
        </w:rPr>
        <w:t>六、学时分配</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071"/>
        <w:gridCol w:w="1603"/>
        <w:gridCol w:w="1747"/>
        <w:gridCol w:w="110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387" w:type="pct"/>
            <w:vAlign w:val="center"/>
          </w:tcPr>
          <w:p>
            <w:pPr>
              <w:adjustRightInd w:val="0"/>
              <w:snapToGrid w:val="0"/>
              <w:jc w:val="center"/>
              <w:rPr>
                <w:sz w:val="18"/>
                <w:szCs w:val="18"/>
              </w:rPr>
            </w:pPr>
            <w:r>
              <w:rPr>
                <w:rFonts w:hint="eastAsia"/>
                <w:sz w:val="18"/>
                <w:szCs w:val="18"/>
              </w:rPr>
              <w:t>知识点及内容</w:t>
            </w:r>
          </w:p>
        </w:tc>
        <w:tc>
          <w:tcPr>
            <w:tcW w:w="940" w:type="pct"/>
            <w:vAlign w:val="center"/>
          </w:tcPr>
          <w:p>
            <w:pPr>
              <w:adjustRightInd w:val="0"/>
              <w:snapToGrid w:val="0"/>
              <w:jc w:val="center"/>
              <w:rPr>
                <w:sz w:val="18"/>
                <w:szCs w:val="18"/>
              </w:rPr>
            </w:pPr>
            <w:r>
              <w:rPr>
                <w:rFonts w:hint="eastAsia"/>
                <w:sz w:val="18"/>
                <w:szCs w:val="18"/>
              </w:rPr>
              <w:t>讲授（学时）</w:t>
            </w:r>
          </w:p>
        </w:tc>
        <w:tc>
          <w:tcPr>
            <w:tcW w:w="1024" w:type="pct"/>
            <w:vAlign w:val="center"/>
          </w:tcPr>
          <w:p>
            <w:pPr>
              <w:adjustRightInd w:val="0"/>
              <w:snapToGrid w:val="0"/>
              <w:jc w:val="center"/>
              <w:rPr>
                <w:sz w:val="18"/>
                <w:szCs w:val="18"/>
              </w:rPr>
            </w:pPr>
            <w:r>
              <w:rPr>
                <w:rFonts w:hint="eastAsia"/>
                <w:sz w:val="18"/>
                <w:szCs w:val="18"/>
              </w:rPr>
              <w:t>实验（学时）</w:t>
            </w:r>
          </w:p>
        </w:tc>
        <w:tc>
          <w:tcPr>
            <w:tcW w:w="649" w:type="pct"/>
            <w:vAlign w:val="center"/>
          </w:tcPr>
          <w:p>
            <w:pPr>
              <w:adjustRightInd w:val="0"/>
              <w:snapToGrid w:val="0"/>
              <w:jc w:val="center"/>
              <w:rPr>
                <w:sz w:val="18"/>
                <w:szCs w:val="18"/>
              </w:rPr>
            </w:pPr>
            <w:r>
              <w:rPr>
                <w:rFonts w:hint="eastAsia"/>
                <w:sz w:val="18"/>
                <w:szCs w:val="18"/>
              </w:rPr>
              <w:t>小计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387" w:type="pct"/>
            <w:vAlign w:val="center"/>
          </w:tcPr>
          <w:p>
            <w:pPr>
              <w:widowControl/>
              <w:adjustRightInd w:val="0"/>
              <w:snapToGrid w:val="0"/>
              <w:jc w:val="center"/>
              <w:rPr>
                <w:rFonts w:cs="宋体"/>
                <w:snapToGrid w:val="0"/>
                <w:kern w:val="0"/>
                <w:sz w:val="18"/>
                <w:szCs w:val="18"/>
              </w:rPr>
            </w:pPr>
            <w:r>
              <w:rPr>
                <w:rFonts w:hint="eastAsia" w:cs="宋体"/>
                <w:bCs/>
                <w:snapToGrid w:val="0"/>
                <w:kern w:val="0"/>
                <w:sz w:val="18"/>
                <w:szCs w:val="18"/>
              </w:rPr>
              <w:t>1计算机系统概述</w:t>
            </w:r>
          </w:p>
        </w:tc>
        <w:tc>
          <w:tcPr>
            <w:tcW w:w="940" w:type="pct"/>
            <w:vAlign w:val="center"/>
          </w:tcPr>
          <w:p>
            <w:pPr>
              <w:widowControl/>
              <w:adjustRightInd w:val="0"/>
              <w:snapToGrid w:val="0"/>
              <w:jc w:val="center"/>
              <w:rPr>
                <w:rFonts w:cs="宋体"/>
                <w:kern w:val="0"/>
                <w:sz w:val="18"/>
                <w:szCs w:val="18"/>
              </w:rPr>
            </w:pPr>
            <w:r>
              <w:rPr>
                <w:rFonts w:cs="宋体"/>
                <w:kern w:val="0"/>
                <w:sz w:val="18"/>
                <w:szCs w:val="18"/>
              </w:rPr>
              <w:t>2</w:t>
            </w:r>
          </w:p>
        </w:tc>
        <w:tc>
          <w:tcPr>
            <w:tcW w:w="1024" w:type="pct"/>
            <w:vAlign w:val="center"/>
          </w:tcPr>
          <w:p>
            <w:pPr>
              <w:widowControl/>
              <w:adjustRightInd w:val="0"/>
              <w:snapToGrid w:val="0"/>
              <w:jc w:val="center"/>
              <w:rPr>
                <w:rFonts w:cs="宋体"/>
                <w:kern w:val="0"/>
                <w:sz w:val="18"/>
                <w:szCs w:val="18"/>
              </w:rPr>
            </w:pPr>
            <w:r>
              <w:rPr>
                <w:rFonts w:hint="eastAsia" w:cs="宋体"/>
                <w:kern w:val="0"/>
                <w:sz w:val="18"/>
                <w:szCs w:val="18"/>
              </w:rPr>
              <w:t>0</w:t>
            </w:r>
          </w:p>
        </w:tc>
        <w:tc>
          <w:tcPr>
            <w:tcW w:w="649" w:type="pct"/>
            <w:vAlign w:val="center"/>
          </w:tcPr>
          <w:p>
            <w:pPr>
              <w:widowControl/>
              <w:adjustRightInd w:val="0"/>
              <w:snapToGrid w:val="0"/>
              <w:jc w:val="center"/>
              <w:rPr>
                <w:rFonts w:cs="宋体"/>
                <w:kern w:val="0"/>
                <w:sz w:val="18"/>
                <w:szCs w:val="18"/>
              </w:rPr>
            </w:pPr>
            <w:r>
              <w:rPr>
                <w:rFonts w:cs="宋体"/>
                <w:kern w:val="0"/>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387" w:type="pct"/>
            <w:vAlign w:val="center"/>
          </w:tcPr>
          <w:p>
            <w:pPr>
              <w:widowControl/>
              <w:adjustRightInd w:val="0"/>
              <w:snapToGrid w:val="0"/>
              <w:jc w:val="center"/>
              <w:rPr>
                <w:rFonts w:cs="宋体"/>
                <w:snapToGrid w:val="0"/>
                <w:kern w:val="0"/>
                <w:sz w:val="18"/>
                <w:szCs w:val="18"/>
              </w:rPr>
            </w:pPr>
            <w:r>
              <w:rPr>
                <w:rFonts w:hint="eastAsia" w:cs="宋体"/>
                <w:bCs/>
                <w:snapToGrid w:val="0"/>
                <w:kern w:val="0"/>
                <w:sz w:val="18"/>
                <w:szCs w:val="18"/>
              </w:rPr>
              <w:t>2 8086／8088微处理器结构</w:t>
            </w:r>
          </w:p>
        </w:tc>
        <w:tc>
          <w:tcPr>
            <w:tcW w:w="940" w:type="pct"/>
            <w:vAlign w:val="center"/>
          </w:tcPr>
          <w:p>
            <w:pPr>
              <w:widowControl/>
              <w:adjustRightInd w:val="0"/>
              <w:snapToGrid w:val="0"/>
              <w:jc w:val="center"/>
              <w:rPr>
                <w:rFonts w:cs="宋体"/>
                <w:kern w:val="0"/>
                <w:sz w:val="18"/>
                <w:szCs w:val="18"/>
              </w:rPr>
            </w:pPr>
            <w:r>
              <w:rPr>
                <w:rFonts w:cs="宋体"/>
                <w:kern w:val="0"/>
                <w:sz w:val="18"/>
                <w:szCs w:val="18"/>
              </w:rPr>
              <w:t>4</w:t>
            </w:r>
          </w:p>
        </w:tc>
        <w:tc>
          <w:tcPr>
            <w:tcW w:w="1024" w:type="pct"/>
            <w:vAlign w:val="center"/>
          </w:tcPr>
          <w:p>
            <w:pPr>
              <w:widowControl/>
              <w:adjustRightInd w:val="0"/>
              <w:snapToGrid w:val="0"/>
              <w:jc w:val="center"/>
              <w:rPr>
                <w:rFonts w:cs="宋体"/>
                <w:kern w:val="0"/>
                <w:sz w:val="18"/>
                <w:szCs w:val="18"/>
              </w:rPr>
            </w:pPr>
            <w:r>
              <w:rPr>
                <w:rFonts w:cs="宋体"/>
                <w:kern w:val="0"/>
                <w:sz w:val="18"/>
                <w:szCs w:val="18"/>
              </w:rPr>
              <w:t>0</w:t>
            </w:r>
          </w:p>
        </w:tc>
        <w:tc>
          <w:tcPr>
            <w:tcW w:w="649" w:type="pct"/>
            <w:vAlign w:val="center"/>
          </w:tcPr>
          <w:p>
            <w:pPr>
              <w:widowControl/>
              <w:adjustRightInd w:val="0"/>
              <w:snapToGrid w:val="0"/>
              <w:jc w:val="center"/>
              <w:rPr>
                <w:rFonts w:cs="宋体"/>
                <w:kern w:val="0"/>
                <w:sz w:val="18"/>
                <w:szCs w:val="18"/>
              </w:rPr>
            </w:pPr>
            <w:r>
              <w:rPr>
                <w:rFonts w:cs="宋体"/>
                <w:kern w:val="0"/>
                <w:sz w:val="18"/>
                <w:szCs w:val="18"/>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387" w:type="pct"/>
            <w:vAlign w:val="center"/>
          </w:tcPr>
          <w:p>
            <w:pPr>
              <w:widowControl/>
              <w:adjustRightInd w:val="0"/>
              <w:snapToGrid w:val="0"/>
              <w:jc w:val="center"/>
              <w:rPr>
                <w:rFonts w:cs="宋体"/>
                <w:kern w:val="0"/>
                <w:sz w:val="18"/>
                <w:szCs w:val="18"/>
              </w:rPr>
            </w:pPr>
            <w:r>
              <w:rPr>
                <w:rFonts w:hint="eastAsia" w:cs="宋体"/>
                <w:snapToGrid w:val="0"/>
                <w:kern w:val="0"/>
                <w:sz w:val="18"/>
                <w:szCs w:val="18"/>
              </w:rPr>
              <w:t>3 8086／8088指令系统</w:t>
            </w:r>
          </w:p>
        </w:tc>
        <w:tc>
          <w:tcPr>
            <w:tcW w:w="940" w:type="pct"/>
            <w:vAlign w:val="center"/>
          </w:tcPr>
          <w:p>
            <w:pPr>
              <w:widowControl/>
              <w:adjustRightInd w:val="0"/>
              <w:snapToGrid w:val="0"/>
              <w:jc w:val="center"/>
              <w:rPr>
                <w:rFonts w:cs="宋体"/>
                <w:kern w:val="0"/>
                <w:sz w:val="18"/>
                <w:szCs w:val="18"/>
              </w:rPr>
            </w:pPr>
            <w:r>
              <w:rPr>
                <w:rFonts w:hint="eastAsia" w:cs="宋体"/>
                <w:kern w:val="0"/>
                <w:sz w:val="18"/>
                <w:szCs w:val="18"/>
              </w:rPr>
              <w:t>1</w:t>
            </w:r>
            <w:r>
              <w:rPr>
                <w:rFonts w:cs="宋体"/>
                <w:kern w:val="0"/>
                <w:sz w:val="18"/>
                <w:szCs w:val="18"/>
              </w:rPr>
              <w:t>2</w:t>
            </w:r>
          </w:p>
        </w:tc>
        <w:tc>
          <w:tcPr>
            <w:tcW w:w="1024" w:type="pct"/>
            <w:vAlign w:val="center"/>
          </w:tcPr>
          <w:p>
            <w:pPr>
              <w:widowControl/>
              <w:adjustRightInd w:val="0"/>
              <w:snapToGrid w:val="0"/>
              <w:jc w:val="center"/>
              <w:rPr>
                <w:rFonts w:cs="宋体"/>
                <w:kern w:val="0"/>
                <w:sz w:val="18"/>
                <w:szCs w:val="18"/>
              </w:rPr>
            </w:pPr>
            <w:r>
              <w:rPr>
                <w:rFonts w:hint="eastAsia" w:cs="宋体"/>
                <w:kern w:val="0"/>
                <w:sz w:val="18"/>
                <w:szCs w:val="18"/>
              </w:rPr>
              <w:t>2</w:t>
            </w:r>
          </w:p>
        </w:tc>
        <w:tc>
          <w:tcPr>
            <w:tcW w:w="649" w:type="pct"/>
            <w:vAlign w:val="center"/>
          </w:tcPr>
          <w:p>
            <w:pPr>
              <w:widowControl/>
              <w:adjustRightInd w:val="0"/>
              <w:snapToGrid w:val="0"/>
              <w:jc w:val="center"/>
              <w:rPr>
                <w:rFonts w:cs="宋体"/>
                <w:kern w:val="0"/>
                <w:sz w:val="18"/>
                <w:szCs w:val="18"/>
              </w:rPr>
            </w:pPr>
            <w:r>
              <w:rPr>
                <w:rFonts w:hint="eastAsia" w:cs="宋体"/>
                <w:kern w:val="0"/>
                <w:sz w:val="18"/>
                <w:szCs w:val="18"/>
              </w:rPr>
              <w:t>1</w:t>
            </w:r>
            <w:r>
              <w:rPr>
                <w:rFonts w:cs="宋体"/>
                <w:kern w:val="0"/>
                <w:sz w:val="18"/>
                <w:szCs w:val="18"/>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387" w:type="pct"/>
            <w:vAlign w:val="center"/>
          </w:tcPr>
          <w:p>
            <w:pPr>
              <w:widowControl/>
              <w:adjustRightInd w:val="0"/>
              <w:snapToGrid w:val="0"/>
              <w:jc w:val="center"/>
              <w:rPr>
                <w:rFonts w:cs="宋体"/>
                <w:kern w:val="0"/>
                <w:sz w:val="18"/>
                <w:szCs w:val="18"/>
              </w:rPr>
            </w:pPr>
            <w:r>
              <w:rPr>
                <w:rFonts w:hint="eastAsia" w:cs="宋体"/>
                <w:kern w:val="0"/>
                <w:sz w:val="18"/>
                <w:szCs w:val="18"/>
              </w:rPr>
              <w:t>4汇编语言程序设计基础</w:t>
            </w:r>
          </w:p>
        </w:tc>
        <w:tc>
          <w:tcPr>
            <w:tcW w:w="940" w:type="pct"/>
            <w:vAlign w:val="center"/>
          </w:tcPr>
          <w:p>
            <w:pPr>
              <w:widowControl/>
              <w:adjustRightInd w:val="0"/>
              <w:snapToGrid w:val="0"/>
              <w:jc w:val="center"/>
              <w:rPr>
                <w:rFonts w:cs="宋体"/>
                <w:kern w:val="0"/>
                <w:sz w:val="18"/>
                <w:szCs w:val="18"/>
              </w:rPr>
            </w:pPr>
            <w:r>
              <w:rPr>
                <w:rFonts w:hint="eastAsia" w:cs="宋体"/>
                <w:kern w:val="0"/>
                <w:sz w:val="18"/>
                <w:szCs w:val="18"/>
              </w:rPr>
              <w:t>6</w:t>
            </w:r>
          </w:p>
        </w:tc>
        <w:tc>
          <w:tcPr>
            <w:tcW w:w="1024" w:type="pct"/>
            <w:vAlign w:val="center"/>
          </w:tcPr>
          <w:p>
            <w:pPr>
              <w:widowControl/>
              <w:adjustRightInd w:val="0"/>
              <w:snapToGrid w:val="0"/>
              <w:jc w:val="center"/>
              <w:rPr>
                <w:rFonts w:cs="宋体"/>
                <w:kern w:val="0"/>
                <w:sz w:val="18"/>
                <w:szCs w:val="18"/>
              </w:rPr>
            </w:pPr>
            <w:r>
              <w:rPr>
                <w:rFonts w:hint="eastAsia" w:cs="宋体"/>
                <w:kern w:val="0"/>
                <w:sz w:val="18"/>
                <w:szCs w:val="18"/>
              </w:rPr>
              <w:t>2</w:t>
            </w:r>
          </w:p>
        </w:tc>
        <w:tc>
          <w:tcPr>
            <w:tcW w:w="649" w:type="pct"/>
            <w:vAlign w:val="center"/>
          </w:tcPr>
          <w:p>
            <w:pPr>
              <w:widowControl/>
              <w:adjustRightInd w:val="0"/>
              <w:snapToGrid w:val="0"/>
              <w:jc w:val="center"/>
              <w:rPr>
                <w:rFonts w:cs="宋体"/>
                <w:kern w:val="0"/>
                <w:sz w:val="18"/>
                <w:szCs w:val="18"/>
              </w:rPr>
            </w:pPr>
            <w:r>
              <w:rPr>
                <w:rFonts w:hint="eastAsia" w:cs="宋体"/>
                <w:kern w:val="0"/>
                <w:sz w:val="18"/>
                <w:szCs w:val="18"/>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387" w:type="pct"/>
            <w:vAlign w:val="center"/>
          </w:tcPr>
          <w:p>
            <w:pPr>
              <w:widowControl/>
              <w:adjustRightInd w:val="0"/>
              <w:snapToGrid w:val="0"/>
              <w:jc w:val="center"/>
              <w:rPr>
                <w:rFonts w:cs="宋体"/>
                <w:kern w:val="0"/>
                <w:sz w:val="18"/>
                <w:szCs w:val="18"/>
              </w:rPr>
            </w:pPr>
            <w:r>
              <w:rPr>
                <w:rFonts w:hint="eastAsia" w:cs="宋体"/>
                <w:kern w:val="0"/>
                <w:sz w:val="18"/>
                <w:szCs w:val="18"/>
              </w:rPr>
              <w:t>5微机存储系统</w:t>
            </w:r>
          </w:p>
        </w:tc>
        <w:tc>
          <w:tcPr>
            <w:tcW w:w="940" w:type="pct"/>
            <w:vAlign w:val="center"/>
          </w:tcPr>
          <w:p>
            <w:pPr>
              <w:widowControl/>
              <w:adjustRightInd w:val="0"/>
              <w:snapToGrid w:val="0"/>
              <w:jc w:val="center"/>
              <w:rPr>
                <w:rFonts w:cs="宋体"/>
                <w:kern w:val="0"/>
                <w:sz w:val="18"/>
                <w:szCs w:val="18"/>
              </w:rPr>
            </w:pPr>
            <w:r>
              <w:rPr>
                <w:rFonts w:hint="eastAsia" w:cs="宋体"/>
                <w:kern w:val="0"/>
                <w:sz w:val="18"/>
                <w:szCs w:val="18"/>
              </w:rPr>
              <w:t>4</w:t>
            </w:r>
          </w:p>
        </w:tc>
        <w:tc>
          <w:tcPr>
            <w:tcW w:w="1024" w:type="pct"/>
            <w:vAlign w:val="center"/>
          </w:tcPr>
          <w:p>
            <w:pPr>
              <w:widowControl/>
              <w:adjustRightInd w:val="0"/>
              <w:snapToGrid w:val="0"/>
              <w:jc w:val="center"/>
              <w:rPr>
                <w:rFonts w:cs="宋体"/>
                <w:kern w:val="0"/>
                <w:sz w:val="18"/>
                <w:szCs w:val="18"/>
              </w:rPr>
            </w:pPr>
            <w:r>
              <w:rPr>
                <w:rFonts w:hint="eastAsia" w:cs="宋体"/>
                <w:kern w:val="0"/>
                <w:sz w:val="18"/>
                <w:szCs w:val="18"/>
              </w:rPr>
              <w:t>0</w:t>
            </w:r>
          </w:p>
        </w:tc>
        <w:tc>
          <w:tcPr>
            <w:tcW w:w="649" w:type="pct"/>
            <w:vAlign w:val="center"/>
          </w:tcPr>
          <w:p>
            <w:pPr>
              <w:widowControl/>
              <w:adjustRightInd w:val="0"/>
              <w:snapToGrid w:val="0"/>
              <w:jc w:val="center"/>
              <w:rPr>
                <w:rFonts w:cs="宋体"/>
                <w:kern w:val="0"/>
                <w:sz w:val="18"/>
                <w:szCs w:val="18"/>
              </w:rPr>
            </w:pPr>
            <w:r>
              <w:rPr>
                <w:rFonts w:hint="eastAsia" w:cs="宋体"/>
                <w:kern w:val="0"/>
                <w:sz w:val="18"/>
                <w:szCs w:val="18"/>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387" w:type="pct"/>
            <w:vAlign w:val="center"/>
          </w:tcPr>
          <w:p>
            <w:pPr>
              <w:widowControl/>
              <w:adjustRightInd w:val="0"/>
              <w:snapToGrid w:val="0"/>
              <w:jc w:val="center"/>
              <w:rPr>
                <w:rFonts w:cs="宋体"/>
                <w:kern w:val="0"/>
                <w:sz w:val="18"/>
                <w:szCs w:val="18"/>
              </w:rPr>
            </w:pPr>
            <w:r>
              <w:rPr>
                <w:rFonts w:hint="eastAsia" w:cs="宋体"/>
                <w:kern w:val="0"/>
                <w:sz w:val="18"/>
                <w:szCs w:val="18"/>
              </w:rPr>
              <w:t>6输入/输出及中断技术</w:t>
            </w:r>
          </w:p>
        </w:tc>
        <w:tc>
          <w:tcPr>
            <w:tcW w:w="940" w:type="pct"/>
            <w:vAlign w:val="center"/>
          </w:tcPr>
          <w:p>
            <w:pPr>
              <w:widowControl/>
              <w:adjustRightInd w:val="0"/>
              <w:snapToGrid w:val="0"/>
              <w:jc w:val="center"/>
              <w:rPr>
                <w:rFonts w:cs="宋体"/>
                <w:kern w:val="0"/>
                <w:sz w:val="18"/>
                <w:szCs w:val="18"/>
              </w:rPr>
            </w:pPr>
            <w:r>
              <w:rPr>
                <w:rFonts w:hint="eastAsia" w:cs="宋体"/>
                <w:kern w:val="0"/>
                <w:sz w:val="18"/>
                <w:szCs w:val="18"/>
              </w:rPr>
              <w:t>4</w:t>
            </w:r>
          </w:p>
        </w:tc>
        <w:tc>
          <w:tcPr>
            <w:tcW w:w="1024" w:type="pct"/>
            <w:vAlign w:val="center"/>
          </w:tcPr>
          <w:p>
            <w:pPr>
              <w:widowControl/>
              <w:adjustRightInd w:val="0"/>
              <w:snapToGrid w:val="0"/>
              <w:jc w:val="center"/>
              <w:rPr>
                <w:rFonts w:cs="宋体"/>
                <w:kern w:val="0"/>
                <w:sz w:val="18"/>
                <w:szCs w:val="18"/>
              </w:rPr>
            </w:pPr>
            <w:r>
              <w:rPr>
                <w:rFonts w:hint="eastAsia" w:cs="宋体"/>
                <w:kern w:val="0"/>
                <w:sz w:val="18"/>
                <w:szCs w:val="18"/>
              </w:rPr>
              <w:t>0</w:t>
            </w:r>
          </w:p>
        </w:tc>
        <w:tc>
          <w:tcPr>
            <w:tcW w:w="649" w:type="pct"/>
            <w:vAlign w:val="center"/>
          </w:tcPr>
          <w:p>
            <w:pPr>
              <w:widowControl/>
              <w:adjustRightInd w:val="0"/>
              <w:snapToGrid w:val="0"/>
              <w:jc w:val="center"/>
              <w:rPr>
                <w:rFonts w:cs="宋体"/>
                <w:kern w:val="0"/>
                <w:sz w:val="18"/>
                <w:szCs w:val="18"/>
              </w:rPr>
            </w:pPr>
            <w:r>
              <w:rPr>
                <w:rFonts w:hint="eastAsia" w:cs="宋体"/>
                <w:kern w:val="0"/>
                <w:sz w:val="18"/>
                <w:szCs w:val="18"/>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387" w:type="pct"/>
            <w:vAlign w:val="center"/>
          </w:tcPr>
          <w:p>
            <w:pPr>
              <w:widowControl/>
              <w:adjustRightInd w:val="0"/>
              <w:snapToGrid w:val="0"/>
              <w:jc w:val="center"/>
              <w:rPr>
                <w:rFonts w:cs="宋体"/>
                <w:kern w:val="0"/>
                <w:sz w:val="18"/>
                <w:szCs w:val="18"/>
              </w:rPr>
            </w:pPr>
            <w:r>
              <w:rPr>
                <w:rFonts w:hint="eastAsia" w:cs="宋体"/>
                <w:kern w:val="0"/>
                <w:sz w:val="18"/>
                <w:szCs w:val="18"/>
              </w:rPr>
              <w:t>7串、并行通信及接口电路</w:t>
            </w:r>
          </w:p>
        </w:tc>
        <w:tc>
          <w:tcPr>
            <w:tcW w:w="940" w:type="pct"/>
            <w:vAlign w:val="center"/>
          </w:tcPr>
          <w:p>
            <w:pPr>
              <w:widowControl/>
              <w:adjustRightInd w:val="0"/>
              <w:snapToGrid w:val="0"/>
              <w:jc w:val="center"/>
              <w:rPr>
                <w:rFonts w:cs="宋体"/>
                <w:kern w:val="0"/>
                <w:sz w:val="18"/>
                <w:szCs w:val="18"/>
              </w:rPr>
            </w:pPr>
            <w:r>
              <w:rPr>
                <w:rFonts w:hint="eastAsia" w:cs="宋体"/>
                <w:kern w:val="0"/>
                <w:sz w:val="18"/>
                <w:szCs w:val="18"/>
              </w:rPr>
              <w:t>6</w:t>
            </w:r>
          </w:p>
        </w:tc>
        <w:tc>
          <w:tcPr>
            <w:tcW w:w="1024" w:type="pct"/>
            <w:vAlign w:val="center"/>
          </w:tcPr>
          <w:p>
            <w:pPr>
              <w:widowControl/>
              <w:adjustRightInd w:val="0"/>
              <w:snapToGrid w:val="0"/>
              <w:jc w:val="center"/>
              <w:rPr>
                <w:rFonts w:cs="宋体"/>
                <w:kern w:val="0"/>
                <w:sz w:val="18"/>
                <w:szCs w:val="18"/>
              </w:rPr>
            </w:pPr>
            <w:r>
              <w:rPr>
                <w:rFonts w:hint="eastAsia" w:cs="宋体"/>
                <w:kern w:val="0"/>
                <w:sz w:val="18"/>
                <w:szCs w:val="18"/>
              </w:rPr>
              <w:t>2</w:t>
            </w:r>
          </w:p>
        </w:tc>
        <w:tc>
          <w:tcPr>
            <w:tcW w:w="649" w:type="pct"/>
            <w:vAlign w:val="center"/>
          </w:tcPr>
          <w:p>
            <w:pPr>
              <w:widowControl/>
              <w:adjustRightInd w:val="0"/>
              <w:snapToGrid w:val="0"/>
              <w:jc w:val="center"/>
              <w:rPr>
                <w:rFonts w:cs="宋体"/>
                <w:kern w:val="0"/>
                <w:sz w:val="18"/>
                <w:szCs w:val="18"/>
              </w:rPr>
            </w:pPr>
            <w:r>
              <w:rPr>
                <w:rFonts w:hint="eastAsia" w:cs="宋体"/>
                <w:kern w:val="0"/>
                <w:sz w:val="18"/>
                <w:szCs w:val="18"/>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387" w:type="pct"/>
            <w:vAlign w:val="center"/>
          </w:tcPr>
          <w:p>
            <w:pPr>
              <w:widowControl/>
              <w:adjustRightInd w:val="0"/>
              <w:snapToGrid w:val="0"/>
              <w:jc w:val="center"/>
              <w:rPr>
                <w:rFonts w:cs="宋体"/>
                <w:kern w:val="0"/>
                <w:sz w:val="18"/>
                <w:szCs w:val="18"/>
              </w:rPr>
            </w:pPr>
            <w:r>
              <w:rPr>
                <w:rFonts w:hint="eastAsia" w:cs="宋体"/>
                <w:kern w:val="0"/>
                <w:sz w:val="18"/>
                <w:szCs w:val="18"/>
              </w:rPr>
              <w:t>8微机系统中的定时器/计数器</w:t>
            </w:r>
          </w:p>
        </w:tc>
        <w:tc>
          <w:tcPr>
            <w:tcW w:w="940" w:type="pct"/>
            <w:vAlign w:val="center"/>
          </w:tcPr>
          <w:p>
            <w:pPr>
              <w:widowControl/>
              <w:adjustRightInd w:val="0"/>
              <w:snapToGrid w:val="0"/>
              <w:jc w:val="center"/>
              <w:rPr>
                <w:rFonts w:cs="宋体"/>
                <w:kern w:val="0"/>
                <w:sz w:val="18"/>
                <w:szCs w:val="18"/>
              </w:rPr>
            </w:pPr>
            <w:r>
              <w:rPr>
                <w:rFonts w:hint="eastAsia" w:cs="宋体"/>
                <w:kern w:val="0"/>
                <w:sz w:val="18"/>
                <w:szCs w:val="18"/>
              </w:rPr>
              <w:t>4</w:t>
            </w:r>
          </w:p>
        </w:tc>
        <w:tc>
          <w:tcPr>
            <w:tcW w:w="1024" w:type="pct"/>
            <w:vAlign w:val="center"/>
          </w:tcPr>
          <w:p>
            <w:pPr>
              <w:widowControl/>
              <w:adjustRightInd w:val="0"/>
              <w:snapToGrid w:val="0"/>
              <w:jc w:val="center"/>
              <w:rPr>
                <w:rFonts w:cs="宋体"/>
                <w:kern w:val="0"/>
                <w:sz w:val="18"/>
                <w:szCs w:val="18"/>
              </w:rPr>
            </w:pPr>
            <w:r>
              <w:rPr>
                <w:rFonts w:hint="eastAsia" w:cs="宋体"/>
                <w:kern w:val="0"/>
                <w:sz w:val="18"/>
                <w:szCs w:val="18"/>
              </w:rPr>
              <w:t>2</w:t>
            </w:r>
          </w:p>
        </w:tc>
        <w:tc>
          <w:tcPr>
            <w:tcW w:w="649" w:type="pct"/>
            <w:vAlign w:val="center"/>
          </w:tcPr>
          <w:p>
            <w:pPr>
              <w:widowControl/>
              <w:adjustRightInd w:val="0"/>
              <w:snapToGrid w:val="0"/>
              <w:jc w:val="center"/>
              <w:rPr>
                <w:rFonts w:cs="宋体"/>
                <w:kern w:val="0"/>
                <w:sz w:val="18"/>
                <w:szCs w:val="18"/>
              </w:rPr>
            </w:pPr>
            <w:r>
              <w:rPr>
                <w:rFonts w:hint="eastAsia" w:cs="宋体"/>
                <w:kern w:val="0"/>
                <w:sz w:val="18"/>
                <w:szCs w:val="18"/>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387" w:type="pct"/>
            <w:vAlign w:val="center"/>
          </w:tcPr>
          <w:p>
            <w:pPr>
              <w:widowControl/>
              <w:adjustRightInd w:val="0"/>
              <w:snapToGrid w:val="0"/>
              <w:jc w:val="center"/>
              <w:rPr>
                <w:rFonts w:cs="宋体"/>
                <w:kern w:val="0"/>
                <w:sz w:val="18"/>
                <w:szCs w:val="18"/>
              </w:rPr>
            </w:pPr>
            <w:r>
              <w:rPr>
                <w:rFonts w:hint="eastAsia" w:cs="宋体"/>
                <w:kern w:val="0"/>
                <w:sz w:val="18"/>
                <w:szCs w:val="18"/>
              </w:rPr>
              <w:t>9微机系统中的A/D、D/A转换器接口</w:t>
            </w:r>
          </w:p>
        </w:tc>
        <w:tc>
          <w:tcPr>
            <w:tcW w:w="940" w:type="pct"/>
            <w:vAlign w:val="center"/>
          </w:tcPr>
          <w:p>
            <w:pPr>
              <w:widowControl/>
              <w:adjustRightInd w:val="0"/>
              <w:snapToGrid w:val="0"/>
              <w:jc w:val="center"/>
              <w:rPr>
                <w:rFonts w:cs="宋体"/>
                <w:kern w:val="0"/>
                <w:sz w:val="18"/>
                <w:szCs w:val="18"/>
              </w:rPr>
            </w:pPr>
            <w:r>
              <w:rPr>
                <w:rFonts w:hint="eastAsia" w:cs="宋体"/>
                <w:kern w:val="0"/>
                <w:sz w:val="18"/>
                <w:szCs w:val="18"/>
              </w:rPr>
              <w:t>2</w:t>
            </w:r>
          </w:p>
        </w:tc>
        <w:tc>
          <w:tcPr>
            <w:tcW w:w="1024" w:type="pct"/>
            <w:vAlign w:val="center"/>
          </w:tcPr>
          <w:p>
            <w:pPr>
              <w:widowControl/>
              <w:adjustRightInd w:val="0"/>
              <w:snapToGrid w:val="0"/>
              <w:jc w:val="center"/>
              <w:rPr>
                <w:rFonts w:cs="宋体"/>
                <w:kern w:val="0"/>
                <w:sz w:val="18"/>
                <w:szCs w:val="18"/>
              </w:rPr>
            </w:pPr>
            <w:r>
              <w:rPr>
                <w:rFonts w:hint="eastAsia" w:cs="宋体"/>
                <w:kern w:val="0"/>
                <w:sz w:val="18"/>
                <w:szCs w:val="18"/>
              </w:rPr>
              <w:t>2</w:t>
            </w:r>
          </w:p>
        </w:tc>
        <w:tc>
          <w:tcPr>
            <w:tcW w:w="649" w:type="pct"/>
            <w:vAlign w:val="center"/>
          </w:tcPr>
          <w:p>
            <w:pPr>
              <w:widowControl/>
              <w:adjustRightInd w:val="0"/>
              <w:snapToGrid w:val="0"/>
              <w:jc w:val="center"/>
              <w:rPr>
                <w:rFonts w:cs="宋体"/>
                <w:kern w:val="0"/>
                <w:sz w:val="18"/>
                <w:szCs w:val="18"/>
              </w:rPr>
            </w:pPr>
            <w:r>
              <w:rPr>
                <w:rFonts w:hint="eastAsia" w:cs="宋体"/>
                <w:kern w:val="0"/>
                <w:sz w:val="18"/>
                <w:szCs w:val="18"/>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387" w:type="pct"/>
            <w:vAlign w:val="center"/>
          </w:tcPr>
          <w:p>
            <w:pPr>
              <w:widowControl/>
              <w:adjustRightInd w:val="0"/>
              <w:snapToGrid w:val="0"/>
              <w:jc w:val="center"/>
              <w:rPr>
                <w:rFonts w:cs="宋体"/>
                <w:kern w:val="0"/>
                <w:sz w:val="18"/>
                <w:szCs w:val="18"/>
              </w:rPr>
            </w:pPr>
            <w:r>
              <w:rPr>
                <w:rFonts w:hint="eastAsia" w:cs="宋体"/>
                <w:kern w:val="0"/>
                <w:sz w:val="18"/>
                <w:szCs w:val="18"/>
              </w:rPr>
              <w:t>10键盘、显示器接口设计</w:t>
            </w:r>
          </w:p>
        </w:tc>
        <w:tc>
          <w:tcPr>
            <w:tcW w:w="940" w:type="pct"/>
            <w:vAlign w:val="center"/>
          </w:tcPr>
          <w:p>
            <w:pPr>
              <w:widowControl/>
              <w:adjustRightInd w:val="0"/>
              <w:snapToGrid w:val="0"/>
              <w:jc w:val="center"/>
              <w:rPr>
                <w:rFonts w:cs="宋体"/>
                <w:kern w:val="0"/>
                <w:sz w:val="18"/>
                <w:szCs w:val="18"/>
              </w:rPr>
            </w:pPr>
            <w:r>
              <w:rPr>
                <w:rFonts w:cs="宋体"/>
                <w:kern w:val="0"/>
                <w:sz w:val="18"/>
                <w:szCs w:val="18"/>
              </w:rPr>
              <w:t>2</w:t>
            </w:r>
          </w:p>
        </w:tc>
        <w:tc>
          <w:tcPr>
            <w:tcW w:w="1024" w:type="pct"/>
            <w:vAlign w:val="center"/>
          </w:tcPr>
          <w:p>
            <w:pPr>
              <w:widowControl/>
              <w:adjustRightInd w:val="0"/>
              <w:snapToGrid w:val="0"/>
              <w:jc w:val="center"/>
              <w:rPr>
                <w:rFonts w:cs="宋体"/>
                <w:kern w:val="0"/>
                <w:sz w:val="18"/>
                <w:szCs w:val="18"/>
              </w:rPr>
            </w:pPr>
            <w:r>
              <w:rPr>
                <w:rFonts w:hint="eastAsia" w:cs="宋体"/>
                <w:kern w:val="0"/>
                <w:sz w:val="18"/>
                <w:szCs w:val="18"/>
              </w:rPr>
              <w:t>0</w:t>
            </w:r>
          </w:p>
        </w:tc>
        <w:tc>
          <w:tcPr>
            <w:tcW w:w="649" w:type="pct"/>
            <w:vAlign w:val="center"/>
          </w:tcPr>
          <w:p>
            <w:pPr>
              <w:widowControl/>
              <w:adjustRightInd w:val="0"/>
              <w:snapToGrid w:val="0"/>
              <w:jc w:val="center"/>
              <w:rPr>
                <w:rFonts w:cs="宋体"/>
                <w:kern w:val="0"/>
                <w:sz w:val="18"/>
                <w:szCs w:val="18"/>
              </w:rPr>
            </w:pPr>
            <w:r>
              <w:rPr>
                <w:rFonts w:cs="宋体"/>
                <w:kern w:val="0"/>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387" w:type="pct"/>
            <w:vAlign w:val="center"/>
          </w:tcPr>
          <w:p>
            <w:pPr>
              <w:widowControl/>
              <w:adjustRightInd w:val="0"/>
              <w:snapToGrid w:val="0"/>
              <w:jc w:val="center"/>
              <w:rPr>
                <w:rFonts w:cs="宋体"/>
                <w:kern w:val="0"/>
                <w:sz w:val="18"/>
                <w:szCs w:val="18"/>
              </w:rPr>
            </w:pPr>
            <w:r>
              <w:rPr>
                <w:rFonts w:hint="eastAsia" w:cs="宋体"/>
                <w:kern w:val="0"/>
                <w:sz w:val="18"/>
                <w:szCs w:val="18"/>
              </w:rPr>
              <w:t>合计</w:t>
            </w:r>
          </w:p>
        </w:tc>
        <w:tc>
          <w:tcPr>
            <w:tcW w:w="940" w:type="pct"/>
            <w:vAlign w:val="center"/>
          </w:tcPr>
          <w:p>
            <w:pPr>
              <w:widowControl/>
              <w:adjustRightInd w:val="0"/>
              <w:snapToGrid w:val="0"/>
              <w:jc w:val="center"/>
              <w:rPr>
                <w:rFonts w:cs="宋体"/>
                <w:kern w:val="0"/>
                <w:sz w:val="18"/>
                <w:szCs w:val="18"/>
              </w:rPr>
            </w:pPr>
            <w:r>
              <w:rPr>
                <w:rFonts w:cs="宋体"/>
                <w:kern w:val="0"/>
                <w:sz w:val="18"/>
                <w:szCs w:val="18"/>
              </w:rPr>
              <w:t>46</w:t>
            </w:r>
          </w:p>
        </w:tc>
        <w:tc>
          <w:tcPr>
            <w:tcW w:w="1024" w:type="pct"/>
            <w:vAlign w:val="center"/>
          </w:tcPr>
          <w:p>
            <w:pPr>
              <w:widowControl/>
              <w:adjustRightInd w:val="0"/>
              <w:snapToGrid w:val="0"/>
              <w:jc w:val="center"/>
              <w:rPr>
                <w:rFonts w:cs="宋体"/>
                <w:kern w:val="0"/>
                <w:sz w:val="18"/>
                <w:szCs w:val="18"/>
              </w:rPr>
            </w:pPr>
            <w:r>
              <w:rPr>
                <w:rFonts w:cs="宋体"/>
                <w:kern w:val="0"/>
                <w:sz w:val="18"/>
                <w:szCs w:val="18"/>
              </w:rPr>
              <w:t>10</w:t>
            </w:r>
          </w:p>
        </w:tc>
        <w:tc>
          <w:tcPr>
            <w:tcW w:w="649" w:type="pct"/>
            <w:vAlign w:val="center"/>
          </w:tcPr>
          <w:p>
            <w:pPr>
              <w:widowControl/>
              <w:adjustRightInd w:val="0"/>
              <w:snapToGrid w:val="0"/>
              <w:jc w:val="center"/>
              <w:rPr>
                <w:rFonts w:cs="宋体"/>
                <w:kern w:val="0"/>
                <w:sz w:val="18"/>
                <w:szCs w:val="18"/>
              </w:rPr>
            </w:pPr>
            <w:r>
              <w:rPr>
                <w:rFonts w:hint="eastAsia" w:cs="宋体"/>
                <w:kern w:val="0"/>
                <w:sz w:val="18"/>
                <w:szCs w:val="18"/>
              </w:rPr>
              <w:t>56</w:t>
            </w:r>
          </w:p>
        </w:tc>
      </w:tr>
    </w:tbl>
    <w:p>
      <w:pPr>
        <w:spacing w:line="360" w:lineRule="auto"/>
        <w:rPr>
          <w:b/>
          <w:sz w:val="24"/>
          <w:szCs w:val="24"/>
        </w:rPr>
      </w:pPr>
    </w:p>
    <w:p>
      <w:pPr>
        <w:tabs>
          <w:tab w:val="left" w:pos="420"/>
        </w:tabs>
        <w:spacing w:line="360" w:lineRule="auto"/>
        <w:ind w:left="420" w:hanging="420"/>
        <w:rPr>
          <w:rFonts w:eastAsia="黑体"/>
          <w:szCs w:val="24"/>
        </w:rPr>
      </w:pPr>
      <w:r>
        <w:rPr>
          <w:rFonts w:hint="eastAsia" w:eastAsia="黑体"/>
          <w:szCs w:val="24"/>
        </w:rPr>
        <w:t>七、教材、补充教材及参考资料</w:t>
      </w:r>
    </w:p>
    <w:p>
      <w:pPr>
        <w:spacing w:line="360" w:lineRule="auto"/>
        <w:ind w:firstLine="420" w:firstLineChars="200"/>
        <w:rPr>
          <w:szCs w:val="21"/>
        </w:rPr>
      </w:pPr>
      <w:r>
        <w:rPr>
          <w:szCs w:val="21"/>
        </w:rPr>
        <w:t>1</w:t>
      </w:r>
      <w:r>
        <w:rPr>
          <w:rFonts w:hint="eastAsia"/>
          <w:szCs w:val="21"/>
        </w:rPr>
        <w:t>、姚燕南、薛钧义，《微型计算机原理》，</w:t>
      </w:r>
      <w:r>
        <w:rPr>
          <w:szCs w:val="21"/>
        </w:rPr>
        <w:t>ISBN 9787560607733</w:t>
      </w:r>
      <w:r>
        <w:rPr>
          <w:rFonts w:hint="eastAsia"/>
          <w:szCs w:val="21"/>
        </w:rPr>
        <w:t>，西安电子科技大学出版社。</w:t>
      </w:r>
    </w:p>
    <w:p>
      <w:pPr>
        <w:spacing w:line="360" w:lineRule="auto"/>
        <w:ind w:firstLine="420" w:firstLineChars="200"/>
        <w:rPr>
          <w:szCs w:val="21"/>
        </w:rPr>
      </w:pPr>
      <w:r>
        <w:rPr>
          <w:szCs w:val="21"/>
        </w:rPr>
        <w:t>2</w:t>
      </w:r>
      <w:r>
        <w:rPr>
          <w:rFonts w:hint="eastAsia"/>
          <w:szCs w:val="21"/>
        </w:rPr>
        <w:t>、王永山、杨宏五、杨掸娟,《微型原理与应用》，</w:t>
      </w:r>
      <w:r>
        <w:rPr>
          <w:szCs w:val="21"/>
        </w:rPr>
        <w:t>ISBN 9787115146427</w:t>
      </w:r>
      <w:r>
        <w:rPr>
          <w:rFonts w:hint="eastAsia"/>
          <w:szCs w:val="21"/>
        </w:rPr>
        <w:t>，西安电子科技大学出版社。</w:t>
      </w:r>
    </w:p>
    <w:p>
      <w:pPr>
        <w:spacing w:line="360" w:lineRule="auto"/>
        <w:ind w:firstLine="420" w:firstLineChars="200"/>
        <w:rPr>
          <w:szCs w:val="21"/>
        </w:rPr>
      </w:pPr>
      <w:r>
        <w:rPr>
          <w:szCs w:val="21"/>
        </w:rPr>
        <w:t>3</w:t>
      </w:r>
      <w:r>
        <w:rPr>
          <w:rFonts w:hint="eastAsia"/>
          <w:szCs w:val="21"/>
        </w:rPr>
        <w:t>、沈美明、温冬蝉，《</w:t>
      </w:r>
      <w:r>
        <w:rPr>
          <w:szCs w:val="21"/>
        </w:rPr>
        <w:t>IBM—PC</w:t>
      </w:r>
      <w:r>
        <w:rPr>
          <w:rFonts w:hint="eastAsia"/>
          <w:szCs w:val="21"/>
        </w:rPr>
        <w:t>汇编语言程序设计》，</w:t>
      </w:r>
      <w:r>
        <w:rPr>
          <w:szCs w:val="21"/>
        </w:rPr>
        <w:t>ISBN 9787302128816</w:t>
      </w:r>
      <w:r>
        <w:rPr>
          <w:rFonts w:hint="eastAsia"/>
          <w:szCs w:val="21"/>
        </w:rPr>
        <w:t>，清华大学出版社。</w:t>
      </w:r>
    </w:p>
    <w:p>
      <w:pPr>
        <w:spacing w:line="360" w:lineRule="auto"/>
        <w:ind w:firstLine="420" w:firstLineChars="200"/>
        <w:rPr>
          <w:szCs w:val="21"/>
        </w:rPr>
      </w:pPr>
      <w:r>
        <w:rPr>
          <w:szCs w:val="21"/>
        </w:rPr>
        <w:t>4</w:t>
      </w:r>
      <w:r>
        <w:rPr>
          <w:rFonts w:hint="eastAsia"/>
          <w:szCs w:val="21"/>
        </w:rPr>
        <w:t>、谢其中，《微型计算机常用外部设备》，</w:t>
      </w:r>
      <w:r>
        <w:rPr>
          <w:szCs w:val="21"/>
        </w:rPr>
        <w:t>ISBN 9787560925219</w:t>
      </w:r>
      <w:r>
        <w:rPr>
          <w:rFonts w:hint="eastAsia"/>
          <w:szCs w:val="21"/>
        </w:rPr>
        <w:t>，华中理工大学出版杜。</w:t>
      </w:r>
    </w:p>
    <w:p>
      <w:pPr>
        <w:spacing w:line="360" w:lineRule="auto"/>
        <w:ind w:firstLine="420" w:firstLineChars="200"/>
        <w:rPr>
          <w:szCs w:val="21"/>
        </w:rPr>
      </w:pPr>
      <w:r>
        <w:rPr>
          <w:szCs w:val="21"/>
        </w:rPr>
        <w:t>5</w:t>
      </w:r>
      <w:r>
        <w:rPr>
          <w:rFonts w:hint="eastAsia"/>
          <w:szCs w:val="21"/>
        </w:rPr>
        <w:t>、吴宁、乔亚男、冯博琴，《微型计算机原理与接口技术》，</w:t>
      </w:r>
      <w:r>
        <w:rPr>
          <w:szCs w:val="21"/>
        </w:rPr>
        <w:t>ISBN 9787302446453</w:t>
      </w:r>
      <w:r>
        <w:rPr>
          <w:rFonts w:hint="eastAsia"/>
          <w:szCs w:val="21"/>
        </w:rPr>
        <w:t>，清华大学出版社。</w:t>
      </w:r>
    </w:p>
    <w:p>
      <w:pPr>
        <w:spacing w:line="360" w:lineRule="auto"/>
        <w:ind w:firstLine="420" w:firstLineChars="200"/>
        <w:rPr>
          <w:szCs w:val="21"/>
        </w:rPr>
      </w:pPr>
      <w:r>
        <w:rPr>
          <w:rFonts w:hint="eastAsia"/>
          <w:szCs w:val="21"/>
        </w:rPr>
        <w:t>实验指导书：微机原理实验指导书。</w:t>
      </w:r>
    </w:p>
    <w:p>
      <w:pPr>
        <w:tabs>
          <w:tab w:val="left" w:pos="420"/>
        </w:tabs>
        <w:spacing w:line="360" w:lineRule="auto"/>
        <w:ind w:left="420" w:hanging="420"/>
        <w:rPr>
          <w:rFonts w:eastAsia="黑体"/>
          <w:szCs w:val="24"/>
        </w:rPr>
      </w:pPr>
    </w:p>
    <w:p>
      <w:pPr>
        <w:tabs>
          <w:tab w:val="left" w:pos="420"/>
        </w:tabs>
        <w:spacing w:line="360" w:lineRule="auto"/>
        <w:ind w:left="420" w:hanging="420"/>
        <w:rPr>
          <w:rFonts w:eastAsia="黑体"/>
          <w:szCs w:val="24"/>
        </w:rPr>
      </w:pPr>
      <w:r>
        <w:rPr>
          <w:rFonts w:hint="eastAsia" w:eastAsia="黑体"/>
          <w:szCs w:val="24"/>
        </w:rPr>
        <w:t>八、课程目标达成的途径和措施</w:t>
      </w:r>
    </w:p>
    <w:p>
      <w:pPr>
        <w:spacing w:line="360" w:lineRule="auto"/>
        <w:ind w:firstLine="420" w:firstLineChars="200"/>
        <w:rPr>
          <w:szCs w:val="21"/>
        </w:rPr>
      </w:pPr>
      <w:r>
        <w:rPr>
          <w:rFonts w:hint="eastAsia"/>
          <w:szCs w:val="21"/>
        </w:rPr>
        <w:t>1、考核方式：课堂情况、作业、实验、考试</w:t>
      </w:r>
    </w:p>
    <w:p>
      <w:pPr>
        <w:spacing w:line="360" w:lineRule="auto"/>
        <w:ind w:firstLine="420" w:firstLineChars="200"/>
        <w:rPr>
          <w:szCs w:val="21"/>
        </w:rPr>
      </w:pPr>
      <w:r>
        <w:rPr>
          <w:rFonts w:hint="eastAsia"/>
          <w:szCs w:val="21"/>
        </w:rPr>
        <w:t>2、考核目标：在考核学生对基本知识、基本原理和方法学习基础上，重点考核学生微机系统的基本构成、汇编语言程序设计、常用接口芯片和工具使用方法的学习程度。</w:t>
      </w:r>
    </w:p>
    <w:p>
      <w:pPr>
        <w:spacing w:line="360" w:lineRule="auto"/>
        <w:ind w:firstLine="420" w:firstLineChars="200"/>
        <w:rPr>
          <w:color w:val="0000FF"/>
        </w:rPr>
      </w:pPr>
      <w:r>
        <w:rPr>
          <w:szCs w:val="21"/>
        </w:rPr>
        <w:t>3、</w:t>
      </w:r>
      <w:r>
        <w:rPr>
          <w:rFonts w:hint="eastAsia"/>
          <w:szCs w:val="21"/>
        </w:rPr>
        <w:t>评价环节对课程目标达成贡献率及支撑材料：</w:t>
      </w:r>
    </w:p>
    <w:tbl>
      <w:tblPr>
        <w:tblStyle w:val="19"/>
        <w:tblW w:w="5000" w:type="pct"/>
        <w:jc w:val="center"/>
        <w:tblLayout w:type="autofit"/>
        <w:tblCellMar>
          <w:top w:w="0" w:type="dxa"/>
          <w:left w:w="108" w:type="dxa"/>
          <w:bottom w:w="0" w:type="dxa"/>
          <w:right w:w="108" w:type="dxa"/>
        </w:tblCellMar>
      </w:tblPr>
      <w:tblGrid>
        <w:gridCol w:w="1518"/>
        <w:gridCol w:w="1359"/>
        <w:gridCol w:w="1439"/>
        <w:gridCol w:w="2376"/>
        <w:gridCol w:w="1836"/>
      </w:tblGrid>
      <w:tr>
        <w:tblPrEx>
          <w:tblCellMar>
            <w:top w:w="0" w:type="dxa"/>
            <w:left w:w="108" w:type="dxa"/>
            <w:bottom w:w="0" w:type="dxa"/>
            <w:right w:w="108" w:type="dxa"/>
          </w:tblCellMar>
        </w:tblPrEx>
        <w:trPr>
          <w:trHeight w:val="691" w:hRule="atLeast"/>
          <w:jc w:val="center"/>
        </w:trPr>
        <w:tc>
          <w:tcPr>
            <w:tcW w:w="1069" w:type="pct"/>
            <w:tcBorders>
              <w:top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考察环节</w:t>
            </w:r>
          </w:p>
        </w:tc>
        <w:tc>
          <w:tcPr>
            <w:tcW w:w="9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课堂情况</w:t>
            </w:r>
          </w:p>
        </w:tc>
        <w:tc>
          <w:tcPr>
            <w:tcW w:w="10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作业</w:t>
            </w:r>
          </w:p>
        </w:tc>
        <w:tc>
          <w:tcPr>
            <w:tcW w:w="10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实验</w:t>
            </w:r>
          </w:p>
        </w:tc>
        <w:tc>
          <w:tcPr>
            <w:tcW w:w="909" w:type="pct"/>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期末考试</w:t>
            </w:r>
          </w:p>
        </w:tc>
      </w:tr>
      <w:tr>
        <w:tblPrEx>
          <w:tblCellMar>
            <w:top w:w="0" w:type="dxa"/>
            <w:left w:w="108" w:type="dxa"/>
            <w:bottom w:w="0" w:type="dxa"/>
            <w:right w:w="108" w:type="dxa"/>
          </w:tblCellMar>
        </w:tblPrEx>
        <w:trPr>
          <w:trHeight w:val="568" w:hRule="atLeast"/>
          <w:jc w:val="center"/>
        </w:trPr>
        <w:tc>
          <w:tcPr>
            <w:tcW w:w="1069" w:type="pct"/>
            <w:tcBorders>
              <w:top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课程目标达成</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的贡献率</w:t>
            </w:r>
          </w:p>
        </w:tc>
        <w:tc>
          <w:tcPr>
            <w:tcW w:w="97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18"/>
                <w:szCs w:val="18"/>
              </w:rPr>
            </w:pPr>
            <w:r>
              <w:rPr>
                <w:sz w:val="18"/>
                <w:szCs w:val="18"/>
              </w:rPr>
              <w:t>0.1</w:t>
            </w:r>
          </w:p>
        </w:tc>
        <w:tc>
          <w:tcPr>
            <w:tcW w:w="102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18"/>
                <w:szCs w:val="18"/>
              </w:rPr>
            </w:pPr>
            <w:r>
              <w:rPr>
                <w:sz w:val="18"/>
                <w:szCs w:val="18"/>
              </w:rPr>
              <w:t>0.2</w:t>
            </w:r>
          </w:p>
        </w:tc>
        <w:tc>
          <w:tcPr>
            <w:tcW w:w="102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18"/>
                <w:szCs w:val="18"/>
              </w:rPr>
            </w:pPr>
            <w:r>
              <w:rPr>
                <w:sz w:val="18"/>
                <w:szCs w:val="18"/>
              </w:rPr>
              <w:t>0.1</w:t>
            </w:r>
          </w:p>
        </w:tc>
        <w:tc>
          <w:tcPr>
            <w:tcW w:w="909" w:type="pct"/>
            <w:tcBorders>
              <w:top w:val="single" w:color="auto" w:sz="4" w:space="0"/>
              <w:left w:val="single" w:color="auto" w:sz="4" w:space="0"/>
              <w:bottom w:val="single" w:color="auto" w:sz="4" w:space="0"/>
            </w:tcBorders>
            <w:shd w:val="clear" w:color="auto" w:fill="auto"/>
            <w:noWrap/>
            <w:vAlign w:val="center"/>
          </w:tcPr>
          <w:p>
            <w:pPr>
              <w:jc w:val="center"/>
              <w:rPr>
                <w:sz w:val="18"/>
                <w:szCs w:val="18"/>
              </w:rPr>
            </w:pPr>
            <w:r>
              <w:rPr>
                <w:sz w:val="18"/>
                <w:szCs w:val="18"/>
              </w:rPr>
              <w:t>0.6</w:t>
            </w:r>
          </w:p>
        </w:tc>
      </w:tr>
      <w:tr>
        <w:tblPrEx>
          <w:tblCellMar>
            <w:top w:w="0" w:type="dxa"/>
            <w:left w:w="108" w:type="dxa"/>
            <w:bottom w:w="0" w:type="dxa"/>
            <w:right w:w="108" w:type="dxa"/>
          </w:tblCellMar>
        </w:tblPrEx>
        <w:trPr>
          <w:trHeight w:val="690" w:hRule="atLeast"/>
          <w:jc w:val="center"/>
        </w:trPr>
        <w:tc>
          <w:tcPr>
            <w:tcW w:w="1069" w:type="pct"/>
            <w:tcBorders>
              <w:top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支撑材料</w:t>
            </w:r>
          </w:p>
        </w:tc>
        <w:tc>
          <w:tcPr>
            <w:tcW w:w="97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课堂提问</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点名记录</w:t>
            </w:r>
          </w:p>
        </w:tc>
        <w:tc>
          <w:tcPr>
            <w:tcW w:w="10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作业计分表</w:t>
            </w:r>
          </w:p>
        </w:tc>
        <w:tc>
          <w:tcPr>
            <w:tcW w:w="102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实验过程评分表、实验报告</w:t>
            </w:r>
          </w:p>
        </w:tc>
        <w:tc>
          <w:tcPr>
            <w:tcW w:w="909" w:type="pct"/>
            <w:tcBorders>
              <w:top w:val="single" w:color="auto" w:sz="4" w:space="0"/>
              <w:left w:val="single" w:color="auto" w:sz="4" w:space="0"/>
              <w:bottom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试题评分标准，</w:t>
            </w:r>
            <w:r>
              <w:rPr>
                <w:rFonts w:ascii="宋体" w:hAnsi="宋体" w:cs="宋体"/>
                <w:color w:val="000000"/>
                <w:kern w:val="0"/>
                <w:sz w:val="18"/>
                <w:szCs w:val="18"/>
              </w:rPr>
              <w:t>试卷</w:t>
            </w:r>
          </w:p>
        </w:tc>
      </w:tr>
    </w:tbl>
    <w:p>
      <w:pPr>
        <w:pStyle w:val="26"/>
        <w:widowControl/>
        <w:spacing w:line="360" w:lineRule="auto"/>
        <w:ind w:left="360" w:firstLine="0" w:firstLineChars="0"/>
        <w:jc w:val="left"/>
        <w:rPr>
          <w:rFonts w:eastAsia="黑体"/>
          <w:szCs w:val="24"/>
        </w:rPr>
      </w:pPr>
    </w:p>
    <w:p>
      <w:pPr>
        <w:tabs>
          <w:tab w:val="left" w:pos="420"/>
        </w:tabs>
        <w:adjustRightInd w:val="0"/>
        <w:snapToGrid w:val="0"/>
        <w:spacing w:line="360" w:lineRule="auto"/>
        <w:ind w:left="420" w:hanging="420"/>
        <w:rPr>
          <w:rFonts w:asciiTheme="minorEastAsia" w:hAnsiTheme="minorEastAsia" w:eastAsiaTheme="minorEastAsia"/>
          <w:sz w:val="18"/>
          <w:szCs w:val="18"/>
        </w:rPr>
      </w:pPr>
      <w:r>
        <w:rPr>
          <w:rFonts w:eastAsia="黑体"/>
          <w:szCs w:val="24"/>
        </w:rPr>
        <w:t>九</w:t>
      </w:r>
      <w:r>
        <w:rPr>
          <w:rFonts w:hint="eastAsia" w:eastAsia="黑体"/>
          <w:szCs w:val="24"/>
        </w:rPr>
        <w:t>、覆盖课程目标达成评价的知识点及权重</w:t>
      </w:r>
    </w:p>
    <w:tbl>
      <w:tblPr>
        <w:tblStyle w:val="20"/>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562"/>
        <w:gridCol w:w="1179"/>
        <w:gridCol w:w="178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3261" w:type="pct"/>
            <w:vAlign w:val="center"/>
          </w:tcPr>
          <w:p>
            <w:pPr>
              <w:jc w:val="center"/>
              <w:rPr>
                <w:rFonts w:ascii="宋体" w:hAnsi="宋体"/>
                <w:sz w:val="18"/>
                <w:szCs w:val="18"/>
              </w:rPr>
            </w:pPr>
            <w:r>
              <w:rPr>
                <w:rFonts w:ascii="宋体" w:hAnsi="宋体"/>
                <w:sz w:val="18"/>
                <w:szCs w:val="18"/>
              </w:rPr>
              <w:t>知识点</w:t>
            </w:r>
          </w:p>
        </w:tc>
        <w:tc>
          <w:tcPr>
            <w:tcW w:w="691" w:type="pct"/>
            <w:vAlign w:val="center"/>
          </w:tcPr>
          <w:p>
            <w:pPr>
              <w:jc w:val="center"/>
              <w:rPr>
                <w:rFonts w:ascii="宋体" w:hAnsi="宋体"/>
                <w:sz w:val="18"/>
                <w:szCs w:val="18"/>
              </w:rPr>
            </w:pPr>
            <w:r>
              <w:rPr>
                <w:rFonts w:ascii="宋体" w:hAnsi="宋体"/>
                <w:sz w:val="18"/>
                <w:szCs w:val="18"/>
              </w:rPr>
              <w:t>权重</w:t>
            </w:r>
          </w:p>
        </w:tc>
        <w:tc>
          <w:tcPr>
            <w:tcW w:w="1048" w:type="pct"/>
            <w:vAlign w:val="center"/>
          </w:tcPr>
          <w:p>
            <w:pPr>
              <w:jc w:val="center"/>
              <w:rPr>
                <w:rFonts w:ascii="宋体" w:hAnsi="宋体"/>
                <w:sz w:val="18"/>
                <w:szCs w:val="18"/>
              </w:rPr>
            </w:pPr>
            <w:r>
              <w:rPr>
                <w:rFonts w:ascii="宋体" w:hAnsi="宋体"/>
                <w:sz w:val="18"/>
                <w:szCs w:val="18"/>
              </w:rPr>
              <w:t>支撑课程目标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vAlign w:val="center"/>
          </w:tcPr>
          <w:p>
            <w:pPr>
              <w:widowControl/>
              <w:jc w:val="left"/>
              <w:rPr>
                <w:bCs/>
                <w:snapToGrid w:val="0"/>
                <w:kern w:val="0"/>
                <w:sz w:val="18"/>
                <w:szCs w:val="18"/>
              </w:rPr>
            </w:pPr>
            <w:r>
              <w:rPr>
                <w:bCs/>
                <w:snapToGrid w:val="0"/>
                <w:kern w:val="0"/>
                <w:sz w:val="18"/>
                <w:szCs w:val="18"/>
              </w:rPr>
              <w:t>1计算机的构成体系和计算机的层次结构</w:t>
            </w:r>
          </w:p>
        </w:tc>
        <w:tc>
          <w:tcPr>
            <w:tcW w:w="691" w:type="pct"/>
          </w:tcPr>
          <w:p>
            <w:pPr>
              <w:widowControl/>
              <w:jc w:val="center"/>
              <w:rPr>
                <w:bCs/>
                <w:snapToGrid w:val="0"/>
                <w:kern w:val="0"/>
                <w:sz w:val="18"/>
                <w:szCs w:val="18"/>
              </w:rPr>
            </w:pPr>
            <w:r>
              <w:rPr>
                <w:sz w:val="18"/>
                <w:szCs w:val="18"/>
              </w:rPr>
              <w:t>0.1</w:t>
            </w:r>
          </w:p>
        </w:tc>
        <w:tc>
          <w:tcPr>
            <w:tcW w:w="1048" w:type="pct"/>
            <w:vAlign w:val="center"/>
          </w:tcPr>
          <w:p>
            <w:pPr>
              <w:widowControl/>
              <w:jc w:val="center"/>
              <w:rPr>
                <w:bCs/>
                <w:snapToGrid w:val="0"/>
                <w:kern w:val="0"/>
                <w:sz w:val="18"/>
                <w:szCs w:val="18"/>
              </w:rPr>
            </w:pPr>
            <w:r>
              <w:rPr>
                <w:bCs/>
                <w:snapToGrid w:val="0"/>
                <w:kern w:val="0"/>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vAlign w:val="center"/>
          </w:tcPr>
          <w:p>
            <w:pPr>
              <w:widowControl/>
              <w:jc w:val="left"/>
              <w:rPr>
                <w:bCs/>
                <w:snapToGrid w:val="0"/>
                <w:kern w:val="0"/>
                <w:sz w:val="18"/>
                <w:szCs w:val="18"/>
              </w:rPr>
            </w:pPr>
            <w:r>
              <w:rPr>
                <w:bCs/>
                <w:snapToGrid w:val="0"/>
                <w:kern w:val="0"/>
                <w:sz w:val="18"/>
                <w:szCs w:val="18"/>
              </w:rPr>
              <w:t>2 8086/8088CPU的内部结构、工作方式、外部引脚、时序及总线操作</w:t>
            </w:r>
          </w:p>
        </w:tc>
        <w:tc>
          <w:tcPr>
            <w:tcW w:w="691" w:type="pct"/>
            <w:vAlign w:val="center"/>
          </w:tcPr>
          <w:p>
            <w:pPr>
              <w:widowControl/>
              <w:jc w:val="center"/>
              <w:rPr>
                <w:bCs/>
                <w:snapToGrid w:val="0"/>
                <w:kern w:val="0"/>
                <w:sz w:val="18"/>
                <w:szCs w:val="18"/>
              </w:rPr>
            </w:pPr>
            <w:r>
              <w:rPr>
                <w:sz w:val="18"/>
                <w:szCs w:val="18"/>
              </w:rPr>
              <w:t>0.1</w:t>
            </w:r>
          </w:p>
        </w:tc>
        <w:tc>
          <w:tcPr>
            <w:tcW w:w="1048" w:type="pct"/>
            <w:vAlign w:val="center"/>
          </w:tcPr>
          <w:p>
            <w:pPr>
              <w:widowControl/>
              <w:jc w:val="center"/>
              <w:rPr>
                <w:bCs/>
                <w:snapToGrid w:val="0"/>
                <w:kern w:val="0"/>
                <w:sz w:val="18"/>
                <w:szCs w:val="18"/>
              </w:rPr>
            </w:pPr>
            <w:r>
              <w:rPr>
                <w:bCs/>
                <w:snapToGrid w:val="0"/>
                <w:kern w:val="0"/>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vAlign w:val="center"/>
          </w:tcPr>
          <w:p>
            <w:pPr>
              <w:widowControl/>
              <w:jc w:val="left"/>
              <w:rPr>
                <w:bCs/>
                <w:snapToGrid w:val="0"/>
                <w:kern w:val="0"/>
                <w:sz w:val="18"/>
                <w:szCs w:val="18"/>
              </w:rPr>
            </w:pPr>
            <w:r>
              <w:rPr>
                <w:bCs/>
                <w:snapToGrid w:val="0"/>
                <w:kern w:val="0"/>
                <w:sz w:val="18"/>
                <w:szCs w:val="18"/>
              </w:rPr>
              <w:t>3、指令寻址方式、指令功能</w:t>
            </w:r>
          </w:p>
        </w:tc>
        <w:tc>
          <w:tcPr>
            <w:tcW w:w="691" w:type="pct"/>
          </w:tcPr>
          <w:p>
            <w:pPr>
              <w:widowControl/>
              <w:jc w:val="center"/>
              <w:rPr>
                <w:bCs/>
                <w:snapToGrid w:val="0"/>
                <w:kern w:val="0"/>
                <w:sz w:val="18"/>
                <w:szCs w:val="18"/>
              </w:rPr>
            </w:pPr>
            <w:r>
              <w:rPr>
                <w:sz w:val="18"/>
                <w:szCs w:val="18"/>
              </w:rPr>
              <w:t>0.1</w:t>
            </w:r>
          </w:p>
        </w:tc>
        <w:tc>
          <w:tcPr>
            <w:tcW w:w="1048" w:type="pct"/>
            <w:vAlign w:val="center"/>
          </w:tcPr>
          <w:p>
            <w:pPr>
              <w:widowControl/>
              <w:jc w:val="center"/>
              <w:rPr>
                <w:bCs/>
                <w:snapToGrid w:val="0"/>
                <w:kern w:val="0"/>
                <w:sz w:val="18"/>
                <w:szCs w:val="18"/>
              </w:rPr>
            </w:pPr>
            <w:r>
              <w:rPr>
                <w:bCs/>
                <w:snapToGrid w:val="0"/>
                <w:kern w:val="0"/>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vAlign w:val="center"/>
          </w:tcPr>
          <w:p>
            <w:pPr>
              <w:widowControl/>
              <w:jc w:val="left"/>
              <w:rPr>
                <w:bCs/>
                <w:snapToGrid w:val="0"/>
                <w:kern w:val="0"/>
                <w:sz w:val="18"/>
                <w:szCs w:val="18"/>
              </w:rPr>
            </w:pPr>
            <w:r>
              <w:rPr>
                <w:bCs/>
                <w:snapToGrid w:val="0"/>
                <w:kern w:val="0"/>
                <w:sz w:val="18"/>
                <w:szCs w:val="18"/>
              </w:rPr>
              <w:t>4、汇编语言程序设计</w:t>
            </w:r>
          </w:p>
        </w:tc>
        <w:tc>
          <w:tcPr>
            <w:tcW w:w="691" w:type="pct"/>
          </w:tcPr>
          <w:p>
            <w:pPr>
              <w:widowControl/>
              <w:jc w:val="center"/>
              <w:rPr>
                <w:bCs/>
                <w:snapToGrid w:val="0"/>
                <w:kern w:val="0"/>
                <w:sz w:val="18"/>
                <w:szCs w:val="18"/>
              </w:rPr>
            </w:pPr>
            <w:r>
              <w:rPr>
                <w:sz w:val="18"/>
                <w:szCs w:val="18"/>
              </w:rPr>
              <w:t>0.1</w:t>
            </w:r>
          </w:p>
        </w:tc>
        <w:tc>
          <w:tcPr>
            <w:tcW w:w="1048" w:type="pct"/>
            <w:vAlign w:val="center"/>
          </w:tcPr>
          <w:p>
            <w:pPr>
              <w:widowControl/>
              <w:jc w:val="center"/>
              <w:rPr>
                <w:bCs/>
                <w:snapToGrid w:val="0"/>
                <w:kern w:val="0"/>
                <w:sz w:val="18"/>
                <w:szCs w:val="18"/>
              </w:rPr>
            </w:pPr>
            <w:r>
              <w:rPr>
                <w:bCs/>
                <w:snapToGrid w:val="0"/>
                <w:kern w:val="0"/>
                <w:sz w:val="18"/>
                <w:szCs w:val="18"/>
              </w:rPr>
              <w:t>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vAlign w:val="center"/>
          </w:tcPr>
          <w:p>
            <w:pPr>
              <w:widowControl/>
              <w:jc w:val="left"/>
              <w:rPr>
                <w:bCs/>
                <w:snapToGrid w:val="0"/>
                <w:kern w:val="0"/>
                <w:sz w:val="18"/>
                <w:szCs w:val="18"/>
              </w:rPr>
            </w:pPr>
            <w:r>
              <w:rPr>
                <w:bCs/>
                <w:snapToGrid w:val="0"/>
                <w:kern w:val="0"/>
                <w:sz w:val="18"/>
                <w:szCs w:val="18"/>
              </w:rPr>
              <w:t>5、微机存储系统</w:t>
            </w:r>
          </w:p>
        </w:tc>
        <w:tc>
          <w:tcPr>
            <w:tcW w:w="691" w:type="pct"/>
          </w:tcPr>
          <w:p>
            <w:pPr>
              <w:widowControl/>
              <w:jc w:val="center"/>
              <w:rPr>
                <w:bCs/>
                <w:snapToGrid w:val="0"/>
                <w:kern w:val="0"/>
                <w:sz w:val="18"/>
                <w:szCs w:val="18"/>
              </w:rPr>
            </w:pPr>
            <w:r>
              <w:rPr>
                <w:sz w:val="18"/>
                <w:szCs w:val="18"/>
              </w:rPr>
              <w:t>0.1</w:t>
            </w:r>
          </w:p>
        </w:tc>
        <w:tc>
          <w:tcPr>
            <w:tcW w:w="1048" w:type="pct"/>
            <w:vAlign w:val="center"/>
          </w:tcPr>
          <w:p>
            <w:pPr>
              <w:widowControl/>
              <w:jc w:val="center"/>
              <w:rPr>
                <w:bCs/>
                <w:snapToGrid w:val="0"/>
                <w:kern w:val="0"/>
                <w:sz w:val="18"/>
                <w:szCs w:val="18"/>
              </w:rPr>
            </w:pPr>
            <w:r>
              <w:rPr>
                <w:bCs/>
                <w:snapToGrid w:val="0"/>
                <w:kern w:val="0"/>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vAlign w:val="center"/>
          </w:tcPr>
          <w:p>
            <w:pPr>
              <w:widowControl/>
              <w:jc w:val="left"/>
              <w:rPr>
                <w:bCs/>
                <w:snapToGrid w:val="0"/>
                <w:kern w:val="0"/>
                <w:sz w:val="18"/>
                <w:szCs w:val="18"/>
              </w:rPr>
            </w:pPr>
            <w:r>
              <w:rPr>
                <w:bCs/>
                <w:snapToGrid w:val="0"/>
                <w:kern w:val="0"/>
                <w:sz w:val="18"/>
                <w:szCs w:val="18"/>
              </w:rPr>
              <w:t>6、输入/输出及中断技术</w:t>
            </w:r>
          </w:p>
        </w:tc>
        <w:tc>
          <w:tcPr>
            <w:tcW w:w="691" w:type="pct"/>
          </w:tcPr>
          <w:p>
            <w:pPr>
              <w:widowControl/>
              <w:jc w:val="center"/>
              <w:rPr>
                <w:bCs/>
                <w:snapToGrid w:val="0"/>
                <w:kern w:val="0"/>
                <w:sz w:val="18"/>
                <w:szCs w:val="18"/>
              </w:rPr>
            </w:pPr>
            <w:r>
              <w:rPr>
                <w:sz w:val="18"/>
                <w:szCs w:val="18"/>
              </w:rPr>
              <w:t>0.1</w:t>
            </w:r>
          </w:p>
        </w:tc>
        <w:tc>
          <w:tcPr>
            <w:tcW w:w="1048" w:type="pct"/>
            <w:vAlign w:val="center"/>
          </w:tcPr>
          <w:p>
            <w:pPr>
              <w:widowControl/>
              <w:jc w:val="center"/>
              <w:rPr>
                <w:bCs/>
                <w:snapToGrid w:val="0"/>
                <w:kern w:val="0"/>
                <w:sz w:val="18"/>
                <w:szCs w:val="18"/>
              </w:rPr>
            </w:pPr>
            <w:r>
              <w:rPr>
                <w:bCs/>
                <w:snapToGrid w:val="0"/>
                <w:kern w:val="0"/>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vAlign w:val="center"/>
          </w:tcPr>
          <w:p>
            <w:pPr>
              <w:widowControl/>
              <w:jc w:val="left"/>
              <w:rPr>
                <w:bCs/>
                <w:snapToGrid w:val="0"/>
                <w:kern w:val="0"/>
                <w:sz w:val="18"/>
                <w:szCs w:val="18"/>
              </w:rPr>
            </w:pPr>
            <w:r>
              <w:rPr>
                <w:bCs/>
                <w:snapToGrid w:val="0"/>
                <w:kern w:val="0"/>
                <w:sz w:val="18"/>
                <w:szCs w:val="18"/>
              </w:rPr>
              <w:t>7、并行通信接口</w:t>
            </w:r>
          </w:p>
        </w:tc>
        <w:tc>
          <w:tcPr>
            <w:tcW w:w="691" w:type="pct"/>
          </w:tcPr>
          <w:p>
            <w:pPr>
              <w:widowControl/>
              <w:jc w:val="center"/>
              <w:rPr>
                <w:bCs/>
                <w:snapToGrid w:val="0"/>
                <w:kern w:val="0"/>
                <w:sz w:val="18"/>
                <w:szCs w:val="18"/>
              </w:rPr>
            </w:pPr>
            <w:r>
              <w:rPr>
                <w:sz w:val="18"/>
                <w:szCs w:val="18"/>
              </w:rPr>
              <w:t>0.1</w:t>
            </w:r>
          </w:p>
        </w:tc>
        <w:tc>
          <w:tcPr>
            <w:tcW w:w="1048" w:type="pct"/>
            <w:vAlign w:val="center"/>
          </w:tcPr>
          <w:p>
            <w:pPr>
              <w:widowControl/>
              <w:jc w:val="center"/>
              <w:rPr>
                <w:bCs/>
                <w:snapToGrid w:val="0"/>
                <w:kern w:val="0"/>
                <w:sz w:val="18"/>
                <w:szCs w:val="18"/>
              </w:rPr>
            </w:pPr>
            <w:r>
              <w:rPr>
                <w:bCs/>
                <w:snapToGrid w:val="0"/>
                <w:kern w:val="0"/>
                <w:sz w:val="18"/>
                <w:szCs w:val="18"/>
              </w:rPr>
              <w:t>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vAlign w:val="center"/>
          </w:tcPr>
          <w:p>
            <w:pPr>
              <w:widowControl/>
              <w:jc w:val="left"/>
              <w:rPr>
                <w:bCs/>
                <w:snapToGrid w:val="0"/>
                <w:kern w:val="0"/>
                <w:sz w:val="18"/>
                <w:szCs w:val="18"/>
              </w:rPr>
            </w:pPr>
            <w:r>
              <w:rPr>
                <w:bCs/>
                <w:snapToGrid w:val="0"/>
                <w:kern w:val="0"/>
                <w:sz w:val="18"/>
                <w:szCs w:val="18"/>
              </w:rPr>
              <w:t>8、定时器/计数器</w:t>
            </w:r>
          </w:p>
        </w:tc>
        <w:tc>
          <w:tcPr>
            <w:tcW w:w="691" w:type="pct"/>
          </w:tcPr>
          <w:p>
            <w:pPr>
              <w:widowControl/>
              <w:jc w:val="center"/>
              <w:rPr>
                <w:bCs/>
                <w:snapToGrid w:val="0"/>
                <w:kern w:val="0"/>
                <w:sz w:val="18"/>
                <w:szCs w:val="18"/>
              </w:rPr>
            </w:pPr>
            <w:r>
              <w:rPr>
                <w:sz w:val="18"/>
                <w:szCs w:val="18"/>
              </w:rPr>
              <w:t>0.1</w:t>
            </w:r>
          </w:p>
        </w:tc>
        <w:tc>
          <w:tcPr>
            <w:tcW w:w="1048" w:type="pct"/>
            <w:vAlign w:val="center"/>
          </w:tcPr>
          <w:p>
            <w:pPr>
              <w:widowControl/>
              <w:jc w:val="center"/>
              <w:rPr>
                <w:bCs/>
                <w:snapToGrid w:val="0"/>
                <w:kern w:val="0"/>
                <w:sz w:val="18"/>
                <w:szCs w:val="18"/>
              </w:rPr>
            </w:pPr>
            <w:r>
              <w:rPr>
                <w:bCs/>
                <w:snapToGrid w:val="0"/>
                <w:kern w:val="0"/>
                <w:sz w:val="18"/>
                <w:szCs w:val="18"/>
              </w:rPr>
              <w:t>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vAlign w:val="center"/>
          </w:tcPr>
          <w:p>
            <w:pPr>
              <w:widowControl/>
              <w:jc w:val="left"/>
              <w:rPr>
                <w:bCs/>
                <w:snapToGrid w:val="0"/>
                <w:kern w:val="0"/>
                <w:sz w:val="18"/>
                <w:szCs w:val="18"/>
              </w:rPr>
            </w:pPr>
            <w:r>
              <w:rPr>
                <w:bCs/>
                <w:snapToGrid w:val="0"/>
                <w:kern w:val="0"/>
                <w:sz w:val="18"/>
                <w:szCs w:val="18"/>
              </w:rPr>
              <w:t>9、A/D、D/A转换器接口</w:t>
            </w:r>
          </w:p>
        </w:tc>
        <w:tc>
          <w:tcPr>
            <w:tcW w:w="691" w:type="pct"/>
          </w:tcPr>
          <w:p>
            <w:pPr>
              <w:widowControl/>
              <w:jc w:val="center"/>
              <w:rPr>
                <w:bCs/>
                <w:snapToGrid w:val="0"/>
                <w:kern w:val="0"/>
                <w:sz w:val="18"/>
                <w:szCs w:val="18"/>
              </w:rPr>
            </w:pPr>
            <w:r>
              <w:rPr>
                <w:sz w:val="18"/>
                <w:szCs w:val="18"/>
              </w:rPr>
              <w:t>0.1</w:t>
            </w:r>
          </w:p>
        </w:tc>
        <w:tc>
          <w:tcPr>
            <w:tcW w:w="1048" w:type="pct"/>
            <w:vAlign w:val="center"/>
          </w:tcPr>
          <w:p>
            <w:pPr>
              <w:widowControl/>
              <w:jc w:val="center"/>
              <w:rPr>
                <w:bCs/>
                <w:snapToGrid w:val="0"/>
                <w:kern w:val="0"/>
                <w:sz w:val="18"/>
                <w:szCs w:val="18"/>
              </w:rPr>
            </w:pPr>
            <w:r>
              <w:rPr>
                <w:bCs/>
                <w:snapToGrid w:val="0"/>
                <w:kern w:val="0"/>
                <w:sz w:val="18"/>
                <w:szCs w:val="18"/>
              </w:rPr>
              <w:t>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vAlign w:val="center"/>
          </w:tcPr>
          <w:p>
            <w:pPr>
              <w:widowControl/>
              <w:jc w:val="left"/>
              <w:rPr>
                <w:bCs/>
                <w:snapToGrid w:val="0"/>
                <w:kern w:val="0"/>
                <w:sz w:val="18"/>
                <w:szCs w:val="18"/>
              </w:rPr>
            </w:pPr>
            <w:r>
              <w:rPr>
                <w:bCs/>
                <w:snapToGrid w:val="0"/>
                <w:kern w:val="0"/>
                <w:sz w:val="18"/>
                <w:szCs w:val="18"/>
              </w:rPr>
              <w:t>10、键盘、显示器接口</w:t>
            </w:r>
          </w:p>
        </w:tc>
        <w:tc>
          <w:tcPr>
            <w:tcW w:w="691" w:type="pct"/>
          </w:tcPr>
          <w:p>
            <w:pPr>
              <w:widowControl/>
              <w:jc w:val="center"/>
              <w:rPr>
                <w:bCs/>
                <w:snapToGrid w:val="0"/>
                <w:kern w:val="0"/>
                <w:sz w:val="18"/>
                <w:szCs w:val="18"/>
              </w:rPr>
            </w:pPr>
            <w:r>
              <w:rPr>
                <w:sz w:val="18"/>
                <w:szCs w:val="18"/>
              </w:rPr>
              <w:t>0.1</w:t>
            </w:r>
          </w:p>
        </w:tc>
        <w:tc>
          <w:tcPr>
            <w:tcW w:w="1048" w:type="pct"/>
            <w:vAlign w:val="center"/>
          </w:tcPr>
          <w:p>
            <w:pPr>
              <w:widowControl/>
              <w:jc w:val="center"/>
              <w:rPr>
                <w:bCs/>
                <w:snapToGrid w:val="0"/>
                <w:kern w:val="0"/>
                <w:sz w:val="18"/>
                <w:szCs w:val="18"/>
              </w:rPr>
            </w:pPr>
            <w:r>
              <w:rPr>
                <w:bCs/>
                <w:snapToGrid w:val="0"/>
                <w:kern w:val="0"/>
                <w:sz w:val="18"/>
                <w:szCs w:val="18"/>
              </w:rPr>
              <w:t>3</w:t>
            </w:r>
          </w:p>
        </w:tc>
      </w:tr>
    </w:tbl>
    <w:p>
      <w:pPr>
        <w:spacing w:before="120" w:beforeLines="50" w:line="360" w:lineRule="auto"/>
        <w:ind w:firstLine="420" w:firstLineChars="200"/>
        <w:rPr>
          <w:color w:val="000000" w:themeColor="text1"/>
          <w:szCs w:val="21"/>
          <w14:textFill>
            <w14:solidFill>
              <w14:schemeClr w14:val="tx1"/>
            </w14:solidFill>
          </w14:textFill>
        </w:rPr>
        <w:sectPr>
          <w:footerReference r:id="rId20" w:type="default"/>
          <w:pgSz w:w="11906" w:h="16838"/>
          <w:pgMar w:top="1440" w:right="1797" w:bottom="1440" w:left="1797" w:header="851" w:footer="992" w:gutter="0"/>
          <w:pgNumType w:fmt="decimal"/>
          <w:cols w:space="425" w:num="1"/>
          <w:docGrid w:linePitch="312" w:charSpace="0"/>
        </w:sectPr>
      </w:pPr>
      <w:r>
        <w:rPr>
          <w:rFonts w:hint="eastAsia"/>
          <w:color w:val="000000" w:themeColor="text1"/>
          <w:szCs w:val="21"/>
          <w14:textFill>
            <w14:solidFill>
              <w14:schemeClr w14:val="tx1"/>
            </w14:solidFill>
          </w14:textFill>
        </w:rPr>
        <w:t>本课程不可以申请免修。</w:t>
      </w:r>
    </w:p>
    <w:p>
      <w:pPr>
        <w:tabs>
          <w:tab w:val="left" w:pos="420"/>
        </w:tabs>
        <w:adjustRightInd w:val="0"/>
        <w:snapToGrid w:val="0"/>
        <w:spacing w:line="360" w:lineRule="auto"/>
        <w:ind w:left="420" w:hanging="420"/>
        <w:rPr>
          <w:rFonts w:eastAsia="黑体"/>
          <w:szCs w:val="24"/>
        </w:rPr>
      </w:pPr>
      <w:r>
        <w:rPr>
          <w:rFonts w:hint="eastAsia" w:eastAsia="黑体"/>
          <w:szCs w:val="24"/>
        </w:rPr>
        <w:t>十、课程目标达成评价</w:t>
      </w:r>
    </w:p>
    <w:p>
      <w:pPr>
        <w:spacing w:line="360" w:lineRule="auto"/>
        <w:ind w:firstLine="420" w:firstLineChars="200"/>
        <w:jc w:val="center"/>
      </w:pPr>
      <w:r>
        <w:rPr>
          <w:rFonts w:hint="eastAsia"/>
        </w:rPr>
        <w:t>各环节对课程目标达成评价所使用到的权重占比分配及考核权重分配</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6"/>
        <w:gridCol w:w="978"/>
        <w:gridCol w:w="1012"/>
        <w:gridCol w:w="1015"/>
        <w:gridCol w:w="1012"/>
        <w:gridCol w:w="1018"/>
        <w:gridCol w:w="1012"/>
        <w:gridCol w:w="1015"/>
        <w:gridCol w:w="1012"/>
        <w:gridCol w:w="1018"/>
        <w:gridCol w:w="1108"/>
        <w:gridCol w:w="1108"/>
        <w:gridCol w:w="1108"/>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 w:type="pct"/>
            <w:vMerge w:val="restart"/>
            <w:vAlign w:val="center"/>
          </w:tcPr>
          <w:p>
            <w:pPr>
              <w:jc w:val="center"/>
              <w:rPr>
                <w:sz w:val="18"/>
                <w:szCs w:val="18"/>
              </w:rPr>
            </w:pPr>
            <w:r>
              <w:rPr>
                <w:kern w:val="0"/>
                <w:sz w:val="18"/>
                <w:szCs w:val="18"/>
              </w:rPr>
              <w:t>课程目标</w:t>
            </w:r>
          </w:p>
        </w:tc>
        <w:tc>
          <w:tcPr>
            <w:tcW w:w="345" w:type="pct"/>
            <w:vMerge w:val="restart"/>
            <w:vAlign w:val="center"/>
          </w:tcPr>
          <w:p>
            <w:pPr>
              <w:widowControl/>
              <w:jc w:val="center"/>
              <w:rPr>
                <w:kern w:val="0"/>
                <w:sz w:val="18"/>
                <w:szCs w:val="18"/>
              </w:rPr>
            </w:pPr>
            <w:r>
              <w:rPr>
                <w:kern w:val="0"/>
                <w:sz w:val="18"/>
                <w:szCs w:val="18"/>
              </w:rPr>
              <w:t>知识面比例</w:t>
            </w:r>
          </w:p>
          <w:p>
            <w:pPr>
              <w:jc w:val="center"/>
              <w:rPr>
                <w:kern w:val="0"/>
                <w:sz w:val="18"/>
                <w:szCs w:val="18"/>
              </w:rPr>
            </w:pPr>
            <w:r>
              <w:rPr>
                <w:kern w:val="0"/>
                <w:sz w:val="18"/>
                <w:szCs w:val="18"/>
              </w:rPr>
              <w:t>（本列总和为1）</w:t>
            </w:r>
          </w:p>
          <w:p>
            <w:pPr>
              <w:jc w:val="center"/>
              <w:rPr>
                <w:sz w:val="18"/>
                <w:szCs w:val="18"/>
              </w:rPr>
            </w:pPr>
            <w:r>
              <w:rPr>
                <w:i/>
                <w:kern w:val="0"/>
                <w:sz w:val="18"/>
                <w:szCs w:val="18"/>
              </w:rPr>
              <w:t>P</w:t>
            </w:r>
            <w:r>
              <w:rPr>
                <w:i/>
                <w:kern w:val="0"/>
                <w:sz w:val="18"/>
                <w:szCs w:val="18"/>
                <w:vertAlign w:val="subscript"/>
              </w:rPr>
              <w:t>i</w:t>
            </w:r>
          </w:p>
        </w:tc>
        <w:tc>
          <w:tcPr>
            <w:tcW w:w="1431" w:type="pct"/>
            <w:gridSpan w:val="4"/>
            <w:vAlign w:val="center"/>
          </w:tcPr>
          <w:p>
            <w:pPr>
              <w:jc w:val="center"/>
              <w:rPr>
                <w:sz w:val="18"/>
                <w:szCs w:val="18"/>
              </w:rPr>
            </w:pPr>
            <w:r>
              <w:rPr>
                <w:sz w:val="18"/>
                <w:szCs w:val="18"/>
              </w:rPr>
              <w:t>各环节评价比例分配</w:t>
            </w:r>
            <w:r>
              <w:rPr>
                <w:sz w:val="18"/>
                <w:szCs w:val="18"/>
              </w:rPr>
              <w:br w:type="textWrapping"/>
            </w:r>
            <w:r>
              <w:rPr>
                <w:sz w:val="18"/>
                <w:szCs w:val="18"/>
              </w:rPr>
              <w:t>（每行总和为1）</w:t>
            </w:r>
            <w:r>
              <w:rPr>
                <w:sz w:val="18"/>
                <w:szCs w:val="18"/>
              </w:rPr>
              <w:br w:type="textWrapping"/>
            </w:r>
            <w:r>
              <w:rPr>
                <w:i/>
                <w:sz w:val="18"/>
                <w:szCs w:val="18"/>
              </w:rPr>
              <w:t>W</w:t>
            </w:r>
            <w:r>
              <w:rPr>
                <w:i/>
                <w:sz w:val="18"/>
                <w:szCs w:val="18"/>
                <w:vertAlign w:val="subscript"/>
              </w:rPr>
              <w:t>ik</w:t>
            </w:r>
          </w:p>
        </w:tc>
        <w:tc>
          <w:tcPr>
            <w:tcW w:w="1431" w:type="pct"/>
            <w:gridSpan w:val="4"/>
            <w:vAlign w:val="center"/>
          </w:tcPr>
          <w:p>
            <w:pPr>
              <w:jc w:val="center"/>
              <w:rPr>
                <w:sz w:val="18"/>
                <w:szCs w:val="18"/>
              </w:rPr>
            </w:pPr>
            <w:r>
              <w:rPr>
                <w:sz w:val="18"/>
                <w:szCs w:val="18"/>
              </w:rPr>
              <w:t>各环节在课程达成中的占比</w:t>
            </w:r>
            <w:r>
              <w:rPr>
                <w:sz w:val="18"/>
                <w:szCs w:val="18"/>
              </w:rPr>
              <w:br w:type="textWrapping"/>
            </w:r>
            <w:r>
              <w:rPr>
                <w:sz w:val="18"/>
                <w:szCs w:val="18"/>
              </w:rPr>
              <w:t>（所有行列总和为1）</w:t>
            </w:r>
            <w:r>
              <w:rPr>
                <w:sz w:val="18"/>
                <w:szCs w:val="18"/>
              </w:rPr>
              <w:br w:type="textWrapping"/>
            </w:r>
            <w:r>
              <w:rPr>
                <w:i/>
                <w:sz w:val="18"/>
                <w:szCs w:val="18"/>
              </w:rPr>
              <w:t>S</w:t>
            </w:r>
            <w:r>
              <w:rPr>
                <w:i/>
                <w:sz w:val="18"/>
                <w:szCs w:val="18"/>
                <w:vertAlign w:val="subscript"/>
              </w:rPr>
              <w:t>ik</w:t>
            </w:r>
            <w:r>
              <w:rPr>
                <w:i/>
                <w:sz w:val="18"/>
                <w:szCs w:val="18"/>
              </w:rPr>
              <w:t>=P</w:t>
            </w:r>
            <w:r>
              <w:rPr>
                <w:i/>
                <w:sz w:val="18"/>
                <w:szCs w:val="18"/>
                <w:vertAlign w:val="subscript"/>
              </w:rPr>
              <w:t>i</w:t>
            </w:r>
            <w:r>
              <w:rPr>
                <w:i/>
                <w:sz w:val="18"/>
                <w:szCs w:val="18"/>
              </w:rPr>
              <w:t>*W</w:t>
            </w:r>
            <w:r>
              <w:rPr>
                <w:i/>
                <w:sz w:val="18"/>
                <w:szCs w:val="18"/>
                <w:vertAlign w:val="subscript"/>
              </w:rPr>
              <w:t>ik</w:t>
            </w:r>
          </w:p>
        </w:tc>
        <w:tc>
          <w:tcPr>
            <w:tcW w:w="1566" w:type="pct"/>
            <w:gridSpan w:val="4"/>
            <w:vAlign w:val="center"/>
          </w:tcPr>
          <w:p>
            <w:pPr>
              <w:jc w:val="center"/>
              <w:rPr>
                <w:sz w:val="18"/>
                <w:szCs w:val="18"/>
              </w:rPr>
            </w:pPr>
            <w:r>
              <w:rPr>
                <w:sz w:val="18"/>
                <w:szCs w:val="18"/>
              </w:rPr>
              <w:t>各环节课程目标考核权重分布</w:t>
            </w:r>
          </w:p>
          <w:p>
            <w:pPr>
              <w:jc w:val="center"/>
              <w:rPr>
                <w:sz w:val="18"/>
                <w:szCs w:val="18"/>
              </w:rPr>
            </w:pPr>
            <w:r>
              <w:rPr>
                <w:sz w:val="18"/>
                <w:szCs w:val="18"/>
              </w:rPr>
              <w:t>（每一列总和为1）</w:t>
            </w:r>
          </w:p>
          <w:p>
            <w:pPr>
              <w:jc w:val="center"/>
              <w:rPr>
                <w:sz w:val="18"/>
                <w:szCs w:val="18"/>
              </w:rPr>
            </w:pPr>
            <w:r>
              <w:rPr>
                <w:i/>
                <w:sz w:val="18"/>
                <w:szCs w:val="18"/>
              </w:rPr>
              <w:t>E</w:t>
            </w:r>
            <w:r>
              <w:rPr>
                <w:i/>
                <w:sz w:val="18"/>
                <w:szCs w:val="18"/>
                <w:vertAlign w:val="subscript"/>
              </w:rPr>
              <w:t>ik</w:t>
            </w:r>
            <w:r>
              <w:rPr>
                <w:i/>
                <w:sz w:val="18"/>
                <w:szCs w:val="18"/>
              </w:rPr>
              <w:t>=S</w:t>
            </w:r>
            <w:r>
              <w:rPr>
                <w:i/>
                <w:sz w:val="18"/>
                <w:szCs w:val="18"/>
                <w:vertAlign w:val="subscript"/>
              </w:rPr>
              <w:t>ik</w:t>
            </w:r>
            <w:r>
              <w:rPr>
                <w:i/>
                <w:sz w:val="18"/>
                <w:szCs w:val="18"/>
              </w:rPr>
              <w:t>/M</w:t>
            </w:r>
            <w:r>
              <w:rPr>
                <w:i/>
                <w:sz w:val="18"/>
                <w:szCs w:val="18"/>
                <w:vertAlign w:val="subscript"/>
              </w:rPr>
              <w:t>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 w:type="pct"/>
            <w:vMerge w:val="continue"/>
          </w:tcPr>
          <w:p>
            <w:pPr>
              <w:jc w:val="center"/>
              <w:rPr>
                <w:sz w:val="18"/>
                <w:szCs w:val="18"/>
              </w:rPr>
            </w:pPr>
          </w:p>
        </w:tc>
        <w:tc>
          <w:tcPr>
            <w:tcW w:w="345" w:type="pct"/>
            <w:vMerge w:val="continue"/>
          </w:tcPr>
          <w:p>
            <w:pPr>
              <w:jc w:val="center"/>
              <w:rPr>
                <w:sz w:val="18"/>
                <w:szCs w:val="18"/>
              </w:rPr>
            </w:pPr>
          </w:p>
        </w:tc>
        <w:tc>
          <w:tcPr>
            <w:tcW w:w="357" w:type="pct"/>
            <w:vAlign w:val="center"/>
          </w:tcPr>
          <w:p>
            <w:pPr>
              <w:jc w:val="center"/>
              <w:rPr>
                <w:kern w:val="0"/>
                <w:sz w:val="18"/>
                <w:szCs w:val="18"/>
              </w:rPr>
            </w:pPr>
            <w:r>
              <w:rPr>
                <w:kern w:val="0"/>
                <w:sz w:val="18"/>
                <w:szCs w:val="18"/>
              </w:rPr>
              <w:t>课堂情况</w:t>
            </w:r>
          </w:p>
        </w:tc>
        <w:tc>
          <w:tcPr>
            <w:tcW w:w="358" w:type="pct"/>
            <w:vAlign w:val="center"/>
          </w:tcPr>
          <w:p>
            <w:pPr>
              <w:jc w:val="center"/>
              <w:rPr>
                <w:kern w:val="0"/>
                <w:sz w:val="18"/>
                <w:szCs w:val="18"/>
              </w:rPr>
            </w:pPr>
            <w:r>
              <w:rPr>
                <w:kern w:val="0"/>
                <w:sz w:val="18"/>
                <w:szCs w:val="18"/>
              </w:rPr>
              <w:t>作业</w:t>
            </w:r>
          </w:p>
        </w:tc>
        <w:tc>
          <w:tcPr>
            <w:tcW w:w="357" w:type="pct"/>
            <w:vAlign w:val="center"/>
          </w:tcPr>
          <w:p>
            <w:pPr>
              <w:jc w:val="center"/>
              <w:rPr>
                <w:kern w:val="0"/>
                <w:sz w:val="18"/>
                <w:szCs w:val="18"/>
              </w:rPr>
            </w:pPr>
            <w:r>
              <w:rPr>
                <w:kern w:val="0"/>
                <w:sz w:val="18"/>
                <w:szCs w:val="18"/>
              </w:rPr>
              <w:t>实验</w:t>
            </w:r>
          </w:p>
        </w:tc>
        <w:tc>
          <w:tcPr>
            <w:tcW w:w="358" w:type="pct"/>
            <w:vAlign w:val="center"/>
          </w:tcPr>
          <w:p>
            <w:pPr>
              <w:jc w:val="center"/>
              <w:rPr>
                <w:kern w:val="0"/>
                <w:sz w:val="18"/>
                <w:szCs w:val="18"/>
              </w:rPr>
            </w:pPr>
            <w:r>
              <w:rPr>
                <w:kern w:val="0"/>
                <w:sz w:val="18"/>
                <w:szCs w:val="18"/>
              </w:rPr>
              <w:t>期末考试</w:t>
            </w:r>
          </w:p>
        </w:tc>
        <w:tc>
          <w:tcPr>
            <w:tcW w:w="357" w:type="pct"/>
            <w:vAlign w:val="center"/>
          </w:tcPr>
          <w:p>
            <w:pPr>
              <w:jc w:val="center"/>
              <w:rPr>
                <w:sz w:val="18"/>
                <w:szCs w:val="18"/>
              </w:rPr>
            </w:pPr>
            <w:r>
              <w:rPr>
                <w:kern w:val="0"/>
                <w:sz w:val="18"/>
                <w:szCs w:val="18"/>
              </w:rPr>
              <w:t>课堂情况</w:t>
            </w:r>
          </w:p>
        </w:tc>
        <w:tc>
          <w:tcPr>
            <w:tcW w:w="358" w:type="pct"/>
            <w:vAlign w:val="center"/>
          </w:tcPr>
          <w:p>
            <w:pPr>
              <w:jc w:val="center"/>
              <w:rPr>
                <w:sz w:val="18"/>
                <w:szCs w:val="18"/>
              </w:rPr>
            </w:pPr>
            <w:r>
              <w:rPr>
                <w:kern w:val="0"/>
                <w:sz w:val="18"/>
                <w:szCs w:val="18"/>
              </w:rPr>
              <w:t>作业</w:t>
            </w:r>
          </w:p>
        </w:tc>
        <w:tc>
          <w:tcPr>
            <w:tcW w:w="357" w:type="pct"/>
            <w:vAlign w:val="center"/>
          </w:tcPr>
          <w:p>
            <w:pPr>
              <w:jc w:val="center"/>
              <w:rPr>
                <w:sz w:val="18"/>
                <w:szCs w:val="18"/>
              </w:rPr>
            </w:pPr>
            <w:r>
              <w:rPr>
                <w:kern w:val="0"/>
                <w:sz w:val="18"/>
                <w:szCs w:val="18"/>
              </w:rPr>
              <w:t>实验</w:t>
            </w:r>
          </w:p>
        </w:tc>
        <w:tc>
          <w:tcPr>
            <w:tcW w:w="358" w:type="pct"/>
            <w:vAlign w:val="center"/>
          </w:tcPr>
          <w:p>
            <w:pPr>
              <w:jc w:val="center"/>
              <w:rPr>
                <w:sz w:val="18"/>
                <w:szCs w:val="18"/>
              </w:rPr>
            </w:pPr>
            <w:r>
              <w:rPr>
                <w:kern w:val="0"/>
                <w:sz w:val="18"/>
                <w:szCs w:val="18"/>
              </w:rPr>
              <w:t>期末考试</w:t>
            </w:r>
          </w:p>
        </w:tc>
        <w:tc>
          <w:tcPr>
            <w:tcW w:w="391" w:type="pct"/>
            <w:vAlign w:val="center"/>
          </w:tcPr>
          <w:p>
            <w:pPr>
              <w:jc w:val="center"/>
              <w:rPr>
                <w:sz w:val="18"/>
                <w:szCs w:val="18"/>
              </w:rPr>
            </w:pPr>
            <w:r>
              <w:rPr>
                <w:kern w:val="0"/>
                <w:sz w:val="18"/>
                <w:szCs w:val="18"/>
              </w:rPr>
              <w:t>课堂情况</w:t>
            </w:r>
          </w:p>
        </w:tc>
        <w:tc>
          <w:tcPr>
            <w:tcW w:w="391" w:type="pct"/>
            <w:vAlign w:val="center"/>
          </w:tcPr>
          <w:p>
            <w:pPr>
              <w:jc w:val="center"/>
              <w:rPr>
                <w:sz w:val="18"/>
                <w:szCs w:val="18"/>
              </w:rPr>
            </w:pPr>
            <w:r>
              <w:rPr>
                <w:kern w:val="0"/>
                <w:sz w:val="18"/>
                <w:szCs w:val="18"/>
              </w:rPr>
              <w:t>作业</w:t>
            </w:r>
          </w:p>
        </w:tc>
        <w:tc>
          <w:tcPr>
            <w:tcW w:w="391" w:type="pct"/>
            <w:vAlign w:val="center"/>
          </w:tcPr>
          <w:p>
            <w:pPr>
              <w:jc w:val="center"/>
              <w:rPr>
                <w:sz w:val="18"/>
                <w:szCs w:val="18"/>
              </w:rPr>
            </w:pPr>
            <w:r>
              <w:rPr>
                <w:kern w:val="0"/>
                <w:sz w:val="18"/>
                <w:szCs w:val="18"/>
              </w:rPr>
              <w:t>实验</w:t>
            </w:r>
          </w:p>
        </w:tc>
        <w:tc>
          <w:tcPr>
            <w:tcW w:w="392" w:type="pct"/>
            <w:vAlign w:val="center"/>
          </w:tcPr>
          <w:p>
            <w:pPr>
              <w:jc w:val="center"/>
              <w:rPr>
                <w:sz w:val="18"/>
                <w:szCs w:val="18"/>
              </w:rPr>
            </w:pPr>
            <w:r>
              <w:rPr>
                <w:kern w:val="0"/>
                <w:sz w:val="18"/>
                <w:szCs w:val="18"/>
              </w:rPr>
              <w:t>期末考试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228" w:type="pct"/>
            <w:vAlign w:val="center"/>
          </w:tcPr>
          <w:p>
            <w:pPr>
              <w:jc w:val="center"/>
              <w:rPr>
                <w:b/>
                <w:bCs/>
                <w:sz w:val="18"/>
                <w:szCs w:val="18"/>
              </w:rPr>
            </w:pPr>
            <w:r>
              <w:rPr>
                <w:b/>
                <w:bCs/>
                <w:sz w:val="18"/>
                <w:szCs w:val="18"/>
              </w:rPr>
              <w:t>1</w:t>
            </w:r>
          </w:p>
        </w:tc>
        <w:tc>
          <w:tcPr>
            <w:tcW w:w="345" w:type="pct"/>
            <w:vAlign w:val="center"/>
          </w:tcPr>
          <w:p>
            <w:pPr>
              <w:jc w:val="center"/>
              <w:rPr>
                <w:sz w:val="18"/>
                <w:szCs w:val="18"/>
              </w:rPr>
            </w:pPr>
            <w:r>
              <w:rPr>
                <w:sz w:val="18"/>
                <w:szCs w:val="18"/>
              </w:rPr>
              <w:t>0.4</w:t>
            </w:r>
          </w:p>
        </w:tc>
        <w:tc>
          <w:tcPr>
            <w:tcW w:w="357" w:type="pct"/>
            <w:vAlign w:val="center"/>
          </w:tcPr>
          <w:p>
            <w:pPr>
              <w:jc w:val="center"/>
              <w:rPr>
                <w:sz w:val="18"/>
                <w:szCs w:val="18"/>
              </w:rPr>
            </w:pPr>
            <w:r>
              <w:rPr>
                <w:sz w:val="18"/>
                <w:szCs w:val="18"/>
              </w:rPr>
              <w:t>0.1</w:t>
            </w:r>
          </w:p>
        </w:tc>
        <w:tc>
          <w:tcPr>
            <w:tcW w:w="358" w:type="pct"/>
            <w:vAlign w:val="center"/>
          </w:tcPr>
          <w:p>
            <w:pPr>
              <w:jc w:val="center"/>
              <w:rPr>
                <w:sz w:val="18"/>
                <w:szCs w:val="18"/>
              </w:rPr>
            </w:pPr>
            <w:r>
              <w:rPr>
                <w:sz w:val="18"/>
                <w:szCs w:val="18"/>
              </w:rPr>
              <w:t>0.2</w:t>
            </w:r>
          </w:p>
        </w:tc>
        <w:tc>
          <w:tcPr>
            <w:tcW w:w="357" w:type="pct"/>
            <w:vAlign w:val="center"/>
          </w:tcPr>
          <w:p>
            <w:pPr>
              <w:jc w:val="center"/>
              <w:rPr>
                <w:sz w:val="18"/>
                <w:szCs w:val="18"/>
              </w:rPr>
            </w:pPr>
            <w:r>
              <w:rPr>
                <w:sz w:val="18"/>
                <w:szCs w:val="18"/>
              </w:rPr>
              <w:t>0.1</w:t>
            </w:r>
          </w:p>
        </w:tc>
        <w:tc>
          <w:tcPr>
            <w:tcW w:w="358" w:type="pct"/>
            <w:vAlign w:val="center"/>
          </w:tcPr>
          <w:p>
            <w:pPr>
              <w:jc w:val="center"/>
              <w:rPr>
                <w:sz w:val="18"/>
                <w:szCs w:val="18"/>
              </w:rPr>
            </w:pPr>
            <w:r>
              <w:rPr>
                <w:sz w:val="18"/>
                <w:szCs w:val="18"/>
              </w:rPr>
              <w:t>0.6</w:t>
            </w:r>
          </w:p>
        </w:tc>
        <w:tc>
          <w:tcPr>
            <w:tcW w:w="357" w:type="pct"/>
            <w:vAlign w:val="center"/>
          </w:tcPr>
          <w:p>
            <w:pPr>
              <w:jc w:val="center"/>
              <w:rPr>
                <w:sz w:val="18"/>
                <w:szCs w:val="18"/>
              </w:rPr>
            </w:pPr>
            <w:r>
              <w:rPr>
                <w:sz w:val="18"/>
                <w:szCs w:val="18"/>
              </w:rPr>
              <w:t>0.04</w:t>
            </w:r>
          </w:p>
        </w:tc>
        <w:tc>
          <w:tcPr>
            <w:tcW w:w="358" w:type="pct"/>
            <w:vAlign w:val="center"/>
          </w:tcPr>
          <w:p>
            <w:pPr>
              <w:jc w:val="center"/>
              <w:rPr>
                <w:sz w:val="18"/>
                <w:szCs w:val="18"/>
              </w:rPr>
            </w:pPr>
            <w:r>
              <w:rPr>
                <w:sz w:val="18"/>
                <w:szCs w:val="18"/>
              </w:rPr>
              <w:t>0.08</w:t>
            </w:r>
          </w:p>
        </w:tc>
        <w:tc>
          <w:tcPr>
            <w:tcW w:w="357" w:type="pct"/>
            <w:vAlign w:val="center"/>
          </w:tcPr>
          <w:p>
            <w:pPr>
              <w:jc w:val="center"/>
              <w:rPr>
                <w:sz w:val="18"/>
                <w:szCs w:val="18"/>
              </w:rPr>
            </w:pPr>
            <w:r>
              <w:rPr>
                <w:sz w:val="18"/>
                <w:szCs w:val="18"/>
              </w:rPr>
              <w:t>0.04</w:t>
            </w:r>
          </w:p>
        </w:tc>
        <w:tc>
          <w:tcPr>
            <w:tcW w:w="358" w:type="pct"/>
            <w:vAlign w:val="center"/>
          </w:tcPr>
          <w:p>
            <w:pPr>
              <w:jc w:val="center"/>
              <w:rPr>
                <w:sz w:val="18"/>
                <w:szCs w:val="18"/>
              </w:rPr>
            </w:pPr>
            <w:r>
              <w:rPr>
                <w:sz w:val="18"/>
                <w:szCs w:val="18"/>
              </w:rPr>
              <w:t>0.24</w:t>
            </w:r>
          </w:p>
        </w:tc>
        <w:tc>
          <w:tcPr>
            <w:tcW w:w="391" w:type="pct"/>
            <w:vAlign w:val="center"/>
          </w:tcPr>
          <w:p>
            <w:pPr>
              <w:jc w:val="center"/>
              <w:rPr>
                <w:sz w:val="18"/>
                <w:szCs w:val="18"/>
              </w:rPr>
            </w:pPr>
            <w:r>
              <w:rPr>
                <w:sz w:val="18"/>
                <w:szCs w:val="18"/>
              </w:rPr>
              <w:t>0.4</w:t>
            </w:r>
          </w:p>
        </w:tc>
        <w:tc>
          <w:tcPr>
            <w:tcW w:w="391" w:type="pct"/>
            <w:vAlign w:val="center"/>
          </w:tcPr>
          <w:p>
            <w:pPr>
              <w:jc w:val="center"/>
              <w:rPr>
                <w:sz w:val="18"/>
                <w:szCs w:val="18"/>
              </w:rPr>
            </w:pPr>
            <w:r>
              <w:rPr>
                <w:sz w:val="18"/>
                <w:szCs w:val="18"/>
              </w:rPr>
              <w:t>0.43243</w:t>
            </w:r>
          </w:p>
        </w:tc>
        <w:tc>
          <w:tcPr>
            <w:tcW w:w="391" w:type="pct"/>
            <w:vAlign w:val="center"/>
          </w:tcPr>
          <w:p>
            <w:pPr>
              <w:jc w:val="center"/>
              <w:rPr>
                <w:sz w:val="18"/>
                <w:szCs w:val="18"/>
              </w:rPr>
            </w:pPr>
            <w:r>
              <w:rPr>
                <w:sz w:val="18"/>
                <w:szCs w:val="18"/>
              </w:rPr>
              <w:t>0.34783</w:t>
            </w:r>
          </w:p>
        </w:tc>
        <w:tc>
          <w:tcPr>
            <w:tcW w:w="392" w:type="pct"/>
            <w:vAlign w:val="center"/>
          </w:tcPr>
          <w:p>
            <w:pPr>
              <w:jc w:val="center"/>
              <w:rPr>
                <w:sz w:val="18"/>
                <w:szCs w:val="18"/>
              </w:rPr>
            </w:pPr>
            <w:r>
              <w:rPr>
                <w:sz w:val="18"/>
                <w:szCs w:val="18"/>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228" w:type="pct"/>
            <w:vAlign w:val="center"/>
          </w:tcPr>
          <w:p>
            <w:pPr>
              <w:jc w:val="center"/>
              <w:rPr>
                <w:b/>
                <w:bCs/>
                <w:sz w:val="18"/>
                <w:szCs w:val="18"/>
              </w:rPr>
            </w:pPr>
            <w:r>
              <w:rPr>
                <w:b/>
                <w:bCs/>
                <w:sz w:val="18"/>
                <w:szCs w:val="18"/>
              </w:rPr>
              <w:t>2</w:t>
            </w:r>
          </w:p>
        </w:tc>
        <w:tc>
          <w:tcPr>
            <w:tcW w:w="345" w:type="pct"/>
            <w:vAlign w:val="center"/>
          </w:tcPr>
          <w:p>
            <w:pPr>
              <w:jc w:val="center"/>
              <w:rPr>
                <w:sz w:val="18"/>
                <w:szCs w:val="18"/>
              </w:rPr>
            </w:pPr>
            <w:r>
              <w:rPr>
                <w:sz w:val="18"/>
                <w:szCs w:val="18"/>
              </w:rPr>
              <w:t>0.3</w:t>
            </w:r>
          </w:p>
        </w:tc>
        <w:tc>
          <w:tcPr>
            <w:tcW w:w="357" w:type="pct"/>
            <w:vAlign w:val="center"/>
          </w:tcPr>
          <w:p>
            <w:pPr>
              <w:jc w:val="center"/>
              <w:rPr>
                <w:sz w:val="18"/>
                <w:szCs w:val="18"/>
              </w:rPr>
            </w:pPr>
            <w:r>
              <w:rPr>
                <w:sz w:val="18"/>
                <w:szCs w:val="18"/>
              </w:rPr>
              <w:t>0.1</w:t>
            </w:r>
          </w:p>
        </w:tc>
        <w:tc>
          <w:tcPr>
            <w:tcW w:w="358" w:type="pct"/>
            <w:vAlign w:val="center"/>
          </w:tcPr>
          <w:p>
            <w:pPr>
              <w:jc w:val="center"/>
              <w:rPr>
                <w:sz w:val="18"/>
                <w:szCs w:val="18"/>
              </w:rPr>
            </w:pPr>
            <w:r>
              <w:rPr>
                <w:sz w:val="18"/>
                <w:szCs w:val="18"/>
              </w:rPr>
              <w:t>0.15</w:t>
            </w:r>
          </w:p>
        </w:tc>
        <w:tc>
          <w:tcPr>
            <w:tcW w:w="357" w:type="pct"/>
            <w:vAlign w:val="center"/>
          </w:tcPr>
          <w:p>
            <w:pPr>
              <w:jc w:val="center"/>
              <w:rPr>
                <w:sz w:val="18"/>
                <w:szCs w:val="18"/>
              </w:rPr>
            </w:pPr>
            <w:r>
              <w:rPr>
                <w:sz w:val="18"/>
                <w:szCs w:val="18"/>
              </w:rPr>
              <w:t>0.1</w:t>
            </w:r>
          </w:p>
        </w:tc>
        <w:tc>
          <w:tcPr>
            <w:tcW w:w="358" w:type="pct"/>
            <w:vAlign w:val="center"/>
          </w:tcPr>
          <w:p>
            <w:pPr>
              <w:jc w:val="center"/>
              <w:rPr>
                <w:sz w:val="18"/>
                <w:szCs w:val="18"/>
              </w:rPr>
            </w:pPr>
            <w:r>
              <w:rPr>
                <w:sz w:val="18"/>
                <w:szCs w:val="18"/>
              </w:rPr>
              <w:t>0.65</w:t>
            </w:r>
          </w:p>
        </w:tc>
        <w:tc>
          <w:tcPr>
            <w:tcW w:w="357" w:type="pct"/>
            <w:vAlign w:val="center"/>
          </w:tcPr>
          <w:p>
            <w:pPr>
              <w:jc w:val="center"/>
              <w:rPr>
                <w:sz w:val="18"/>
                <w:szCs w:val="18"/>
              </w:rPr>
            </w:pPr>
            <w:r>
              <w:rPr>
                <w:sz w:val="18"/>
                <w:szCs w:val="18"/>
              </w:rPr>
              <w:t>0.03</w:t>
            </w:r>
          </w:p>
        </w:tc>
        <w:tc>
          <w:tcPr>
            <w:tcW w:w="358" w:type="pct"/>
            <w:vAlign w:val="center"/>
          </w:tcPr>
          <w:p>
            <w:pPr>
              <w:jc w:val="center"/>
              <w:rPr>
                <w:sz w:val="18"/>
                <w:szCs w:val="18"/>
              </w:rPr>
            </w:pPr>
            <w:r>
              <w:rPr>
                <w:sz w:val="18"/>
                <w:szCs w:val="18"/>
              </w:rPr>
              <w:t>0.045</w:t>
            </w:r>
          </w:p>
        </w:tc>
        <w:tc>
          <w:tcPr>
            <w:tcW w:w="357" w:type="pct"/>
            <w:vAlign w:val="center"/>
          </w:tcPr>
          <w:p>
            <w:pPr>
              <w:jc w:val="center"/>
              <w:rPr>
                <w:sz w:val="18"/>
                <w:szCs w:val="18"/>
              </w:rPr>
            </w:pPr>
            <w:r>
              <w:rPr>
                <w:sz w:val="18"/>
                <w:szCs w:val="18"/>
              </w:rPr>
              <w:t>0.03</w:t>
            </w:r>
          </w:p>
        </w:tc>
        <w:tc>
          <w:tcPr>
            <w:tcW w:w="358" w:type="pct"/>
            <w:vAlign w:val="center"/>
          </w:tcPr>
          <w:p>
            <w:pPr>
              <w:jc w:val="center"/>
              <w:rPr>
                <w:sz w:val="18"/>
                <w:szCs w:val="18"/>
              </w:rPr>
            </w:pPr>
            <w:r>
              <w:rPr>
                <w:sz w:val="18"/>
                <w:szCs w:val="18"/>
              </w:rPr>
              <w:t>0.195</w:t>
            </w:r>
          </w:p>
        </w:tc>
        <w:tc>
          <w:tcPr>
            <w:tcW w:w="391" w:type="pct"/>
            <w:vAlign w:val="center"/>
          </w:tcPr>
          <w:p>
            <w:pPr>
              <w:jc w:val="center"/>
              <w:rPr>
                <w:sz w:val="18"/>
                <w:szCs w:val="18"/>
              </w:rPr>
            </w:pPr>
            <w:r>
              <w:rPr>
                <w:sz w:val="18"/>
                <w:szCs w:val="18"/>
              </w:rPr>
              <w:t>0.3</w:t>
            </w:r>
          </w:p>
        </w:tc>
        <w:tc>
          <w:tcPr>
            <w:tcW w:w="391" w:type="pct"/>
            <w:vAlign w:val="center"/>
          </w:tcPr>
          <w:p>
            <w:pPr>
              <w:jc w:val="center"/>
              <w:rPr>
                <w:sz w:val="18"/>
                <w:szCs w:val="18"/>
              </w:rPr>
            </w:pPr>
            <w:r>
              <w:rPr>
                <w:sz w:val="18"/>
                <w:szCs w:val="18"/>
              </w:rPr>
              <w:t>0.24324</w:t>
            </w:r>
          </w:p>
        </w:tc>
        <w:tc>
          <w:tcPr>
            <w:tcW w:w="391" w:type="pct"/>
            <w:vAlign w:val="center"/>
          </w:tcPr>
          <w:p>
            <w:pPr>
              <w:jc w:val="center"/>
              <w:rPr>
                <w:sz w:val="18"/>
                <w:szCs w:val="18"/>
              </w:rPr>
            </w:pPr>
            <w:r>
              <w:rPr>
                <w:sz w:val="18"/>
                <w:szCs w:val="18"/>
              </w:rPr>
              <w:t>0.26087</w:t>
            </w:r>
          </w:p>
        </w:tc>
        <w:tc>
          <w:tcPr>
            <w:tcW w:w="392" w:type="pct"/>
            <w:vAlign w:val="center"/>
          </w:tcPr>
          <w:p>
            <w:pPr>
              <w:jc w:val="center"/>
              <w:rPr>
                <w:sz w:val="18"/>
                <w:szCs w:val="18"/>
              </w:rPr>
            </w:pPr>
            <w:r>
              <w:rPr>
                <w:sz w:val="18"/>
                <w:szCs w:val="18"/>
              </w:rPr>
              <w:t>0.325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228" w:type="pct"/>
            <w:vAlign w:val="center"/>
          </w:tcPr>
          <w:p>
            <w:pPr>
              <w:jc w:val="center"/>
              <w:rPr>
                <w:b/>
                <w:bCs/>
                <w:sz w:val="18"/>
                <w:szCs w:val="18"/>
              </w:rPr>
            </w:pPr>
            <w:r>
              <w:rPr>
                <w:b/>
                <w:bCs/>
                <w:sz w:val="18"/>
                <w:szCs w:val="18"/>
              </w:rPr>
              <w:t>3</w:t>
            </w:r>
          </w:p>
        </w:tc>
        <w:tc>
          <w:tcPr>
            <w:tcW w:w="345" w:type="pct"/>
            <w:vAlign w:val="center"/>
          </w:tcPr>
          <w:p>
            <w:pPr>
              <w:jc w:val="center"/>
              <w:rPr>
                <w:sz w:val="18"/>
                <w:szCs w:val="18"/>
              </w:rPr>
            </w:pPr>
            <w:r>
              <w:rPr>
                <w:sz w:val="18"/>
                <w:szCs w:val="18"/>
              </w:rPr>
              <w:t>0.3</w:t>
            </w:r>
          </w:p>
        </w:tc>
        <w:tc>
          <w:tcPr>
            <w:tcW w:w="357" w:type="pct"/>
            <w:vAlign w:val="center"/>
          </w:tcPr>
          <w:p>
            <w:pPr>
              <w:jc w:val="center"/>
              <w:rPr>
                <w:sz w:val="18"/>
                <w:szCs w:val="18"/>
              </w:rPr>
            </w:pPr>
            <w:r>
              <w:rPr>
                <w:sz w:val="18"/>
                <w:szCs w:val="18"/>
              </w:rPr>
              <w:t>0.1</w:t>
            </w:r>
          </w:p>
        </w:tc>
        <w:tc>
          <w:tcPr>
            <w:tcW w:w="358" w:type="pct"/>
            <w:vAlign w:val="center"/>
          </w:tcPr>
          <w:p>
            <w:pPr>
              <w:jc w:val="center"/>
              <w:rPr>
                <w:sz w:val="18"/>
                <w:szCs w:val="18"/>
              </w:rPr>
            </w:pPr>
            <w:r>
              <w:rPr>
                <w:sz w:val="18"/>
                <w:szCs w:val="18"/>
              </w:rPr>
              <w:t>0.2</w:t>
            </w:r>
          </w:p>
        </w:tc>
        <w:tc>
          <w:tcPr>
            <w:tcW w:w="357" w:type="pct"/>
            <w:vAlign w:val="center"/>
          </w:tcPr>
          <w:p>
            <w:pPr>
              <w:jc w:val="center"/>
              <w:rPr>
                <w:sz w:val="18"/>
                <w:szCs w:val="18"/>
              </w:rPr>
            </w:pPr>
            <w:r>
              <w:rPr>
                <w:sz w:val="18"/>
                <w:szCs w:val="18"/>
              </w:rPr>
              <w:t>0.15</w:t>
            </w:r>
          </w:p>
        </w:tc>
        <w:tc>
          <w:tcPr>
            <w:tcW w:w="358" w:type="pct"/>
            <w:vAlign w:val="center"/>
          </w:tcPr>
          <w:p>
            <w:pPr>
              <w:jc w:val="center"/>
              <w:rPr>
                <w:sz w:val="18"/>
                <w:szCs w:val="18"/>
              </w:rPr>
            </w:pPr>
            <w:r>
              <w:rPr>
                <w:sz w:val="18"/>
                <w:szCs w:val="18"/>
              </w:rPr>
              <w:t>0.55</w:t>
            </w:r>
          </w:p>
        </w:tc>
        <w:tc>
          <w:tcPr>
            <w:tcW w:w="357" w:type="pct"/>
            <w:vAlign w:val="center"/>
          </w:tcPr>
          <w:p>
            <w:pPr>
              <w:jc w:val="center"/>
              <w:rPr>
                <w:sz w:val="18"/>
                <w:szCs w:val="18"/>
              </w:rPr>
            </w:pPr>
            <w:r>
              <w:rPr>
                <w:sz w:val="18"/>
                <w:szCs w:val="18"/>
              </w:rPr>
              <w:t>0.03</w:t>
            </w:r>
          </w:p>
        </w:tc>
        <w:tc>
          <w:tcPr>
            <w:tcW w:w="358" w:type="pct"/>
            <w:vAlign w:val="center"/>
          </w:tcPr>
          <w:p>
            <w:pPr>
              <w:jc w:val="center"/>
              <w:rPr>
                <w:sz w:val="18"/>
                <w:szCs w:val="18"/>
              </w:rPr>
            </w:pPr>
            <w:r>
              <w:rPr>
                <w:sz w:val="18"/>
                <w:szCs w:val="18"/>
              </w:rPr>
              <w:t>0.06</w:t>
            </w:r>
          </w:p>
        </w:tc>
        <w:tc>
          <w:tcPr>
            <w:tcW w:w="357" w:type="pct"/>
            <w:vAlign w:val="center"/>
          </w:tcPr>
          <w:p>
            <w:pPr>
              <w:jc w:val="center"/>
              <w:rPr>
                <w:sz w:val="18"/>
                <w:szCs w:val="18"/>
              </w:rPr>
            </w:pPr>
            <w:r>
              <w:rPr>
                <w:sz w:val="18"/>
                <w:szCs w:val="18"/>
              </w:rPr>
              <w:t>0.045</w:t>
            </w:r>
          </w:p>
        </w:tc>
        <w:tc>
          <w:tcPr>
            <w:tcW w:w="358" w:type="pct"/>
            <w:vAlign w:val="center"/>
          </w:tcPr>
          <w:p>
            <w:pPr>
              <w:jc w:val="center"/>
              <w:rPr>
                <w:sz w:val="18"/>
                <w:szCs w:val="18"/>
              </w:rPr>
            </w:pPr>
            <w:r>
              <w:rPr>
                <w:sz w:val="18"/>
                <w:szCs w:val="18"/>
              </w:rPr>
              <w:t>0.165</w:t>
            </w:r>
          </w:p>
        </w:tc>
        <w:tc>
          <w:tcPr>
            <w:tcW w:w="391" w:type="pct"/>
            <w:vAlign w:val="center"/>
          </w:tcPr>
          <w:p>
            <w:pPr>
              <w:jc w:val="center"/>
              <w:rPr>
                <w:sz w:val="18"/>
                <w:szCs w:val="18"/>
              </w:rPr>
            </w:pPr>
            <w:r>
              <w:rPr>
                <w:sz w:val="18"/>
                <w:szCs w:val="18"/>
              </w:rPr>
              <w:t>0.3</w:t>
            </w:r>
          </w:p>
        </w:tc>
        <w:tc>
          <w:tcPr>
            <w:tcW w:w="391" w:type="pct"/>
            <w:vAlign w:val="center"/>
          </w:tcPr>
          <w:p>
            <w:pPr>
              <w:jc w:val="center"/>
              <w:rPr>
                <w:sz w:val="18"/>
                <w:szCs w:val="18"/>
              </w:rPr>
            </w:pPr>
            <w:r>
              <w:rPr>
                <w:sz w:val="18"/>
                <w:szCs w:val="18"/>
              </w:rPr>
              <w:t>0.32432</w:t>
            </w:r>
          </w:p>
        </w:tc>
        <w:tc>
          <w:tcPr>
            <w:tcW w:w="391" w:type="pct"/>
            <w:vAlign w:val="center"/>
          </w:tcPr>
          <w:p>
            <w:pPr>
              <w:jc w:val="center"/>
              <w:rPr>
                <w:sz w:val="18"/>
                <w:szCs w:val="18"/>
              </w:rPr>
            </w:pPr>
            <w:r>
              <w:rPr>
                <w:sz w:val="18"/>
                <w:szCs w:val="18"/>
              </w:rPr>
              <w:t>0.3913</w:t>
            </w:r>
          </w:p>
        </w:tc>
        <w:tc>
          <w:tcPr>
            <w:tcW w:w="392" w:type="pct"/>
            <w:vAlign w:val="center"/>
          </w:tcPr>
          <w:p>
            <w:pPr>
              <w:jc w:val="center"/>
              <w:rPr>
                <w:sz w:val="18"/>
                <w:szCs w:val="18"/>
              </w:rPr>
            </w:pPr>
            <w:r>
              <w:rPr>
                <w:sz w:val="18"/>
                <w:szCs w:val="18"/>
              </w:rPr>
              <w:t>0.275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2003" w:type="pct"/>
            <w:gridSpan w:val="6"/>
            <w:vAlign w:val="center"/>
          </w:tcPr>
          <w:p>
            <w:pPr>
              <w:jc w:val="center"/>
              <w:rPr>
                <w:sz w:val="18"/>
                <w:szCs w:val="18"/>
              </w:rPr>
            </w:pPr>
            <w:r>
              <w:rPr>
                <w:kern w:val="0"/>
                <w:sz w:val="18"/>
                <w:szCs w:val="18"/>
              </w:rPr>
              <w:t>各环节对课程目标达成的贡献率（</w:t>
            </w:r>
            <w:r>
              <w:rPr>
                <w:i/>
                <w:kern w:val="0"/>
                <w:sz w:val="18"/>
                <w:szCs w:val="18"/>
              </w:rPr>
              <w:t>M</w:t>
            </w:r>
            <w:r>
              <w:rPr>
                <w:i/>
                <w:kern w:val="0"/>
                <w:sz w:val="18"/>
                <w:szCs w:val="18"/>
                <w:vertAlign w:val="subscript"/>
              </w:rPr>
              <w:t>k</w:t>
            </w:r>
            <w:r>
              <w:rPr>
                <w:kern w:val="0"/>
                <w:sz w:val="18"/>
                <w:szCs w:val="18"/>
              </w:rPr>
              <w:t>）</w:t>
            </w:r>
          </w:p>
        </w:tc>
        <w:tc>
          <w:tcPr>
            <w:tcW w:w="357" w:type="pct"/>
            <w:vAlign w:val="center"/>
          </w:tcPr>
          <w:p>
            <w:pPr>
              <w:jc w:val="center"/>
              <w:rPr>
                <w:sz w:val="18"/>
                <w:szCs w:val="18"/>
              </w:rPr>
            </w:pPr>
            <w:r>
              <w:rPr>
                <w:sz w:val="18"/>
                <w:szCs w:val="18"/>
              </w:rPr>
              <w:t>0.1</w:t>
            </w:r>
          </w:p>
        </w:tc>
        <w:tc>
          <w:tcPr>
            <w:tcW w:w="358" w:type="pct"/>
            <w:vAlign w:val="center"/>
          </w:tcPr>
          <w:p>
            <w:pPr>
              <w:jc w:val="center"/>
              <w:rPr>
                <w:sz w:val="18"/>
                <w:szCs w:val="18"/>
              </w:rPr>
            </w:pPr>
            <w:r>
              <w:rPr>
                <w:sz w:val="18"/>
                <w:szCs w:val="18"/>
              </w:rPr>
              <w:t>0.185</w:t>
            </w:r>
          </w:p>
        </w:tc>
        <w:tc>
          <w:tcPr>
            <w:tcW w:w="357" w:type="pct"/>
            <w:vAlign w:val="center"/>
          </w:tcPr>
          <w:p>
            <w:pPr>
              <w:jc w:val="center"/>
              <w:rPr>
                <w:sz w:val="18"/>
                <w:szCs w:val="18"/>
              </w:rPr>
            </w:pPr>
            <w:r>
              <w:rPr>
                <w:sz w:val="18"/>
                <w:szCs w:val="18"/>
              </w:rPr>
              <w:t>0.115</w:t>
            </w:r>
          </w:p>
        </w:tc>
        <w:tc>
          <w:tcPr>
            <w:tcW w:w="358" w:type="pct"/>
            <w:vAlign w:val="center"/>
          </w:tcPr>
          <w:p>
            <w:pPr>
              <w:jc w:val="center"/>
              <w:rPr>
                <w:sz w:val="18"/>
                <w:szCs w:val="18"/>
              </w:rPr>
            </w:pPr>
            <w:r>
              <w:rPr>
                <w:sz w:val="18"/>
                <w:szCs w:val="18"/>
              </w:rPr>
              <w:t>0.6</w:t>
            </w:r>
          </w:p>
        </w:tc>
        <w:tc>
          <w:tcPr>
            <w:tcW w:w="1566" w:type="pct"/>
            <w:gridSpan w:val="4"/>
            <w:vAlign w:val="center"/>
          </w:tcPr>
          <w:p>
            <w:pPr>
              <w:jc w:val="center"/>
              <w:rPr>
                <w:sz w:val="18"/>
                <w:szCs w:val="18"/>
              </w:rPr>
            </w:pPr>
            <w:r>
              <w:rPr>
                <w:sz w:val="18"/>
                <w:szCs w:val="18"/>
              </w:rPr>
              <w:t>教师出题或布置作业时</w:t>
            </w:r>
          </w:p>
          <w:p>
            <w:pPr>
              <w:jc w:val="center"/>
              <w:rPr>
                <w:sz w:val="18"/>
                <w:szCs w:val="18"/>
              </w:rPr>
            </w:pPr>
            <w:r>
              <w:rPr>
                <w:sz w:val="18"/>
                <w:szCs w:val="18"/>
              </w:rPr>
              <w:t>要尽量做到按照以上比例布局</w:t>
            </w:r>
          </w:p>
        </w:tc>
      </w:tr>
    </w:tbl>
    <w:p>
      <w:pPr>
        <w:spacing w:line="360" w:lineRule="auto"/>
        <w:ind w:firstLine="420" w:firstLineChars="200"/>
        <w:jc w:val="center"/>
      </w:pPr>
    </w:p>
    <w:p>
      <w:pPr>
        <w:spacing w:line="360" w:lineRule="auto"/>
        <w:sectPr>
          <w:pgSz w:w="16838" w:h="11906" w:orient="landscape"/>
          <w:pgMar w:top="1797" w:right="1440" w:bottom="1797" w:left="1440" w:header="851" w:footer="992" w:gutter="0"/>
          <w:pgNumType w:fmt="decimal"/>
          <w:cols w:space="425" w:num="1"/>
          <w:docGrid w:linePitch="312" w:charSpace="0"/>
        </w:sectPr>
      </w:pPr>
    </w:p>
    <w:p>
      <w:pPr>
        <w:spacing w:line="360" w:lineRule="auto"/>
        <w:ind w:firstLine="420" w:firstLineChars="200"/>
        <w:rPr>
          <w:szCs w:val="21"/>
        </w:rPr>
      </w:pPr>
      <w:r>
        <w:rPr>
          <w:rFonts w:hint="eastAsia"/>
          <w:szCs w:val="21"/>
        </w:rPr>
        <w:t>采用达成值计算法，辅以对学生的问卷调查法。</w:t>
      </w:r>
    </w:p>
    <w:p>
      <w:pPr>
        <w:spacing w:line="360" w:lineRule="auto"/>
        <w:ind w:firstLine="422" w:firstLineChars="200"/>
        <w:rPr>
          <w:b/>
          <w:bCs/>
          <w:szCs w:val="21"/>
        </w:rPr>
      </w:pPr>
      <w:r>
        <w:rPr>
          <w:rFonts w:hint="eastAsia"/>
          <w:b/>
          <w:bCs/>
          <w:szCs w:val="21"/>
        </w:rPr>
        <w:t>课程目标定量评价：</w:t>
      </w:r>
    </w:p>
    <w:p>
      <w:pPr>
        <w:spacing w:line="360" w:lineRule="auto"/>
        <w:ind w:firstLine="420" w:firstLineChars="200"/>
        <w:rPr>
          <w:szCs w:val="21"/>
        </w:rPr>
      </w:pPr>
      <w:r>
        <w:rPr>
          <w:szCs w:val="21"/>
        </w:rPr>
        <w:t>达成值计算法结合上表权重分配，采用</w:t>
      </w:r>
      <w:r>
        <w:rPr>
          <w:rFonts w:hint="eastAsia"/>
          <w:szCs w:val="21"/>
        </w:rPr>
        <w:t>下表进行计算。</w:t>
      </w:r>
    </w:p>
    <w:p>
      <w:pPr>
        <w:spacing w:line="360" w:lineRule="auto"/>
        <w:ind w:firstLine="420" w:firstLineChars="200"/>
        <w:rPr>
          <w:szCs w:val="21"/>
        </w:rPr>
      </w:pPr>
      <w:r>
        <w:rPr>
          <w:szCs w:val="21"/>
        </w:rPr>
        <w:t>单一课程目标达成度评价采用下式：</w:t>
      </w:r>
    </w:p>
    <w:p>
      <w:pPr>
        <w:spacing w:line="360" w:lineRule="auto"/>
        <w:ind w:firstLine="420" w:firstLineChars="200"/>
        <w:rPr>
          <w:szCs w:val="21"/>
        </w:rPr>
      </w:pPr>
      <w:r>
        <w:rPr>
          <w:position w:val="-30"/>
          <w:szCs w:val="21"/>
        </w:rPr>
        <w:object>
          <v:shape id="_x0000_i1037" o:spt="75" type="#_x0000_t75" style="height:36pt;width:165.5pt;" o:ole="t" filled="f" o:preferrelative="t" stroked="f" coordsize="21600,21600">
            <v:path/>
            <v:fill on="f" focussize="0,0"/>
            <v:stroke on="f" joinstyle="miter"/>
            <v:imagedata r:id="rId145" o:title=""/>
            <o:lock v:ext="edit" aspectratio="t"/>
            <w10:wrap type="none"/>
            <w10:anchorlock/>
          </v:shape>
          <o:OLEObject Type="Embed" ProgID="Equation.3" ShapeID="_x0000_i1037" DrawAspect="Content" ObjectID="_1468075737" r:id="rId162">
            <o:LockedField>false</o:LockedField>
          </o:OLEObject>
        </w:object>
      </w:r>
    </w:p>
    <w:p>
      <w:pPr>
        <w:spacing w:line="360" w:lineRule="auto"/>
        <w:ind w:firstLine="420" w:firstLineChars="200"/>
        <w:rPr>
          <w:szCs w:val="21"/>
        </w:rPr>
      </w:pPr>
      <w:r>
        <w:rPr>
          <w:szCs w:val="21"/>
        </w:rPr>
        <w:t>总的课程目标达成度评价采用下式：</w:t>
      </w:r>
    </w:p>
    <w:p>
      <w:pPr>
        <w:spacing w:line="360" w:lineRule="auto"/>
        <w:ind w:firstLine="420" w:firstLineChars="200"/>
        <w:rPr>
          <w:szCs w:val="21"/>
        </w:rPr>
      </w:pPr>
      <w:r>
        <w:rPr>
          <w:position w:val="-30"/>
          <w:szCs w:val="21"/>
        </w:rPr>
        <w:object>
          <v:shape id="_x0000_i1038" o:spt="75" type="#_x0000_t75" style="height:36pt;width:150pt;" o:ole="t" filled="f" o:preferrelative="t" stroked="f" coordsize="21600,21600">
            <v:path/>
            <v:fill on="f" focussize="0,0"/>
            <v:stroke on="f" joinstyle="miter"/>
            <v:imagedata r:id="rId147" o:title=""/>
            <o:lock v:ext="edit" aspectratio="t"/>
            <w10:wrap type="none"/>
            <w10:anchorlock/>
          </v:shape>
          <o:OLEObject Type="Embed" ProgID="Equation.3" ShapeID="_x0000_i1038" DrawAspect="Content" ObjectID="_1468075738" r:id="rId163">
            <o:LockedField>false</o:LockedField>
          </o:OLEObject>
        </w:object>
      </w:r>
    </w:p>
    <w:p>
      <w:pPr>
        <w:spacing w:line="360" w:lineRule="auto"/>
        <w:ind w:firstLine="420" w:firstLineChars="200"/>
        <w:rPr>
          <w:szCs w:val="21"/>
        </w:rPr>
      </w:pPr>
      <w:r>
        <w:rPr>
          <w:szCs w:val="21"/>
        </w:rPr>
        <w:t>以上公式中：</w:t>
      </w:r>
    </w:p>
    <w:p>
      <w:pPr>
        <w:spacing w:line="360" w:lineRule="auto"/>
        <w:ind w:firstLine="420" w:firstLineChars="200"/>
        <w:rPr>
          <w:szCs w:val="21"/>
        </w:rPr>
      </w:pPr>
      <w:r>
        <w:rPr>
          <w:i/>
          <w:szCs w:val="21"/>
        </w:rPr>
        <w:t>k</w:t>
      </w:r>
      <w:r>
        <w:rPr>
          <w:szCs w:val="21"/>
        </w:rPr>
        <w:t>表示不同的评价方式，</w:t>
      </w:r>
      <w:r>
        <w:rPr>
          <w:i/>
          <w:szCs w:val="21"/>
        </w:rPr>
        <w:t>i</w:t>
      </w:r>
      <w:r>
        <w:rPr>
          <w:szCs w:val="21"/>
        </w:rPr>
        <w:t>表示不同的课程目标。</w:t>
      </w:r>
    </w:p>
    <w:p>
      <w:pPr>
        <w:spacing w:line="360" w:lineRule="auto"/>
        <w:ind w:firstLine="420" w:firstLineChars="200"/>
      </w:pPr>
      <w:r>
        <w:rPr>
          <w:position w:val="-10"/>
        </w:rPr>
        <w:object>
          <v:shape id="_x0000_i1039" o:spt="75" type="#_x0000_t75" style="height:17.5pt;width:14.5pt;" o:ole="t" filled="f" o:preferrelative="t" stroked="f" coordsize="21600,21600">
            <v:path/>
            <v:fill on="f" focussize="0,0"/>
            <v:stroke on="f" joinstyle="miter"/>
            <v:imagedata r:id="rId149" o:title=""/>
            <o:lock v:ext="edit" aspectratio="t"/>
            <w10:wrap type="none"/>
            <w10:anchorlock/>
          </v:shape>
          <o:OLEObject Type="Embed" ProgID="Equation.3" ShapeID="_x0000_i1039" DrawAspect="Content" ObjectID="_1468075739" r:id="rId164">
            <o:LockedField>false</o:LockedField>
          </o:OLEObject>
        </w:object>
      </w:r>
      <w:r>
        <w:t>表示第</w:t>
      </w:r>
      <w:r>
        <w:rPr>
          <w:i/>
        </w:rPr>
        <w:t>k</w:t>
      </w:r>
      <w:r>
        <w:t>种评价方式期末评价成绩平均分，均为百分制；</w:t>
      </w:r>
    </w:p>
    <w:p>
      <w:pPr>
        <w:spacing w:line="360" w:lineRule="auto"/>
        <w:ind w:firstLine="420" w:firstLineChars="200"/>
      </w:pPr>
      <w:r>
        <w:rPr>
          <w:position w:val="-10"/>
        </w:rPr>
        <w:object>
          <v:shape id="_x0000_i1040" o:spt="75" type="#_x0000_t75" style="height:17.5pt;width:74.5pt;" o:ole="t" filled="f" o:preferrelative="t" stroked="f" coordsize="21600,21600">
            <v:path/>
            <v:fill on="f" focussize="0,0"/>
            <v:stroke on="f" joinstyle="miter"/>
            <v:imagedata r:id="rId151" o:title=""/>
            <o:lock v:ext="edit" aspectratio="t"/>
            <w10:wrap type="none"/>
            <w10:anchorlock/>
          </v:shape>
          <o:OLEObject Type="Embed" ProgID="Equation.3" ShapeID="_x0000_i1040" DrawAspect="Content" ObjectID="_1468075740" r:id="rId165">
            <o:LockedField>false</o:LockedField>
          </o:OLEObject>
        </w:object>
      </w:r>
      <w:r>
        <w:t>是第</w:t>
      </w:r>
      <w:r>
        <w:rPr>
          <w:i/>
        </w:rPr>
        <w:t>k</w:t>
      </w:r>
      <w:r>
        <w:t>种评价方式通过第</w:t>
      </w:r>
      <w:r>
        <w:rPr>
          <w:i/>
        </w:rPr>
        <w:t>i</w:t>
      </w:r>
      <w:r>
        <w:t>个课程目标反映在总的课程目标评分占比；</w:t>
      </w:r>
    </w:p>
    <w:p>
      <w:pPr>
        <w:spacing w:line="360" w:lineRule="auto"/>
        <w:ind w:firstLine="420" w:firstLineChars="200"/>
        <w:rPr>
          <w:szCs w:val="21"/>
        </w:rPr>
      </w:pPr>
      <w:r>
        <w:rPr>
          <w:position w:val="-10"/>
        </w:rPr>
        <w:object>
          <v:shape id="_x0000_i1041" o:spt="75" type="#_x0000_t75" style="height:17.5pt;width:17.5pt;" o:ole="t" filled="f" o:preferrelative="t" stroked="f" coordsize="21600,21600">
            <v:path/>
            <v:fill on="f" focussize="0,0"/>
            <v:stroke on="f" joinstyle="miter"/>
            <v:imagedata r:id="rId153" o:title=""/>
            <o:lock v:ext="edit" aspectratio="t"/>
            <w10:wrap type="none"/>
            <w10:anchorlock/>
          </v:shape>
          <o:OLEObject Type="Embed" ProgID="Equation.3" ShapeID="_x0000_i1041" DrawAspect="Content" ObjectID="_1468075741" r:id="rId166">
            <o:LockedField>false</o:LockedField>
          </o:OLEObject>
        </w:object>
      </w:r>
      <w:r>
        <w:t>表示第</w:t>
      </w:r>
      <w:r>
        <w:rPr>
          <w:i/>
        </w:rPr>
        <w:t>k</w:t>
      </w:r>
      <w:r>
        <w:t>种评价方式对第</w:t>
      </w:r>
      <w:r>
        <w:rPr>
          <w:i/>
        </w:rPr>
        <w:t>i</w:t>
      </w:r>
      <w:r>
        <w:t>个课程目标百分占比；</w:t>
      </w:r>
    </w:p>
    <w:p>
      <w:pPr>
        <w:spacing w:line="360" w:lineRule="auto"/>
        <w:ind w:firstLine="420" w:firstLineChars="200"/>
      </w:pPr>
      <w:r>
        <w:rPr>
          <w:position w:val="-10"/>
        </w:rPr>
        <w:object>
          <v:shape id="_x0000_i1042" o:spt="75" type="#_x0000_t75" style="height:17.5pt;width:13pt;" o:ole="t" filled="f" o:preferrelative="t" stroked="f" coordsize="21600,21600">
            <v:path/>
            <v:fill on="f" focussize="0,0"/>
            <v:stroke on="f" joinstyle="miter"/>
            <v:imagedata r:id="rId155" o:title=""/>
            <o:lock v:ext="edit" aspectratio="t"/>
            <w10:wrap type="none"/>
            <w10:anchorlock/>
          </v:shape>
          <o:OLEObject Type="Embed" ProgID="Equation.3" ShapeID="_x0000_i1042" DrawAspect="Content" ObjectID="_1468075742" r:id="rId167">
            <o:LockedField>false</o:LockedField>
          </o:OLEObject>
        </w:object>
      </w:r>
      <w:r>
        <w:t>表示第</w:t>
      </w:r>
      <w:r>
        <w:rPr>
          <w:i/>
        </w:rPr>
        <w:t>i</w:t>
      </w:r>
      <w:r>
        <w:t>个课程目标在课程总评价中的占比；</w:t>
      </w:r>
    </w:p>
    <w:p>
      <w:pPr>
        <w:spacing w:line="360" w:lineRule="auto"/>
        <w:ind w:firstLine="422" w:firstLineChars="200"/>
        <w:rPr>
          <w:b/>
          <w:bCs/>
          <w:position w:val="-10"/>
          <w:szCs w:val="22"/>
        </w:rPr>
      </w:pPr>
      <w:r>
        <w:rPr>
          <w:rFonts w:hint="eastAsia"/>
          <w:b/>
          <w:bCs/>
          <w:position w:val="-10"/>
          <w:szCs w:val="22"/>
        </w:rPr>
        <w:t>课程目标定性评价：</w:t>
      </w:r>
    </w:p>
    <w:p>
      <w:pPr>
        <w:spacing w:line="360" w:lineRule="auto"/>
        <w:ind w:firstLine="420" w:firstLineChars="200"/>
        <w:rPr>
          <w:rFonts w:ascii="宋体" w:hAnsi="宋体" w:cs="宋体"/>
          <w:szCs w:val="21"/>
        </w:rPr>
      </w:pPr>
      <w:r>
        <w:rPr>
          <w:rFonts w:hint="eastAsia" w:ascii="宋体" w:hAnsi="宋体" w:cs="宋体"/>
          <w:szCs w:val="21"/>
        </w:rPr>
        <w:t>针对每门课的课程目标，直接设计问题，并要求学生明确给出目标能力达到的程度“很好（0.95）、较好（0.75）、中（0.60）、较差（0.45）、很差（0.25）”，根据各区段统计比例与括号中的目标分值加权后求和得出定性评价的结果。</w:t>
      </w:r>
    </w:p>
    <w:p>
      <w:pPr>
        <w:spacing w:line="360" w:lineRule="auto"/>
        <w:ind w:firstLine="422" w:firstLineChars="200"/>
        <w:rPr>
          <w:b/>
          <w:bCs/>
          <w:position w:val="-10"/>
          <w:szCs w:val="22"/>
        </w:rPr>
      </w:pPr>
      <w:r>
        <w:rPr>
          <w:rFonts w:hint="eastAsia"/>
          <w:b/>
          <w:bCs/>
          <w:position w:val="-10"/>
          <w:szCs w:val="22"/>
        </w:rPr>
        <w:t>课程目标达成结果：</w:t>
      </w:r>
    </w:p>
    <w:p>
      <w:pPr>
        <w:spacing w:line="360" w:lineRule="auto"/>
        <w:ind w:firstLine="420" w:firstLineChars="200"/>
        <w:rPr>
          <w:rFonts w:ascii="宋体" w:hAnsi="宋体" w:cs="宋体"/>
          <w:szCs w:val="21"/>
        </w:rPr>
      </w:pPr>
      <w:r>
        <w:rPr>
          <w:rFonts w:hint="eastAsia" w:ascii="宋体" w:hAnsi="宋体" w:cs="宋体"/>
          <w:szCs w:val="21"/>
        </w:rPr>
        <w:t>同一课程目标的评价，取定性评价和定量评价的平均值，作为最终评价结果。</w:t>
      </w:r>
    </w:p>
    <w:p>
      <w:pPr>
        <w:spacing w:line="360" w:lineRule="auto"/>
        <w:ind w:firstLine="420" w:firstLineChars="200"/>
        <w:rPr>
          <w:position w:val="-10"/>
          <w:szCs w:val="22"/>
        </w:rPr>
      </w:pPr>
      <w:r>
        <w:rPr>
          <w:rFonts w:hint="eastAsia"/>
          <w:position w:val="-10"/>
          <w:szCs w:val="22"/>
        </w:rPr>
        <w:t>课程目标达成度大于等于0.71为一级达成，大于等于0.65为二级达成。</w:t>
      </w:r>
    </w:p>
    <w:p>
      <w:pPr>
        <w:widowControl/>
        <w:jc w:val="left"/>
        <w:rPr>
          <w:rFonts w:eastAsia="黑体"/>
          <w:szCs w:val="24"/>
        </w:rPr>
      </w:pPr>
    </w:p>
    <w:p>
      <w:pPr>
        <w:tabs>
          <w:tab w:val="left" w:pos="420"/>
        </w:tabs>
        <w:adjustRightInd w:val="0"/>
        <w:snapToGrid w:val="0"/>
        <w:spacing w:line="360" w:lineRule="auto"/>
        <w:ind w:left="420" w:hanging="420"/>
        <w:rPr>
          <w:rFonts w:eastAsia="黑体"/>
          <w:szCs w:val="24"/>
        </w:rPr>
      </w:pPr>
      <w:r>
        <w:rPr>
          <w:rFonts w:hint="eastAsia" w:eastAsia="黑体"/>
          <w:szCs w:val="24"/>
        </w:rPr>
        <w:t>十一、各环节评价标准</w:t>
      </w:r>
    </w:p>
    <w:p>
      <w:pPr>
        <w:spacing w:line="360" w:lineRule="auto"/>
        <w:ind w:firstLine="420" w:firstLineChars="200"/>
        <w:rPr>
          <w:szCs w:val="21"/>
        </w:rPr>
      </w:pPr>
      <w:r>
        <w:rPr>
          <w:rFonts w:hint="eastAsia"/>
          <w:szCs w:val="21"/>
        </w:rPr>
        <w:t>本课程允许教师在各评价环节根据具体情况采取多样化、个性化的考核手段，其评价标准应当在《</w:t>
      </w:r>
      <w:r>
        <w:rPr>
          <w:rFonts w:hint="eastAsia" w:ascii="宋体" w:hAnsi="宋体"/>
          <w:szCs w:val="21"/>
        </w:rPr>
        <w:t>SIE-CT-01：</w:t>
      </w:r>
      <w:r>
        <w:rPr>
          <w:rFonts w:hint="eastAsia"/>
          <w:szCs w:val="21"/>
        </w:rPr>
        <w:t>授课计划》中明确并向学生公布，教学过程中的考核评价应当严格按照标准完成。</w:t>
      </w:r>
    </w:p>
    <w:p>
      <w:pPr>
        <w:tabs>
          <w:tab w:val="left" w:pos="420"/>
        </w:tabs>
        <w:adjustRightInd w:val="0"/>
        <w:snapToGrid w:val="0"/>
        <w:spacing w:line="360" w:lineRule="auto"/>
        <w:ind w:left="420" w:hanging="420"/>
        <w:rPr>
          <w:color w:val="0000FF"/>
        </w:rPr>
      </w:pPr>
    </w:p>
    <w:p>
      <w:pPr>
        <w:tabs>
          <w:tab w:val="left" w:pos="420"/>
        </w:tabs>
        <w:adjustRightInd w:val="0"/>
        <w:snapToGrid w:val="0"/>
        <w:spacing w:line="360" w:lineRule="auto"/>
        <w:ind w:left="420" w:hanging="420"/>
        <w:rPr>
          <w:rFonts w:eastAsia="黑体"/>
          <w:szCs w:val="24"/>
        </w:rPr>
      </w:pPr>
      <w:r>
        <w:rPr>
          <w:rFonts w:hint="eastAsia" w:eastAsia="黑体"/>
          <w:szCs w:val="24"/>
        </w:rPr>
        <w:t>十二、课程目标达成评价结果用于持续改进</w:t>
      </w:r>
    </w:p>
    <w:p>
      <w:pPr>
        <w:spacing w:line="360" w:lineRule="auto"/>
        <w:ind w:firstLine="420" w:firstLineChars="200"/>
        <w:rPr>
          <w:szCs w:val="21"/>
        </w:rPr>
      </w:pPr>
      <w:r>
        <w:rPr>
          <w:rFonts w:hint="eastAsia"/>
          <w:szCs w:val="21"/>
        </w:rPr>
        <w:t>课程目标达成评价结果将用于后续教学过程的持续改进。</w:t>
      </w:r>
    </w:p>
    <w:p>
      <w:pPr>
        <w:spacing w:line="360" w:lineRule="auto"/>
        <w:ind w:firstLine="420" w:firstLineChars="200"/>
        <w:rPr>
          <w:szCs w:val="21"/>
        </w:rPr>
      </w:pPr>
      <w:r>
        <w:rPr>
          <w:rFonts w:hint="eastAsia"/>
          <w:szCs w:val="21"/>
        </w:rPr>
        <w:t>针对课程目标达成评价中发现的问题与不足，重点是达成值相对较低的项，在本次授课总结中应由授课教师分析具体原因，并给出改进建议。后续任课教师应当针对以前的问题和建议，在授课计划中做好落实改进计划，并在授课过程中予以落实。</w:t>
      </w:r>
    </w:p>
    <w:p>
      <w:pPr>
        <w:pStyle w:val="18"/>
        <w:spacing w:before="240" w:after="360"/>
      </w:pPr>
      <w:bookmarkStart w:id="5" w:name="_Toc30006"/>
      <w:r>
        <w:rPr>
          <w:rFonts w:hint="eastAsia"/>
        </w:rPr>
        <w:t>《单片机原理及应用》教学大纲</w:t>
      </w:r>
      <w:bookmarkEnd w:id="5"/>
    </w:p>
    <w:p>
      <w:pPr>
        <w:spacing w:line="360" w:lineRule="auto"/>
        <w:rPr>
          <w:color w:val="000000" w:themeColor="text1"/>
          <w14:textFill>
            <w14:solidFill>
              <w14:schemeClr w14:val="tx1"/>
            </w14:solidFill>
          </w14:textFill>
        </w:rPr>
      </w:pPr>
      <w:r>
        <w:rPr>
          <w:rFonts w:eastAsia="黑体"/>
          <w:color w:val="000000" w:themeColor="text1"/>
          <w14:textFill>
            <w14:solidFill>
              <w14:schemeClr w14:val="tx1"/>
            </w14:solidFill>
          </w14:textFill>
        </w:rPr>
        <w:t>课程编号：Y</w:t>
      </w:r>
      <w:r>
        <w:rPr>
          <w:color w:val="000000" w:themeColor="text1"/>
          <w:szCs w:val="21"/>
          <w14:textFill>
            <w14:solidFill>
              <w14:schemeClr w14:val="tx1"/>
            </w14:solidFill>
          </w14:textFill>
        </w:rPr>
        <w:t>03060004</w:t>
      </w:r>
    </w:p>
    <w:p>
      <w:pPr>
        <w:spacing w:line="360" w:lineRule="auto"/>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课程名称：</w:t>
      </w:r>
      <w:r>
        <w:rPr>
          <w:color w:val="000000" w:themeColor="text1"/>
          <w14:textFill>
            <w14:solidFill>
              <w14:schemeClr w14:val="tx1"/>
            </w14:solidFill>
          </w14:textFill>
        </w:rPr>
        <w:t>单片机原理及应用</w:t>
      </w:r>
      <w:r>
        <w:rPr>
          <w:rFonts w:eastAsia="黑体"/>
          <w:color w:val="000000" w:themeColor="text1"/>
          <w14:textFill>
            <w14:solidFill>
              <w14:schemeClr w14:val="tx1"/>
            </w14:solidFill>
          </w14:textFill>
        </w:rPr>
        <w:t>开课单位：</w:t>
      </w:r>
      <w:r>
        <w:rPr>
          <w:color w:val="000000" w:themeColor="text1"/>
          <w14:textFill>
            <w14:solidFill>
              <w14:schemeClr w14:val="tx1"/>
            </w14:solidFill>
          </w14:textFill>
        </w:rPr>
        <w:t>仪器与电子学院</w:t>
      </w:r>
      <w:r>
        <w:rPr>
          <w:rFonts w:eastAsia="黑体"/>
          <w:color w:val="000000" w:themeColor="text1"/>
          <w14:textFill>
            <w14:solidFill>
              <w14:schemeClr w14:val="tx1"/>
            </w14:solidFill>
          </w14:textFill>
        </w:rPr>
        <w:tab/>
      </w:r>
    </w:p>
    <w:p>
      <w:pPr>
        <w:spacing w:line="360" w:lineRule="auto"/>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总学时：</w:t>
      </w:r>
      <w:r>
        <w:rPr>
          <w:color w:val="000000" w:themeColor="text1"/>
          <w14:textFill>
            <w14:solidFill>
              <w14:schemeClr w14:val="tx1"/>
            </w14:solidFill>
          </w14:textFill>
        </w:rPr>
        <w:t>32</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实验8学时</w:t>
      </w:r>
      <w:r>
        <w:rPr>
          <w:rFonts w:hint="eastAsia"/>
          <w:color w:val="000000" w:themeColor="text1"/>
          <w14:textFill>
            <w14:solidFill>
              <w14:schemeClr w14:val="tx1"/>
            </w14:solidFill>
          </w14:textFill>
        </w:rPr>
        <w:t>）</w:t>
      </w:r>
      <w:r>
        <w:rPr>
          <w:rFonts w:eastAsia="黑体"/>
          <w:color w:val="000000" w:themeColor="text1"/>
          <w14:textFill>
            <w14:solidFill>
              <w14:schemeClr w14:val="tx1"/>
            </w14:solidFill>
          </w14:textFill>
        </w:rPr>
        <w:tab/>
      </w:r>
      <w:r>
        <w:rPr>
          <w:rFonts w:eastAsia="黑体"/>
          <w:color w:val="000000" w:themeColor="text1"/>
          <w14:textFill>
            <w14:solidFill>
              <w14:schemeClr w14:val="tx1"/>
            </w14:solidFill>
          </w14:textFill>
        </w:rPr>
        <w:tab/>
      </w:r>
      <w:r>
        <w:rPr>
          <w:rFonts w:eastAsia="黑体"/>
          <w:color w:val="000000" w:themeColor="text1"/>
          <w14:textFill>
            <w14:solidFill>
              <w14:schemeClr w14:val="tx1"/>
            </w14:solidFill>
          </w14:textFill>
        </w:rPr>
        <w:tab/>
      </w:r>
      <w:r>
        <w:rPr>
          <w:rFonts w:eastAsia="黑体"/>
          <w:color w:val="000000" w:themeColor="text1"/>
          <w14:textFill>
            <w14:solidFill>
              <w14:schemeClr w14:val="tx1"/>
            </w14:solidFill>
          </w14:textFill>
        </w:rPr>
        <w:tab/>
      </w:r>
      <w:r>
        <w:rPr>
          <w:rFonts w:eastAsia="黑体"/>
          <w:color w:val="000000" w:themeColor="text1"/>
          <w14:textFill>
            <w14:solidFill>
              <w14:schemeClr w14:val="tx1"/>
            </w14:solidFill>
          </w14:textFill>
        </w:rPr>
        <w:tab/>
      </w:r>
      <w:r>
        <w:rPr>
          <w:rFonts w:eastAsia="黑体"/>
          <w:color w:val="000000" w:themeColor="text1"/>
          <w14:textFill>
            <w14:solidFill>
              <w14:schemeClr w14:val="tx1"/>
            </w14:solidFill>
          </w14:textFill>
        </w:rPr>
        <w:tab/>
      </w:r>
      <w:r>
        <w:rPr>
          <w:rFonts w:eastAsia="黑体"/>
          <w:color w:val="000000" w:themeColor="text1"/>
          <w14:textFill>
            <w14:solidFill>
              <w14:schemeClr w14:val="tx1"/>
            </w14:solidFill>
          </w14:textFill>
        </w:rPr>
        <w:t>学分：</w:t>
      </w:r>
      <w:r>
        <w:rPr>
          <w:rFonts w:eastAsia="黑体"/>
          <w:bCs/>
          <w:color w:val="000000" w:themeColor="text1"/>
          <w14:textFill>
            <w14:solidFill>
              <w14:schemeClr w14:val="tx1"/>
            </w14:solidFill>
          </w14:textFill>
        </w:rPr>
        <w:t>2</w:t>
      </w:r>
    </w:p>
    <w:p>
      <w:pPr>
        <w:spacing w:line="360" w:lineRule="auto"/>
        <w:rPr>
          <w:color w:val="000000" w:themeColor="text1"/>
          <w14:textFill>
            <w14:solidFill>
              <w14:schemeClr w14:val="tx1"/>
            </w14:solidFill>
          </w14:textFill>
        </w:rPr>
      </w:pPr>
      <w:r>
        <w:rPr>
          <w:rFonts w:eastAsia="黑体"/>
          <w:color w:val="000000" w:themeColor="text1"/>
          <w14:textFill>
            <w14:solidFill>
              <w14:schemeClr w14:val="tx1"/>
            </w14:solidFill>
          </w14:textFill>
        </w:rPr>
        <w:t>适用专业：</w:t>
      </w:r>
      <w:r>
        <w:rPr>
          <w:color w:val="000000" w:themeColor="text1"/>
          <w14:textFill>
            <w14:solidFill>
              <w14:schemeClr w14:val="tx1"/>
            </w14:solidFill>
          </w14:textFill>
        </w:rPr>
        <w:t>测控技术与仪器</w:t>
      </w:r>
      <w:r>
        <w:rPr>
          <w:rFonts w:hint="eastAsia"/>
          <w:color w:val="000000" w:themeColor="text1"/>
          <w14:textFill>
            <w14:solidFill>
              <w14:schemeClr w14:val="tx1"/>
            </w14:solidFill>
          </w14:textFill>
        </w:rPr>
        <w:t>专业</w:t>
      </w:r>
      <w:r>
        <w:rPr>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智能感知工程</w:t>
      </w:r>
      <w:r>
        <w:rPr>
          <w:rFonts w:hint="eastAsia"/>
          <w:color w:val="000000" w:themeColor="text1"/>
          <w14:textFill>
            <w14:solidFill>
              <w14:schemeClr w14:val="tx1"/>
            </w14:solidFill>
          </w14:textFill>
        </w:rPr>
        <w:t>专业</w:t>
      </w:r>
      <w:r>
        <w:rPr>
          <w:color w:val="000000" w:themeColor="text1"/>
          <w14:textFill>
            <w14:solidFill>
              <w14:schemeClr w14:val="tx1"/>
            </w14:solidFill>
          </w14:textFill>
        </w:rPr>
        <w:t>、电子科学</w:t>
      </w:r>
      <w:r>
        <w:rPr>
          <w:rFonts w:hint="eastAsia"/>
          <w:color w:val="000000" w:themeColor="text1"/>
          <w14:textFill>
            <w14:solidFill>
              <w14:schemeClr w14:val="tx1"/>
            </w14:solidFill>
          </w14:textFill>
        </w:rPr>
        <w:t>与</w:t>
      </w:r>
      <w:r>
        <w:rPr>
          <w:color w:val="000000" w:themeColor="text1"/>
          <w14:textFill>
            <w14:solidFill>
              <w14:schemeClr w14:val="tx1"/>
            </w14:solidFill>
          </w14:textFill>
        </w:rPr>
        <w:t>技术</w:t>
      </w:r>
      <w:r>
        <w:rPr>
          <w:rFonts w:hint="eastAsia"/>
          <w:color w:val="000000" w:themeColor="text1"/>
          <w14:textFill>
            <w14:solidFill>
              <w14:schemeClr w14:val="tx1"/>
            </w14:solidFill>
          </w14:textFill>
        </w:rPr>
        <w:t>专业</w:t>
      </w:r>
    </w:p>
    <w:p>
      <w:pPr>
        <w:spacing w:line="360" w:lineRule="auto"/>
        <w:rPr>
          <w:rFonts w:asciiTheme="minorEastAsia" w:hAnsiTheme="minorEastAsia"/>
          <w:color w:val="000000" w:themeColor="text1"/>
          <w14:textFill>
            <w14:solidFill>
              <w14:schemeClr w14:val="tx1"/>
            </w14:solidFill>
          </w14:textFill>
        </w:rPr>
      </w:pPr>
      <w:r>
        <w:rPr>
          <w:rFonts w:eastAsia="黑体"/>
          <w:color w:val="000000" w:themeColor="text1"/>
          <w14:textFill>
            <w14:solidFill>
              <w14:schemeClr w14:val="tx1"/>
            </w14:solidFill>
          </w14:textFill>
        </w:rPr>
        <w:t>先修课程：</w:t>
      </w:r>
      <w:r>
        <w:rPr>
          <w:rFonts w:asciiTheme="minorEastAsia" w:hAnsiTheme="minorEastAsia"/>
          <w:color w:val="000000" w:themeColor="text1"/>
          <w14:textFill>
            <w14:solidFill>
              <w14:schemeClr w14:val="tx1"/>
            </w14:solidFill>
          </w14:textFill>
        </w:rPr>
        <w:t>微机原理及接口技术</w:t>
      </w:r>
      <w:r>
        <w:rPr>
          <w:rFonts w:hint="eastAsia" w:asciiTheme="minorEastAsia" w:hAnsiTheme="minorEastAsia"/>
          <w:color w:val="000000" w:themeColor="text1"/>
          <w14:textFill>
            <w14:solidFill>
              <w14:schemeClr w14:val="tx1"/>
            </w14:solidFill>
          </w14:textFill>
        </w:rPr>
        <w:t>、</w:t>
      </w:r>
      <w:r>
        <w:rPr>
          <w:rFonts w:asciiTheme="minorEastAsia" w:hAnsiTheme="minorEastAsia"/>
          <w:color w:val="000000" w:themeColor="text1"/>
          <w14:textFill>
            <w14:solidFill>
              <w14:schemeClr w14:val="tx1"/>
            </w14:solidFill>
          </w14:textFill>
        </w:rPr>
        <w:t>数字电路技术</w:t>
      </w:r>
    </w:p>
    <w:p>
      <w:pPr>
        <w:spacing w:line="360" w:lineRule="auto"/>
        <w:rPr>
          <w:rFonts w:eastAsia="黑体"/>
          <w:color w:val="000000" w:themeColor="text1"/>
          <w14:textFill>
            <w14:solidFill>
              <w14:schemeClr w14:val="tx1"/>
            </w14:solidFill>
          </w14:textFill>
        </w:rPr>
      </w:pPr>
      <w:r>
        <w:rPr>
          <w:rFonts w:hint="eastAsia" w:eastAsia="黑体"/>
          <w:color w:val="000000" w:themeColor="text1"/>
          <w14:textFill>
            <w14:solidFill>
              <w14:schemeClr w14:val="tx1"/>
            </w14:solidFill>
          </w14:textFill>
        </w:rPr>
        <w:t>大纲执笔人：</w:t>
      </w:r>
      <w:r>
        <w:rPr>
          <w:rFonts w:hint="eastAsia" w:ascii="宋体" w:hAnsi="宋体"/>
          <w:color w:val="000000" w:themeColor="text1"/>
          <w14:textFill>
            <w14:solidFill>
              <w14:schemeClr w14:val="tx1"/>
            </w14:solidFill>
          </w14:textFill>
        </w:rPr>
        <w:t>曹慧亮</w:t>
      </w:r>
    </w:p>
    <w:p>
      <w:pPr>
        <w:spacing w:line="360" w:lineRule="auto"/>
        <w:rPr>
          <w:rFonts w:asciiTheme="minorEastAsia" w:hAnsiTheme="minorEastAsia"/>
          <w:color w:val="000000" w:themeColor="text1"/>
          <w14:textFill>
            <w14:solidFill>
              <w14:schemeClr w14:val="tx1"/>
            </w14:solidFill>
          </w14:textFill>
        </w:rPr>
      </w:pPr>
      <w:r>
        <w:rPr>
          <w:rFonts w:eastAsia="黑体"/>
          <w:color w:val="000000" w:themeColor="text1"/>
          <w14:textFill>
            <w14:solidFill>
              <w14:schemeClr w14:val="tx1"/>
            </w14:solidFill>
          </w14:textFill>
        </w:rPr>
        <w:t>大纲编写（修订）时间：</w:t>
      </w:r>
      <w:r>
        <w:rPr>
          <w:color w:val="000000" w:themeColor="text1"/>
          <w14:textFill>
            <w14:solidFill>
              <w14:schemeClr w14:val="tx1"/>
            </w14:solidFill>
          </w14:textFill>
        </w:rPr>
        <w:t>2019年5月</w:t>
      </w:r>
    </w:p>
    <w:p>
      <w:pPr>
        <w:rPr>
          <w:b/>
          <w:color w:val="000000" w:themeColor="text1"/>
          <w:szCs w:val="21"/>
          <w14:textFill>
            <w14:solidFill>
              <w14:schemeClr w14:val="tx1"/>
            </w14:solidFill>
          </w14:textFill>
        </w:rPr>
      </w:pPr>
    </w:p>
    <w:p>
      <w:pPr>
        <w:adjustRightInd w:val="0"/>
        <w:snapToGrid w:val="0"/>
        <w:spacing w:line="360" w:lineRule="auto"/>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一、课程在教学计划中的地位、作用</w:t>
      </w:r>
    </w:p>
    <w:p>
      <w:pPr>
        <w:adjustRightInd w:val="0"/>
        <w:snapToGrid w:val="0"/>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课程是一门属于硬件设计类的专业课程，是测控技术及仪器专业的专业教育课程。也是学生学会计算机硬件结构、工作原理和汇编语言程序设计的进阶课程，通过本课程的学习，使学生学会单片机应用的一般技术，学会智能化设备的设计方法，为学习后续课程和专业技术的学习和工作打下基础。该课程以提高学生实际工程设计能力为目的，其主要任务是讲授基于MCS-51系列单片机系统的内部结构、中断系统及指令系统等。通过该课程的学习，学生将了解单片机系统的基本思想、概念和系统组成，使学生掌握MCS-51系列单片机系统内部结构、中断系统、外部引脚等硬件相关内容，初步具备利用单片机系统进行应用设计的能力。</w:t>
      </w:r>
    </w:p>
    <w:p>
      <w:pPr>
        <w:spacing w:line="360" w:lineRule="auto"/>
        <w:ind w:firstLine="420" w:firstLineChars="200"/>
        <w:rPr>
          <w:color w:val="000000" w:themeColor="text1"/>
          <w:szCs w:val="21"/>
          <w14:textFill>
            <w14:solidFill>
              <w14:schemeClr w14:val="tx1"/>
            </w14:solidFill>
          </w14:textFill>
        </w:rPr>
      </w:pPr>
    </w:p>
    <w:p>
      <w:pPr>
        <w:adjustRightInd w:val="0"/>
        <w:snapToGrid w:val="0"/>
        <w:spacing w:line="360" w:lineRule="auto"/>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二、课程目标</w:t>
      </w:r>
    </w:p>
    <w:p>
      <w:pPr>
        <w:tabs>
          <w:tab w:val="left" w:pos="420"/>
        </w:tabs>
        <w:adjustRightInd w:val="0"/>
        <w:snapToGrid w:val="0"/>
        <w:spacing w:line="360" w:lineRule="auto"/>
        <w:rPr>
          <w:rFonts w:eastAsia="黑体"/>
          <w:color w:val="000000" w:themeColor="text1"/>
          <w:szCs w:val="21"/>
          <w14:textFill>
            <w14:solidFill>
              <w14:schemeClr w14:val="tx1"/>
            </w14:solidFill>
          </w14:textFill>
        </w:rPr>
      </w:pPr>
      <w:r>
        <w:rPr>
          <w:color w:val="000000" w:themeColor="text1"/>
          <w14:textFill>
            <w14:solidFill>
              <w14:schemeClr w14:val="tx1"/>
            </w14:solidFill>
          </w14:textFill>
        </w:rPr>
        <w:t>测控技术与仪器</w:t>
      </w:r>
      <w:r>
        <w:rPr>
          <w:rFonts w:hint="eastAsia"/>
          <w:color w:val="000000" w:themeColor="text1"/>
          <w14:textFill>
            <w14:solidFill>
              <w14:schemeClr w14:val="tx1"/>
            </w14:solidFill>
          </w14:textFill>
        </w:rPr>
        <w:t>专业：</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4000"/>
        <w:gridCol w:w="390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sz w:val="18"/>
                <w:szCs w:val="18"/>
              </w:rPr>
              <w:t>序号</w:t>
            </w:r>
          </w:p>
        </w:tc>
        <w:tc>
          <w:tcPr>
            <w:tcW w:w="2345" w:type="pct"/>
            <w:vAlign w:val="center"/>
          </w:tcPr>
          <w:p>
            <w:pPr>
              <w:spacing w:line="360" w:lineRule="auto"/>
              <w:jc w:val="center"/>
              <w:rPr>
                <w:sz w:val="18"/>
                <w:szCs w:val="18"/>
              </w:rPr>
            </w:pPr>
            <w:r>
              <w:rPr>
                <w:sz w:val="18"/>
                <w:szCs w:val="18"/>
              </w:rPr>
              <w:t>课程目标</w:t>
            </w:r>
          </w:p>
        </w:tc>
        <w:tc>
          <w:tcPr>
            <w:tcW w:w="2288" w:type="pct"/>
            <w:vAlign w:val="center"/>
          </w:tcPr>
          <w:p>
            <w:pPr>
              <w:spacing w:line="360" w:lineRule="auto"/>
              <w:jc w:val="center"/>
              <w:rPr>
                <w:sz w:val="18"/>
                <w:szCs w:val="18"/>
              </w:rPr>
            </w:pPr>
            <w:r>
              <w:rPr>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1</w:t>
            </w:r>
          </w:p>
        </w:tc>
        <w:tc>
          <w:tcPr>
            <w:tcW w:w="2345" w:type="pct"/>
          </w:tcPr>
          <w:p>
            <w:pPr>
              <w:spacing w:line="360" w:lineRule="auto"/>
              <w:rPr>
                <w:sz w:val="18"/>
                <w:szCs w:val="18"/>
              </w:rPr>
            </w:pPr>
            <w:r>
              <w:rPr>
                <w:rFonts w:hint="eastAsia"/>
                <w:sz w:val="18"/>
                <w:szCs w:val="18"/>
              </w:rPr>
              <w:t>能够通过分析将相关工程问题转化为技术问题、并采用汇编语言和单片机器件进行相应的数字电路设计；</w:t>
            </w:r>
          </w:p>
        </w:tc>
        <w:tc>
          <w:tcPr>
            <w:tcW w:w="2288" w:type="pct"/>
          </w:tcPr>
          <w:p>
            <w:pPr>
              <w:spacing w:line="360" w:lineRule="auto"/>
              <w:rPr>
                <w:sz w:val="18"/>
                <w:szCs w:val="18"/>
              </w:rPr>
            </w:pPr>
            <w:r>
              <w:rPr>
                <w:rFonts w:hint="eastAsia"/>
                <w:b/>
                <w:sz w:val="18"/>
                <w:szCs w:val="18"/>
              </w:rPr>
              <w:t>指标点3-1 按需设计</w:t>
            </w:r>
            <w:r>
              <w:rPr>
                <w:rFonts w:hint="eastAsia"/>
                <w:sz w:val="18"/>
                <w:szCs w:val="18"/>
              </w:rPr>
              <w:t>：能够根据用户特定需求设计复杂工程问题的解决方案，设计相关的传感器、测控系统以及工艺流程，并能够针对方案进行优化选择。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2</w:t>
            </w:r>
          </w:p>
        </w:tc>
        <w:tc>
          <w:tcPr>
            <w:tcW w:w="2345" w:type="pct"/>
          </w:tcPr>
          <w:p>
            <w:pPr>
              <w:spacing w:line="360" w:lineRule="auto"/>
              <w:rPr>
                <w:sz w:val="18"/>
                <w:szCs w:val="18"/>
              </w:rPr>
            </w:pPr>
            <w:r>
              <w:rPr>
                <w:rFonts w:hint="eastAsia"/>
                <w:sz w:val="18"/>
                <w:szCs w:val="18"/>
              </w:rPr>
              <w:t>能够根据复杂</w:t>
            </w:r>
            <w:r>
              <w:rPr>
                <w:sz w:val="18"/>
                <w:szCs w:val="18"/>
              </w:rPr>
              <w:t>工程问题的</w:t>
            </w:r>
            <w:r>
              <w:rPr>
                <w:rFonts w:hint="eastAsia"/>
                <w:sz w:val="18"/>
                <w:szCs w:val="18"/>
              </w:rPr>
              <w:t>需求确定解决方案并进行优化，基于</w:t>
            </w:r>
            <w:r>
              <w:rPr>
                <w:sz w:val="18"/>
                <w:szCs w:val="18"/>
              </w:rPr>
              <w:t>汇编语言和单片机器件</w:t>
            </w:r>
            <w:r>
              <w:rPr>
                <w:rFonts w:hint="eastAsia"/>
                <w:sz w:val="18"/>
                <w:szCs w:val="18"/>
              </w:rPr>
              <w:t>设计具体的电路和系统，通过各种案例分析在专业设计细节中体现创新意识。</w:t>
            </w:r>
          </w:p>
        </w:tc>
        <w:tc>
          <w:tcPr>
            <w:tcW w:w="2288" w:type="pct"/>
          </w:tcPr>
          <w:p>
            <w:pPr>
              <w:spacing w:line="360" w:lineRule="auto"/>
              <w:rPr>
                <w:sz w:val="18"/>
                <w:szCs w:val="18"/>
              </w:rPr>
            </w:pPr>
            <w:r>
              <w:rPr>
                <w:rFonts w:hint="eastAsia"/>
                <w:b/>
                <w:sz w:val="18"/>
                <w:szCs w:val="18"/>
              </w:rPr>
              <w:t>指标点3-3 创新意识：</w:t>
            </w:r>
            <w:r>
              <w:rPr>
                <w:rFonts w:hint="eastAsia"/>
                <w:sz w:val="18"/>
                <w:szCs w:val="18"/>
              </w:rPr>
              <w:t>积极参与各类创新活动，在专业设计过程中能够体现创新意识。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3</w:t>
            </w:r>
          </w:p>
        </w:tc>
        <w:tc>
          <w:tcPr>
            <w:tcW w:w="2345" w:type="pct"/>
          </w:tcPr>
          <w:p>
            <w:pPr>
              <w:spacing w:line="360" w:lineRule="auto"/>
              <w:rPr>
                <w:sz w:val="18"/>
                <w:szCs w:val="18"/>
              </w:rPr>
            </w:pPr>
            <w:r>
              <w:rPr>
                <w:rFonts w:hint="eastAsia"/>
                <w:sz w:val="18"/>
                <w:szCs w:val="18"/>
              </w:rPr>
              <w:t>能够熟练使用汇编语言在</w:t>
            </w:r>
            <w:r>
              <w:rPr>
                <w:sz w:val="18"/>
                <w:szCs w:val="18"/>
              </w:rPr>
              <w:t>keil</w:t>
            </w:r>
            <w:r>
              <w:rPr>
                <w:rFonts w:hint="eastAsia"/>
                <w:sz w:val="18"/>
                <w:szCs w:val="18"/>
              </w:rPr>
              <w:t>等单片机集成开发环境下进行设计。</w:t>
            </w:r>
          </w:p>
        </w:tc>
        <w:tc>
          <w:tcPr>
            <w:tcW w:w="2288" w:type="pct"/>
          </w:tcPr>
          <w:p>
            <w:pPr>
              <w:spacing w:line="360" w:lineRule="auto"/>
              <w:rPr>
                <w:sz w:val="18"/>
                <w:szCs w:val="18"/>
              </w:rPr>
            </w:pPr>
            <w:r>
              <w:rPr>
                <w:rFonts w:hint="eastAsia"/>
                <w:b/>
                <w:sz w:val="18"/>
                <w:szCs w:val="18"/>
              </w:rPr>
              <w:t>指标点5-2 专业工具使用：</w:t>
            </w:r>
            <w:r>
              <w:rPr>
                <w:rFonts w:hint="eastAsia"/>
                <w:sz w:val="18"/>
                <w:szCs w:val="18"/>
              </w:rPr>
              <w:t>能使用电路系统、总线网络等开发所需的EDA工具进行建模/仿真/版图设计，确定功能和工艺参数。</w:t>
            </w:r>
          </w:p>
        </w:tc>
      </w:tr>
    </w:tbl>
    <w:p>
      <w:pPr>
        <w:spacing w:line="360" w:lineRule="auto"/>
        <w:rPr>
          <w:color w:val="000000" w:themeColor="text1"/>
          <w:szCs w:val="21"/>
          <w14:textFill>
            <w14:solidFill>
              <w14:schemeClr w14:val="tx1"/>
            </w14:solidFill>
          </w14:textFill>
        </w:rPr>
      </w:pPr>
    </w:p>
    <w:p>
      <w:pPr>
        <w:tabs>
          <w:tab w:val="left" w:pos="420"/>
        </w:tabs>
        <w:adjustRightInd w:val="0"/>
        <w:snapToGrid w:val="0"/>
        <w:spacing w:line="360" w:lineRule="auto"/>
        <w:rPr>
          <w:rFonts w:eastAsia="黑体"/>
          <w:color w:val="000000" w:themeColor="text1"/>
          <w:szCs w:val="21"/>
          <w14:textFill>
            <w14:solidFill>
              <w14:schemeClr w14:val="tx1"/>
            </w14:solidFill>
          </w14:textFill>
        </w:rPr>
      </w:pPr>
      <w:r>
        <w:rPr>
          <w:rFonts w:hint="eastAsia"/>
          <w:color w:val="000000" w:themeColor="text1"/>
          <w:lang w:eastAsia="zh-CN"/>
          <w14:textFill>
            <w14:solidFill>
              <w14:schemeClr w14:val="tx1"/>
            </w14:solidFill>
          </w14:textFill>
        </w:rPr>
        <w:t>智能感知工程</w:t>
      </w:r>
      <w:r>
        <w:rPr>
          <w:rFonts w:hint="eastAsia"/>
          <w:color w:val="000000" w:themeColor="text1"/>
          <w14:textFill>
            <w14:solidFill>
              <w14:schemeClr w14:val="tx1"/>
            </w14:solidFill>
          </w14:textFill>
        </w:rPr>
        <w:t>专业：</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4000"/>
        <w:gridCol w:w="390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sz w:val="18"/>
                <w:szCs w:val="18"/>
              </w:rPr>
              <w:t>序号</w:t>
            </w:r>
          </w:p>
        </w:tc>
        <w:tc>
          <w:tcPr>
            <w:tcW w:w="2345" w:type="pct"/>
            <w:vAlign w:val="center"/>
          </w:tcPr>
          <w:p>
            <w:pPr>
              <w:spacing w:line="360" w:lineRule="auto"/>
              <w:jc w:val="center"/>
              <w:rPr>
                <w:sz w:val="18"/>
                <w:szCs w:val="18"/>
              </w:rPr>
            </w:pPr>
            <w:r>
              <w:rPr>
                <w:sz w:val="18"/>
                <w:szCs w:val="18"/>
              </w:rPr>
              <w:t>课程目标</w:t>
            </w:r>
          </w:p>
        </w:tc>
        <w:tc>
          <w:tcPr>
            <w:tcW w:w="2288" w:type="pct"/>
            <w:vAlign w:val="center"/>
          </w:tcPr>
          <w:p>
            <w:pPr>
              <w:spacing w:line="360" w:lineRule="auto"/>
              <w:jc w:val="center"/>
              <w:rPr>
                <w:sz w:val="18"/>
                <w:szCs w:val="18"/>
              </w:rPr>
            </w:pPr>
            <w:r>
              <w:rPr>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1</w:t>
            </w:r>
          </w:p>
        </w:tc>
        <w:tc>
          <w:tcPr>
            <w:tcW w:w="2345" w:type="pct"/>
          </w:tcPr>
          <w:p>
            <w:pPr>
              <w:spacing w:line="360" w:lineRule="auto"/>
              <w:rPr>
                <w:sz w:val="18"/>
                <w:szCs w:val="18"/>
              </w:rPr>
            </w:pPr>
            <w:r>
              <w:rPr>
                <w:rFonts w:hint="eastAsia"/>
                <w:sz w:val="18"/>
                <w:szCs w:val="18"/>
              </w:rPr>
              <w:t>能够通过分析将相关工程问题转化为技术问题、并采用汇编语言和单片机器件进行相应的数字电路设计；</w:t>
            </w:r>
          </w:p>
        </w:tc>
        <w:tc>
          <w:tcPr>
            <w:tcW w:w="2288" w:type="pct"/>
          </w:tcPr>
          <w:p>
            <w:pPr>
              <w:spacing w:line="360" w:lineRule="auto"/>
              <w:rPr>
                <w:sz w:val="18"/>
                <w:szCs w:val="18"/>
              </w:rPr>
            </w:pPr>
            <w:r>
              <w:rPr>
                <w:rFonts w:hint="eastAsia"/>
                <w:b/>
                <w:sz w:val="18"/>
                <w:szCs w:val="18"/>
              </w:rPr>
              <w:t>指标点3-1 按需设计</w:t>
            </w:r>
            <w:r>
              <w:rPr>
                <w:rFonts w:hint="eastAsia"/>
                <w:sz w:val="18"/>
                <w:szCs w:val="18"/>
              </w:rPr>
              <w:t>：</w:t>
            </w:r>
            <w:r>
              <w:rPr>
                <w:bCs/>
                <w:sz w:val="18"/>
                <w:szCs w:val="18"/>
              </w:rPr>
              <w:t>能够根据用户特定需求设计复杂工程问题的解决方案，设计相关的信息处理系统、智能控制系统以及工艺流程，并能够针对方案进行优化选择。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2</w:t>
            </w:r>
          </w:p>
        </w:tc>
        <w:tc>
          <w:tcPr>
            <w:tcW w:w="2345" w:type="pct"/>
          </w:tcPr>
          <w:p>
            <w:pPr>
              <w:spacing w:line="360" w:lineRule="auto"/>
              <w:rPr>
                <w:sz w:val="18"/>
                <w:szCs w:val="18"/>
              </w:rPr>
            </w:pPr>
            <w:r>
              <w:rPr>
                <w:rFonts w:hint="eastAsia"/>
                <w:sz w:val="18"/>
                <w:szCs w:val="18"/>
              </w:rPr>
              <w:t>能够根据复杂</w:t>
            </w:r>
            <w:r>
              <w:rPr>
                <w:sz w:val="18"/>
                <w:szCs w:val="18"/>
              </w:rPr>
              <w:t>工程问题的</w:t>
            </w:r>
            <w:r>
              <w:rPr>
                <w:rFonts w:hint="eastAsia"/>
                <w:sz w:val="18"/>
                <w:szCs w:val="18"/>
              </w:rPr>
              <w:t>需求确定解决方案并进行优化，基于</w:t>
            </w:r>
            <w:r>
              <w:rPr>
                <w:sz w:val="18"/>
                <w:szCs w:val="18"/>
              </w:rPr>
              <w:t>汇编语言和单片机器件</w:t>
            </w:r>
            <w:r>
              <w:rPr>
                <w:rFonts w:hint="eastAsia"/>
                <w:sz w:val="18"/>
                <w:szCs w:val="18"/>
              </w:rPr>
              <w:t>设计具体的电路和系统，通过各种案例分析在专业设计细节中体现创新意识。</w:t>
            </w:r>
          </w:p>
        </w:tc>
        <w:tc>
          <w:tcPr>
            <w:tcW w:w="2288" w:type="pct"/>
          </w:tcPr>
          <w:p>
            <w:pPr>
              <w:spacing w:line="360" w:lineRule="auto"/>
              <w:rPr>
                <w:sz w:val="18"/>
                <w:szCs w:val="18"/>
              </w:rPr>
            </w:pPr>
            <w:r>
              <w:rPr>
                <w:rFonts w:hint="eastAsia"/>
                <w:b/>
                <w:sz w:val="18"/>
                <w:szCs w:val="18"/>
              </w:rPr>
              <w:t>指标点3-3 创新意识：</w:t>
            </w:r>
            <w:r>
              <w:rPr>
                <w:bCs/>
                <w:sz w:val="18"/>
                <w:szCs w:val="18"/>
              </w:rPr>
              <w:t>积极参与各类创新活动，在专业设计过程中能够体现创新意识。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3</w:t>
            </w:r>
          </w:p>
        </w:tc>
        <w:tc>
          <w:tcPr>
            <w:tcW w:w="2345" w:type="pct"/>
          </w:tcPr>
          <w:p>
            <w:pPr>
              <w:spacing w:line="360" w:lineRule="auto"/>
              <w:rPr>
                <w:sz w:val="18"/>
                <w:szCs w:val="18"/>
              </w:rPr>
            </w:pPr>
            <w:r>
              <w:rPr>
                <w:rFonts w:hint="eastAsia"/>
                <w:sz w:val="18"/>
                <w:szCs w:val="18"/>
              </w:rPr>
              <w:t>能够熟练使用汇编语言在</w:t>
            </w:r>
            <w:r>
              <w:rPr>
                <w:sz w:val="18"/>
                <w:szCs w:val="18"/>
              </w:rPr>
              <w:t>keil</w:t>
            </w:r>
            <w:r>
              <w:rPr>
                <w:rFonts w:hint="eastAsia"/>
                <w:sz w:val="18"/>
                <w:szCs w:val="18"/>
              </w:rPr>
              <w:t>等单片机集成开发环境下进行设计。</w:t>
            </w:r>
          </w:p>
        </w:tc>
        <w:tc>
          <w:tcPr>
            <w:tcW w:w="2288" w:type="pct"/>
          </w:tcPr>
          <w:p>
            <w:pPr>
              <w:spacing w:line="360" w:lineRule="auto"/>
              <w:rPr>
                <w:sz w:val="18"/>
                <w:szCs w:val="18"/>
              </w:rPr>
            </w:pPr>
            <w:r>
              <w:rPr>
                <w:rFonts w:hint="eastAsia"/>
                <w:b/>
                <w:sz w:val="18"/>
                <w:szCs w:val="18"/>
              </w:rPr>
              <w:t>指标点5-2 专业工具使用：</w:t>
            </w:r>
            <w:r>
              <w:rPr>
                <w:bCs/>
                <w:sz w:val="18"/>
                <w:szCs w:val="18"/>
              </w:rPr>
              <w:t>能使用工具对智能信息处理或控制系统进行设计和仿真，确定功能和相关设计参数。</w:t>
            </w:r>
          </w:p>
        </w:tc>
      </w:tr>
    </w:tbl>
    <w:p>
      <w:pPr>
        <w:spacing w:line="360" w:lineRule="auto"/>
        <w:jc w:val="left"/>
        <w:rPr>
          <w:color w:val="000000" w:themeColor="text1"/>
          <w:szCs w:val="21"/>
          <w14:textFill>
            <w14:solidFill>
              <w14:schemeClr w14:val="tx1"/>
            </w14:solidFill>
          </w14:textFill>
        </w:rPr>
      </w:pPr>
    </w:p>
    <w:p>
      <w:pPr>
        <w:tabs>
          <w:tab w:val="left" w:pos="420"/>
        </w:tabs>
        <w:adjustRightInd w:val="0"/>
        <w:snapToGrid w:val="0"/>
        <w:spacing w:line="360" w:lineRule="auto"/>
        <w:rPr>
          <w:rFonts w:eastAsia="黑体"/>
          <w:color w:val="000000" w:themeColor="text1"/>
          <w:szCs w:val="21"/>
          <w14:textFill>
            <w14:solidFill>
              <w14:schemeClr w14:val="tx1"/>
            </w14:solidFill>
          </w14:textFill>
        </w:rPr>
      </w:pPr>
      <w:r>
        <w:rPr>
          <w:color w:val="000000" w:themeColor="text1"/>
          <w14:textFill>
            <w14:solidFill>
              <w14:schemeClr w14:val="tx1"/>
            </w14:solidFill>
          </w14:textFill>
        </w:rPr>
        <w:t>电子科学</w:t>
      </w:r>
      <w:r>
        <w:rPr>
          <w:rFonts w:hint="eastAsia"/>
          <w:color w:val="000000" w:themeColor="text1"/>
          <w14:textFill>
            <w14:solidFill>
              <w14:schemeClr w14:val="tx1"/>
            </w14:solidFill>
          </w14:textFill>
        </w:rPr>
        <w:t>与</w:t>
      </w:r>
      <w:r>
        <w:rPr>
          <w:color w:val="000000" w:themeColor="text1"/>
          <w14:textFill>
            <w14:solidFill>
              <w14:schemeClr w14:val="tx1"/>
            </w14:solidFill>
          </w14:textFill>
        </w:rPr>
        <w:t>技术</w:t>
      </w:r>
      <w:r>
        <w:rPr>
          <w:rFonts w:hint="eastAsia"/>
          <w:color w:val="000000" w:themeColor="text1"/>
          <w14:textFill>
            <w14:solidFill>
              <w14:schemeClr w14:val="tx1"/>
            </w14:solidFill>
          </w14:textFill>
        </w:rPr>
        <w:t>专业：</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4000"/>
        <w:gridCol w:w="390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sz w:val="18"/>
                <w:szCs w:val="18"/>
              </w:rPr>
              <w:t>序号</w:t>
            </w:r>
          </w:p>
        </w:tc>
        <w:tc>
          <w:tcPr>
            <w:tcW w:w="2345" w:type="pct"/>
            <w:vAlign w:val="center"/>
          </w:tcPr>
          <w:p>
            <w:pPr>
              <w:spacing w:line="360" w:lineRule="auto"/>
              <w:jc w:val="center"/>
              <w:rPr>
                <w:sz w:val="18"/>
                <w:szCs w:val="18"/>
              </w:rPr>
            </w:pPr>
            <w:r>
              <w:rPr>
                <w:sz w:val="18"/>
                <w:szCs w:val="18"/>
              </w:rPr>
              <w:t>课程目标</w:t>
            </w:r>
          </w:p>
        </w:tc>
        <w:tc>
          <w:tcPr>
            <w:tcW w:w="2288" w:type="pct"/>
            <w:vAlign w:val="center"/>
          </w:tcPr>
          <w:p>
            <w:pPr>
              <w:spacing w:line="360" w:lineRule="auto"/>
              <w:jc w:val="center"/>
              <w:rPr>
                <w:sz w:val="18"/>
                <w:szCs w:val="18"/>
              </w:rPr>
            </w:pPr>
            <w:r>
              <w:rPr>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1</w:t>
            </w:r>
          </w:p>
        </w:tc>
        <w:tc>
          <w:tcPr>
            <w:tcW w:w="2345" w:type="pct"/>
          </w:tcPr>
          <w:p>
            <w:pPr>
              <w:spacing w:line="360" w:lineRule="auto"/>
              <w:rPr>
                <w:sz w:val="18"/>
                <w:szCs w:val="18"/>
              </w:rPr>
            </w:pPr>
            <w:r>
              <w:rPr>
                <w:rFonts w:hint="eastAsia"/>
                <w:sz w:val="18"/>
                <w:szCs w:val="18"/>
              </w:rPr>
              <w:t>能够通过分析将相关工程问题转化为技术问题、并采用汇编语言和单片机器件进行相应的数字电路设计；</w:t>
            </w:r>
          </w:p>
        </w:tc>
        <w:tc>
          <w:tcPr>
            <w:tcW w:w="2288" w:type="pct"/>
          </w:tcPr>
          <w:p>
            <w:pPr>
              <w:spacing w:line="360" w:lineRule="auto"/>
              <w:rPr>
                <w:sz w:val="18"/>
                <w:szCs w:val="18"/>
              </w:rPr>
            </w:pPr>
            <w:r>
              <w:rPr>
                <w:rFonts w:hint="eastAsia"/>
                <w:b/>
                <w:sz w:val="18"/>
                <w:szCs w:val="18"/>
              </w:rPr>
              <w:t>指标点3-1 按需设计</w:t>
            </w:r>
            <w:r>
              <w:rPr>
                <w:rFonts w:hint="eastAsia"/>
                <w:sz w:val="18"/>
                <w:szCs w:val="18"/>
              </w:rPr>
              <w:t>：能够根据用户特定需求设计复杂工程问题的解决方案，设计相关的传感器、测控系统以及工艺流程，并能够针对方案进行优化选择。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2</w:t>
            </w:r>
          </w:p>
        </w:tc>
        <w:tc>
          <w:tcPr>
            <w:tcW w:w="2345" w:type="pct"/>
          </w:tcPr>
          <w:p>
            <w:pPr>
              <w:spacing w:line="360" w:lineRule="auto"/>
              <w:rPr>
                <w:sz w:val="18"/>
                <w:szCs w:val="18"/>
              </w:rPr>
            </w:pPr>
            <w:r>
              <w:rPr>
                <w:rFonts w:hint="eastAsia"/>
                <w:sz w:val="18"/>
                <w:szCs w:val="18"/>
              </w:rPr>
              <w:t>能够根据复杂</w:t>
            </w:r>
            <w:r>
              <w:rPr>
                <w:sz w:val="18"/>
                <w:szCs w:val="18"/>
              </w:rPr>
              <w:t>工程问题的</w:t>
            </w:r>
            <w:r>
              <w:rPr>
                <w:rFonts w:hint="eastAsia"/>
                <w:sz w:val="18"/>
                <w:szCs w:val="18"/>
              </w:rPr>
              <w:t>需求确定解决方案并进行优化，基于</w:t>
            </w:r>
            <w:r>
              <w:rPr>
                <w:sz w:val="18"/>
                <w:szCs w:val="18"/>
              </w:rPr>
              <w:t>汇编语言和单片机器件</w:t>
            </w:r>
            <w:r>
              <w:rPr>
                <w:rFonts w:hint="eastAsia"/>
                <w:sz w:val="18"/>
                <w:szCs w:val="18"/>
              </w:rPr>
              <w:t>设计具体的电路和系统，通过各种案例分析在专业设计细节中体现创新意识。</w:t>
            </w:r>
          </w:p>
        </w:tc>
        <w:tc>
          <w:tcPr>
            <w:tcW w:w="2288" w:type="pct"/>
          </w:tcPr>
          <w:p>
            <w:pPr>
              <w:spacing w:line="360" w:lineRule="auto"/>
              <w:rPr>
                <w:sz w:val="18"/>
                <w:szCs w:val="18"/>
              </w:rPr>
            </w:pPr>
            <w:r>
              <w:rPr>
                <w:rFonts w:hint="eastAsia"/>
                <w:b/>
                <w:sz w:val="18"/>
                <w:szCs w:val="18"/>
              </w:rPr>
              <w:t>指标点3-3 创新意识：</w:t>
            </w:r>
            <w:r>
              <w:rPr>
                <w:rFonts w:hint="eastAsia"/>
                <w:sz w:val="18"/>
                <w:szCs w:val="18"/>
              </w:rPr>
              <w:t>积极参与各类创新活动，在专业设计过程中能够体现创新意识。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3</w:t>
            </w:r>
          </w:p>
        </w:tc>
        <w:tc>
          <w:tcPr>
            <w:tcW w:w="2345" w:type="pct"/>
          </w:tcPr>
          <w:p>
            <w:pPr>
              <w:spacing w:line="360" w:lineRule="auto"/>
              <w:rPr>
                <w:sz w:val="18"/>
                <w:szCs w:val="18"/>
              </w:rPr>
            </w:pPr>
            <w:r>
              <w:rPr>
                <w:rFonts w:hint="eastAsia"/>
                <w:sz w:val="18"/>
                <w:szCs w:val="18"/>
              </w:rPr>
              <w:t>能够熟练使用汇编语言在</w:t>
            </w:r>
            <w:r>
              <w:rPr>
                <w:sz w:val="18"/>
                <w:szCs w:val="18"/>
              </w:rPr>
              <w:t>keil</w:t>
            </w:r>
            <w:r>
              <w:rPr>
                <w:rFonts w:hint="eastAsia"/>
                <w:sz w:val="18"/>
                <w:szCs w:val="18"/>
              </w:rPr>
              <w:t>等单片机集成开发环境下进行设计。</w:t>
            </w:r>
          </w:p>
        </w:tc>
        <w:tc>
          <w:tcPr>
            <w:tcW w:w="2288" w:type="pct"/>
          </w:tcPr>
          <w:p>
            <w:pPr>
              <w:spacing w:line="360" w:lineRule="auto"/>
              <w:rPr>
                <w:sz w:val="18"/>
                <w:szCs w:val="18"/>
              </w:rPr>
            </w:pPr>
            <w:r>
              <w:rPr>
                <w:rFonts w:hint="eastAsia"/>
                <w:b/>
                <w:sz w:val="18"/>
                <w:szCs w:val="18"/>
              </w:rPr>
              <w:t>指标点5-2 专业工具使用：</w:t>
            </w:r>
            <w:r>
              <w:rPr>
                <w:rFonts w:hint="eastAsia"/>
                <w:sz w:val="18"/>
                <w:szCs w:val="18"/>
              </w:rPr>
              <w:t>能使用电路系统、总线网络等开发所需的EDA工具进行建模/仿真/版图设计，确定功能和工艺参数。</w:t>
            </w:r>
          </w:p>
        </w:tc>
      </w:tr>
    </w:tbl>
    <w:p>
      <w:pPr>
        <w:tabs>
          <w:tab w:val="left" w:pos="420"/>
        </w:tabs>
        <w:adjustRightInd w:val="0"/>
        <w:snapToGrid w:val="0"/>
        <w:spacing w:line="360" w:lineRule="auto"/>
        <w:ind w:left="420" w:hanging="420"/>
        <w:rPr>
          <w:rFonts w:hint="eastAsia" w:eastAsia="黑体"/>
          <w:color w:val="000000" w:themeColor="text1"/>
          <w:szCs w:val="21"/>
          <w14:textFill>
            <w14:solidFill>
              <w14:schemeClr w14:val="tx1"/>
            </w14:solidFill>
          </w14:textFill>
        </w:rPr>
      </w:pPr>
    </w:p>
    <w:p>
      <w:pPr>
        <w:tabs>
          <w:tab w:val="left" w:pos="420"/>
        </w:tabs>
        <w:adjustRightInd w:val="0"/>
        <w:snapToGrid w:val="0"/>
        <w:spacing w:line="360" w:lineRule="auto"/>
        <w:ind w:left="420" w:hanging="420"/>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三、基本要求</w:t>
      </w:r>
    </w:p>
    <w:p>
      <w:pPr>
        <w:tabs>
          <w:tab w:val="left" w:pos="420"/>
        </w:tabs>
        <w:adjustRightInd w:val="0"/>
        <w:snapToGrid w:val="0"/>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通过本课程的系统学习可使学生初步具备如下能力：</w:t>
      </w:r>
    </w:p>
    <w:p>
      <w:pPr>
        <w:tabs>
          <w:tab w:val="left" w:pos="420"/>
        </w:tabs>
        <w:adjustRightInd w:val="0"/>
        <w:snapToGrid w:val="0"/>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要求先修课程为《微机原理及接口技术》和《数字电子技术》</w:t>
      </w:r>
      <w:r>
        <w:rPr>
          <w:rFonts w:hint="eastAsia"/>
          <w:color w:val="000000" w:themeColor="text1"/>
          <w:szCs w:val="21"/>
          <w14:textFill>
            <w14:solidFill>
              <w14:schemeClr w14:val="tx1"/>
            </w14:solidFill>
          </w14:textFill>
        </w:rPr>
        <w:t>；</w:t>
      </w:r>
    </w:p>
    <w:p>
      <w:pPr>
        <w:tabs>
          <w:tab w:val="left" w:pos="420"/>
        </w:tabs>
        <w:adjustRightInd w:val="0"/>
        <w:snapToGrid w:val="0"/>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2、要求教师</w:t>
      </w:r>
      <w:r>
        <w:rPr>
          <w:color w:val="000000" w:themeColor="text1"/>
          <w:szCs w:val="21"/>
          <w14:textFill>
            <w14:solidFill>
              <w14:schemeClr w14:val="tx1"/>
            </w14:solidFill>
          </w14:textFill>
        </w:rPr>
        <w:t>针对本门课程内容繁杂、知识点集中大量出现的特点，在教学中应注重基础知识、基本概念和思维方法的传授</w:t>
      </w:r>
      <w:r>
        <w:rPr>
          <w:rFonts w:hint="eastAsia"/>
          <w:color w:val="000000" w:themeColor="text1"/>
          <w:szCs w:val="21"/>
          <w14:textFill>
            <w14:solidFill>
              <w14:schemeClr w14:val="tx1"/>
            </w14:solidFill>
          </w14:textFill>
        </w:rPr>
        <w:t>，</w:t>
      </w:r>
      <w:r>
        <w:t>使学生学会利用</w:t>
      </w:r>
      <w:r>
        <w:rPr>
          <w:rFonts w:hint="eastAsia"/>
        </w:rPr>
        <w:t>单片机</w:t>
      </w:r>
      <w:r>
        <w:t>进行硬件设计及编程控制</w:t>
      </w:r>
      <w:r>
        <w:rPr>
          <w:rFonts w:hint="eastAsia"/>
          <w:color w:val="000000" w:themeColor="text1"/>
          <w:szCs w:val="21"/>
          <w14:textFill>
            <w14:solidFill>
              <w14:schemeClr w14:val="tx1"/>
            </w14:solidFill>
          </w14:textFill>
        </w:rPr>
        <w:t>；</w:t>
      </w:r>
    </w:p>
    <w:p>
      <w:pPr>
        <w:adjustRightInd w:val="0"/>
        <w:snapToGrid w:val="0"/>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本课程是一门实践性很强的课程，要求教学和实验环节交替进行，通过实验环节把所学的内容巩固和学会</w:t>
      </w:r>
      <w:r>
        <w:rPr>
          <w:rFonts w:hint="eastAsia"/>
          <w:color w:val="000000" w:themeColor="text1"/>
          <w:szCs w:val="21"/>
          <w14:textFill>
            <w14:solidFill>
              <w14:schemeClr w14:val="tx1"/>
            </w14:solidFill>
          </w14:textFill>
        </w:rPr>
        <w:t>；</w:t>
      </w:r>
    </w:p>
    <w:p>
      <w:pPr>
        <w:tabs>
          <w:tab w:val="left" w:pos="420"/>
        </w:tabs>
        <w:adjustRightInd w:val="0"/>
        <w:snapToGrid w:val="0"/>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4、要求教师引导学生将微机原理、</w:t>
      </w:r>
      <w:r>
        <w:rPr>
          <w:color w:val="000000" w:themeColor="text1"/>
          <w:szCs w:val="21"/>
          <w14:textFill>
            <w14:solidFill>
              <w14:schemeClr w14:val="tx1"/>
            </w14:solidFill>
          </w14:textFill>
        </w:rPr>
        <w:t>数字电子技术和单片机</w:t>
      </w:r>
      <w:r>
        <w:rPr>
          <w:rFonts w:hint="eastAsia"/>
          <w:color w:val="000000" w:themeColor="text1"/>
          <w:szCs w:val="21"/>
          <w14:textFill>
            <w14:solidFill>
              <w14:schemeClr w14:val="tx1"/>
            </w14:solidFill>
          </w14:textFill>
        </w:rPr>
        <w:t>的理论知识与单片机的实践应用结合起来；</w:t>
      </w:r>
    </w:p>
    <w:p>
      <w:pPr>
        <w:tabs>
          <w:tab w:val="left" w:pos="420"/>
        </w:tabs>
        <w:adjustRightInd w:val="0"/>
        <w:snapToGrid w:val="0"/>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5、深度和广度说明：</w:t>
      </w:r>
      <w:r>
        <w:rPr>
          <w:color w:val="000000" w:themeColor="text1"/>
          <w:szCs w:val="21"/>
          <w14:textFill>
            <w14:solidFill>
              <w14:schemeClr w14:val="tx1"/>
            </w14:solidFill>
          </w14:textFill>
        </w:rPr>
        <w:t>以MCS 51单片机为主线，对单片机系统的内部结构、中断系统、外部引脚等硬件相关内容进行详细讲解，同时对目前流行单片机芯片进行对比介绍。指令系统和汇编语言程序设计是难点，教师在知识讲解的过程中要充分利用问题引导、案例分析等多种教学方法，以进一步提高教学质量。</w:t>
      </w:r>
    </w:p>
    <w:p>
      <w:pPr>
        <w:tabs>
          <w:tab w:val="left" w:pos="420"/>
        </w:tabs>
        <w:adjustRightInd w:val="0"/>
        <w:snapToGrid w:val="0"/>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6、偏差说明：</w:t>
      </w:r>
      <w:r>
        <w:rPr>
          <w:color w:val="000000" w:themeColor="text1"/>
          <w:szCs w:val="21"/>
          <w14:textFill>
            <w14:solidFill>
              <w14:schemeClr w14:val="tx1"/>
            </w14:solidFill>
          </w14:textFill>
        </w:rPr>
        <w:t>为了鼓励教师引入个人授课风格或者适应技术发展的紧迫性，本课程允许教师授课内容做适当调整，最大正偏差为10%，不允许负偏差。正偏差通过压缩同等内容的学时数来完成。特殊情况，最大正偏差和置换偏差累计可达到20%，但在开课前要申请专业责任人批准。（正偏差指大纲知识点不变，新增知识点；负偏差是大纲知识点减少；置换偏差是指大纲中部分知识点被其它类似知识点替换）。</w:t>
      </w:r>
    </w:p>
    <w:p>
      <w:pPr>
        <w:spacing w:line="360" w:lineRule="auto"/>
        <w:ind w:firstLine="420" w:firstLineChars="200"/>
        <w:rPr>
          <w:color w:val="000000" w:themeColor="text1"/>
          <w:szCs w:val="21"/>
          <w14:textFill>
            <w14:solidFill>
              <w14:schemeClr w14:val="tx1"/>
            </w14:solidFill>
          </w14:textFill>
        </w:rPr>
      </w:pPr>
    </w:p>
    <w:p>
      <w:pPr>
        <w:tabs>
          <w:tab w:val="left" w:pos="420"/>
        </w:tabs>
        <w:spacing w:line="360" w:lineRule="auto"/>
        <w:ind w:left="420" w:hanging="420"/>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四、教学内容和教学方法</w:t>
      </w:r>
    </w:p>
    <w:p>
      <w:pPr>
        <w:spacing w:line="360" w:lineRule="auto"/>
        <w:ind w:firstLine="420" w:firstLineChars="200"/>
        <w:rPr>
          <w:szCs w:val="21"/>
        </w:rPr>
      </w:pPr>
      <w:r>
        <w:rPr>
          <w:rFonts w:hint="eastAsia"/>
          <w:szCs w:val="21"/>
        </w:rPr>
        <w:t>本课程重点讲授的内容包括：</w:t>
      </w:r>
      <w:r>
        <w:rPr>
          <w:color w:val="000000" w:themeColor="text1"/>
          <w:szCs w:val="21"/>
          <w14:textFill>
            <w14:solidFill>
              <w14:schemeClr w14:val="tx1"/>
            </w14:solidFill>
          </w14:textFill>
        </w:rPr>
        <w:t>单片机系统的内部结构、外部引脚、指令系统、中断系统、汇编语言程序设计、接口设计等。</w:t>
      </w:r>
    </w:p>
    <w:p>
      <w:pPr>
        <w:adjustRightInd w:val="0"/>
        <w:snapToGrid w:val="0"/>
        <w:spacing w:line="360" w:lineRule="auto"/>
        <w:ind w:firstLine="420" w:firstLineChars="200"/>
      </w:pPr>
      <w:r>
        <w:t>教学方法：</w:t>
      </w:r>
    </w:p>
    <w:p>
      <w:pPr>
        <w:adjustRightInd w:val="0"/>
        <w:snapToGrid w:val="0"/>
        <w:spacing w:line="360" w:lineRule="auto"/>
        <w:ind w:firstLine="420" w:firstLineChars="200"/>
      </w:pPr>
      <w:r>
        <w:t>1、利用CAI形式讲授，辅以重要知识点的板书推导与分析，引导学生理解分析思路</w:t>
      </w:r>
      <w:r>
        <w:rPr>
          <w:rFonts w:hint="eastAsia"/>
        </w:rPr>
        <w:t>，通过</w:t>
      </w:r>
      <w:r>
        <w:rPr>
          <w:szCs w:val="21"/>
        </w:rPr>
        <w:t>验证性实验</w:t>
      </w:r>
      <w:r>
        <w:rPr>
          <w:rFonts w:hint="eastAsia"/>
          <w:szCs w:val="21"/>
        </w:rPr>
        <w:t>及课后师生微信交流等方式</w:t>
      </w:r>
      <w:r>
        <w:rPr>
          <w:szCs w:val="21"/>
        </w:rPr>
        <w:t>有机结合，提高教学效率。</w:t>
      </w:r>
    </w:p>
    <w:p>
      <w:pPr>
        <w:spacing w:line="360" w:lineRule="auto"/>
        <w:ind w:firstLine="420" w:firstLineChars="200"/>
        <w:rPr>
          <w:szCs w:val="21"/>
        </w:rPr>
      </w:pPr>
      <w:r>
        <w:t>2、讲授过程中穿插提问和讨论等环节，让学生获得更多的锻炼机会。</w:t>
      </w:r>
    </w:p>
    <w:p>
      <w:pPr>
        <w:spacing w:line="360" w:lineRule="auto"/>
        <w:ind w:firstLine="420" w:firstLineChars="200"/>
        <w:rPr>
          <w:szCs w:val="21"/>
        </w:rPr>
      </w:pPr>
      <w:r>
        <w:rPr>
          <w:rFonts w:hint="eastAsia"/>
          <w:szCs w:val="21"/>
        </w:rPr>
        <w:t>为了提高学生的学习兴趣，并取得良好的教学效果，教师在知识讲解的过程中要充分融合</w:t>
      </w:r>
      <w:r>
        <w:rPr>
          <w:szCs w:val="21"/>
        </w:rPr>
        <w:t>单片机应用的实际案例</w:t>
      </w:r>
      <w:r>
        <w:rPr>
          <w:rFonts w:hint="eastAsia"/>
          <w:szCs w:val="21"/>
        </w:rPr>
        <w:t>，多沟通多互动等多种教学方法，以进一步提高教学质量。</w:t>
      </w:r>
    </w:p>
    <w:p>
      <w:pPr>
        <w:adjustRightInd w:val="0"/>
        <w:snapToGrid w:val="0"/>
        <w:spacing w:line="360" w:lineRule="auto"/>
        <w:ind w:left="426"/>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1 单片机概述（2学时）</w:t>
      </w:r>
    </w:p>
    <w:p>
      <w:pPr>
        <w:widowControl/>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1.1、单片机的基本概念；</w:t>
      </w:r>
    </w:p>
    <w:p>
      <w:pPr>
        <w:widowControl/>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1.2、8051单片机的主要技术特征，工作方式；</w:t>
      </w:r>
    </w:p>
    <w:p>
      <w:pPr>
        <w:widowControl/>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1.3、单片机系统的发展历程及方向。</w:t>
      </w:r>
    </w:p>
    <w:p>
      <w:pPr>
        <w:widowControl/>
        <w:tabs>
          <w:tab w:val="left" w:pos="900"/>
        </w:tabs>
        <w:spacing w:line="360" w:lineRule="auto"/>
        <w:ind w:left="426"/>
        <w:jc w:val="left"/>
        <w:rPr>
          <w:rFonts w:cstheme="minorBidi"/>
          <w:bCs/>
          <w:snapToGrid w:val="0"/>
          <w:kern w:val="0"/>
          <w:szCs w:val="21"/>
        </w:rPr>
      </w:pPr>
      <w:r>
        <w:rPr>
          <w:rFonts w:cstheme="minorBidi"/>
          <w:bCs/>
          <w:snapToGrid w:val="0"/>
          <w:kern w:val="0"/>
          <w:szCs w:val="21"/>
        </w:rPr>
        <w:t>本章内容支撑课程目标1</w:t>
      </w:r>
    </w:p>
    <w:p>
      <w:pPr>
        <w:adjustRightInd w:val="0"/>
        <w:snapToGrid w:val="0"/>
        <w:spacing w:line="360" w:lineRule="auto"/>
        <w:ind w:left="426"/>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2 MCS-51系列单片机的结构与原理（2学时）</w:t>
      </w:r>
    </w:p>
    <w:p>
      <w:pPr>
        <w:widowControl/>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2.1、单片机的基本组成及存储器的结构与地址空间；（重点）</w:t>
      </w:r>
    </w:p>
    <w:p>
      <w:pPr>
        <w:widowControl/>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2.2、时钟电路基本组成与CPU时序；</w:t>
      </w:r>
    </w:p>
    <w:p>
      <w:pPr>
        <w:widowControl/>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2.3、8051单片机CPU的功能与特点，单片机的工作方式；</w:t>
      </w:r>
    </w:p>
    <w:p>
      <w:pPr>
        <w:widowControl/>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2.4、8051单片机引脚功能。</w:t>
      </w:r>
    </w:p>
    <w:p>
      <w:pPr>
        <w:widowControl/>
        <w:spacing w:line="360" w:lineRule="auto"/>
        <w:ind w:left="426"/>
        <w:rPr>
          <w:snapToGrid w:val="0"/>
          <w:color w:val="000000" w:themeColor="text1"/>
          <w:kern w:val="0"/>
          <w:szCs w:val="21"/>
          <w14:textFill>
            <w14:solidFill>
              <w14:schemeClr w14:val="tx1"/>
            </w14:solidFill>
          </w14:textFill>
        </w:rPr>
      </w:pPr>
      <w:r>
        <w:rPr>
          <w:rFonts w:cstheme="minorBidi"/>
          <w:bCs/>
          <w:snapToGrid w:val="0"/>
          <w:kern w:val="0"/>
          <w:szCs w:val="21"/>
        </w:rPr>
        <w:t>本章内容支撑课程目标</w:t>
      </w:r>
      <w:r>
        <w:rPr>
          <w:rFonts w:hint="eastAsia" w:cstheme="minorBidi"/>
          <w:bCs/>
          <w:snapToGrid w:val="0"/>
          <w:kern w:val="0"/>
          <w:szCs w:val="21"/>
        </w:rPr>
        <w:t>1</w:t>
      </w:r>
      <w:r>
        <w:rPr>
          <w:rFonts w:cstheme="minorBidi"/>
          <w:bCs/>
          <w:snapToGrid w:val="0"/>
          <w:kern w:val="0"/>
          <w:szCs w:val="21"/>
        </w:rPr>
        <w:t>，</w:t>
      </w:r>
      <w:r>
        <w:rPr>
          <w:rFonts w:hint="eastAsia" w:cstheme="minorBidi"/>
          <w:bCs/>
          <w:snapToGrid w:val="0"/>
          <w:kern w:val="0"/>
          <w:szCs w:val="21"/>
        </w:rPr>
        <w:t>2</w:t>
      </w:r>
      <w:r>
        <w:rPr>
          <w:rFonts w:cstheme="minorBidi"/>
          <w:bCs/>
          <w:snapToGrid w:val="0"/>
          <w:kern w:val="0"/>
          <w:szCs w:val="21"/>
        </w:rPr>
        <w:t>，</w:t>
      </w:r>
      <w:r>
        <w:rPr>
          <w:rFonts w:hint="eastAsia" w:cstheme="minorBidi"/>
          <w:bCs/>
          <w:snapToGrid w:val="0"/>
          <w:kern w:val="0"/>
          <w:szCs w:val="21"/>
        </w:rPr>
        <w:t>3</w:t>
      </w:r>
    </w:p>
    <w:p>
      <w:pPr>
        <w:adjustRightInd w:val="0"/>
        <w:snapToGrid w:val="0"/>
        <w:spacing w:line="360" w:lineRule="auto"/>
        <w:ind w:left="426"/>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3 MCS-51单片机的寻址方式和指令系统（6学时）</w:t>
      </w:r>
    </w:p>
    <w:p>
      <w:pPr>
        <w:widowControl/>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3.1、指令系统的分类、寻址方式；</w:t>
      </w:r>
    </w:p>
    <w:p>
      <w:pPr>
        <w:widowControl/>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3.2、指令系统中指令的功能。（难点）</w:t>
      </w:r>
    </w:p>
    <w:p>
      <w:pPr>
        <w:widowControl/>
        <w:spacing w:line="360" w:lineRule="auto"/>
        <w:ind w:left="426"/>
        <w:rPr>
          <w:snapToGrid w:val="0"/>
          <w:color w:val="000000" w:themeColor="text1"/>
          <w:kern w:val="0"/>
          <w:szCs w:val="21"/>
          <w14:textFill>
            <w14:solidFill>
              <w14:schemeClr w14:val="tx1"/>
            </w14:solidFill>
          </w14:textFill>
        </w:rPr>
      </w:pPr>
      <w:r>
        <w:rPr>
          <w:rFonts w:cstheme="minorBidi"/>
          <w:bCs/>
          <w:snapToGrid w:val="0"/>
          <w:kern w:val="0"/>
          <w:szCs w:val="21"/>
        </w:rPr>
        <w:t>本章内容支撑课程目标</w:t>
      </w:r>
      <w:r>
        <w:rPr>
          <w:rFonts w:hint="eastAsia" w:cstheme="minorBidi"/>
          <w:bCs/>
          <w:snapToGrid w:val="0"/>
          <w:kern w:val="0"/>
          <w:szCs w:val="21"/>
        </w:rPr>
        <w:t>1</w:t>
      </w:r>
      <w:r>
        <w:rPr>
          <w:rFonts w:cstheme="minorBidi"/>
          <w:bCs/>
          <w:snapToGrid w:val="0"/>
          <w:kern w:val="0"/>
          <w:szCs w:val="21"/>
        </w:rPr>
        <w:t>，</w:t>
      </w:r>
      <w:r>
        <w:rPr>
          <w:rFonts w:hint="eastAsia" w:cstheme="minorBidi"/>
          <w:bCs/>
          <w:snapToGrid w:val="0"/>
          <w:kern w:val="0"/>
          <w:szCs w:val="21"/>
        </w:rPr>
        <w:t>2</w:t>
      </w:r>
      <w:r>
        <w:rPr>
          <w:rFonts w:cstheme="minorBidi"/>
          <w:bCs/>
          <w:snapToGrid w:val="0"/>
          <w:kern w:val="0"/>
          <w:szCs w:val="21"/>
        </w:rPr>
        <w:t>，</w:t>
      </w:r>
      <w:r>
        <w:rPr>
          <w:rFonts w:hint="eastAsia" w:cstheme="minorBidi"/>
          <w:bCs/>
          <w:snapToGrid w:val="0"/>
          <w:kern w:val="0"/>
          <w:szCs w:val="21"/>
        </w:rPr>
        <w:t>3</w:t>
      </w:r>
    </w:p>
    <w:p>
      <w:pPr>
        <w:adjustRightInd w:val="0"/>
        <w:snapToGrid w:val="0"/>
        <w:spacing w:line="360" w:lineRule="auto"/>
        <w:ind w:left="426"/>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4汇编语言程序设计（4学时）</w:t>
      </w:r>
    </w:p>
    <w:p>
      <w:pPr>
        <w:widowControl/>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4.1、汇编语言程序的格式、伪指令及程序设计的一般步骤；</w:t>
      </w:r>
    </w:p>
    <w:p>
      <w:pPr>
        <w:widowControl/>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4.2、顺序、分支、循环、主—子程序的设计方法。（重点）</w:t>
      </w:r>
    </w:p>
    <w:p>
      <w:pPr>
        <w:widowControl/>
        <w:spacing w:line="360" w:lineRule="auto"/>
        <w:ind w:left="426"/>
        <w:rPr>
          <w:snapToGrid w:val="0"/>
          <w:color w:val="000000" w:themeColor="text1"/>
          <w:kern w:val="0"/>
          <w:szCs w:val="21"/>
          <w14:textFill>
            <w14:solidFill>
              <w14:schemeClr w14:val="tx1"/>
            </w14:solidFill>
          </w14:textFill>
        </w:rPr>
      </w:pPr>
      <w:r>
        <w:rPr>
          <w:rFonts w:cstheme="minorBidi"/>
          <w:bCs/>
          <w:snapToGrid w:val="0"/>
          <w:kern w:val="0"/>
          <w:szCs w:val="21"/>
        </w:rPr>
        <w:t>本章内容支撑课程目标</w:t>
      </w:r>
      <w:r>
        <w:rPr>
          <w:rFonts w:hint="eastAsia" w:cstheme="minorBidi"/>
          <w:bCs/>
          <w:snapToGrid w:val="0"/>
          <w:kern w:val="0"/>
          <w:szCs w:val="21"/>
        </w:rPr>
        <w:t>1</w:t>
      </w:r>
      <w:r>
        <w:rPr>
          <w:rFonts w:cstheme="minorBidi"/>
          <w:bCs/>
          <w:snapToGrid w:val="0"/>
          <w:kern w:val="0"/>
          <w:szCs w:val="21"/>
        </w:rPr>
        <w:t>，</w:t>
      </w:r>
      <w:r>
        <w:rPr>
          <w:rFonts w:hint="eastAsia" w:cstheme="minorBidi"/>
          <w:bCs/>
          <w:snapToGrid w:val="0"/>
          <w:kern w:val="0"/>
          <w:szCs w:val="21"/>
        </w:rPr>
        <w:t>2</w:t>
      </w:r>
      <w:r>
        <w:rPr>
          <w:rFonts w:cstheme="minorBidi"/>
          <w:bCs/>
          <w:snapToGrid w:val="0"/>
          <w:kern w:val="0"/>
          <w:szCs w:val="21"/>
        </w:rPr>
        <w:t>，</w:t>
      </w:r>
      <w:r>
        <w:rPr>
          <w:rFonts w:hint="eastAsia" w:cstheme="minorBidi"/>
          <w:bCs/>
          <w:snapToGrid w:val="0"/>
          <w:kern w:val="0"/>
          <w:szCs w:val="21"/>
        </w:rPr>
        <w:t>3</w:t>
      </w:r>
    </w:p>
    <w:p>
      <w:pPr>
        <w:adjustRightInd w:val="0"/>
        <w:snapToGrid w:val="0"/>
        <w:spacing w:line="360" w:lineRule="auto"/>
        <w:ind w:left="426"/>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5 MCS-51 中断系统（2学时）</w:t>
      </w:r>
    </w:p>
    <w:p>
      <w:pPr>
        <w:widowControl/>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5.1、中断、中断源及中断优先级的基本概念；</w:t>
      </w:r>
    </w:p>
    <w:p>
      <w:pPr>
        <w:widowControl/>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5.2、MCS51中断响应的条件及其响应过程；</w:t>
      </w:r>
    </w:p>
    <w:p>
      <w:pPr>
        <w:widowControl/>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5.3、中断服务程序的编写方法。（重点）</w:t>
      </w:r>
    </w:p>
    <w:p>
      <w:pPr>
        <w:widowControl/>
        <w:spacing w:line="360" w:lineRule="auto"/>
        <w:ind w:left="426"/>
        <w:rPr>
          <w:snapToGrid w:val="0"/>
          <w:color w:val="000000" w:themeColor="text1"/>
          <w:kern w:val="0"/>
          <w:szCs w:val="21"/>
          <w14:textFill>
            <w14:solidFill>
              <w14:schemeClr w14:val="tx1"/>
            </w14:solidFill>
          </w14:textFill>
        </w:rPr>
      </w:pPr>
      <w:r>
        <w:rPr>
          <w:rFonts w:cstheme="minorBidi"/>
          <w:bCs/>
          <w:snapToGrid w:val="0"/>
          <w:kern w:val="0"/>
          <w:szCs w:val="21"/>
        </w:rPr>
        <w:t>本章内容支撑课程目标</w:t>
      </w:r>
      <w:r>
        <w:rPr>
          <w:rFonts w:hint="eastAsia" w:cstheme="minorBidi"/>
          <w:bCs/>
          <w:snapToGrid w:val="0"/>
          <w:kern w:val="0"/>
          <w:szCs w:val="21"/>
        </w:rPr>
        <w:t>2</w:t>
      </w:r>
      <w:r>
        <w:rPr>
          <w:rFonts w:cstheme="minorBidi"/>
          <w:bCs/>
          <w:snapToGrid w:val="0"/>
          <w:kern w:val="0"/>
          <w:szCs w:val="21"/>
        </w:rPr>
        <w:t>，</w:t>
      </w:r>
      <w:r>
        <w:rPr>
          <w:rFonts w:hint="eastAsia" w:cstheme="minorBidi"/>
          <w:bCs/>
          <w:snapToGrid w:val="0"/>
          <w:kern w:val="0"/>
          <w:szCs w:val="21"/>
        </w:rPr>
        <w:t>3</w:t>
      </w:r>
    </w:p>
    <w:p>
      <w:pPr>
        <w:adjustRightInd w:val="0"/>
        <w:snapToGrid w:val="0"/>
        <w:spacing w:line="360" w:lineRule="auto"/>
        <w:ind w:left="426"/>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6 MCS-51 定时器/计数器（2学时）</w:t>
      </w:r>
    </w:p>
    <w:p>
      <w:pPr>
        <w:widowControl/>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6.1、定时器/计数器的应用；</w:t>
      </w:r>
    </w:p>
    <w:p>
      <w:pPr>
        <w:widowControl/>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6.2、定时器/计数器的基本概念；</w:t>
      </w:r>
    </w:p>
    <w:p>
      <w:pPr>
        <w:widowControl/>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6.3、定时器/计数器的内部结构、工作模式寄存器和控制寄存器、定时器的工作方式。（重点）</w:t>
      </w:r>
    </w:p>
    <w:p>
      <w:pPr>
        <w:widowControl/>
        <w:spacing w:line="360" w:lineRule="auto"/>
        <w:ind w:left="426"/>
        <w:rPr>
          <w:snapToGrid w:val="0"/>
          <w:color w:val="000000" w:themeColor="text1"/>
          <w:kern w:val="0"/>
          <w:szCs w:val="21"/>
          <w14:textFill>
            <w14:solidFill>
              <w14:schemeClr w14:val="tx1"/>
            </w14:solidFill>
          </w14:textFill>
        </w:rPr>
      </w:pPr>
      <w:r>
        <w:rPr>
          <w:rFonts w:cstheme="minorBidi"/>
          <w:bCs/>
          <w:snapToGrid w:val="0"/>
          <w:kern w:val="0"/>
          <w:szCs w:val="21"/>
        </w:rPr>
        <w:t>本章内容支撑课程目标</w:t>
      </w:r>
      <w:r>
        <w:rPr>
          <w:rFonts w:hint="eastAsia" w:cstheme="minorBidi"/>
          <w:bCs/>
          <w:snapToGrid w:val="0"/>
          <w:kern w:val="0"/>
          <w:szCs w:val="21"/>
        </w:rPr>
        <w:t>2</w:t>
      </w:r>
      <w:r>
        <w:rPr>
          <w:rFonts w:cstheme="minorBidi"/>
          <w:bCs/>
          <w:snapToGrid w:val="0"/>
          <w:kern w:val="0"/>
          <w:szCs w:val="21"/>
        </w:rPr>
        <w:t>，</w:t>
      </w:r>
      <w:r>
        <w:rPr>
          <w:rFonts w:hint="eastAsia" w:cstheme="minorBidi"/>
          <w:bCs/>
          <w:snapToGrid w:val="0"/>
          <w:kern w:val="0"/>
          <w:szCs w:val="21"/>
        </w:rPr>
        <w:t>3</w:t>
      </w:r>
    </w:p>
    <w:p>
      <w:pPr>
        <w:adjustRightInd w:val="0"/>
        <w:snapToGrid w:val="0"/>
        <w:spacing w:line="360" w:lineRule="auto"/>
        <w:ind w:left="426"/>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7 MCS-51 串行通信接口（2学时）</w:t>
      </w:r>
    </w:p>
    <w:p>
      <w:pPr>
        <w:widowControl/>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7.1、串行通信的基本概念；</w:t>
      </w:r>
    </w:p>
    <w:p>
      <w:pPr>
        <w:widowControl/>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7.2、串行通信接口结构，波特率计算、串行口的工作模式、控制寄存器；</w:t>
      </w:r>
    </w:p>
    <w:p>
      <w:pPr>
        <w:widowControl/>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7.3、串行口的应用。</w:t>
      </w:r>
    </w:p>
    <w:p>
      <w:pPr>
        <w:widowControl/>
        <w:spacing w:line="360" w:lineRule="auto"/>
        <w:ind w:left="426"/>
        <w:rPr>
          <w:snapToGrid w:val="0"/>
          <w:color w:val="000000" w:themeColor="text1"/>
          <w:kern w:val="0"/>
          <w:szCs w:val="21"/>
          <w14:textFill>
            <w14:solidFill>
              <w14:schemeClr w14:val="tx1"/>
            </w14:solidFill>
          </w14:textFill>
        </w:rPr>
      </w:pPr>
      <w:r>
        <w:rPr>
          <w:rFonts w:cstheme="minorBidi"/>
          <w:bCs/>
          <w:snapToGrid w:val="0"/>
          <w:kern w:val="0"/>
          <w:szCs w:val="21"/>
        </w:rPr>
        <w:t>本章内容支撑课程目标</w:t>
      </w:r>
      <w:r>
        <w:rPr>
          <w:rFonts w:hint="eastAsia" w:cstheme="minorBidi"/>
          <w:bCs/>
          <w:snapToGrid w:val="0"/>
          <w:kern w:val="0"/>
          <w:szCs w:val="21"/>
        </w:rPr>
        <w:t>2</w:t>
      </w:r>
      <w:r>
        <w:rPr>
          <w:rFonts w:cstheme="minorBidi"/>
          <w:bCs/>
          <w:snapToGrid w:val="0"/>
          <w:kern w:val="0"/>
          <w:szCs w:val="21"/>
        </w:rPr>
        <w:t>，</w:t>
      </w:r>
      <w:r>
        <w:rPr>
          <w:rFonts w:hint="eastAsia" w:cstheme="minorBidi"/>
          <w:bCs/>
          <w:snapToGrid w:val="0"/>
          <w:kern w:val="0"/>
          <w:szCs w:val="21"/>
        </w:rPr>
        <w:t>3</w:t>
      </w:r>
    </w:p>
    <w:p>
      <w:pPr>
        <w:adjustRightInd w:val="0"/>
        <w:snapToGrid w:val="0"/>
        <w:spacing w:line="360" w:lineRule="auto"/>
        <w:ind w:left="426"/>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8 MCS-51单片机的存储系统扩展（2学时）</w:t>
      </w:r>
    </w:p>
    <w:p>
      <w:pPr>
        <w:widowControl/>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8.1、学会MCS-51单片机存储系统扩展的一般方法；（重点）</w:t>
      </w:r>
    </w:p>
    <w:p>
      <w:pPr>
        <w:widowControl/>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8.2、常规数据、程序存储器芯片。</w:t>
      </w:r>
    </w:p>
    <w:p>
      <w:pPr>
        <w:widowControl/>
        <w:spacing w:line="360" w:lineRule="auto"/>
        <w:ind w:left="426"/>
        <w:rPr>
          <w:snapToGrid w:val="0"/>
          <w:color w:val="000000" w:themeColor="text1"/>
          <w:kern w:val="0"/>
          <w:szCs w:val="21"/>
          <w14:textFill>
            <w14:solidFill>
              <w14:schemeClr w14:val="tx1"/>
            </w14:solidFill>
          </w14:textFill>
        </w:rPr>
      </w:pPr>
      <w:r>
        <w:rPr>
          <w:rFonts w:cstheme="minorBidi"/>
          <w:bCs/>
          <w:snapToGrid w:val="0"/>
          <w:kern w:val="0"/>
          <w:szCs w:val="21"/>
        </w:rPr>
        <w:t>本章内容支撑课程目标</w:t>
      </w:r>
      <w:r>
        <w:rPr>
          <w:rFonts w:hint="eastAsia" w:cstheme="minorBidi"/>
          <w:bCs/>
          <w:snapToGrid w:val="0"/>
          <w:kern w:val="0"/>
          <w:szCs w:val="21"/>
        </w:rPr>
        <w:t>2</w:t>
      </w:r>
      <w:r>
        <w:rPr>
          <w:rFonts w:cstheme="minorBidi"/>
          <w:bCs/>
          <w:snapToGrid w:val="0"/>
          <w:kern w:val="0"/>
          <w:szCs w:val="21"/>
        </w:rPr>
        <w:t>，</w:t>
      </w:r>
      <w:r>
        <w:rPr>
          <w:rFonts w:hint="eastAsia" w:cstheme="minorBidi"/>
          <w:bCs/>
          <w:snapToGrid w:val="0"/>
          <w:kern w:val="0"/>
          <w:szCs w:val="21"/>
        </w:rPr>
        <w:t>3</w:t>
      </w:r>
    </w:p>
    <w:p>
      <w:pPr>
        <w:adjustRightInd w:val="0"/>
        <w:snapToGrid w:val="0"/>
        <w:spacing w:line="360" w:lineRule="auto"/>
        <w:ind w:left="426"/>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9 MCS-51的接口技术（2学时）</w:t>
      </w:r>
    </w:p>
    <w:p>
      <w:pPr>
        <w:widowControl/>
        <w:spacing w:line="360" w:lineRule="auto"/>
        <w:ind w:left="426"/>
        <w:rPr>
          <w:snapToGrid w:val="0"/>
          <w:color w:val="000000" w:themeColor="text1"/>
          <w:kern w:val="0"/>
          <w:szCs w:val="21"/>
          <w14:textFill>
            <w14:solidFill>
              <w14:schemeClr w14:val="tx1"/>
            </w14:solidFill>
          </w14:textFill>
        </w:rPr>
      </w:pPr>
      <w:r>
        <w:rPr>
          <w:rFonts w:eastAsia="黑体"/>
          <w:color w:val="000000" w:themeColor="text1"/>
          <w14:textFill>
            <w14:solidFill>
              <w14:schemeClr w14:val="tx1"/>
            </w14:solidFill>
          </w14:textFill>
        </w:rPr>
        <w:t>9.1、</w:t>
      </w:r>
      <w:r>
        <w:rPr>
          <w:snapToGrid w:val="0"/>
          <w:color w:val="000000" w:themeColor="text1"/>
          <w:kern w:val="0"/>
          <w:szCs w:val="21"/>
          <w14:textFill>
            <w14:solidFill>
              <w14:schemeClr w14:val="tx1"/>
            </w14:solidFill>
          </w14:textFill>
        </w:rPr>
        <w:t>MCS-51单片机接口扩展的一般方法；</w:t>
      </w:r>
    </w:p>
    <w:p>
      <w:pPr>
        <w:widowControl/>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9.2、键盘、显示模块的工作原理及接口设计方法；</w:t>
      </w:r>
    </w:p>
    <w:p>
      <w:pPr>
        <w:widowControl/>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9.3、A/D、D/A接口的扩展方法。</w:t>
      </w:r>
    </w:p>
    <w:p>
      <w:pPr>
        <w:widowControl/>
        <w:spacing w:line="360" w:lineRule="auto"/>
        <w:ind w:left="426"/>
        <w:rPr>
          <w:rFonts w:cstheme="minorBidi"/>
          <w:bCs/>
          <w:snapToGrid w:val="0"/>
          <w:kern w:val="0"/>
          <w:szCs w:val="21"/>
        </w:rPr>
      </w:pPr>
      <w:r>
        <w:rPr>
          <w:rFonts w:cstheme="minorBidi"/>
          <w:bCs/>
          <w:snapToGrid w:val="0"/>
          <w:kern w:val="0"/>
          <w:szCs w:val="21"/>
        </w:rPr>
        <w:t>本章内容支撑课程目标</w:t>
      </w:r>
      <w:r>
        <w:rPr>
          <w:rFonts w:hint="eastAsia" w:cstheme="minorBidi"/>
          <w:bCs/>
          <w:snapToGrid w:val="0"/>
          <w:kern w:val="0"/>
          <w:szCs w:val="21"/>
        </w:rPr>
        <w:t>2</w:t>
      </w:r>
      <w:r>
        <w:rPr>
          <w:rFonts w:cstheme="minorBidi"/>
          <w:bCs/>
          <w:snapToGrid w:val="0"/>
          <w:kern w:val="0"/>
          <w:szCs w:val="21"/>
        </w:rPr>
        <w:t>，</w:t>
      </w:r>
      <w:r>
        <w:rPr>
          <w:rFonts w:hint="eastAsia" w:cstheme="minorBidi"/>
          <w:bCs/>
          <w:snapToGrid w:val="0"/>
          <w:kern w:val="0"/>
          <w:szCs w:val="21"/>
        </w:rPr>
        <w:t>3</w:t>
      </w:r>
    </w:p>
    <w:p>
      <w:pPr>
        <w:widowControl/>
        <w:spacing w:line="360" w:lineRule="auto"/>
        <w:ind w:left="426"/>
        <w:rPr>
          <w:snapToGrid w:val="0"/>
          <w:color w:val="000000" w:themeColor="text1"/>
          <w:kern w:val="0"/>
          <w:szCs w:val="21"/>
          <w14:textFill>
            <w14:solidFill>
              <w14:schemeClr w14:val="tx1"/>
            </w14:solidFill>
          </w14:textFill>
        </w:rPr>
      </w:pPr>
    </w:p>
    <w:p>
      <w:pPr>
        <w:tabs>
          <w:tab w:val="left" w:pos="420"/>
        </w:tabs>
        <w:adjustRightInd w:val="0"/>
        <w:snapToGrid w:val="0"/>
        <w:spacing w:line="360" w:lineRule="auto"/>
        <w:ind w:left="420" w:hanging="420"/>
        <w:rPr>
          <w:rFonts w:eastAsia="黑体"/>
          <w:color w:val="000000" w:themeColor="text1"/>
          <w:szCs w:val="24"/>
          <w14:textFill>
            <w14:solidFill>
              <w14:schemeClr w14:val="tx1"/>
            </w14:solidFill>
          </w14:textFill>
        </w:rPr>
      </w:pPr>
      <w:r>
        <w:rPr>
          <w:rFonts w:hint="eastAsia" w:eastAsia="黑体"/>
          <w:color w:val="000000" w:themeColor="text1"/>
          <w:szCs w:val="24"/>
          <w14:textFill>
            <w14:solidFill>
              <w14:schemeClr w14:val="tx1"/>
            </w14:solidFill>
          </w14:textFill>
        </w:rPr>
        <w:t>五、实验内容</w:t>
      </w:r>
    </w:p>
    <w:p>
      <w:pPr>
        <w:tabs>
          <w:tab w:val="left" w:pos="420"/>
        </w:tabs>
        <w:spacing w:line="360" w:lineRule="auto"/>
        <w:ind w:firstLine="420" w:firstLineChars="200"/>
        <w:rPr>
          <w:rFonts w:eastAsia="黑体"/>
          <w:color w:val="000000" w:themeColor="text1"/>
          <w:szCs w:val="24"/>
          <w14:textFill>
            <w14:solidFill>
              <w14:schemeClr w14:val="tx1"/>
            </w14:solidFill>
          </w14:textFill>
        </w:rPr>
      </w:pPr>
      <w:r>
        <w:rPr>
          <w:color w:val="000000" w:themeColor="text1"/>
          <w14:textFill>
            <w14:solidFill>
              <w14:schemeClr w14:val="tx1"/>
            </w14:solidFill>
          </w14:textFill>
        </w:rPr>
        <w:t>由代课教师从下列</w:t>
      </w:r>
      <w:r>
        <w:rPr>
          <w:rFonts w:hint="eastAsia"/>
          <w:color w:val="000000" w:themeColor="text1"/>
          <w14:textFill>
            <w14:solidFill>
              <w14:schemeClr w14:val="tx1"/>
            </w14:solidFill>
          </w14:textFill>
        </w:rPr>
        <w:t>实</w:t>
      </w:r>
      <w:r>
        <w:rPr>
          <w:color w:val="000000" w:themeColor="text1"/>
          <w14:textFill>
            <w14:solidFill>
              <w14:schemeClr w14:val="tx1"/>
            </w14:solidFill>
          </w14:textFill>
        </w:rPr>
        <w:t>验项目中指定4个实验。</w:t>
      </w:r>
    </w:p>
    <w:p>
      <w:pPr>
        <w:tabs>
          <w:tab w:val="left" w:pos="420"/>
        </w:tabs>
        <w:adjustRightInd w:val="0"/>
        <w:snapToGrid w:val="0"/>
        <w:spacing w:line="360" w:lineRule="auto"/>
        <w:ind w:firstLine="420" w:firstLineChars="200"/>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实验一 P1口实验一（2学时）</w:t>
      </w:r>
    </w:p>
    <w:p>
      <w:pPr>
        <w:adjustRightInd w:val="0"/>
        <w:snapToGrid w:val="0"/>
        <w:spacing w:line="360" w:lineRule="auto"/>
        <w:ind w:firstLine="420" w:firstLineChars="200"/>
        <w:rPr>
          <w:rFonts w:eastAsia="黑体"/>
          <w:color w:val="000000" w:themeColor="text1"/>
          <w14:textFill>
            <w14:solidFill>
              <w14:schemeClr w14:val="tx1"/>
            </w14:solidFill>
          </w14:textFill>
        </w:rPr>
      </w:pPr>
      <w:r>
        <w:rPr>
          <w:color w:val="000000" w:themeColor="text1"/>
          <w14:textFill>
            <w14:solidFill>
              <w14:schemeClr w14:val="tx1"/>
            </w14:solidFill>
          </w14:textFill>
        </w:rPr>
        <w:t>实验内容：</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1、利用P1口做输出口，接八只发光二极管，编写程序，使发光二极管循环点亮；</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2、利用P1口做输入口，接八个按钮开关，以实验箱上74LS273做输出口，编写程序读取开关状态，在发光二极管上显示出来。</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基本要求：</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1、学会P1口的使用方法；</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2、学会延时子程序的编写和使用方法。</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本实验内容</w:t>
      </w:r>
      <w:r>
        <w:rPr>
          <w:rFonts w:cstheme="minorBidi"/>
          <w:bCs/>
          <w:snapToGrid w:val="0"/>
          <w:kern w:val="0"/>
          <w:szCs w:val="21"/>
        </w:rPr>
        <w:t>支撑课程目标</w:t>
      </w:r>
      <w:r>
        <w:rPr>
          <w:rFonts w:hint="eastAsia" w:cstheme="minorBidi"/>
          <w:bCs/>
          <w:snapToGrid w:val="0"/>
          <w:kern w:val="0"/>
          <w:szCs w:val="21"/>
        </w:rPr>
        <w:t>1</w:t>
      </w:r>
      <w:r>
        <w:rPr>
          <w:rFonts w:cstheme="minorBidi"/>
          <w:bCs/>
          <w:snapToGrid w:val="0"/>
          <w:kern w:val="0"/>
          <w:szCs w:val="21"/>
        </w:rPr>
        <w:t>，</w:t>
      </w:r>
      <w:r>
        <w:rPr>
          <w:rFonts w:hint="eastAsia" w:cstheme="minorBidi"/>
          <w:bCs/>
          <w:snapToGrid w:val="0"/>
          <w:kern w:val="0"/>
          <w:szCs w:val="21"/>
        </w:rPr>
        <w:t>2，3</w:t>
      </w:r>
    </w:p>
    <w:p>
      <w:pPr>
        <w:adjustRightInd w:val="0"/>
        <w:snapToGrid w:val="0"/>
        <w:spacing w:line="360" w:lineRule="auto"/>
        <w:ind w:firstLine="420" w:firstLineChars="200"/>
        <w:rPr>
          <w:color w:val="000000" w:themeColor="text1"/>
          <w14:textFill>
            <w14:solidFill>
              <w14:schemeClr w14:val="tx1"/>
            </w14:solidFill>
          </w14:textFill>
        </w:rPr>
      </w:pPr>
      <w:r>
        <w:rPr>
          <w:rFonts w:eastAsia="黑体"/>
          <w:color w:val="000000" w:themeColor="text1"/>
          <w14:textFill>
            <w14:solidFill>
              <w14:schemeClr w14:val="tx1"/>
            </w14:solidFill>
          </w14:textFill>
        </w:rPr>
        <w:t>实验二P1口实验二（2学时）</w:t>
      </w:r>
    </w:p>
    <w:p>
      <w:pPr>
        <w:adjustRightInd w:val="0"/>
        <w:snapToGrid w:val="0"/>
        <w:spacing w:line="360" w:lineRule="auto"/>
        <w:ind w:firstLine="420" w:firstLineChars="200"/>
        <w:rPr>
          <w:rFonts w:eastAsia="黑体"/>
          <w:color w:val="000000" w:themeColor="text1"/>
          <w14:textFill>
            <w14:solidFill>
              <w14:schemeClr w14:val="tx1"/>
            </w14:solidFill>
          </w14:textFill>
        </w:rPr>
      </w:pPr>
      <w:r>
        <w:rPr>
          <w:color w:val="000000" w:themeColor="text1"/>
          <w14:textFill>
            <w14:solidFill>
              <w14:schemeClr w14:val="tx1"/>
            </w14:solidFill>
          </w14:textFill>
        </w:rPr>
        <w:t>内容：将P1口的P1.0和P1.1做输入口分别接按钮开关，P1.2～P1.5做输出口分别接发光二极管，编写程序读取按钮开关状态，并通过二极管显示两个开关在不同状态下对应的左右转弯等状态显示功能。</w:t>
      </w:r>
    </w:p>
    <w:p>
      <w:pPr>
        <w:adjustRightInd w:val="0"/>
        <w:snapToGrid w:val="0"/>
        <w:spacing w:line="360" w:lineRule="auto"/>
        <w:ind w:firstLine="420" w:firstLineChars="200"/>
        <w:rPr>
          <w:rFonts w:eastAsia="黑体"/>
          <w:color w:val="000000" w:themeColor="text1"/>
          <w14:textFill>
            <w14:solidFill>
              <w14:schemeClr w14:val="tx1"/>
            </w14:solidFill>
          </w14:textFill>
        </w:rPr>
      </w:pPr>
      <w:r>
        <w:rPr>
          <w:color w:val="000000" w:themeColor="text1"/>
          <w14:textFill>
            <w14:solidFill>
              <w14:schemeClr w14:val="tx1"/>
            </w14:solidFill>
          </w14:textFill>
        </w:rPr>
        <w:t>基本要求：</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1、学会P1口既做输入口又做输出口的使用方法；</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2、学会数据输入、输出程序的设计方法。</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本实验内容</w:t>
      </w:r>
      <w:r>
        <w:rPr>
          <w:rFonts w:cstheme="minorBidi"/>
          <w:bCs/>
          <w:snapToGrid w:val="0"/>
          <w:kern w:val="0"/>
          <w:szCs w:val="21"/>
        </w:rPr>
        <w:t>支撑课程目标</w:t>
      </w:r>
      <w:r>
        <w:rPr>
          <w:rFonts w:hint="eastAsia" w:cstheme="minorBidi"/>
          <w:bCs/>
          <w:snapToGrid w:val="0"/>
          <w:kern w:val="0"/>
          <w:szCs w:val="21"/>
        </w:rPr>
        <w:t>1</w:t>
      </w:r>
      <w:r>
        <w:rPr>
          <w:rFonts w:cstheme="minorBidi"/>
          <w:bCs/>
          <w:snapToGrid w:val="0"/>
          <w:kern w:val="0"/>
          <w:szCs w:val="21"/>
        </w:rPr>
        <w:t>，</w:t>
      </w:r>
      <w:r>
        <w:rPr>
          <w:rFonts w:hint="eastAsia" w:cstheme="minorBidi"/>
          <w:bCs/>
          <w:snapToGrid w:val="0"/>
          <w:kern w:val="0"/>
          <w:szCs w:val="21"/>
        </w:rPr>
        <w:t>2，3</w:t>
      </w:r>
    </w:p>
    <w:p>
      <w:pPr>
        <w:adjustRightInd w:val="0"/>
        <w:snapToGrid w:val="0"/>
        <w:spacing w:line="360" w:lineRule="auto"/>
        <w:ind w:firstLine="420" w:firstLineChars="200"/>
        <w:rPr>
          <w:color w:val="000000" w:themeColor="text1"/>
          <w14:textFill>
            <w14:solidFill>
              <w14:schemeClr w14:val="tx1"/>
            </w14:solidFill>
          </w14:textFill>
        </w:rPr>
      </w:pPr>
      <w:r>
        <w:rPr>
          <w:rFonts w:eastAsia="黑体"/>
          <w:color w:val="000000" w:themeColor="text1"/>
          <w14:textFill>
            <w14:solidFill>
              <w14:schemeClr w14:val="tx1"/>
            </w14:solidFill>
          </w14:textFill>
        </w:rPr>
        <w:t>实验三简单I/O口扩展实验一（2学时）</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内容：利用扩展实验箱上的74LS273作为输出口，控制八个发光二极管亮灭，模拟交通灯管理。</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基本要求：</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1、单片机系统中扩展简单I/O 接口的方法；</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2、数据输出程序的设计方法；</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3、模拟交通灯控制的实现方法。</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本实验内容</w:t>
      </w:r>
      <w:r>
        <w:rPr>
          <w:rFonts w:cstheme="minorBidi"/>
          <w:bCs/>
          <w:snapToGrid w:val="0"/>
          <w:kern w:val="0"/>
          <w:szCs w:val="21"/>
        </w:rPr>
        <w:t>支撑课程目标</w:t>
      </w:r>
      <w:r>
        <w:rPr>
          <w:rFonts w:hint="eastAsia" w:cstheme="minorBidi"/>
          <w:bCs/>
          <w:snapToGrid w:val="0"/>
          <w:kern w:val="0"/>
          <w:szCs w:val="21"/>
        </w:rPr>
        <w:t>1</w:t>
      </w:r>
      <w:r>
        <w:rPr>
          <w:rFonts w:cstheme="minorBidi"/>
          <w:bCs/>
          <w:snapToGrid w:val="0"/>
          <w:kern w:val="0"/>
          <w:szCs w:val="21"/>
        </w:rPr>
        <w:t>，</w:t>
      </w:r>
      <w:r>
        <w:rPr>
          <w:rFonts w:hint="eastAsia" w:cstheme="minorBidi"/>
          <w:bCs/>
          <w:snapToGrid w:val="0"/>
          <w:kern w:val="0"/>
          <w:szCs w:val="21"/>
        </w:rPr>
        <w:t>2，3</w:t>
      </w:r>
    </w:p>
    <w:p>
      <w:pPr>
        <w:adjustRightInd w:val="0"/>
        <w:snapToGrid w:val="0"/>
        <w:spacing w:line="360" w:lineRule="auto"/>
        <w:ind w:firstLine="420" w:firstLineChars="200"/>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实验四简单I/O口扩展实验二（2学时）</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内容：利用74LS244作为输入口，读取开关状态，并将此状态通过发光二极管显示出来。</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基本要求：</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1、在单片机系统中扩展简单I/O口的方法；</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2、数据输入、输出程序的编制方法。</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本实验内容</w:t>
      </w:r>
      <w:r>
        <w:rPr>
          <w:rFonts w:cstheme="minorBidi"/>
          <w:bCs/>
          <w:snapToGrid w:val="0"/>
          <w:kern w:val="0"/>
          <w:szCs w:val="21"/>
        </w:rPr>
        <w:t>支撑课程目标</w:t>
      </w:r>
      <w:r>
        <w:rPr>
          <w:rFonts w:hint="eastAsia" w:cstheme="minorBidi"/>
          <w:bCs/>
          <w:snapToGrid w:val="0"/>
          <w:kern w:val="0"/>
          <w:szCs w:val="21"/>
        </w:rPr>
        <w:t>1</w:t>
      </w:r>
      <w:r>
        <w:rPr>
          <w:rFonts w:cstheme="minorBidi"/>
          <w:bCs/>
          <w:snapToGrid w:val="0"/>
          <w:kern w:val="0"/>
          <w:szCs w:val="21"/>
        </w:rPr>
        <w:t>，</w:t>
      </w:r>
      <w:r>
        <w:rPr>
          <w:rFonts w:hint="eastAsia" w:cstheme="minorBidi"/>
          <w:bCs/>
          <w:snapToGrid w:val="0"/>
          <w:kern w:val="0"/>
          <w:szCs w:val="21"/>
        </w:rPr>
        <w:t>2，3</w:t>
      </w:r>
    </w:p>
    <w:p>
      <w:pPr>
        <w:adjustRightInd w:val="0"/>
        <w:snapToGrid w:val="0"/>
        <w:spacing w:line="360" w:lineRule="auto"/>
        <w:ind w:firstLine="420" w:firstLineChars="200"/>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实验五中断实验（2学时）</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内容：对外部中断进行计数，并将计数值显示。</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基本要求：</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1、外部中断技术的基本使用方法；</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2、中断处理程序的编程方法。</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本实验内容</w:t>
      </w:r>
      <w:r>
        <w:rPr>
          <w:rFonts w:cstheme="minorBidi"/>
          <w:bCs/>
          <w:snapToGrid w:val="0"/>
          <w:kern w:val="0"/>
          <w:szCs w:val="21"/>
        </w:rPr>
        <w:t>支撑课程目标</w:t>
      </w:r>
      <w:r>
        <w:rPr>
          <w:rFonts w:hint="eastAsia" w:cstheme="minorBidi"/>
          <w:bCs/>
          <w:snapToGrid w:val="0"/>
          <w:kern w:val="0"/>
          <w:szCs w:val="21"/>
        </w:rPr>
        <w:t>1</w:t>
      </w:r>
      <w:r>
        <w:rPr>
          <w:rFonts w:cstheme="minorBidi"/>
          <w:bCs/>
          <w:snapToGrid w:val="0"/>
          <w:kern w:val="0"/>
          <w:szCs w:val="21"/>
        </w:rPr>
        <w:t>，</w:t>
      </w:r>
      <w:r>
        <w:rPr>
          <w:rFonts w:hint="eastAsia" w:cstheme="minorBidi"/>
          <w:bCs/>
          <w:snapToGrid w:val="0"/>
          <w:kern w:val="0"/>
          <w:szCs w:val="21"/>
        </w:rPr>
        <w:t>2，3</w:t>
      </w:r>
    </w:p>
    <w:p>
      <w:pPr>
        <w:adjustRightInd w:val="0"/>
        <w:snapToGrid w:val="0"/>
        <w:spacing w:line="360" w:lineRule="auto"/>
        <w:ind w:firstLine="420" w:firstLineChars="200"/>
        <w:rPr>
          <w:color w:val="000000" w:themeColor="text1"/>
          <w14:textFill>
            <w14:solidFill>
              <w14:schemeClr w14:val="tx1"/>
            </w14:solidFill>
          </w14:textFill>
        </w:rPr>
      </w:pPr>
      <w:r>
        <w:rPr>
          <w:rFonts w:eastAsia="黑体"/>
          <w:color w:val="000000" w:themeColor="text1"/>
          <w14:textFill>
            <w14:solidFill>
              <w14:schemeClr w14:val="tx1"/>
            </w14:solidFill>
          </w14:textFill>
        </w:rPr>
        <w:t>实验六定时器实验（2学时）</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内容：用定时/计数器T0产生2秒钟的定时，2秒定时到时，更换指示灯闪烁，开始L1指示灯以0.2秒的速率闪烁，当2秒定时到，L2开始以0.2秒的速率闪烁，如此循环下去。0.2秒的闪烁速率也由定时/计数器T0来完成。</w:t>
      </w:r>
    </w:p>
    <w:p>
      <w:pPr>
        <w:adjustRightInd w:val="0"/>
        <w:snapToGrid w:val="0"/>
        <w:spacing w:line="360" w:lineRule="auto"/>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基本要求：</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1、MCS-51内部计数器的使用和编程方法；</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2、进一步学会中断处理程序的编写方法。</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本实验内容</w:t>
      </w:r>
      <w:r>
        <w:rPr>
          <w:rFonts w:cstheme="minorBidi"/>
          <w:bCs/>
          <w:snapToGrid w:val="0"/>
          <w:kern w:val="0"/>
          <w:szCs w:val="21"/>
        </w:rPr>
        <w:t>支撑课程目标</w:t>
      </w:r>
      <w:r>
        <w:rPr>
          <w:rFonts w:hint="eastAsia" w:cstheme="minorBidi"/>
          <w:bCs/>
          <w:snapToGrid w:val="0"/>
          <w:kern w:val="0"/>
          <w:szCs w:val="21"/>
        </w:rPr>
        <w:t>1</w:t>
      </w:r>
      <w:r>
        <w:rPr>
          <w:rFonts w:cstheme="minorBidi"/>
          <w:bCs/>
          <w:snapToGrid w:val="0"/>
          <w:kern w:val="0"/>
          <w:szCs w:val="21"/>
        </w:rPr>
        <w:t>，</w:t>
      </w:r>
      <w:r>
        <w:rPr>
          <w:rFonts w:hint="eastAsia" w:cstheme="minorBidi"/>
          <w:bCs/>
          <w:snapToGrid w:val="0"/>
          <w:kern w:val="0"/>
          <w:szCs w:val="21"/>
        </w:rPr>
        <w:t>2，3</w:t>
      </w:r>
    </w:p>
    <w:p>
      <w:pPr>
        <w:adjustRightInd w:val="0"/>
        <w:snapToGrid w:val="0"/>
        <w:spacing w:line="360" w:lineRule="auto"/>
        <w:ind w:firstLine="420" w:firstLineChars="200"/>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实验七串行口实验（2学时）</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内容：利用AT89S51串行口发送和接收数据（或两组通信），与PC机实现通讯</w:t>
      </w:r>
      <w:r>
        <w:rPr>
          <w:rFonts w:hint="eastAsia"/>
          <w:color w:val="000000" w:themeColor="text1"/>
          <w14:textFill>
            <w14:solidFill>
              <w14:schemeClr w14:val="tx1"/>
            </w14:solidFill>
          </w14:textFill>
        </w:rPr>
        <w:t>。</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基本要求：</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1、MCS-51串行口方式1的工作方式及编程方法；</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2、串行通讯中波特率的设置；</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3、在给定通讯波特率的情况下，会计算定时时间常数。</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本实验内容</w:t>
      </w:r>
      <w:r>
        <w:rPr>
          <w:rFonts w:cstheme="minorBidi"/>
          <w:bCs/>
          <w:snapToGrid w:val="0"/>
          <w:kern w:val="0"/>
          <w:szCs w:val="21"/>
        </w:rPr>
        <w:t>支撑课程目标</w:t>
      </w:r>
      <w:r>
        <w:rPr>
          <w:rFonts w:hint="eastAsia" w:cstheme="minorBidi"/>
          <w:bCs/>
          <w:snapToGrid w:val="0"/>
          <w:kern w:val="0"/>
          <w:szCs w:val="21"/>
        </w:rPr>
        <w:t>1</w:t>
      </w:r>
      <w:r>
        <w:rPr>
          <w:rFonts w:cstheme="minorBidi"/>
          <w:bCs/>
          <w:snapToGrid w:val="0"/>
          <w:kern w:val="0"/>
          <w:szCs w:val="21"/>
        </w:rPr>
        <w:t>，</w:t>
      </w:r>
      <w:r>
        <w:rPr>
          <w:rFonts w:hint="eastAsia" w:cstheme="minorBidi"/>
          <w:bCs/>
          <w:snapToGrid w:val="0"/>
          <w:kern w:val="0"/>
          <w:szCs w:val="21"/>
        </w:rPr>
        <w:t>2，3</w:t>
      </w:r>
    </w:p>
    <w:p>
      <w:pPr>
        <w:adjustRightInd w:val="0"/>
        <w:snapToGrid w:val="0"/>
        <w:spacing w:line="360" w:lineRule="auto"/>
        <w:ind w:firstLine="420" w:firstLineChars="200"/>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实验八LCD显示实验（2学时）</w:t>
      </w:r>
    </w:p>
    <w:p>
      <w:pPr>
        <w:adjustRightInd w:val="0"/>
        <w:snapToGrid w:val="0"/>
        <w:spacing w:line="360" w:lineRule="auto"/>
        <w:ind w:firstLine="420" w:firstLineChars="200"/>
        <w:rPr>
          <w:color w:val="000000" w:themeColor="text1"/>
          <w:kern w:val="0"/>
          <w:szCs w:val="21"/>
          <w14:textFill>
            <w14:solidFill>
              <w14:schemeClr w14:val="tx1"/>
            </w14:solidFill>
          </w14:textFill>
        </w:rPr>
      </w:pPr>
      <w:r>
        <w:rPr>
          <w:color w:val="000000" w:themeColor="text1"/>
          <w14:textFill>
            <w14:solidFill>
              <w14:schemeClr w14:val="tx1"/>
            </w14:solidFill>
          </w14:textFill>
        </w:rPr>
        <w:t>内容：</w:t>
      </w:r>
      <w:r>
        <w:rPr>
          <w:color w:val="000000" w:themeColor="text1"/>
          <w:kern w:val="0"/>
          <w:szCs w:val="21"/>
          <w14:textFill>
            <w14:solidFill>
              <w14:schemeClr w14:val="tx1"/>
            </w14:solidFill>
          </w14:textFill>
        </w:rPr>
        <w:t>编程实现在液晶屏上显示中文汉字实验。</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基本要求：</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学会点阵式LCD的工作原理，使用方法以及动态显示的编程方法。</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本实验内容</w:t>
      </w:r>
      <w:r>
        <w:rPr>
          <w:rFonts w:cstheme="minorBidi"/>
          <w:bCs/>
          <w:snapToGrid w:val="0"/>
          <w:kern w:val="0"/>
          <w:szCs w:val="21"/>
        </w:rPr>
        <w:t>支撑课程目标</w:t>
      </w:r>
      <w:r>
        <w:rPr>
          <w:rFonts w:hint="eastAsia" w:cstheme="minorBidi"/>
          <w:bCs/>
          <w:snapToGrid w:val="0"/>
          <w:kern w:val="0"/>
          <w:szCs w:val="21"/>
        </w:rPr>
        <w:t>1</w:t>
      </w:r>
      <w:r>
        <w:rPr>
          <w:rFonts w:cstheme="minorBidi"/>
          <w:bCs/>
          <w:snapToGrid w:val="0"/>
          <w:kern w:val="0"/>
          <w:szCs w:val="21"/>
        </w:rPr>
        <w:t>，</w:t>
      </w:r>
      <w:r>
        <w:rPr>
          <w:rFonts w:hint="eastAsia" w:cstheme="minorBidi"/>
          <w:bCs/>
          <w:snapToGrid w:val="0"/>
          <w:kern w:val="0"/>
          <w:szCs w:val="21"/>
        </w:rPr>
        <w:t>2，3</w:t>
      </w:r>
    </w:p>
    <w:p>
      <w:pPr>
        <w:adjustRightInd w:val="0"/>
        <w:snapToGrid w:val="0"/>
        <w:spacing w:line="360" w:lineRule="auto"/>
        <w:ind w:firstLine="420" w:firstLineChars="200"/>
        <w:rPr>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实验九存储器扩展实验</w:t>
      </w:r>
      <w:r>
        <w:rPr>
          <w:color w:val="000000" w:themeColor="text1"/>
          <w:szCs w:val="21"/>
          <w14:textFill>
            <w14:solidFill>
              <w14:schemeClr w14:val="tx1"/>
            </w14:solidFill>
          </w14:textFill>
        </w:rPr>
        <w:t>（</w:t>
      </w:r>
      <w:r>
        <w:rPr>
          <w:bCs/>
          <w:color w:val="000000" w:themeColor="text1"/>
          <w:szCs w:val="21"/>
          <w14:textFill>
            <w14:solidFill>
              <w14:schemeClr w14:val="tx1"/>
            </w14:solidFill>
          </w14:textFill>
        </w:rPr>
        <w:t>2</w:t>
      </w:r>
      <w:r>
        <w:rPr>
          <w:rFonts w:eastAsia="黑体"/>
          <w:bCs/>
          <w:color w:val="000000" w:themeColor="text1"/>
          <w:szCs w:val="21"/>
          <w14:textFill>
            <w14:solidFill>
              <w14:schemeClr w14:val="tx1"/>
            </w14:solidFill>
          </w14:textFill>
        </w:rPr>
        <w:t>学时</w:t>
      </w:r>
      <w:r>
        <w:rPr>
          <w:color w:val="000000" w:themeColor="text1"/>
          <w:szCs w:val="21"/>
          <w14:textFill>
            <w14:solidFill>
              <w14:schemeClr w14:val="tx1"/>
            </w14:solidFill>
          </w14:textFill>
        </w:rPr>
        <w:t>）</w:t>
      </w:r>
    </w:p>
    <w:p>
      <w:pPr>
        <w:adjustRightInd w:val="0"/>
        <w:snapToGrid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内容：扩展一片外部数据存储器，写入一组数据并利用外部数据观察窗口检查其正确性。</w:t>
      </w:r>
    </w:p>
    <w:p>
      <w:pPr>
        <w:adjustRightInd w:val="0"/>
        <w:snapToGrid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基本要求：</w:t>
      </w:r>
    </w:p>
    <w:p>
      <w:pPr>
        <w:adjustRightInd w:val="0"/>
        <w:snapToGrid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1、存储器扩展的方法；</w:t>
      </w:r>
    </w:p>
    <w:p>
      <w:pPr>
        <w:adjustRightInd w:val="0"/>
        <w:snapToGrid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2、熟悉存储器芯片的接口方法。</w:t>
      </w:r>
    </w:p>
    <w:p>
      <w:pPr>
        <w:adjustRightInd w:val="0"/>
        <w:snapToGrid w:val="0"/>
        <w:spacing w:line="360" w:lineRule="auto"/>
        <w:ind w:firstLine="420" w:firstLineChars="200"/>
        <w:rPr>
          <w:color w:val="000000" w:themeColor="text1"/>
          <w:szCs w:val="21"/>
          <w14:textFill>
            <w14:solidFill>
              <w14:schemeClr w14:val="tx1"/>
            </w14:solidFill>
          </w14:textFill>
        </w:rPr>
      </w:pPr>
      <w:r>
        <w:rPr>
          <w:color w:val="000000" w:themeColor="text1"/>
          <w14:textFill>
            <w14:solidFill>
              <w14:schemeClr w14:val="tx1"/>
            </w14:solidFill>
          </w14:textFill>
        </w:rPr>
        <w:t>本实验内容</w:t>
      </w:r>
      <w:r>
        <w:rPr>
          <w:rFonts w:cstheme="minorBidi"/>
          <w:bCs/>
          <w:snapToGrid w:val="0"/>
          <w:kern w:val="0"/>
          <w:szCs w:val="21"/>
        </w:rPr>
        <w:t>支撑课程目标</w:t>
      </w:r>
      <w:r>
        <w:rPr>
          <w:rFonts w:hint="eastAsia" w:cstheme="minorBidi"/>
          <w:bCs/>
          <w:snapToGrid w:val="0"/>
          <w:kern w:val="0"/>
          <w:szCs w:val="21"/>
        </w:rPr>
        <w:t>1</w:t>
      </w:r>
      <w:r>
        <w:rPr>
          <w:rFonts w:cstheme="minorBidi"/>
          <w:bCs/>
          <w:snapToGrid w:val="0"/>
          <w:kern w:val="0"/>
          <w:szCs w:val="21"/>
        </w:rPr>
        <w:t>，</w:t>
      </w:r>
      <w:r>
        <w:rPr>
          <w:rFonts w:hint="eastAsia" w:cstheme="minorBidi"/>
          <w:bCs/>
          <w:snapToGrid w:val="0"/>
          <w:kern w:val="0"/>
          <w:szCs w:val="21"/>
        </w:rPr>
        <w:t>2，3</w:t>
      </w:r>
    </w:p>
    <w:p>
      <w:pPr>
        <w:adjustRightInd w:val="0"/>
        <w:snapToGrid w:val="0"/>
        <w:spacing w:line="360" w:lineRule="auto"/>
        <w:ind w:firstLine="420" w:firstLineChars="200"/>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实验十A/D转换实验（2学时）</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内容：单片机控制AD转换器对特殊波形的转换，并读取转换结果。</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基本要求：</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1、学会A/D转换与单片机的接口方法；</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2、通过实验学习单片机如何进行数据采集。</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本实验内容</w:t>
      </w:r>
      <w:r>
        <w:rPr>
          <w:rFonts w:cstheme="minorBidi"/>
          <w:bCs/>
          <w:snapToGrid w:val="0"/>
          <w:kern w:val="0"/>
          <w:szCs w:val="21"/>
        </w:rPr>
        <w:t>支撑课程目标</w:t>
      </w:r>
      <w:r>
        <w:rPr>
          <w:rFonts w:hint="eastAsia" w:cstheme="minorBidi"/>
          <w:bCs/>
          <w:snapToGrid w:val="0"/>
          <w:kern w:val="0"/>
          <w:szCs w:val="21"/>
        </w:rPr>
        <w:t>1</w:t>
      </w:r>
      <w:r>
        <w:rPr>
          <w:rFonts w:cstheme="minorBidi"/>
          <w:bCs/>
          <w:snapToGrid w:val="0"/>
          <w:kern w:val="0"/>
          <w:szCs w:val="21"/>
        </w:rPr>
        <w:t>，</w:t>
      </w:r>
      <w:r>
        <w:rPr>
          <w:rFonts w:hint="eastAsia" w:cstheme="minorBidi"/>
          <w:bCs/>
          <w:snapToGrid w:val="0"/>
          <w:kern w:val="0"/>
          <w:szCs w:val="21"/>
        </w:rPr>
        <w:t>2，3</w:t>
      </w:r>
    </w:p>
    <w:p>
      <w:pPr>
        <w:adjustRightInd w:val="0"/>
        <w:snapToGrid w:val="0"/>
        <w:spacing w:line="360" w:lineRule="auto"/>
        <w:ind w:firstLine="420" w:firstLineChars="200"/>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实验十一D/A转换实验（2学时）</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内容：利用单片机控制DA转换器工作，并用万用表测量转换输出电压值。</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基本要求：</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1、学习D/A转换的基本原理；</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2、学习单片机系统中扩展D/A转换的基本方法。</w:t>
      </w:r>
    </w:p>
    <w:p>
      <w:pPr>
        <w:widowControl/>
        <w:tabs>
          <w:tab w:val="left" w:pos="720"/>
        </w:tabs>
        <w:adjustRightInd w:val="0"/>
        <w:snapToGrid w:val="0"/>
        <w:spacing w:line="360" w:lineRule="auto"/>
        <w:ind w:left="424" w:leftChars="202"/>
        <w:jc w:val="left"/>
        <w:rPr>
          <w:kern w:val="0"/>
        </w:rPr>
      </w:pPr>
      <w:r>
        <w:rPr>
          <w:color w:val="000000" w:themeColor="text1"/>
          <w14:textFill>
            <w14:solidFill>
              <w14:schemeClr w14:val="tx1"/>
            </w14:solidFill>
          </w14:textFill>
        </w:rPr>
        <w:t>本实验内容</w:t>
      </w:r>
      <w:r>
        <w:rPr>
          <w:rFonts w:cstheme="minorBidi"/>
          <w:bCs/>
          <w:snapToGrid w:val="0"/>
          <w:kern w:val="0"/>
          <w:szCs w:val="21"/>
        </w:rPr>
        <w:t>支撑课程目标</w:t>
      </w:r>
      <w:r>
        <w:rPr>
          <w:rFonts w:hint="eastAsia" w:cstheme="minorBidi"/>
          <w:bCs/>
          <w:snapToGrid w:val="0"/>
          <w:kern w:val="0"/>
          <w:szCs w:val="21"/>
        </w:rPr>
        <w:t>1</w:t>
      </w:r>
      <w:r>
        <w:rPr>
          <w:rFonts w:cstheme="minorBidi"/>
          <w:bCs/>
          <w:snapToGrid w:val="0"/>
          <w:kern w:val="0"/>
          <w:szCs w:val="21"/>
        </w:rPr>
        <w:t>，</w:t>
      </w:r>
      <w:r>
        <w:rPr>
          <w:rFonts w:hint="eastAsia" w:cstheme="minorBidi"/>
          <w:bCs/>
          <w:snapToGrid w:val="0"/>
          <w:kern w:val="0"/>
          <w:szCs w:val="21"/>
        </w:rPr>
        <w:t>2，3</w:t>
      </w:r>
    </w:p>
    <w:p>
      <w:pPr>
        <w:adjustRightInd w:val="0"/>
        <w:snapToGrid w:val="0"/>
        <w:spacing w:line="360" w:lineRule="auto"/>
        <w:ind w:firstLine="420" w:firstLineChars="200"/>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实验十二键盘实验</w:t>
      </w:r>
    </w:p>
    <w:p>
      <w:pPr>
        <w:adjustRightInd w:val="0"/>
        <w:snapToGrid w:val="0"/>
        <w:spacing w:line="360" w:lineRule="auto"/>
        <w:ind w:firstLine="420" w:firstLineChars="200"/>
        <w:rPr>
          <w:b/>
          <w:bCs/>
          <w:color w:val="000000" w:themeColor="text1"/>
          <w14:textFill>
            <w14:solidFill>
              <w14:schemeClr w14:val="tx1"/>
            </w14:solidFill>
          </w14:textFill>
        </w:rPr>
      </w:pPr>
      <w:r>
        <w:rPr>
          <w:color w:val="000000" w:themeColor="text1"/>
          <w14:textFill>
            <w14:solidFill>
              <w14:schemeClr w14:val="tx1"/>
            </w14:solidFill>
          </w14:textFill>
        </w:rPr>
        <w:t>内容：利用总线向HD7279写入控制命令并显示键值</w:t>
      </w:r>
      <w:r>
        <w:rPr>
          <w:b/>
          <w:bCs/>
          <w:color w:val="000000" w:themeColor="text1"/>
          <w14:textFill>
            <w14:solidFill>
              <w14:schemeClr w14:val="tx1"/>
            </w14:solidFill>
          </w14:textFill>
        </w:rPr>
        <w:t>。</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基本要求：</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1、学习HD7279键盘、显示电路的编程方法；</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2、熟悉键盘电路工作原理及编程方法。</w:t>
      </w:r>
    </w:p>
    <w:p>
      <w:pPr>
        <w:adjustRightInd w:val="0"/>
        <w:snapToGrid w:val="0"/>
        <w:spacing w:line="360" w:lineRule="auto"/>
        <w:ind w:firstLine="420" w:firstLineChars="200"/>
        <w:rPr>
          <w:rFonts w:cstheme="minorBidi"/>
          <w:bCs/>
          <w:snapToGrid w:val="0"/>
          <w:kern w:val="0"/>
          <w:szCs w:val="21"/>
        </w:rPr>
      </w:pPr>
      <w:r>
        <w:rPr>
          <w:color w:val="000000" w:themeColor="text1"/>
          <w14:textFill>
            <w14:solidFill>
              <w14:schemeClr w14:val="tx1"/>
            </w14:solidFill>
          </w14:textFill>
        </w:rPr>
        <w:t>本实验内容</w:t>
      </w:r>
      <w:r>
        <w:rPr>
          <w:rFonts w:cstheme="minorBidi"/>
          <w:bCs/>
          <w:snapToGrid w:val="0"/>
          <w:kern w:val="0"/>
          <w:szCs w:val="21"/>
        </w:rPr>
        <w:t>支撑课程目标</w:t>
      </w:r>
      <w:r>
        <w:rPr>
          <w:rFonts w:hint="eastAsia" w:cstheme="minorBidi"/>
          <w:bCs/>
          <w:snapToGrid w:val="0"/>
          <w:kern w:val="0"/>
          <w:szCs w:val="21"/>
        </w:rPr>
        <w:t>1</w:t>
      </w:r>
      <w:r>
        <w:rPr>
          <w:rFonts w:cstheme="minorBidi"/>
          <w:bCs/>
          <w:snapToGrid w:val="0"/>
          <w:kern w:val="0"/>
          <w:szCs w:val="21"/>
        </w:rPr>
        <w:t>，</w:t>
      </w:r>
      <w:r>
        <w:rPr>
          <w:rFonts w:hint="eastAsia" w:cstheme="minorBidi"/>
          <w:bCs/>
          <w:snapToGrid w:val="0"/>
          <w:kern w:val="0"/>
          <w:szCs w:val="21"/>
        </w:rPr>
        <w:t>2，3</w:t>
      </w:r>
    </w:p>
    <w:p>
      <w:pPr>
        <w:adjustRightInd w:val="0"/>
        <w:snapToGrid w:val="0"/>
        <w:spacing w:line="360" w:lineRule="auto"/>
        <w:ind w:firstLine="420" w:firstLineChars="200"/>
        <w:rPr>
          <w:color w:val="000000" w:themeColor="text1"/>
          <w14:textFill>
            <w14:solidFill>
              <w14:schemeClr w14:val="tx1"/>
            </w14:solidFill>
          </w14:textFill>
        </w:rPr>
      </w:pPr>
    </w:p>
    <w:p>
      <w:pPr>
        <w:widowControl/>
        <w:spacing w:line="360" w:lineRule="auto"/>
        <w:jc w:val="left"/>
        <w:rPr>
          <w:rFonts w:eastAsia="黑体"/>
          <w:kern w:val="0"/>
          <w:szCs w:val="21"/>
        </w:rPr>
      </w:pPr>
      <w:r>
        <w:rPr>
          <w:rFonts w:eastAsia="黑体"/>
          <w:kern w:val="0"/>
          <w:szCs w:val="21"/>
        </w:rPr>
        <w:t>六、学时分配</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8" w:space="0"/>
          <w:insideV w:val="single" w:color="auto" w:sz="8" w:space="0"/>
        </w:tblBorders>
        <w:tblLayout w:type="autofit"/>
        <w:tblCellMar>
          <w:top w:w="0" w:type="dxa"/>
          <w:left w:w="0" w:type="dxa"/>
          <w:bottom w:w="0" w:type="dxa"/>
          <w:right w:w="0" w:type="dxa"/>
        </w:tblCellMar>
      </w:tblPr>
      <w:tblGrid>
        <w:gridCol w:w="4395"/>
        <w:gridCol w:w="1714"/>
        <w:gridCol w:w="1719"/>
        <w:gridCol w:w="700"/>
      </w:tblGrid>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369" w:hRule="atLeast"/>
          <w:jc w:val="center"/>
        </w:trPr>
        <w:tc>
          <w:tcPr>
            <w:tcW w:w="2577" w:type="pct"/>
            <w:tcMar>
              <w:top w:w="0" w:type="dxa"/>
              <w:left w:w="108" w:type="dxa"/>
              <w:bottom w:w="0" w:type="dxa"/>
              <w:right w:w="108" w:type="dxa"/>
            </w:tcMar>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知识点及内容</w:t>
            </w:r>
          </w:p>
        </w:tc>
        <w:tc>
          <w:tcPr>
            <w:tcW w:w="1005" w:type="pct"/>
            <w:tcMar>
              <w:top w:w="0" w:type="dxa"/>
              <w:left w:w="108" w:type="dxa"/>
              <w:bottom w:w="0" w:type="dxa"/>
              <w:right w:w="108" w:type="dxa"/>
            </w:tcMar>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讲授（学时）</w:t>
            </w:r>
          </w:p>
        </w:tc>
        <w:tc>
          <w:tcPr>
            <w:tcW w:w="1008" w:type="pct"/>
            <w:tcMar>
              <w:top w:w="0" w:type="dxa"/>
              <w:left w:w="108" w:type="dxa"/>
              <w:bottom w:w="0" w:type="dxa"/>
              <w:right w:w="108" w:type="dxa"/>
            </w:tcMar>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实验（学时）</w:t>
            </w:r>
          </w:p>
        </w:tc>
        <w:tc>
          <w:tcPr>
            <w:tcW w:w="410" w:type="pct"/>
            <w:tcMar>
              <w:top w:w="0" w:type="dxa"/>
              <w:left w:w="108" w:type="dxa"/>
              <w:bottom w:w="0" w:type="dxa"/>
              <w:right w:w="108" w:type="dxa"/>
            </w:tcMar>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小计</w:t>
            </w: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369" w:hRule="atLeast"/>
          <w:jc w:val="center"/>
        </w:trPr>
        <w:tc>
          <w:tcPr>
            <w:tcW w:w="2577" w:type="pct"/>
            <w:tcMar>
              <w:top w:w="0" w:type="dxa"/>
              <w:left w:w="108" w:type="dxa"/>
              <w:bottom w:w="0" w:type="dxa"/>
              <w:right w:w="108" w:type="dxa"/>
            </w:tcMar>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1单片机概述</w:t>
            </w:r>
          </w:p>
        </w:tc>
        <w:tc>
          <w:tcPr>
            <w:tcW w:w="1005" w:type="pct"/>
            <w:tcMar>
              <w:top w:w="0" w:type="dxa"/>
              <w:left w:w="108" w:type="dxa"/>
              <w:bottom w:w="0" w:type="dxa"/>
              <w:right w:w="108" w:type="dxa"/>
            </w:tcMar>
            <w:vAlign w:val="center"/>
          </w:tcPr>
          <w:p>
            <w:pPr>
              <w:adjustRightInd w:val="0"/>
              <w:snapToGrid w:val="0"/>
              <w:ind w:firstLine="540" w:firstLineChars="30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1008" w:type="pct"/>
            <w:tcMar>
              <w:top w:w="0" w:type="dxa"/>
              <w:left w:w="108" w:type="dxa"/>
              <w:bottom w:w="0" w:type="dxa"/>
              <w:right w:w="108" w:type="dxa"/>
            </w:tcMar>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410" w:type="pct"/>
            <w:tcMar>
              <w:top w:w="0" w:type="dxa"/>
              <w:left w:w="108" w:type="dxa"/>
              <w:bottom w:w="0" w:type="dxa"/>
              <w:right w:w="108" w:type="dxa"/>
            </w:tcMar>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369" w:hRule="atLeast"/>
          <w:jc w:val="center"/>
        </w:trPr>
        <w:tc>
          <w:tcPr>
            <w:tcW w:w="2577" w:type="pct"/>
            <w:tcMar>
              <w:top w:w="0" w:type="dxa"/>
              <w:left w:w="108" w:type="dxa"/>
              <w:bottom w:w="0" w:type="dxa"/>
              <w:right w:w="108" w:type="dxa"/>
            </w:tcMar>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 MCS-51 系列单片机的结构与原理</w:t>
            </w:r>
          </w:p>
        </w:tc>
        <w:tc>
          <w:tcPr>
            <w:tcW w:w="1005" w:type="pct"/>
            <w:tcMar>
              <w:top w:w="0" w:type="dxa"/>
              <w:left w:w="108" w:type="dxa"/>
              <w:bottom w:w="0" w:type="dxa"/>
              <w:right w:w="108" w:type="dxa"/>
            </w:tcMar>
            <w:vAlign w:val="center"/>
          </w:tcPr>
          <w:p>
            <w:pPr>
              <w:adjustRightInd w:val="0"/>
              <w:snapToGrid w:val="0"/>
              <w:ind w:firstLine="520" w:firstLineChars="289"/>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1008" w:type="pct"/>
            <w:tcMar>
              <w:top w:w="0" w:type="dxa"/>
              <w:left w:w="108" w:type="dxa"/>
              <w:bottom w:w="0" w:type="dxa"/>
              <w:right w:w="108" w:type="dxa"/>
            </w:tcMar>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410" w:type="pct"/>
            <w:tcMar>
              <w:top w:w="0" w:type="dxa"/>
              <w:left w:w="108" w:type="dxa"/>
              <w:bottom w:w="0" w:type="dxa"/>
              <w:right w:w="108" w:type="dxa"/>
            </w:tcMar>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369" w:hRule="atLeast"/>
          <w:jc w:val="center"/>
        </w:trPr>
        <w:tc>
          <w:tcPr>
            <w:tcW w:w="2577" w:type="pct"/>
            <w:tcMar>
              <w:top w:w="0" w:type="dxa"/>
              <w:left w:w="108" w:type="dxa"/>
              <w:bottom w:w="0" w:type="dxa"/>
              <w:right w:w="108" w:type="dxa"/>
            </w:tcMar>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 MCS-51 寻址方式和指令系统</w:t>
            </w:r>
          </w:p>
        </w:tc>
        <w:tc>
          <w:tcPr>
            <w:tcW w:w="1005" w:type="pct"/>
            <w:tcMar>
              <w:top w:w="0" w:type="dxa"/>
              <w:left w:w="108" w:type="dxa"/>
              <w:bottom w:w="0" w:type="dxa"/>
              <w:right w:w="108" w:type="dxa"/>
            </w:tcMar>
            <w:vAlign w:val="center"/>
          </w:tcPr>
          <w:p>
            <w:pPr>
              <w:adjustRightInd w:val="0"/>
              <w:snapToGrid w:val="0"/>
              <w:ind w:firstLine="520" w:firstLineChars="289"/>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008" w:type="pct"/>
            <w:tcMar>
              <w:top w:w="0" w:type="dxa"/>
              <w:left w:w="108" w:type="dxa"/>
              <w:bottom w:w="0" w:type="dxa"/>
              <w:right w:w="108" w:type="dxa"/>
            </w:tcMar>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410" w:type="pct"/>
            <w:tcMar>
              <w:top w:w="0" w:type="dxa"/>
              <w:left w:w="108" w:type="dxa"/>
              <w:bottom w:w="0" w:type="dxa"/>
              <w:right w:w="108" w:type="dxa"/>
            </w:tcMar>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w:t>
            </w: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369" w:hRule="atLeast"/>
          <w:jc w:val="center"/>
        </w:trPr>
        <w:tc>
          <w:tcPr>
            <w:tcW w:w="2577" w:type="pct"/>
            <w:tcMar>
              <w:top w:w="0" w:type="dxa"/>
              <w:left w:w="108" w:type="dxa"/>
              <w:bottom w:w="0" w:type="dxa"/>
              <w:right w:w="108" w:type="dxa"/>
            </w:tcMar>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4汇编语言程序设计</w:t>
            </w:r>
          </w:p>
        </w:tc>
        <w:tc>
          <w:tcPr>
            <w:tcW w:w="1005" w:type="pct"/>
            <w:tcMar>
              <w:top w:w="0" w:type="dxa"/>
              <w:left w:w="108" w:type="dxa"/>
              <w:bottom w:w="0" w:type="dxa"/>
              <w:right w:w="108" w:type="dxa"/>
            </w:tcMar>
            <w:vAlign w:val="center"/>
          </w:tcPr>
          <w:p>
            <w:pPr>
              <w:adjustRightInd w:val="0"/>
              <w:snapToGrid w:val="0"/>
              <w:ind w:firstLine="520" w:firstLineChars="289"/>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1008" w:type="pct"/>
            <w:tcMar>
              <w:top w:w="0" w:type="dxa"/>
              <w:left w:w="108" w:type="dxa"/>
              <w:bottom w:w="0" w:type="dxa"/>
              <w:right w:w="108" w:type="dxa"/>
            </w:tcMar>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410" w:type="pct"/>
            <w:tcMar>
              <w:top w:w="0" w:type="dxa"/>
              <w:left w:w="108" w:type="dxa"/>
              <w:bottom w:w="0" w:type="dxa"/>
              <w:right w:w="108" w:type="dxa"/>
            </w:tcMar>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369" w:hRule="atLeast"/>
          <w:jc w:val="center"/>
        </w:trPr>
        <w:tc>
          <w:tcPr>
            <w:tcW w:w="2577" w:type="pct"/>
            <w:tcMar>
              <w:top w:w="0" w:type="dxa"/>
              <w:left w:w="108" w:type="dxa"/>
              <w:bottom w:w="0" w:type="dxa"/>
              <w:right w:w="108" w:type="dxa"/>
            </w:tcMar>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 MCS-51 中断系统</w:t>
            </w:r>
          </w:p>
        </w:tc>
        <w:tc>
          <w:tcPr>
            <w:tcW w:w="1005" w:type="pct"/>
            <w:tcMar>
              <w:top w:w="0" w:type="dxa"/>
              <w:left w:w="108" w:type="dxa"/>
              <w:bottom w:w="0" w:type="dxa"/>
              <w:right w:w="108" w:type="dxa"/>
            </w:tcMar>
            <w:vAlign w:val="center"/>
          </w:tcPr>
          <w:p>
            <w:pPr>
              <w:adjustRightInd w:val="0"/>
              <w:snapToGrid w:val="0"/>
              <w:ind w:firstLine="520" w:firstLineChars="289"/>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1008" w:type="pct"/>
            <w:tcMar>
              <w:top w:w="0" w:type="dxa"/>
              <w:left w:w="108" w:type="dxa"/>
              <w:bottom w:w="0" w:type="dxa"/>
              <w:right w:w="108" w:type="dxa"/>
            </w:tcMar>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410" w:type="pct"/>
            <w:tcMar>
              <w:top w:w="0" w:type="dxa"/>
              <w:left w:w="108" w:type="dxa"/>
              <w:bottom w:w="0" w:type="dxa"/>
              <w:right w:w="108" w:type="dxa"/>
            </w:tcMar>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369" w:hRule="atLeast"/>
          <w:jc w:val="center"/>
        </w:trPr>
        <w:tc>
          <w:tcPr>
            <w:tcW w:w="2577" w:type="pct"/>
            <w:tcMar>
              <w:top w:w="0" w:type="dxa"/>
              <w:left w:w="108" w:type="dxa"/>
              <w:bottom w:w="0" w:type="dxa"/>
              <w:right w:w="108" w:type="dxa"/>
            </w:tcMar>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 MCS-51 定时器/计数器</w:t>
            </w:r>
          </w:p>
        </w:tc>
        <w:tc>
          <w:tcPr>
            <w:tcW w:w="1005" w:type="pct"/>
            <w:tcMar>
              <w:top w:w="0" w:type="dxa"/>
              <w:left w:w="108" w:type="dxa"/>
              <w:bottom w:w="0" w:type="dxa"/>
              <w:right w:w="108" w:type="dxa"/>
            </w:tcMar>
            <w:vAlign w:val="center"/>
          </w:tcPr>
          <w:p>
            <w:pPr>
              <w:adjustRightInd w:val="0"/>
              <w:snapToGrid w:val="0"/>
              <w:ind w:firstLine="520" w:firstLineChars="289"/>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1008" w:type="pct"/>
            <w:tcMar>
              <w:top w:w="0" w:type="dxa"/>
              <w:left w:w="108" w:type="dxa"/>
              <w:bottom w:w="0" w:type="dxa"/>
              <w:right w:w="108" w:type="dxa"/>
            </w:tcMar>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410" w:type="pct"/>
            <w:tcMar>
              <w:top w:w="0" w:type="dxa"/>
              <w:left w:w="108" w:type="dxa"/>
              <w:bottom w:w="0" w:type="dxa"/>
              <w:right w:w="108" w:type="dxa"/>
            </w:tcMar>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369" w:hRule="atLeast"/>
          <w:jc w:val="center"/>
        </w:trPr>
        <w:tc>
          <w:tcPr>
            <w:tcW w:w="2577" w:type="pct"/>
            <w:tcMar>
              <w:top w:w="0" w:type="dxa"/>
              <w:left w:w="108" w:type="dxa"/>
              <w:bottom w:w="0" w:type="dxa"/>
              <w:right w:w="108" w:type="dxa"/>
            </w:tcMar>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 MCS-51 串行通信接口</w:t>
            </w:r>
          </w:p>
        </w:tc>
        <w:tc>
          <w:tcPr>
            <w:tcW w:w="1005" w:type="pct"/>
            <w:tcMar>
              <w:top w:w="0" w:type="dxa"/>
              <w:left w:w="108" w:type="dxa"/>
              <w:bottom w:w="0" w:type="dxa"/>
              <w:right w:w="108" w:type="dxa"/>
            </w:tcMar>
            <w:vAlign w:val="center"/>
          </w:tcPr>
          <w:p>
            <w:pPr>
              <w:widowControl/>
              <w:adjustRightInd w:val="0"/>
              <w:snapToGrid w:val="0"/>
              <w:spacing w:before="100" w:beforeAutospacing="1" w:after="100" w:afterAutospacing="1"/>
              <w:ind w:firstLine="520" w:firstLineChars="289"/>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1008" w:type="pct"/>
            <w:tcMar>
              <w:top w:w="0" w:type="dxa"/>
              <w:left w:w="108" w:type="dxa"/>
              <w:bottom w:w="0" w:type="dxa"/>
              <w:right w:w="108" w:type="dxa"/>
            </w:tcMar>
            <w:vAlign w:val="center"/>
          </w:tcPr>
          <w:p>
            <w:pPr>
              <w:widowControl/>
              <w:adjustRightInd w:val="0"/>
              <w:snapToGrid w:val="0"/>
              <w:spacing w:before="100" w:beforeAutospacing="1" w:after="100" w:afterAutospacing="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410" w:type="pct"/>
            <w:tcMar>
              <w:top w:w="0" w:type="dxa"/>
              <w:left w:w="108" w:type="dxa"/>
              <w:bottom w:w="0" w:type="dxa"/>
              <w:right w:w="108" w:type="dxa"/>
            </w:tcMar>
            <w:vAlign w:val="center"/>
          </w:tcPr>
          <w:p>
            <w:pPr>
              <w:widowControl/>
              <w:adjustRightInd w:val="0"/>
              <w:snapToGrid w:val="0"/>
              <w:spacing w:before="100" w:beforeAutospacing="1" w:after="100" w:afterAutospacing="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369" w:hRule="atLeast"/>
          <w:jc w:val="center"/>
        </w:trPr>
        <w:tc>
          <w:tcPr>
            <w:tcW w:w="2577" w:type="pct"/>
            <w:tcMar>
              <w:top w:w="0" w:type="dxa"/>
              <w:left w:w="108" w:type="dxa"/>
              <w:bottom w:w="0" w:type="dxa"/>
              <w:right w:w="108" w:type="dxa"/>
            </w:tcMar>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 MCS-51 单片机的系统扩展</w:t>
            </w:r>
          </w:p>
        </w:tc>
        <w:tc>
          <w:tcPr>
            <w:tcW w:w="1005" w:type="pct"/>
            <w:tcMar>
              <w:top w:w="0" w:type="dxa"/>
              <w:left w:w="108" w:type="dxa"/>
              <w:bottom w:w="0" w:type="dxa"/>
              <w:right w:w="108" w:type="dxa"/>
            </w:tcMar>
            <w:vAlign w:val="center"/>
          </w:tcPr>
          <w:p>
            <w:pPr>
              <w:adjustRightInd w:val="0"/>
              <w:snapToGrid w:val="0"/>
              <w:ind w:firstLine="520" w:firstLineChars="289"/>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1008" w:type="pct"/>
            <w:tcMar>
              <w:top w:w="0" w:type="dxa"/>
              <w:left w:w="108" w:type="dxa"/>
              <w:bottom w:w="0" w:type="dxa"/>
              <w:right w:w="108" w:type="dxa"/>
            </w:tcMar>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410" w:type="pct"/>
            <w:tcMar>
              <w:top w:w="0" w:type="dxa"/>
              <w:left w:w="108" w:type="dxa"/>
              <w:bottom w:w="0" w:type="dxa"/>
              <w:right w:w="108" w:type="dxa"/>
            </w:tcMar>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369" w:hRule="atLeast"/>
          <w:jc w:val="center"/>
        </w:trPr>
        <w:tc>
          <w:tcPr>
            <w:tcW w:w="2577" w:type="pct"/>
            <w:tcMar>
              <w:top w:w="0" w:type="dxa"/>
              <w:left w:w="108" w:type="dxa"/>
              <w:bottom w:w="0" w:type="dxa"/>
              <w:right w:w="108" w:type="dxa"/>
            </w:tcMar>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 MCS-51的接口技术</w:t>
            </w:r>
          </w:p>
        </w:tc>
        <w:tc>
          <w:tcPr>
            <w:tcW w:w="1005" w:type="pct"/>
            <w:tcMar>
              <w:top w:w="0" w:type="dxa"/>
              <w:left w:w="108" w:type="dxa"/>
              <w:bottom w:w="0" w:type="dxa"/>
              <w:right w:w="108" w:type="dxa"/>
            </w:tcMar>
            <w:vAlign w:val="center"/>
          </w:tcPr>
          <w:p>
            <w:pPr>
              <w:adjustRightInd w:val="0"/>
              <w:snapToGrid w:val="0"/>
              <w:ind w:firstLine="520" w:firstLineChars="289"/>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1008" w:type="pct"/>
            <w:tcMar>
              <w:top w:w="0" w:type="dxa"/>
              <w:left w:w="108" w:type="dxa"/>
              <w:bottom w:w="0" w:type="dxa"/>
              <w:right w:w="108" w:type="dxa"/>
            </w:tcMar>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410" w:type="pct"/>
            <w:tcMar>
              <w:top w:w="0" w:type="dxa"/>
              <w:left w:w="108" w:type="dxa"/>
              <w:bottom w:w="0" w:type="dxa"/>
              <w:right w:w="108" w:type="dxa"/>
            </w:tcMar>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369" w:hRule="atLeast"/>
          <w:jc w:val="center"/>
        </w:trPr>
        <w:tc>
          <w:tcPr>
            <w:tcW w:w="2577" w:type="pct"/>
            <w:tcMar>
              <w:top w:w="0" w:type="dxa"/>
              <w:left w:w="108" w:type="dxa"/>
              <w:bottom w:w="0" w:type="dxa"/>
              <w:right w:w="108" w:type="dxa"/>
            </w:tcMar>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合计</w:t>
            </w:r>
          </w:p>
        </w:tc>
        <w:tc>
          <w:tcPr>
            <w:tcW w:w="1005" w:type="pct"/>
            <w:tcMar>
              <w:top w:w="0" w:type="dxa"/>
              <w:left w:w="108" w:type="dxa"/>
              <w:bottom w:w="0" w:type="dxa"/>
              <w:right w:w="108" w:type="dxa"/>
            </w:tcMar>
            <w:vAlign w:val="center"/>
          </w:tcPr>
          <w:p>
            <w:pPr>
              <w:adjustRightInd w:val="0"/>
              <w:snapToGrid w:val="0"/>
              <w:ind w:firstLine="520" w:firstLineChars="289"/>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24</w:t>
            </w:r>
          </w:p>
        </w:tc>
        <w:tc>
          <w:tcPr>
            <w:tcW w:w="1008" w:type="pct"/>
            <w:tcMar>
              <w:top w:w="0" w:type="dxa"/>
              <w:left w:w="108" w:type="dxa"/>
              <w:bottom w:w="0" w:type="dxa"/>
              <w:right w:w="108" w:type="dxa"/>
            </w:tcMar>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w:t>
            </w:r>
          </w:p>
        </w:tc>
        <w:tc>
          <w:tcPr>
            <w:tcW w:w="410" w:type="pct"/>
            <w:tcMar>
              <w:top w:w="0" w:type="dxa"/>
              <w:left w:w="108" w:type="dxa"/>
              <w:bottom w:w="0" w:type="dxa"/>
              <w:right w:w="108" w:type="dxa"/>
            </w:tcMar>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32</w:t>
            </w:r>
          </w:p>
        </w:tc>
      </w:tr>
    </w:tbl>
    <w:p>
      <w:pPr>
        <w:tabs>
          <w:tab w:val="left" w:pos="420"/>
        </w:tabs>
        <w:spacing w:line="360" w:lineRule="auto"/>
        <w:ind w:left="420" w:hanging="420"/>
        <w:rPr>
          <w:rFonts w:eastAsia="黑体"/>
          <w:szCs w:val="24"/>
        </w:rPr>
      </w:pPr>
    </w:p>
    <w:p>
      <w:pPr>
        <w:tabs>
          <w:tab w:val="left" w:pos="420"/>
        </w:tabs>
        <w:spacing w:line="360" w:lineRule="auto"/>
        <w:ind w:left="420" w:hanging="420"/>
        <w:rPr>
          <w:rFonts w:eastAsia="黑体"/>
          <w:szCs w:val="24"/>
        </w:rPr>
      </w:pPr>
      <w:r>
        <w:rPr>
          <w:rFonts w:eastAsia="黑体"/>
          <w:szCs w:val="24"/>
        </w:rPr>
        <w:t>七、教材、补充教材及参考资料</w:t>
      </w:r>
    </w:p>
    <w:p>
      <w:pPr>
        <w:spacing w:line="360" w:lineRule="auto"/>
        <w:ind w:firstLine="420" w:firstLineChars="200"/>
        <w:rPr>
          <w:szCs w:val="21"/>
        </w:rPr>
      </w:pPr>
      <w:r>
        <w:rPr>
          <w:rFonts w:hint="eastAsia"/>
          <w:szCs w:val="21"/>
        </w:rPr>
        <w:t>1、李晓林《单片机原理与接口技术（第二版）》，ISBN9787121126192，电子工业出版社。</w:t>
      </w:r>
    </w:p>
    <w:p>
      <w:pPr>
        <w:spacing w:line="360" w:lineRule="auto"/>
        <w:ind w:firstLine="420" w:firstLineChars="200"/>
        <w:rPr>
          <w:szCs w:val="21"/>
        </w:rPr>
      </w:pPr>
      <w:r>
        <w:rPr>
          <w:rFonts w:hint="eastAsia"/>
          <w:szCs w:val="21"/>
        </w:rPr>
        <w:t>2、刘国荣编著《单片微型计算机技术（第二版）》，ISBN9787111053798，机械工业出版社。</w:t>
      </w:r>
    </w:p>
    <w:p>
      <w:pPr>
        <w:spacing w:line="360" w:lineRule="auto"/>
        <w:ind w:firstLine="420" w:firstLineChars="200"/>
        <w:rPr>
          <w:szCs w:val="21"/>
        </w:rPr>
      </w:pPr>
      <w:r>
        <w:rPr>
          <w:rFonts w:hint="eastAsia"/>
          <w:szCs w:val="21"/>
        </w:rPr>
        <w:t>3、曹巧媛编著《单片机原理及应用（第二版）》，ISBN9787505372818，电子工业出版社。</w:t>
      </w:r>
    </w:p>
    <w:p>
      <w:pPr>
        <w:spacing w:line="360" w:lineRule="auto"/>
        <w:ind w:firstLine="420" w:firstLineChars="200"/>
        <w:rPr>
          <w:szCs w:val="21"/>
        </w:rPr>
      </w:pPr>
      <w:r>
        <w:rPr>
          <w:rFonts w:hint="eastAsia"/>
          <w:szCs w:val="21"/>
        </w:rPr>
        <w:t>4、李华编著《MCS-51系列单片机实用接口技术（第一版）》，ISBN9787810124201，北京航天大学出版社。</w:t>
      </w:r>
    </w:p>
    <w:p>
      <w:pPr>
        <w:spacing w:line="360" w:lineRule="auto"/>
        <w:ind w:firstLine="420" w:firstLineChars="200"/>
        <w:rPr>
          <w:szCs w:val="21"/>
        </w:rPr>
      </w:pPr>
    </w:p>
    <w:p>
      <w:pPr>
        <w:tabs>
          <w:tab w:val="left" w:pos="420"/>
        </w:tabs>
        <w:spacing w:line="360" w:lineRule="auto"/>
        <w:ind w:left="420" w:hanging="420"/>
        <w:rPr>
          <w:rFonts w:eastAsia="黑体"/>
          <w:szCs w:val="24"/>
        </w:rPr>
      </w:pPr>
      <w:r>
        <w:rPr>
          <w:rFonts w:hint="eastAsia" w:eastAsia="黑体"/>
          <w:szCs w:val="24"/>
        </w:rPr>
        <w:t>八、达成课程目标的途径和措施</w:t>
      </w:r>
    </w:p>
    <w:p>
      <w:pPr>
        <w:spacing w:line="360" w:lineRule="auto"/>
        <w:ind w:firstLine="420" w:firstLineChars="200"/>
        <w:rPr>
          <w:szCs w:val="21"/>
        </w:rPr>
      </w:pPr>
      <w:r>
        <w:rPr>
          <w:rFonts w:hint="eastAsia"/>
          <w:szCs w:val="21"/>
        </w:rPr>
        <w:t>1、采取措施：讲授与提问并重，理论</w:t>
      </w:r>
      <w:r>
        <w:rPr>
          <w:szCs w:val="21"/>
        </w:rPr>
        <w:t>与实验</w:t>
      </w:r>
      <w:r>
        <w:rPr>
          <w:rFonts w:hint="eastAsia"/>
          <w:szCs w:val="21"/>
        </w:rPr>
        <w:t>结合</w:t>
      </w:r>
      <w:r>
        <w:rPr>
          <w:szCs w:val="21"/>
        </w:rPr>
        <w:t>，</w:t>
      </w:r>
      <w:r>
        <w:rPr>
          <w:rFonts w:hint="eastAsia"/>
          <w:szCs w:val="21"/>
        </w:rPr>
        <w:t>学生每堂课回答</w:t>
      </w:r>
      <w:r>
        <w:rPr>
          <w:szCs w:val="21"/>
        </w:rPr>
        <w:t>问题</w:t>
      </w:r>
      <w:r>
        <w:rPr>
          <w:rFonts w:hint="eastAsia"/>
          <w:szCs w:val="21"/>
        </w:rPr>
        <w:t>，对理论内容进行加深和巩固</w:t>
      </w:r>
      <w:r>
        <w:rPr>
          <w:szCs w:val="21"/>
        </w:rPr>
        <w:t>，</w:t>
      </w:r>
      <w:r>
        <w:rPr>
          <w:rFonts w:hint="eastAsia"/>
          <w:szCs w:val="21"/>
        </w:rPr>
        <w:t>在</w:t>
      </w:r>
      <w:r>
        <w:rPr>
          <w:szCs w:val="21"/>
        </w:rPr>
        <w:t>实验课时</w:t>
      </w:r>
      <w:r>
        <w:rPr>
          <w:rFonts w:hint="eastAsia"/>
          <w:szCs w:val="21"/>
        </w:rPr>
        <w:t>需要</w:t>
      </w:r>
      <w:r>
        <w:rPr>
          <w:szCs w:val="21"/>
        </w:rPr>
        <w:t>学生独立完成，并将理论内容付诸实践</w:t>
      </w:r>
      <w:r>
        <w:rPr>
          <w:rFonts w:hint="eastAsia"/>
          <w:szCs w:val="21"/>
        </w:rPr>
        <w:t>。</w:t>
      </w:r>
    </w:p>
    <w:p>
      <w:pPr>
        <w:spacing w:line="360" w:lineRule="auto"/>
        <w:ind w:firstLine="420" w:firstLineChars="200"/>
        <w:rPr>
          <w:szCs w:val="21"/>
        </w:rPr>
      </w:pPr>
      <w:r>
        <w:rPr>
          <w:rFonts w:hint="eastAsia"/>
          <w:szCs w:val="21"/>
        </w:rPr>
        <w:t>2、考核方式：出勤、课堂提问、</w:t>
      </w:r>
      <w:r>
        <w:rPr>
          <w:color w:val="000000" w:themeColor="text1"/>
          <w:szCs w:val="21"/>
          <w14:textFill>
            <w14:solidFill>
              <w14:schemeClr w14:val="tx1"/>
            </w14:solidFill>
          </w14:textFill>
        </w:rPr>
        <w:t>考试、课内实验、作业</w:t>
      </w:r>
      <w:r>
        <w:rPr>
          <w:rFonts w:hint="eastAsia"/>
          <w:szCs w:val="21"/>
        </w:rPr>
        <w:t>。</w:t>
      </w:r>
    </w:p>
    <w:p>
      <w:pPr>
        <w:spacing w:line="360" w:lineRule="auto"/>
        <w:ind w:firstLine="420" w:firstLineChars="200"/>
        <w:rPr>
          <w:szCs w:val="21"/>
        </w:rPr>
      </w:pPr>
      <w:r>
        <w:rPr>
          <w:rFonts w:hint="eastAsia"/>
          <w:szCs w:val="21"/>
        </w:rPr>
        <w:t>3、考核目标：</w:t>
      </w:r>
      <w:r>
        <w:rPr>
          <w:color w:val="000000" w:themeColor="text1"/>
          <w:szCs w:val="21"/>
          <w14:textFill>
            <w14:solidFill>
              <w14:schemeClr w14:val="tx1"/>
            </w14:solidFill>
          </w14:textFill>
        </w:rPr>
        <w:t>在考核学生对单片机基本知识、基本原理的基础上，重点考核学生的对单片机的内部结构、指令系统、汇编程序设计和存储器及接口扩展学会的程度。</w:t>
      </w:r>
    </w:p>
    <w:p>
      <w:pPr>
        <w:spacing w:line="360" w:lineRule="auto"/>
        <w:ind w:firstLine="420" w:firstLineChars="200"/>
        <w:jc w:val="left"/>
        <w:rPr>
          <w:b/>
          <w:szCs w:val="21"/>
        </w:rPr>
      </w:pPr>
      <w:r>
        <w:rPr>
          <w:rFonts w:hint="eastAsia"/>
          <w:szCs w:val="21"/>
        </w:rPr>
        <w:t>4、评价环节对课程目标达成贡献率及支撑材料：</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808"/>
        <w:gridCol w:w="1728"/>
        <w:gridCol w:w="1729"/>
        <w:gridCol w:w="1729"/>
        <w:gridCol w:w="153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060" w:type="pct"/>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考察环节</w:t>
            </w:r>
          </w:p>
        </w:tc>
        <w:tc>
          <w:tcPr>
            <w:tcW w:w="1013" w:type="pc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课堂情况</w:t>
            </w:r>
          </w:p>
        </w:tc>
        <w:tc>
          <w:tcPr>
            <w:tcW w:w="1014" w:type="pc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作业</w:t>
            </w:r>
          </w:p>
        </w:tc>
        <w:tc>
          <w:tcPr>
            <w:tcW w:w="1014" w:type="pc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实验</w:t>
            </w:r>
          </w:p>
        </w:tc>
        <w:tc>
          <w:tcPr>
            <w:tcW w:w="899" w:type="pc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期末考试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060" w:type="pct"/>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课程目标达成</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的贡献率</w:t>
            </w:r>
          </w:p>
        </w:tc>
        <w:tc>
          <w:tcPr>
            <w:tcW w:w="1013" w:type="pct"/>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0.10</w:t>
            </w:r>
          </w:p>
        </w:tc>
        <w:tc>
          <w:tcPr>
            <w:tcW w:w="1014" w:type="pct"/>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0.23</w:t>
            </w:r>
          </w:p>
        </w:tc>
        <w:tc>
          <w:tcPr>
            <w:tcW w:w="1014" w:type="pct"/>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0.17</w:t>
            </w:r>
          </w:p>
        </w:tc>
        <w:tc>
          <w:tcPr>
            <w:tcW w:w="899" w:type="pct"/>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060" w:type="pct"/>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支撑材料</w:t>
            </w:r>
          </w:p>
        </w:tc>
        <w:tc>
          <w:tcPr>
            <w:tcW w:w="1013" w:type="pc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课堂提问</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点名记录</w:t>
            </w:r>
          </w:p>
        </w:tc>
        <w:tc>
          <w:tcPr>
            <w:tcW w:w="1014" w:type="pc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作业计分表</w:t>
            </w:r>
          </w:p>
        </w:tc>
        <w:tc>
          <w:tcPr>
            <w:tcW w:w="1014" w:type="pc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实验过程评分表</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实验报告</w:t>
            </w:r>
          </w:p>
        </w:tc>
        <w:tc>
          <w:tcPr>
            <w:tcW w:w="899" w:type="pc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试题评分标准，试卷</w:t>
            </w:r>
          </w:p>
        </w:tc>
      </w:tr>
    </w:tbl>
    <w:p>
      <w:pPr>
        <w:spacing w:line="360" w:lineRule="auto"/>
        <w:rPr>
          <w:color w:val="0000FF"/>
        </w:rPr>
      </w:pPr>
    </w:p>
    <w:p>
      <w:pPr>
        <w:tabs>
          <w:tab w:val="left" w:pos="420"/>
        </w:tabs>
        <w:adjustRightInd w:val="0"/>
        <w:snapToGrid w:val="0"/>
        <w:spacing w:line="360" w:lineRule="auto"/>
        <w:ind w:left="420" w:hanging="420"/>
        <w:rPr>
          <w:rFonts w:eastAsia="黑体"/>
          <w:color w:val="000000" w:themeColor="text1"/>
          <w:szCs w:val="24"/>
          <w14:textFill>
            <w14:solidFill>
              <w14:schemeClr w14:val="tx1"/>
            </w14:solidFill>
          </w14:textFill>
        </w:rPr>
      </w:pPr>
      <w:r>
        <w:rPr>
          <w:rFonts w:eastAsia="黑体"/>
          <w:color w:val="000000" w:themeColor="text1"/>
          <w:szCs w:val="24"/>
          <w14:textFill>
            <w14:solidFill>
              <w14:schemeClr w14:val="tx1"/>
            </w14:solidFill>
          </w14:textFill>
        </w:rPr>
        <w:t>九</w:t>
      </w:r>
      <w:r>
        <w:rPr>
          <w:rFonts w:hint="eastAsia" w:eastAsia="黑体"/>
          <w:color w:val="000000" w:themeColor="text1"/>
          <w:szCs w:val="24"/>
          <w14:textFill>
            <w14:solidFill>
              <w14:schemeClr w14:val="tx1"/>
            </w14:solidFill>
          </w14:textFill>
        </w:rPr>
        <w:t>、</w:t>
      </w:r>
      <w:r>
        <w:rPr>
          <w:rFonts w:eastAsia="黑体"/>
          <w:color w:val="000000" w:themeColor="text1"/>
          <w:szCs w:val="24"/>
          <w14:textFill>
            <w14:solidFill>
              <w14:schemeClr w14:val="tx1"/>
            </w14:solidFill>
          </w14:textFill>
        </w:rPr>
        <w:t>覆盖课程目标达成评价的知识点及权重</w:t>
      </w:r>
    </w:p>
    <w:tbl>
      <w:tblPr>
        <w:tblStyle w:val="20"/>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879"/>
        <w:gridCol w:w="1450"/>
        <w:gridCol w:w="219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61" w:type="pct"/>
            <w:vAlign w:val="center"/>
          </w:tcPr>
          <w:p>
            <w:pPr>
              <w:jc w:val="center"/>
              <w:rPr>
                <w:sz w:val="18"/>
                <w:szCs w:val="18"/>
              </w:rPr>
            </w:pPr>
            <w:r>
              <w:rPr>
                <w:sz w:val="18"/>
                <w:szCs w:val="18"/>
              </w:rPr>
              <w:t>知识点</w:t>
            </w:r>
          </w:p>
        </w:tc>
        <w:tc>
          <w:tcPr>
            <w:tcW w:w="850" w:type="pct"/>
            <w:vAlign w:val="center"/>
          </w:tcPr>
          <w:p>
            <w:pPr>
              <w:jc w:val="center"/>
              <w:rPr>
                <w:sz w:val="18"/>
                <w:szCs w:val="18"/>
              </w:rPr>
            </w:pPr>
            <w:r>
              <w:rPr>
                <w:sz w:val="18"/>
                <w:szCs w:val="18"/>
              </w:rPr>
              <w:t>权重</w:t>
            </w:r>
          </w:p>
        </w:tc>
        <w:tc>
          <w:tcPr>
            <w:tcW w:w="1289" w:type="pct"/>
            <w:vAlign w:val="center"/>
          </w:tcPr>
          <w:p>
            <w:pPr>
              <w:jc w:val="center"/>
              <w:rPr>
                <w:sz w:val="18"/>
                <w:szCs w:val="18"/>
              </w:rPr>
            </w:pPr>
            <w:r>
              <w:rPr>
                <w:sz w:val="18"/>
                <w:szCs w:val="18"/>
              </w:rPr>
              <w:t>支撑课程目标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61" w:type="pct"/>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1单片机概述</w:t>
            </w:r>
          </w:p>
        </w:tc>
        <w:tc>
          <w:tcPr>
            <w:tcW w:w="850" w:type="pct"/>
            <w:vAlign w:val="center"/>
          </w:tcPr>
          <w:p>
            <w:pPr>
              <w:jc w:val="center"/>
              <w:rPr>
                <w:sz w:val="18"/>
                <w:szCs w:val="18"/>
              </w:rPr>
            </w:pPr>
            <w:r>
              <w:rPr>
                <w:rFonts w:hint="eastAsia"/>
                <w:sz w:val="18"/>
                <w:szCs w:val="18"/>
              </w:rPr>
              <w:t>0.1</w:t>
            </w:r>
          </w:p>
        </w:tc>
        <w:tc>
          <w:tcPr>
            <w:tcW w:w="1289" w:type="pct"/>
            <w:vAlign w:val="center"/>
          </w:tcPr>
          <w:p>
            <w:pPr>
              <w:jc w:val="center"/>
              <w:rPr>
                <w:bCs/>
                <w:sz w:val="18"/>
                <w:szCs w:val="18"/>
              </w:rPr>
            </w:pPr>
            <w:r>
              <w:rPr>
                <w:rFonts w:hint="eastAsia"/>
                <w:bCs/>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61" w:type="pct"/>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 MCS-51 系列单片机的结构与原理</w:t>
            </w:r>
          </w:p>
        </w:tc>
        <w:tc>
          <w:tcPr>
            <w:tcW w:w="850" w:type="pct"/>
            <w:vAlign w:val="center"/>
          </w:tcPr>
          <w:p>
            <w:pPr>
              <w:jc w:val="center"/>
              <w:rPr>
                <w:sz w:val="18"/>
                <w:szCs w:val="18"/>
              </w:rPr>
            </w:pPr>
            <w:r>
              <w:rPr>
                <w:rFonts w:hint="eastAsia"/>
                <w:sz w:val="18"/>
                <w:szCs w:val="18"/>
              </w:rPr>
              <w:t>0.1</w:t>
            </w:r>
          </w:p>
        </w:tc>
        <w:tc>
          <w:tcPr>
            <w:tcW w:w="1289" w:type="pct"/>
            <w:vAlign w:val="center"/>
          </w:tcPr>
          <w:p>
            <w:pPr>
              <w:jc w:val="center"/>
              <w:rPr>
                <w:bCs/>
                <w:sz w:val="18"/>
                <w:szCs w:val="18"/>
              </w:rPr>
            </w:pPr>
            <w:r>
              <w:rPr>
                <w:rFonts w:hint="eastAsia"/>
                <w:bCs/>
                <w:sz w:val="18"/>
                <w:szCs w:val="18"/>
              </w:rPr>
              <w:t>1，2，3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61" w:type="pct"/>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 MCS-51 寻址方式和指令系统</w:t>
            </w:r>
          </w:p>
        </w:tc>
        <w:tc>
          <w:tcPr>
            <w:tcW w:w="850" w:type="pct"/>
            <w:vAlign w:val="center"/>
          </w:tcPr>
          <w:p>
            <w:pPr>
              <w:jc w:val="center"/>
              <w:rPr>
                <w:sz w:val="18"/>
                <w:szCs w:val="18"/>
              </w:rPr>
            </w:pPr>
            <w:r>
              <w:rPr>
                <w:sz w:val="18"/>
                <w:szCs w:val="18"/>
              </w:rPr>
              <w:t>0.</w:t>
            </w:r>
            <w:r>
              <w:rPr>
                <w:rFonts w:hint="eastAsia"/>
                <w:sz w:val="18"/>
                <w:szCs w:val="18"/>
              </w:rPr>
              <w:t>1</w:t>
            </w:r>
          </w:p>
        </w:tc>
        <w:tc>
          <w:tcPr>
            <w:tcW w:w="1289" w:type="pct"/>
            <w:vAlign w:val="center"/>
          </w:tcPr>
          <w:p>
            <w:pPr>
              <w:jc w:val="center"/>
              <w:rPr>
                <w:bCs/>
                <w:sz w:val="18"/>
                <w:szCs w:val="18"/>
              </w:rPr>
            </w:pPr>
            <w:r>
              <w:rPr>
                <w:rFonts w:hint="eastAsia"/>
                <w:bCs/>
                <w:sz w:val="18"/>
                <w:szCs w:val="18"/>
              </w:rPr>
              <w:t>1，2，3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61" w:type="pct"/>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4汇编语言程序设计</w:t>
            </w:r>
          </w:p>
        </w:tc>
        <w:tc>
          <w:tcPr>
            <w:tcW w:w="850" w:type="pct"/>
            <w:vAlign w:val="center"/>
          </w:tcPr>
          <w:p>
            <w:pPr>
              <w:jc w:val="center"/>
              <w:rPr>
                <w:sz w:val="18"/>
                <w:szCs w:val="18"/>
              </w:rPr>
            </w:pPr>
            <w:r>
              <w:rPr>
                <w:rFonts w:hint="eastAsia"/>
                <w:sz w:val="18"/>
                <w:szCs w:val="18"/>
              </w:rPr>
              <w:t>0.</w:t>
            </w:r>
            <w:r>
              <w:rPr>
                <w:sz w:val="18"/>
                <w:szCs w:val="18"/>
              </w:rPr>
              <w:t>2</w:t>
            </w:r>
          </w:p>
        </w:tc>
        <w:tc>
          <w:tcPr>
            <w:tcW w:w="1289" w:type="pct"/>
            <w:vAlign w:val="center"/>
          </w:tcPr>
          <w:p>
            <w:pPr>
              <w:jc w:val="center"/>
              <w:rPr>
                <w:bCs/>
                <w:sz w:val="18"/>
                <w:szCs w:val="18"/>
              </w:rPr>
            </w:pPr>
            <w:r>
              <w:rPr>
                <w:rFonts w:hint="eastAsia"/>
                <w:bCs/>
                <w:sz w:val="18"/>
                <w:szCs w:val="18"/>
              </w:rPr>
              <w:t>1，2，3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61" w:type="pct"/>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 MCS-51 中断系统</w:t>
            </w:r>
          </w:p>
        </w:tc>
        <w:tc>
          <w:tcPr>
            <w:tcW w:w="850" w:type="pct"/>
            <w:vAlign w:val="center"/>
          </w:tcPr>
          <w:p>
            <w:pPr>
              <w:jc w:val="center"/>
              <w:rPr>
                <w:sz w:val="18"/>
                <w:szCs w:val="18"/>
              </w:rPr>
            </w:pPr>
            <w:r>
              <w:rPr>
                <w:rFonts w:hint="eastAsia"/>
                <w:sz w:val="18"/>
                <w:szCs w:val="18"/>
              </w:rPr>
              <w:t>0.1</w:t>
            </w:r>
          </w:p>
        </w:tc>
        <w:tc>
          <w:tcPr>
            <w:tcW w:w="1289" w:type="pct"/>
            <w:vAlign w:val="center"/>
          </w:tcPr>
          <w:p>
            <w:pPr>
              <w:jc w:val="center"/>
              <w:rPr>
                <w:bCs/>
                <w:sz w:val="18"/>
                <w:szCs w:val="18"/>
              </w:rPr>
            </w:pPr>
            <w:r>
              <w:rPr>
                <w:rFonts w:hint="eastAsia"/>
                <w:bCs/>
                <w:sz w:val="18"/>
                <w:szCs w:val="18"/>
              </w:rPr>
              <w:t>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61" w:type="pct"/>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 MCS-51 定时器/计数器</w:t>
            </w:r>
          </w:p>
        </w:tc>
        <w:tc>
          <w:tcPr>
            <w:tcW w:w="850" w:type="pct"/>
            <w:vAlign w:val="center"/>
          </w:tcPr>
          <w:p>
            <w:pPr>
              <w:jc w:val="center"/>
              <w:rPr>
                <w:sz w:val="18"/>
                <w:szCs w:val="18"/>
              </w:rPr>
            </w:pPr>
            <w:r>
              <w:rPr>
                <w:rFonts w:hint="eastAsia"/>
                <w:sz w:val="18"/>
                <w:szCs w:val="18"/>
              </w:rPr>
              <w:t>0.1</w:t>
            </w:r>
          </w:p>
        </w:tc>
        <w:tc>
          <w:tcPr>
            <w:tcW w:w="1289" w:type="pct"/>
            <w:vAlign w:val="center"/>
          </w:tcPr>
          <w:p>
            <w:pPr>
              <w:jc w:val="center"/>
              <w:rPr>
                <w:bCs/>
                <w:sz w:val="18"/>
                <w:szCs w:val="18"/>
              </w:rPr>
            </w:pPr>
            <w:r>
              <w:rPr>
                <w:rFonts w:hint="eastAsia"/>
                <w:bCs/>
                <w:sz w:val="18"/>
                <w:szCs w:val="18"/>
              </w:rPr>
              <w:t>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61" w:type="pct"/>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 MCS-51 串行通信接口</w:t>
            </w:r>
          </w:p>
        </w:tc>
        <w:tc>
          <w:tcPr>
            <w:tcW w:w="850" w:type="pct"/>
            <w:vAlign w:val="center"/>
          </w:tcPr>
          <w:p>
            <w:pPr>
              <w:jc w:val="center"/>
              <w:rPr>
                <w:sz w:val="18"/>
                <w:szCs w:val="18"/>
              </w:rPr>
            </w:pPr>
            <w:r>
              <w:rPr>
                <w:rFonts w:hint="eastAsia"/>
                <w:sz w:val="18"/>
                <w:szCs w:val="18"/>
              </w:rPr>
              <w:t>0.1</w:t>
            </w:r>
          </w:p>
        </w:tc>
        <w:tc>
          <w:tcPr>
            <w:tcW w:w="1289" w:type="pct"/>
            <w:vAlign w:val="center"/>
          </w:tcPr>
          <w:p>
            <w:pPr>
              <w:jc w:val="center"/>
              <w:rPr>
                <w:bCs/>
                <w:sz w:val="18"/>
                <w:szCs w:val="18"/>
              </w:rPr>
            </w:pPr>
            <w:r>
              <w:rPr>
                <w:rFonts w:hint="eastAsia"/>
                <w:bCs/>
                <w:sz w:val="18"/>
                <w:szCs w:val="18"/>
              </w:rPr>
              <w:t>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61" w:type="pct"/>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 MCS-51 单片机的系统扩展</w:t>
            </w:r>
          </w:p>
        </w:tc>
        <w:tc>
          <w:tcPr>
            <w:tcW w:w="850" w:type="pct"/>
            <w:vAlign w:val="center"/>
          </w:tcPr>
          <w:p>
            <w:pPr>
              <w:jc w:val="center"/>
              <w:rPr>
                <w:sz w:val="18"/>
                <w:szCs w:val="18"/>
              </w:rPr>
            </w:pPr>
            <w:r>
              <w:rPr>
                <w:rFonts w:hint="eastAsia"/>
                <w:sz w:val="18"/>
                <w:szCs w:val="18"/>
              </w:rPr>
              <w:t>0.1</w:t>
            </w:r>
          </w:p>
        </w:tc>
        <w:tc>
          <w:tcPr>
            <w:tcW w:w="1289" w:type="pct"/>
            <w:vAlign w:val="center"/>
          </w:tcPr>
          <w:p>
            <w:pPr>
              <w:jc w:val="center"/>
              <w:rPr>
                <w:bCs/>
                <w:sz w:val="18"/>
                <w:szCs w:val="18"/>
              </w:rPr>
            </w:pPr>
            <w:r>
              <w:rPr>
                <w:rFonts w:hint="eastAsia"/>
                <w:bCs/>
                <w:sz w:val="18"/>
                <w:szCs w:val="18"/>
              </w:rPr>
              <w:t>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61" w:type="pct"/>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 MCS-51的接口技术</w:t>
            </w:r>
          </w:p>
        </w:tc>
        <w:tc>
          <w:tcPr>
            <w:tcW w:w="850" w:type="pct"/>
            <w:vAlign w:val="center"/>
          </w:tcPr>
          <w:p>
            <w:pPr>
              <w:jc w:val="center"/>
              <w:rPr>
                <w:sz w:val="18"/>
                <w:szCs w:val="18"/>
              </w:rPr>
            </w:pPr>
            <w:r>
              <w:rPr>
                <w:rFonts w:hint="eastAsia"/>
                <w:sz w:val="18"/>
                <w:szCs w:val="18"/>
              </w:rPr>
              <w:t>0.1</w:t>
            </w:r>
          </w:p>
        </w:tc>
        <w:tc>
          <w:tcPr>
            <w:tcW w:w="1289" w:type="pct"/>
            <w:vAlign w:val="center"/>
          </w:tcPr>
          <w:p>
            <w:pPr>
              <w:jc w:val="center"/>
              <w:rPr>
                <w:bCs/>
                <w:sz w:val="18"/>
                <w:szCs w:val="18"/>
              </w:rPr>
            </w:pPr>
            <w:r>
              <w:rPr>
                <w:rFonts w:hint="eastAsia"/>
                <w:bCs/>
                <w:sz w:val="18"/>
                <w:szCs w:val="18"/>
              </w:rPr>
              <w:t>2，3</w:t>
            </w:r>
          </w:p>
        </w:tc>
      </w:tr>
    </w:tbl>
    <w:p>
      <w:pPr>
        <w:spacing w:before="120" w:beforeLines="50" w:line="360" w:lineRule="auto"/>
        <w:ind w:firstLine="210" w:firstLineChars="100"/>
        <w:rPr>
          <w:color w:val="000000"/>
          <w:sz w:val="24"/>
          <w:szCs w:val="24"/>
        </w:rPr>
      </w:pPr>
      <w:r>
        <w:rPr>
          <w:rFonts w:hint="eastAsia" w:ascii="宋体" w:hAnsi="宋体" w:cs="宋体"/>
          <w:szCs w:val="21"/>
        </w:rPr>
        <w:t>本课程不可以申请免修。</w:t>
      </w:r>
    </w:p>
    <w:p>
      <w:pPr>
        <w:spacing w:line="360" w:lineRule="auto"/>
        <w:rPr>
          <w:color w:val="0000FF"/>
        </w:rPr>
        <w:sectPr>
          <w:headerReference r:id="rId21" w:type="default"/>
          <w:footerReference r:id="rId23" w:type="default"/>
          <w:headerReference r:id="rId22" w:type="even"/>
          <w:pgSz w:w="11906" w:h="16838"/>
          <w:pgMar w:top="1440" w:right="1797" w:bottom="1440" w:left="1797" w:header="851" w:footer="992" w:gutter="0"/>
          <w:pgNumType w:fmt="decimal"/>
          <w:cols w:space="425" w:num="1"/>
          <w:docGrid w:linePitch="312" w:charSpace="0"/>
        </w:sectPr>
      </w:pPr>
    </w:p>
    <w:p>
      <w:pPr>
        <w:tabs>
          <w:tab w:val="left" w:pos="420"/>
        </w:tabs>
        <w:adjustRightInd w:val="0"/>
        <w:snapToGrid w:val="0"/>
        <w:spacing w:line="360" w:lineRule="auto"/>
        <w:ind w:left="420" w:hanging="420"/>
        <w:rPr>
          <w:rFonts w:eastAsia="黑体"/>
          <w:szCs w:val="24"/>
        </w:rPr>
      </w:pPr>
      <w:r>
        <w:rPr>
          <w:rFonts w:hint="eastAsia" w:eastAsia="黑体"/>
          <w:szCs w:val="24"/>
        </w:rPr>
        <w:t>十、课程目标达成评价</w:t>
      </w:r>
    </w:p>
    <w:p>
      <w:pPr>
        <w:spacing w:line="360" w:lineRule="auto"/>
        <w:ind w:firstLine="420" w:firstLineChars="200"/>
        <w:jc w:val="center"/>
      </w:pPr>
      <w:r>
        <w:rPr>
          <w:rFonts w:hint="eastAsia"/>
        </w:rPr>
        <w:t>各环节对课程目标达成评价所使用到的权重占比分配及考核权重分配</w:t>
      </w:r>
    </w:p>
    <w:tbl>
      <w:tblPr>
        <w:tblStyle w:val="19"/>
        <w:tblW w:w="5000" w:type="pct"/>
        <w:jc w:val="center"/>
        <w:tblLayout w:type="autofit"/>
        <w:tblCellMar>
          <w:top w:w="0" w:type="dxa"/>
          <w:left w:w="108" w:type="dxa"/>
          <w:bottom w:w="0" w:type="dxa"/>
          <w:right w:w="108" w:type="dxa"/>
        </w:tblCellMar>
      </w:tblPr>
      <w:tblGrid>
        <w:gridCol w:w="644"/>
        <w:gridCol w:w="1052"/>
        <w:gridCol w:w="870"/>
        <w:gridCol w:w="723"/>
        <w:gridCol w:w="712"/>
        <w:gridCol w:w="990"/>
        <w:gridCol w:w="1131"/>
        <w:gridCol w:w="961"/>
        <w:gridCol w:w="967"/>
        <w:gridCol w:w="1290"/>
        <w:gridCol w:w="967"/>
        <w:gridCol w:w="1128"/>
        <w:gridCol w:w="967"/>
        <w:gridCol w:w="1772"/>
      </w:tblGrid>
      <w:tr>
        <w:tblPrEx>
          <w:tblCellMar>
            <w:top w:w="0" w:type="dxa"/>
            <w:left w:w="108" w:type="dxa"/>
            <w:bottom w:w="0" w:type="dxa"/>
            <w:right w:w="108" w:type="dxa"/>
          </w:tblCellMar>
        </w:tblPrEx>
        <w:trPr>
          <w:trHeight w:val="1015" w:hRule="atLeast"/>
          <w:jc w:val="center"/>
        </w:trPr>
        <w:tc>
          <w:tcPr>
            <w:tcW w:w="22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课程目标</w:t>
            </w:r>
          </w:p>
        </w:tc>
        <w:tc>
          <w:tcPr>
            <w:tcW w:w="37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知识面比例</w:t>
            </w:r>
          </w:p>
          <w:p>
            <w:pPr>
              <w:widowControl/>
              <w:jc w:val="center"/>
              <w:rPr>
                <w:rFonts w:ascii="宋体" w:hAnsi="宋体" w:cs="宋体"/>
                <w:kern w:val="0"/>
                <w:sz w:val="18"/>
                <w:szCs w:val="18"/>
              </w:rPr>
            </w:pPr>
            <w:r>
              <w:rPr>
                <w:rFonts w:hint="eastAsia" w:ascii="宋体" w:hAnsi="宋体" w:cs="宋体"/>
                <w:kern w:val="0"/>
                <w:sz w:val="18"/>
                <w:szCs w:val="18"/>
              </w:rPr>
              <w:t>（本列总和为1）</w:t>
            </w:r>
          </w:p>
          <w:p>
            <w:pPr>
              <w:widowControl/>
              <w:jc w:val="center"/>
              <w:rPr>
                <w:rFonts w:ascii="宋体" w:hAnsi="宋体" w:cs="宋体"/>
                <w:i/>
                <w:kern w:val="0"/>
                <w:sz w:val="18"/>
                <w:szCs w:val="18"/>
              </w:rPr>
            </w:pPr>
            <w:r>
              <w:rPr>
                <w:rFonts w:ascii="宋体" w:hAnsi="宋体" w:cs="宋体"/>
                <w:i/>
                <w:kern w:val="0"/>
                <w:sz w:val="18"/>
                <w:szCs w:val="18"/>
              </w:rPr>
              <w:t>P</w:t>
            </w:r>
            <w:r>
              <w:rPr>
                <w:rFonts w:ascii="宋体" w:hAnsi="宋体" w:cs="宋体"/>
                <w:i/>
                <w:kern w:val="0"/>
                <w:sz w:val="18"/>
                <w:szCs w:val="18"/>
                <w:vertAlign w:val="subscript"/>
              </w:rPr>
              <w:t>i</w:t>
            </w:r>
          </w:p>
        </w:tc>
        <w:tc>
          <w:tcPr>
            <w:tcW w:w="1162"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18"/>
                <w:szCs w:val="18"/>
              </w:rPr>
            </w:pPr>
            <w:r>
              <w:rPr>
                <w:rFonts w:hint="eastAsia" w:ascii="宋体" w:hAnsi="宋体"/>
                <w:sz w:val="18"/>
                <w:szCs w:val="18"/>
              </w:rPr>
              <w:t>各环节评价比例分配</w:t>
            </w:r>
            <w:r>
              <w:rPr>
                <w:rFonts w:hint="eastAsia" w:ascii="宋体" w:hAnsi="宋体"/>
                <w:sz w:val="18"/>
                <w:szCs w:val="18"/>
              </w:rPr>
              <w:br w:type="textWrapping"/>
            </w:r>
            <w:r>
              <w:rPr>
                <w:rFonts w:hint="eastAsia" w:ascii="宋体" w:hAnsi="宋体"/>
                <w:sz w:val="18"/>
                <w:szCs w:val="18"/>
              </w:rPr>
              <w:t>（每行总和为1）</w:t>
            </w:r>
            <w:r>
              <w:rPr>
                <w:rFonts w:hint="eastAsia" w:ascii="宋体" w:hAnsi="宋体"/>
                <w:sz w:val="18"/>
                <w:szCs w:val="18"/>
              </w:rPr>
              <w:br w:type="textWrapping"/>
            </w:r>
            <w:r>
              <w:rPr>
                <w:rFonts w:hint="eastAsia" w:ascii="宋体" w:hAnsi="宋体"/>
                <w:i/>
                <w:sz w:val="18"/>
                <w:szCs w:val="18"/>
              </w:rPr>
              <w:t>W</w:t>
            </w:r>
            <w:r>
              <w:rPr>
                <w:rFonts w:hint="eastAsia" w:ascii="宋体" w:hAnsi="宋体"/>
                <w:i/>
                <w:sz w:val="18"/>
                <w:szCs w:val="18"/>
                <w:vertAlign w:val="subscript"/>
              </w:rPr>
              <w:t>ik</w:t>
            </w:r>
          </w:p>
        </w:tc>
        <w:tc>
          <w:tcPr>
            <w:tcW w:w="1534" w:type="pct"/>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各环节在课程达成中的占比</w:t>
            </w:r>
            <w:r>
              <w:rPr>
                <w:rFonts w:hint="eastAsia" w:ascii="宋体" w:hAnsi="宋体"/>
                <w:sz w:val="18"/>
                <w:szCs w:val="18"/>
              </w:rPr>
              <w:br w:type="textWrapping"/>
            </w:r>
            <w:r>
              <w:rPr>
                <w:rFonts w:hint="eastAsia" w:ascii="宋体" w:hAnsi="宋体"/>
                <w:sz w:val="18"/>
                <w:szCs w:val="18"/>
              </w:rPr>
              <w:t>（所有行列总和为1）</w:t>
            </w:r>
            <w:r>
              <w:rPr>
                <w:rFonts w:hint="eastAsia" w:ascii="宋体" w:hAnsi="宋体"/>
                <w:sz w:val="18"/>
                <w:szCs w:val="18"/>
              </w:rPr>
              <w:br w:type="textWrapping"/>
            </w:r>
            <w:r>
              <w:rPr>
                <w:rFonts w:hint="eastAsia" w:ascii="宋体" w:hAnsi="宋体"/>
                <w:i/>
                <w:sz w:val="18"/>
                <w:szCs w:val="18"/>
              </w:rPr>
              <w:t>S</w:t>
            </w:r>
            <w:r>
              <w:rPr>
                <w:rFonts w:hint="eastAsia" w:ascii="宋体" w:hAnsi="宋体"/>
                <w:i/>
                <w:sz w:val="18"/>
                <w:szCs w:val="18"/>
                <w:vertAlign w:val="subscript"/>
              </w:rPr>
              <w:t>ik</w:t>
            </w:r>
            <w:r>
              <w:rPr>
                <w:rFonts w:hint="eastAsia" w:ascii="宋体" w:hAnsi="宋体"/>
                <w:i/>
                <w:sz w:val="18"/>
                <w:szCs w:val="18"/>
              </w:rPr>
              <w:t>=P</w:t>
            </w:r>
            <w:r>
              <w:rPr>
                <w:rFonts w:hint="eastAsia" w:ascii="宋体" w:hAnsi="宋体"/>
                <w:i/>
                <w:sz w:val="18"/>
                <w:szCs w:val="18"/>
                <w:vertAlign w:val="subscript"/>
              </w:rPr>
              <w:t>i</w:t>
            </w:r>
            <w:r>
              <w:rPr>
                <w:rFonts w:hint="eastAsia" w:ascii="宋体" w:hAnsi="宋体"/>
                <w:i/>
                <w:sz w:val="18"/>
                <w:szCs w:val="18"/>
              </w:rPr>
              <w:t>*W</w:t>
            </w:r>
            <w:r>
              <w:rPr>
                <w:rFonts w:hint="eastAsia" w:ascii="宋体" w:hAnsi="宋体"/>
                <w:i/>
                <w:sz w:val="18"/>
                <w:szCs w:val="18"/>
                <w:vertAlign w:val="subscript"/>
              </w:rPr>
              <w:t>ik</w:t>
            </w:r>
          </w:p>
        </w:tc>
        <w:tc>
          <w:tcPr>
            <w:tcW w:w="1705" w:type="pct"/>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各环节课程目标考核权重分布</w:t>
            </w:r>
          </w:p>
          <w:p>
            <w:pPr>
              <w:jc w:val="center"/>
              <w:rPr>
                <w:rFonts w:ascii="宋体" w:hAnsi="宋体"/>
                <w:sz w:val="18"/>
                <w:szCs w:val="18"/>
              </w:rPr>
            </w:pPr>
            <w:r>
              <w:rPr>
                <w:rFonts w:ascii="宋体" w:hAnsi="宋体"/>
                <w:sz w:val="18"/>
                <w:szCs w:val="18"/>
              </w:rPr>
              <w:t>（每一列总和为</w:t>
            </w:r>
            <w:r>
              <w:rPr>
                <w:rFonts w:hint="eastAsia" w:ascii="宋体" w:hAnsi="宋体"/>
                <w:sz w:val="18"/>
                <w:szCs w:val="18"/>
              </w:rPr>
              <w:t>1</w:t>
            </w:r>
            <w:r>
              <w:rPr>
                <w:rFonts w:ascii="宋体" w:hAnsi="宋体"/>
                <w:sz w:val="18"/>
                <w:szCs w:val="18"/>
              </w:rPr>
              <w:t>）</w:t>
            </w:r>
          </w:p>
          <w:p>
            <w:pPr>
              <w:jc w:val="center"/>
              <w:rPr>
                <w:rFonts w:ascii="宋体" w:hAnsi="宋体"/>
                <w:i/>
                <w:sz w:val="18"/>
                <w:szCs w:val="18"/>
              </w:rPr>
            </w:pPr>
            <w:r>
              <w:rPr>
                <w:rFonts w:hint="eastAsia" w:ascii="宋体" w:hAnsi="宋体"/>
                <w:i/>
                <w:sz w:val="18"/>
                <w:szCs w:val="18"/>
              </w:rPr>
              <w:t>E</w:t>
            </w:r>
            <w:r>
              <w:rPr>
                <w:rFonts w:hint="eastAsia" w:ascii="宋体" w:hAnsi="宋体"/>
                <w:i/>
                <w:sz w:val="18"/>
                <w:szCs w:val="18"/>
                <w:vertAlign w:val="subscript"/>
              </w:rPr>
              <w:t>ik</w:t>
            </w:r>
            <w:r>
              <w:rPr>
                <w:rFonts w:hint="eastAsia" w:ascii="宋体" w:hAnsi="宋体"/>
                <w:i/>
                <w:sz w:val="18"/>
                <w:szCs w:val="18"/>
              </w:rPr>
              <w:t>=</w:t>
            </w:r>
            <w:r>
              <w:rPr>
                <w:rFonts w:ascii="宋体" w:hAnsi="宋体"/>
                <w:i/>
                <w:sz w:val="18"/>
                <w:szCs w:val="18"/>
              </w:rPr>
              <w:t>S</w:t>
            </w:r>
            <w:r>
              <w:rPr>
                <w:rFonts w:ascii="宋体" w:hAnsi="宋体"/>
                <w:i/>
                <w:sz w:val="18"/>
                <w:szCs w:val="18"/>
                <w:vertAlign w:val="subscript"/>
              </w:rPr>
              <w:t>ik</w:t>
            </w:r>
            <w:r>
              <w:rPr>
                <w:rFonts w:ascii="宋体" w:hAnsi="宋体"/>
                <w:i/>
                <w:sz w:val="18"/>
                <w:szCs w:val="18"/>
              </w:rPr>
              <w:t>/M</w:t>
            </w:r>
            <w:r>
              <w:rPr>
                <w:rFonts w:ascii="宋体" w:hAnsi="宋体"/>
                <w:i/>
                <w:sz w:val="18"/>
                <w:szCs w:val="18"/>
                <w:vertAlign w:val="subscript"/>
              </w:rPr>
              <w:t>ik</w:t>
            </w:r>
          </w:p>
        </w:tc>
      </w:tr>
      <w:tr>
        <w:tblPrEx>
          <w:tblCellMar>
            <w:top w:w="0" w:type="dxa"/>
            <w:left w:w="108" w:type="dxa"/>
            <w:bottom w:w="0" w:type="dxa"/>
            <w:right w:w="108" w:type="dxa"/>
          </w:tblCellMar>
        </w:tblPrEx>
        <w:trPr>
          <w:trHeight w:val="986" w:hRule="atLeast"/>
          <w:jc w:val="center"/>
        </w:trPr>
        <w:tc>
          <w:tcPr>
            <w:tcW w:w="22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7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07" w:type="pct"/>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课堂</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情况</w:t>
            </w:r>
          </w:p>
        </w:tc>
        <w:tc>
          <w:tcPr>
            <w:tcW w:w="255" w:type="pct"/>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作业</w:t>
            </w:r>
          </w:p>
        </w:tc>
        <w:tc>
          <w:tcPr>
            <w:tcW w:w="251" w:type="pct"/>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实验</w:t>
            </w:r>
          </w:p>
        </w:tc>
        <w:tc>
          <w:tcPr>
            <w:tcW w:w="348" w:type="pct"/>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期末</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考试</w:t>
            </w:r>
          </w:p>
        </w:tc>
        <w:tc>
          <w:tcPr>
            <w:tcW w:w="399" w:type="pct"/>
            <w:tcBorders>
              <w:top w:val="nil"/>
              <w:left w:val="nil"/>
              <w:bottom w:val="single" w:color="auto" w:sz="4" w:space="0"/>
              <w:right w:val="single" w:color="auto" w:sz="4" w:space="0"/>
            </w:tcBorders>
            <w:shd w:val="clear" w:color="auto" w:fill="FFFFFF" w:themeFill="background1"/>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课堂</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情况</w:t>
            </w:r>
          </w:p>
        </w:tc>
        <w:tc>
          <w:tcPr>
            <w:tcW w:w="339" w:type="pct"/>
            <w:tcBorders>
              <w:top w:val="nil"/>
              <w:left w:val="nil"/>
              <w:bottom w:val="single" w:color="auto" w:sz="4" w:space="0"/>
              <w:right w:val="single" w:color="auto" w:sz="4" w:space="0"/>
            </w:tcBorders>
            <w:shd w:val="clear" w:color="auto" w:fill="FFFFFF" w:themeFill="background1"/>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作业</w:t>
            </w:r>
          </w:p>
        </w:tc>
        <w:tc>
          <w:tcPr>
            <w:tcW w:w="341" w:type="pct"/>
            <w:tcBorders>
              <w:top w:val="nil"/>
              <w:left w:val="nil"/>
              <w:bottom w:val="single" w:color="auto" w:sz="4" w:space="0"/>
              <w:right w:val="single" w:color="auto" w:sz="4" w:space="0"/>
            </w:tcBorders>
            <w:shd w:val="clear" w:color="auto" w:fill="FFFFFF" w:themeFill="background1"/>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实验</w:t>
            </w:r>
          </w:p>
        </w:tc>
        <w:tc>
          <w:tcPr>
            <w:tcW w:w="455" w:type="pct"/>
            <w:tcBorders>
              <w:top w:val="nil"/>
              <w:left w:val="nil"/>
              <w:bottom w:val="single" w:color="auto" w:sz="4" w:space="0"/>
              <w:right w:val="single" w:color="auto" w:sz="4" w:space="0"/>
            </w:tcBorders>
            <w:shd w:val="clear" w:color="auto" w:fill="FFFFFF" w:themeFill="background1"/>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期末</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考试</w:t>
            </w:r>
          </w:p>
        </w:tc>
        <w:tc>
          <w:tcPr>
            <w:tcW w:w="34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课堂</w:t>
            </w:r>
          </w:p>
          <w:p>
            <w:pPr>
              <w:widowControl/>
              <w:jc w:val="center"/>
              <w:rPr>
                <w:rFonts w:ascii="宋体" w:hAnsi="宋体" w:cs="宋体"/>
                <w:kern w:val="0"/>
                <w:sz w:val="18"/>
                <w:szCs w:val="18"/>
              </w:rPr>
            </w:pPr>
            <w:r>
              <w:rPr>
                <w:rFonts w:hint="eastAsia" w:ascii="宋体" w:hAnsi="宋体" w:cs="宋体"/>
                <w:kern w:val="0"/>
                <w:sz w:val="18"/>
                <w:szCs w:val="18"/>
              </w:rPr>
              <w:t>情况</w:t>
            </w:r>
          </w:p>
        </w:tc>
        <w:tc>
          <w:tcPr>
            <w:tcW w:w="398" w:type="pct"/>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作业</w:t>
            </w:r>
          </w:p>
        </w:tc>
        <w:tc>
          <w:tcPr>
            <w:tcW w:w="341" w:type="pct"/>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实验</w:t>
            </w:r>
          </w:p>
        </w:tc>
        <w:tc>
          <w:tcPr>
            <w:tcW w:w="625" w:type="pct"/>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期末</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考试</w:t>
            </w:r>
          </w:p>
        </w:tc>
      </w:tr>
      <w:tr>
        <w:tblPrEx>
          <w:tblCellMar>
            <w:top w:w="0" w:type="dxa"/>
            <w:left w:w="108" w:type="dxa"/>
            <w:bottom w:w="0" w:type="dxa"/>
            <w:right w:w="108" w:type="dxa"/>
          </w:tblCellMar>
        </w:tblPrEx>
        <w:trPr>
          <w:trHeight w:val="1020" w:hRule="atLeast"/>
          <w:jc w:val="center"/>
        </w:trPr>
        <w:tc>
          <w:tcPr>
            <w:tcW w:w="227" w:type="pct"/>
            <w:tcBorders>
              <w:top w:val="nil"/>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1</w:t>
            </w:r>
          </w:p>
        </w:tc>
        <w:tc>
          <w:tcPr>
            <w:tcW w:w="37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18"/>
                <w:szCs w:val="18"/>
              </w:rPr>
            </w:pPr>
            <w:r>
              <w:rPr>
                <w:sz w:val="18"/>
                <w:szCs w:val="18"/>
              </w:rPr>
              <w:t>0.1</w:t>
            </w:r>
          </w:p>
        </w:tc>
        <w:tc>
          <w:tcPr>
            <w:tcW w:w="307" w:type="pct"/>
            <w:tcBorders>
              <w:top w:val="single" w:color="auto" w:sz="4" w:space="0"/>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0.</w:t>
            </w:r>
            <w:r>
              <w:rPr>
                <w:rFonts w:hint="eastAsia"/>
                <w:sz w:val="18"/>
                <w:szCs w:val="18"/>
              </w:rPr>
              <w:t>10</w:t>
            </w:r>
          </w:p>
        </w:tc>
        <w:tc>
          <w:tcPr>
            <w:tcW w:w="255" w:type="pct"/>
            <w:tcBorders>
              <w:top w:val="single" w:color="auto" w:sz="4" w:space="0"/>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0.</w:t>
            </w:r>
            <w:r>
              <w:rPr>
                <w:rFonts w:hint="eastAsia"/>
                <w:sz w:val="18"/>
                <w:szCs w:val="18"/>
              </w:rPr>
              <w:t>4</w:t>
            </w:r>
          </w:p>
        </w:tc>
        <w:tc>
          <w:tcPr>
            <w:tcW w:w="251" w:type="pct"/>
            <w:tcBorders>
              <w:top w:val="single" w:color="auto" w:sz="4" w:space="0"/>
              <w:left w:val="nil"/>
              <w:bottom w:val="single" w:color="auto" w:sz="4" w:space="0"/>
              <w:right w:val="single" w:color="auto" w:sz="4" w:space="0"/>
            </w:tcBorders>
            <w:shd w:val="clear" w:color="auto" w:fill="auto"/>
            <w:noWrap/>
            <w:vAlign w:val="center"/>
          </w:tcPr>
          <w:p>
            <w:pPr>
              <w:jc w:val="center"/>
              <w:rPr>
                <w:sz w:val="18"/>
                <w:szCs w:val="18"/>
              </w:rPr>
            </w:pPr>
            <w:r>
              <w:rPr>
                <w:rFonts w:hint="eastAsia"/>
                <w:sz w:val="18"/>
                <w:szCs w:val="18"/>
              </w:rPr>
              <w:t>0.0</w:t>
            </w:r>
          </w:p>
        </w:tc>
        <w:tc>
          <w:tcPr>
            <w:tcW w:w="348" w:type="pct"/>
            <w:tcBorders>
              <w:top w:val="single" w:color="auto" w:sz="4" w:space="0"/>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0.5</w:t>
            </w:r>
          </w:p>
        </w:tc>
        <w:tc>
          <w:tcPr>
            <w:tcW w:w="399" w:type="pct"/>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sz w:val="18"/>
                <w:szCs w:val="18"/>
              </w:rPr>
            </w:pPr>
            <w:r>
              <w:rPr>
                <w:rFonts w:hint="eastAsia"/>
                <w:sz w:val="18"/>
                <w:szCs w:val="18"/>
              </w:rPr>
              <w:t>0.</w:t>
            </w:r>
            <w:r>
              <w:rPr>
                <w:sz w:val="18"/>
                <w:szCs w:val="18"/>
              </w:rPr>
              <w:t>01</w:t>
            </w:r>
          </w:p>
        </w:tc>
        <w:tc>
          <w:tcPr>
            <w:tcW w:w="339" w:type="pct"/>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sz w:val="18"/>
                <w:szCs w:val="18"/>
              </w:rPr>
            </w:pPr>
            <w:r>
              <w:rPr>
                <w:rFonts w:hint="eastAsia"/>
                <w:sz w:val="18"/>
                <w:szCs w:val="18"/>
              </w:rPr>
              <w:t>0.</w:t>
            </w:r>
            <w:r>
              <w:rPr>
                <w:sz w:val="18"/>
                <w:szCs w:val="18"/>
              </w:rPr>
              <w:t>04</w:t>
            </w:r>
          </w:p>
        </w:tc>
        <w:tc>
          <w:tcPr>
            <w:tcW w:w="341" w:type="pct"/>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sz w:val="18"/>
                <w:szCs w:val="18"/>
              </w:rPr>
            </w:pPr>
            <w:r>
              <w:rPr>
                <w:rFonts w:hint="eastAsia"/>
                <w:sz w:val="18"/>
                <w:szCs w:val="18"/>
              </w:rPr>
              <w:t>0.0</w:t>
            </w:r>
          </w:p>
        </w:tc>
        <w:tc>
          <w:tcPr>
            <w:tcW w:w="455" w:type="pct"/>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sz w:val="18"/>
                <w:szCs w:val="18"/>
              </w:rPr>
            </w:pPr>
            <w:r>
              <w:rPr>
                <w:rFonts w:hint="eastAsia"/>
                <w:sz w:val="18"/>
                <w:szCs w:val="18"/>
              </w:rPr>
              <w:t>0.</w:t>
            </w:r>
            <w:r>
              <w:rPr>
                <w:sz w:val="18"/>
                <w:szCs w:val="18"/>
              </w:rPr>
              <w:t>05</w:t>
            </w:r>
          </w:p>
        </w:tc>
        <w:tc>
          <w:tcPr>
            <w:tcW w:w="341" w:type="pct"/>
            <w:tcBorders>
              <w:top w:val="single" w:color="auto" w:sz="4" w:space="0"/>
              <w:left w:val="single" w:color="auto" w:sz="4" w:space="0"/>
              <w:bottom w:val="single" w:color="auto" w:sz="4" w:space="0"/>
              <w:right w:val="single" w:color="auto" w:sz="4" w:space="0"/>
            </w:tcBorders>
            <w:vAlign w:val="center"/>
          </w:tcPr>
          <w:p>
            <w:pPr>
              <w:widowControl/>
              <w:jc w:val="right"/>
              <w:rPr>
                <w:color w:val="000000"/>
                <w:kern w:val="0"/>
                <w:sz w:val="18"/>
                <w:szCs w:val="18"/>
              </w:rPr>
            </w:pPr>
            <w:r>
              <w:rPr>
                <w:rFonts w:hint="eastAsia"/>
                <w:color w:val="000000"/>
                <w:sz w:val="18"/>
                <w:szCs w:val="18"/>
              </w:rPr>
              <w:t xml:space="preserve">0.10 </w:t>
            </w:r>
          </w:p>
        </w:tc>
        <w:tc>
          <w:tcPr>
            <w:tcW w:w="398" w:type="pct"/>
            <w:tcBorders>
              <w:top w:val="single" w:color="auto" w:sz="4" w:space="0"/>
              <w:left w:val="single" w:color="auto" w:sz="4" w:space="0"/>
              <w:bottom w:val="single" w:color="auto" w:sz="4" w:space="0"/>
              <w:right w:val="single" w:color="auto" w:sz="4" w:space="0"/>
            </w:tcBorders>
            <w:vAlign w:val="center"/>
          </w:tcPr>
          <w:p>
            <w:pPr>
              <w:jc w:val="right"/>
              <w:rPr>
                <w:color w:val="000000"/>
                <w:sz w:val="18"/>
                <w:szCs w:val="18"/>
              </w:rPr>
            </w:pPr>
            <w:r>
              <w:rPr>
                <w:rFonts w:hint="eastAsia"/>
                <w:color w:val="000000"/>
                <w:sz w:val="18"/>
                <w:szCs w:val="18"/>
              </w:rPr>
              <w:t xml:space="preserve">0.17 </w:t>
            </w:r>
          </w:p>
        </w:tc>
        <w:tc>
          <w:tcPr>
            <w:tcW w:w="341" w:type="pct"/>
            <w:tcBorders>
              <w:top w:val="single" w:color="auto" w:sz="4" w:space="0"/>
              <w:left w:val="single" w:color="auto" w:sz="4" w:space="0"/>
              <w:bottom w:val="single" w:color="auto" w:sz="4" w:space="0"/>
              <w:right w:val="single" w:color="auto" w:sz="4" w:space="0"/>
            </w:tcBorders>
            <w:vAlign w:val="center"/>
          </w:tcPr>
          <w:p>
            <w:pPr>
              <w:jc w:val="right"/>
              <w:rPr>
                <w:color w:val="000000"/>
                <w:sz w:val="18"/>
                <w:szCs w:val="18"/>
              </w:rPr>
            </w:pPr>
            <w:r>
              <w:rPr>
                <w:rFonts w:hint="eastAsia"/>
                <w:color w:val="000000"/>
                <w:sz w:val="18"/>
                <w:szCs w:val="18"/>
              </w:rPr>
              <w:t xml:space="preserve">0.00 </w:t>
            </w:r>
          </w:p>
        </w:tc>
        <w:tc>
          <w:tcPr>
            <w:tcW w:w="625" w:type="pct"/>
            <w:tcBorders>
              <w:top w:val="single" w:color="auto" w:sz="4" w:space="0"/>
              <w:left w:val="single" w:color="auto" w:sz="4" w:space="0"/>
              <w:bottom w:val="single" w:color="auto" w:sz="4" w:space="0"/>
              <w:right w:val="single" w:color="auto" w:sz="4" w:space="0"/>
            </w:tcBorders>
            <w:vAlign w:val="center"/>
          </w:tcPr>
          <w:p>
            <w:pPr>
              <w:ind w:right="440"/>
              <w:jc w:val="center"/>
              <w:rPr>
                <w:color w:val="000000"/>
                <w:sz w:val="18"/>
                <w:szCs w:val="18"/>
              </w:rPr>
            </w:pPr>
            <w:r>
              <w:rPr>
                <w:rFonts w:hint="eastAsia"/>
                <w:color w:val="000000"/>
                <w:sz w:val="18"/>
                <w:szCs w:val="18"/>
              </w:rPr>
              <w:t>0.10</w:t>
            </w:r>
          </w:p>
        </w:tc>
      </w:tr>
      <w:tr>
        <w:tblPrEx>
          <w:tblCellMar>
            <w:top w:w="0" w:type="dxa"/>
            <w:left w:w="108" w:type="dxa"/>
            <w:bottom w:w="0" w:type="dxa"/>
            <w:right w:w="108" w:type="dxa"/>
          </w:tblCellMar>
        </w:tblPrEx>
        <w:trPr>
          <w:trHeight w:val="694" w:hRule="atLeast"/>
          <w:jc w:val="center"/>
        </w:trPr>
        <w:tc>
          <w:tcPr>
            <w:tcW w:w="227" w:type="pct"/>
            <w:tcBorders>
              <w:top w:val="nil"/>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2</w:t>
            </w:r>
          </w:p>
        </w:tc>
        <w:tc>
          <w:tcPr>
            <w:tcW w:w="371" w:type="pct"/>
            <w:tcBorders>
              <w:top w:val="nil"/>
              <w:left w:val="single" w:color="auto" w:sz="4" w:space="0"/>
              <w:bottom w:val="single" w:color="auto" w:sz="4" w:space="0"/>
              <w:right w:val="single" w:color="auto" w:sz="4" w:space="0"/>
            </w:tcBorders>
            <w:shd w:val="clear" w:color="auto" w:fill="auto"/>
            <w:noWrap/>
            <w:vAlign w:val="center"/>
          </w:tcPr>
          <w:p>
            <w:pPr>
              <w:jc w:val="center"/>
              <w:rPr>
                <w:sz w:val="18"/>
                <w:szCs w:val="18"/>
              </w:rPr>
            </w:pPr>
            <w:r>
              <w:rPr>
                <w:sz w:val="18"/>
                <w:szCs w:val="18"/>
              </w:rPr>
              <w:t>0.8</w:t>
            </w:r>
          </w:p>
        </w:tc>
        <w:tc>
          <w:tcPr>
            <w:tcW w:w="307" w:type="pct"/>
            <w:tcBorders>
              <w:top w:val="nil"/>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0.</w:t>
            </w:r>
            <w:r>
              <w:rPr>
                <w:rFonts w:hint="eastAsia"/>
                <w:sz w:val="18"/>
                <w:szCs w:val="18"/>
              </w:rPr>
              <w:t>10</w:t>
            </w:r>
          </w:p>
        </w:tc>
        <w:tc>
          <w:tcPr>
            <w:tcW w:w="255" w:type="pct"/>
            <w:tcBorders>
              <w:top w:val="nil"/>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0.2</w:t>
            </w:r>
          </w:p>
        </w:tc>
        <w:tc>
          <w:tcPr>
            <w:tcW w:w="251" w:type="pct"/>
            <w:tcBorders>
              <w:top w:val="nil"/>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0.2</w:t>
            </w:r>
          </w:p>
        </w:tc>
        <w:tc>
          <w:tcPr>
            <w:tcW w:w="348" w:type="pct"/>
            <w:tcBorders>
              <w:top w:val="nil"/>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0.5</w:t>
            </w:r>
          </w:p>
        </w:tc>
        <w:tc>
          <w:tcPr>
            <w:tcW w:w="399" w:type="pct"/>
            <w:tcBorders>
              <w:top w:val="nil"/>
              <w:left w:val="nil"/>
              <w:bottom w:val="single" w:color="auto" w:sz="4" w:space="0"/>
              <w:right w:val="single" w:color="auto" w:sz="4" w:space="0"/>
            </w:tcBorders>
            <w:shd w:val="clear" w:color="auto" w:fill="FFFFFF" w:themeFill="background1"/>
            <w:noWrap/>
            <w:vAlign w:val="center"/>
          </w:tcPr>
          <w:p>
            <w:pPr>
              <w:widowControl/>
              <w:jc w:val="center"/>
              <w:rPr>
                <w:sz w:val="18"/>
                <w:szCs w:val="18"/>
              </w:rPr>
            </w:pPr>
            <w:r>
              <w:rPr>
                <w:rFonts w:hint="eastAsia"/>
                <w:sz w:val="18"/>
                <w:szCs w:val="18"/>
              </w:rPr>
              <w:t>0.</w:t>
            </w:r>
            <w:r>
              <w:rPr>
                <w:sz w:val="18"/>
                <w:szCs w:val="18"/>
              </w:rPr>
              <w:t>08</w:t>
            </w:r>
          </w:p>
        </w:tc>
        <w:tc>
          <w:tcPr>
            <w:tcW w:w="339" w:type="pct"/>
            <w:tcBorders>
              <w:top w:val="nil"/>
              <w:left w:val="nil"/>
              <w:bottom w:val="single" w:color="auto" w:sz="4" w:space="0"/>
              <w:right w:val="single" w:color="auto" w:sz="4" w:space="0"/>
            </w:tcBorders>
            <w:shd w:val="clear" w:color="auto" w:fill="FFFFFF" w:themeFill="background1"/>
            <w:noWrap/>
            <w:vAlign w:val="center"/>
          </w:tcPr>
          <w:p>
            <w:pPr>
              <w:widowControl/>
              <w:jc w:val="center"/>
              <w:rPr>
                <w:sz w:val="18"/>
                <w:szCs w:val="18"/>
              </w:rPr>
            </w:pPr>
            <w:r>
              <w:rPr>
                <w:rFonts w:hint="eastAsia"/>
                <w:sz w:val="18"/>
                <w:szCs w:val="18"/>
              </w:rPr>
              <w:t>0.</w:t>
            </w:r>
            <w:r>
              <w:rPr>
                <w:sz w:val="18"/>
                <w:szCs w:val="18"/>
              </w:rPr>
              <w:t>16</w:t>
            </w:r>
          </w:p>
        </w:tc>
        <w:tc>
          <w:tcPr>
            <w:tcW w:w="341" w:type="pct"/>
            <w:tcBorders>
              <w:top w:val="nil"/>
              <w:left w:val="nil"/>
              <w:bottom w:val="single" w:color="auto" w:sz="4" w:space="0"/>
              <w:right w:val="single" w:color="auto" w:sz="4" w:space="0"/>
            </w:tcBorders>
            <w:shd w:val="clear" w:color="auto" w:fill="FFFFFF" w:themeFill="background1"/>
            <w:noWrap/>
            <w:vAlign w:val="center"/>
          </w:tcPr>
          <w:p>
            <w:pPr>
              <w:widowControl/>
              <w:jc w:val="center"/>
              <w:rPr>
                <w:sz w:val="18"/>
                <w:szCs w:val="18"/>
              </w:rPr>
            </w:pPr>
            <w:r>
              <w:rPr>
                <w:rFonts w:hint="eastAsia"/>
                <w:sz w:val="18"/>
                <w:szCs w:val="18"/>
              </w:rPr>
              <w:t>0.</w:t>
            </w:r>
            <w:r>
              <w:rPr>
                <w:sz w:val="18"/>
                <w:szCs w:val="18"/>
              </w:rPr>
              <w:t>16</w:t>
            </w:r>
          </w:p>
        </w:tc>
        <w:tc>
          <w:tcPr>
            <w:tcW w:w="455" w:type="pct"/>
            <w:tcBorders>
              <w:top w:val="nil"/>
              <w:left w:val="nil"/>
              <w:bottom w:val="single" w:color="auto" w:sz="4" w:space="0"/>
              <w:right w:val="single" w:color="auto" w:sz="4" w:space="0"/>
            </w:tcBorders>
            <w:shd w:val="clear" w:color="auto" w:fill="FFFFFF" w:themeFill="background1"/>
            <w:noWrap/>
            <w:vAlign w:val="center"/>
          </w:tcPr>
          <w:p>
            <w:pPr>
              <w:widowControl/>
              <w:jc w:val="center"/>
              <w:rPr>
                <w:sz w:val="18"/>
                <w:szCs w:val="18"/>
              </w:rPr>
            </w:pPr>
            <w:r>
              <w:rPr>
                <w:rFonts w:hint="eastAsia"/>
                <w:sz w:val="18"/>
                <w:szCs w:val="18"/>
              </w:rPr>
              <w:t>0.</w:t>
            </w:r>
            <w:r>
              <w:rPr>
                <w:sz w:val="18"/>
                <w:szCs w:val="18"/>
              </w:rPr>
              <w:t>40</w:t>
            </w:r>
          </w:p>
        </w:tc>
        <w:tc>
          <w:tcPr>
            <w:tcW w:w="341" w:type="pct"/>
            <w:tcBorders>
              <w:top w:val="single" w:color="auto" w:sz="4" w:space="0"/>
              <w:left w:val="single" w:color="auto" w:sz="4" w:space="0"/>
              <w:bottom w:val="single" w:color="auto" w:sz="4" w:space="0"/>
              <w:right w:val="single" w:color="auto" w:sz="4" w:space="0"/>
            </w:tcBorders>
            <w:vAlign w:val="center"/>
          </w:tcPr>
          <w:p>
            <w:pPr>
              <w:jc w:val="right"/>
              <w:rPr>
                <w:color w:val="000000"/>
                <w:sz w:val="18"/>
                <w:szCs w:val="18"/>
              </w:rPr>
            </w:pPr>
            <w:r>
              <w:rPr>
                <w:rFonts w:hint="eastAsia"/>
                <w:color w:val="000000"/>
                <w:sz w:val="18"/>
                <w:szCs w:val="18"/>
              </w:rPr>
              <w:t xml:space="preserve">0.80 </w:t>
            </w:r>
          </w:p>
        </w:tc>
        <w:tc>
          <w:tcPr>
            <w:tcW w:w="398" w:type="pct"/>
            <w:tcBorders>
              <w:top w:val="single" w:color="auto" w:sz="4" w:space="0"/>
              <w:left w:val="single" w:color="auto" w:sz="4" w:space="0"/>
              <w:bottom w:val="single" w:color="auto" w:sz="4" w:space="0"/>
              <w:right w:val="single" w:color="auto" w:sz="4" w:space="0"/>
            </w:tcBorders>
            <w:vAlign w:val="center"/>
          </w:tcPr>
          <w:p>
            <w:pPr>
              <w:jc w:val="right"/>
              <w:rPr>
                <w:color w:val="000000"/>
                <w:sz w:val="18"/>
                <w:szCs w:val="18"/>
              </w:rPr>
            </w:pPr>
            <w:r>
              <w:rPr>
                <w:rFonts w:hint="eastAsia"/>
                <w:color w:val="000000"/>
                <w:sz w:val="18"/>
                <w:szCs w:val="18"/>
              </w:rPr>
              <w:t xml:space="preserve">0.70 </w:t>
            </w:r>
          </w:p>
        </w:tc>
        <w:tc>
          <w:tcPr>
            <w:tcW w:w="341" w:type="pct"/>
            <w:tcBorders>
              <w:top w:val="single" w:color="auto" w:sz="4" w:space="0"/>
              <w:left w:val="single" w:color="auto" w:sz="4" w:space="0"/>
              <w:bottom w:val="single" w:color="auto" w:sz="4" w:space="0"/>
              <w:right w:val="single" w:color="auto" w:sz="4" w:space="0"/>
            </w:tcBorders>
            <w:vAlign w:val="center"/>
          </w:tcPr>
          <w:p>
            <w:pPr>
              <w:jc w:val="right"/>
              <w:rPr>
                <w:color w:val="000000"/>
                <w:sz w:val="18"/>
                <w:szCs w:val="18"/>
              </w:rPr>
            </w:pPr>
            <w:r>
              <w:rPr>
                <w:rFonts w:hint="eastAsia"/>
                <w:color w:val="000000"/>
                <w:sz w:val="18"/>
                <w:szCs w:val="18"/>
              </w:rPr>
              <w:t xml:space="preserve">0.94 </w:t>
            </w:r>
          </w:p>
        </w:tc>
        <w:tc>
          <w:tcPr>
            <w:tcW w:w="625" w:type="pct"/>
            <w:tcBorders>
              <w:top w:val="single" w:color="auto" w:sz="4" w:space="0"/>
              <w:left w:val="single" w:color="auto" w:sz="4" w:space="0"/>
              <w:bottom w:val="single" w:color="auto" w:sz="4" w:space="0"/>
              <w:right w:val="single" w:color="auto" w:sz="4" w:space="0"/>
            </w:tcBorders>
            <w:vAlign w:val="center"/>
          </w:tcPr>
          <w:p>
            <w:pPr>
              <w:ind w:right="440"/>
              <w:jc w:val="center"/>
              <w:rPr>
                <w:color w:val="000000"/>
                <w:sz w:val="18"/>
                <w:szCs w:val="18"/>
              </w:rPr>
            </w:pPr>
            <w:r>
              <w:rPr>
                <w:rFonts w:hint="eastAsia"/>
                <w:color w:val="000000"/>
                <w:sz w:val="18"/>
                <w:szCs w:val="18"/>
              </w:rPr>
              <w:t>0.80</w:t>
            </w:r>
          </w:p>
        </w:tc>
      </w:tr>
      <w:tr>
        <w:tblPrEx>
          <w:tblCellMar>
            <w:top w:w="0" w:type="dxa"/>
            <w:left w:w="108" w:type="dxa"/>
            <w:bottom w:w="0" w:type="dxa"/>
            <w:right w:w="108" w:type="dxa"/>
          </w:tblCellMar>
        </w:tblPrEx>
        <w:trPr>
          <w:trHeight w:val="690" w:hRule="atLeast"/>
          <w:jc w:val="center"/>
        </w:trPr>
        <w:tc>
          <w:tcPr>
            <w:tcW w:w="227" w:type="pct"/>
            <w:tcBorders>
              <w:top w:val="nil"/>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3</w:t>
            </w:r>
          </w:p>
        </w:tc>
        <w:tc>
          <w:tcPr>
            <w:tcW w:w="371" w:type="pct"/>
            <w:tcBorders>
              <w:top w:val="nil"/>
              <w:left w:val="single" w:color="auto" w:sz="4" w:space="0"/>
              <w:bottom w:val="single" w:color="auto" w:sz="4" w:space="0"/>
              <w:right w:val="single" w:color="auto" w:sz="4" w:space="0"/>
            </w:tcBorders>
            <w:shd w:val="clear" w:color="auto" w:fill="auto"/>
            <w:noWrap/>
            <w:vAlign w:val="center"/>
          </w:tcPr>
          <w:p>
            <w:pPr>
              <w:jc w:val="center"/>
              <w:rPr>
                <w:sz w:val="18"/>
                <w:szCs w:val="18"/>
              </w:rPr>
            </w:pPr>
            <w:r>
              <w:rPr>
                <w:sz w:val="18"/>
                <w:szCs w:val="18"/>
              </w:rPr>
              <w:t>0.1</w:t>
            </w:r>
          </w:p>
        </w:tc>
        <w:tc>
          <w:tcPr>
            <w:tcW w:w="307" w:type="pct"/>
            <w:tcBorders>
              <w:top w:val="nil"/>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0.</w:t>
            </w:r>
            <w:r>
              <w:rPr>
                <w:rFonts w:hint="eastAsia"/>
                <w:sz w:val="18"/>
                <w:szCs w:val="18"/>
              </w:rPr>
              <w:t>10</w:t>
            </w:r>
          </w:p>
        </w:tc>
        <w:tc>
          <w:tcPr>
            <w:tcW w:w="255" w:type="pct"/>
            <w:tcBorders>
              <w:top w:val="nil"/>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0.3</w:t>
            </w:r>
          </w:p>
        </w:tc>
        <w:tc>
          <w:tcPr>
            <w:tcW w:w="251" w:type="pct"/>
            <w:tcBorders>
              <w:top w:val="nil"/>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0.</w:t>
            </w:r>
            <w:r>
              <w:rPr>
                <w:rFonts w:hint="eastAsia"/>
                <w:sz w:val="18"/>
                <w:szCs w:val="18"/>
              </w:rPr>
              <w:t>10</w:t>
            </w:r>
          </w:p>
        </w:tc>
        <w:tc>
          <w:tcPr>
            <w:tcW w:w="348" w:type="pct"/>
            <w:tcBorders>
              <w:top w:val="nil"/>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0.5</w:t>
            </w:r>
          </w:p>
        </w:tc>
        <w:tc>
          <w:tcPr>
            <w:tcW w:w="399" w:type="pct"/>
            <w:tcBorders>
              <w:top w:val="nil"/>
              <w:left w:val="nil"/>
              <w:bottom w:val="single" w:color="auto" w:sz="4" w:space="0"/>
              <w:right w:val="single" w:color="auto" w:sz="4" w:space="0"/>
            </w:tcBorders>
            <w:shd w:val="clear" w:color="auto" w:fill="FFFFFF" w:themeFill="background1"/>
            <w:noWrap/>
            <w:vAlign w:val="center"/>
          </w:tcPr>
          <w:p>
            <w:pPr>
              <w:widowControl/>
              <w:jc w:val="center"/>
              <w:rPr>
                <w:sz w:val="18"/>
                <w:szCs w:val="18"/>
              </w:rPr>
            </w:pPr>
            <w:r>
              <w:rPr>
                <w:rFonts w:hint="eastAsia"/>
                <w:sz w:val="18"/>
                <w:szCs w:val="18"/>
              </w:rPr>
              <w:t>0.</w:t>
            </w:r>
            <w:r>
              <w:rPr>
                <w:sz w:val="18"/>
                <w:szCs w:val="18"/>
              </w:rPr>
              <w:t>01</w:t>
            </w:r>
          </w:p>
        </w:tc>
        <w:tc>
          <w:tcPr>
            <w:tcW w:w="339" w:type="pct"/>
            <w:tcBorders>
              <w:top w:val="nil"/>
              <w:left w:val="nil"/>
              <w:bottom w:val="single" w:color="auto" w:sz="4" w:space="0"/>
              <w:right w:val="single" w:color="auto" w:sz="4" w:space="0"/>
            </w:tcBorders>
            <w:shd w:val="clear" w:color="auto" w:fill="FFFFFF" w:themeFill="background1"/>
            <w:noWrap/>
            <w:vAlign w:val="center"/>
          </w:tcPr>
          <w:p>
            <w:pPr>
              <w:widowControl/>
              <w:jc w:val="center"/>
              <w:rPr>
                <w:sz w:val="18"/>
                <w:szCs w:val="18"/>
              </w:rPr>
            </w:pPr>
            <w:r>
              <w:rPr>
                <w:rFonts w:hint="eastAsia"/>
                <w:sz w:val="18"/>
                <w:szCs w:val="18"/>
              </w:rPr>
              <w:t>0.</w:t>
            </w:r>
            <w:r>
              <w:rPr>
                <w:sz w:val="18"/>
                <w:szCs w:val="18"/>
              </w:rPr>
              <w:t>03</w:t>
            </w:r>
          </w:p>
        </w:tc>
        <w:tc>
          <w:tcPr>
            <w:tcW w:w="341" w:type="pct"/>
            <w:tcBorders>
              <w:top w:val="nil"/>
              <w:left w:val="nil"/>
              <w:bottom w:val="single" w:color="auto" w:sz="4" w:space="0"/>
              <w:right w:val="single" w:color="auto" w:sz="4" w:space="0"/>
            </w:tcBorders>
            <w:shd w:val="clear" w:color="auto" w:fill="FFFFFF" w:themeFill="background1"/>
            <w:noWrap/>
            <w:vAlign w:val="center"/>
          </w:tcPr>
          <w:p>
            <w:pPr>
              <w:widowControl/>
              <w:jc w:val="center"/>
              <w:rPr>
                <w:sz w:val="18"/>
                <w:szCs w:val="18"/>
              </w:rPr>
            </w:pPr>
            <w:r>
              <w:rPr>
                <w:rFonts w:hint="eastAsia"/>
                <w:sz w:val="18"/>
                <w:szCs w:val="18"/>
              </w:rPr>
              <w:t>0.</w:t>
            </w:r>
            <w:r>
              <w:rPr>
                <w:sz w:val="18"/>
                <w:szCs w:val="18"/>
              </w:rPr>
              <w:t>01</w:t>
            </w:r>
          </w:p>
        </w:tc>
        <w:tc>
          <w:tcPr>
            <w:tcW w:w="455" w:type="pct"/>
            <w:tcBorders>
              <w:top w:val="nil"/>
              <w:left w:val="nil"/>
              <w:bottom w:val="single" w:color="auto" w:sz="4" w:space="0"/>
              <w:right w:val="single" w:color="auto" w:sz="4" w:space="0"/>
            </w:tcBorders>
            <w:shd w:val="clear" w:color="auto" w:fill="FFFFFF" w:themeFill="background1"/>
            <w:noWrap/>
            <w:vAlign w:val="center"/>
          </w:tcPr>
          <w:p>
            <w:pPr>
              <w:widowControl/>
              <w:jc w:val="center"/>
              <w:rPr>
                <w:sz w:val="18"/>
                <w:szCs w:val="18"/>
              </w:rPr>
            </w:pPr>
            <w:r>
              <w:rPr>
                <w:rFonts w:hint="eastAsia"/>
                <w:sz w:val="18"/>
                <w:szCs w:val="18"/>
              </w:rPr>
              <w:t>0.</w:t>
            </w:r>
            <w:r>
              <w:rPr>
                <w:sz w:val="18"/>
                <w:szCs w:val="18"/>
              </w:rPr>
              <w:t>05</w:t>
            </w:r>
          </w:p>
        </w:tc>
        <w:tc>
          <w:tcPr>
            <w:tcW w:w="341" w:type="pct"/>
            <w:tcBorders>
              <w:top w:val="single" w:color="auto" w:sz="4" w:space="0"/>
              <w:left w:val="single" w:color="auto" w:sz="4" w:space="0"/>
              <w:bottom w:val="single" w:color="auto" w:sz="4" w:space="0"/>
              <w:right w:val="single" w:color="auto" w:sz="4" w:space="0"/>
            </w:tcBorders>
            <w:vAlign w:val="center"/>
          </w:tcPr>
          <w:p>
            <w:pPr>
              <w:jc w:val="right"/>
              <w:rPr>
                <w:color w:val="000000"/>
                <w:sz w:val="18"/>
                <w:szCs w:val="18"/>
              </w:rPr>
            </w:pPr>
            <w:r>
              <w:rPr>
                <w:rFonts w:hint="eastAsia"/>
                <w:color w:val="000000"/>
                <w:sz w:val="18"/>
                <w:szCs w:val="18"/>
              </w:rPr>
              <w:t xml:space="preserve">0.10 </w:t>
            </w:r>
          </w:p>
        </w:tc>
        <w:tc>
          <w:tcPr>
            <w:tcW w:w="398" w:type="pct"/>
            <w:tcBorders>
              <w:top w:val="single" w:color="auto" w:sz="4" w:space="0"/>
              <w:left w:val="single" w:color="auto" w:sz="4" w:space="0"/>
              <w:bottom w:val="single" w:color="auto" w:sz="4" w:space="0"/>
              <w:right w:val="single" w:color="auto" w:sz="4" w:space="0"/>
            </w:tcBorders>
            <w:vAlign w:val="center"/>
          </w:tcPr>
          <w:p>
            <w:pPr>
              <w:jc w:val="right"/>
              <w:rPr>
                <w:color w:val="000000"/>
                <w:sz w:val="18"/>
                <w:szCs w:val="18"/>
              </w:rPr>
            </w:pPr>
            <w:r>
              <w:rPr>
                <w:rFonts w:hint="eastAsia"/>
                <w:color w:val="000000"/>
                <w:sz w:val="18"/>
                <w:szCs w:val="18"/>
              </w:rPr>
              <w:t xml:space="preserve">0.13 </w:t>
            </w:r>
          </w:p>
        </w:tc>
        <w:tc>
          <w:tcPr>
            <w:tcW w:w="341" w:type="pct"/>
            <w:tcBorders>
              <w:top w:val="single" w:color="auto" w:sz="4" w:space="0"/>
              <w:left w:val="single" w:color="auto" w:sz="4" w:space="0"/>
              <w:bottom w:val="single" w:color="auto" w:sz="4" w:space="0"/>
              <w:right w:val="single" w:color="auto" w:sz="4" w:space="0"/>
            </w:tcBorders>
            <w:vAlign w:val="center"/>
          </w:tcPr>
          <w:p>
            <w:pPr>
              <w:jc w:val="right"/>
              <w:rPr>
                <w:color w:val="000000"/>
                <w:sz w:val="18"/>
                <w:szCs w:val="18"/>
              </w:rPr>
            </w:pPr>
            <w:r>
              <w:rPr>
                <w:rFonts w:hint="eastAsia"/>
                <w:color w:val="000000"/>
                <w:sz w:val="18"/>
                <w:szCs w:val="18"/>
              </w:rPr>
              <w:t xml:space="preserve">0.06 </w:t>
            </w:r>
          </w:p>
        </w:tc>
        <w:tc>
          <w:tcPr>
            <w:tcW w:w="625" w:type="pct"/>
            <w:tcBorders>
              <w:top w:val="single" w:color="auto" w:sz="4" w:space="0"/>
              <w:left w:val="single" w:color="auto" w:sz="4" w:space="0"/>
              <w:bottom w:val="single" w:color="auto" w:sz="4" w:space="0"/>
              <w:right w:val="single" w:color="auto" w:sz="4" w:space="0"/>
            </w:tcBorders>
            <w:vAlign w:val="center"/>
          </w:tcPr>
          <w:p>
            <w:pPr>
              <w:ind w:right="440"/>
              <w:jc w:val="center"/>
              <w:rPr>
                <w:color w:val="000000"/>
                <w:sz w:val="18"/>
                <w:szCs w:val="18"/>
              </w:rPr>
            </w:pPr>
            <w:r>
              <w:rPr>
                <w:rFonts w:hint="eastAsia"/>
                <w:color w:val="000000"/>
                <w:sz w:val="18"/>
                <w:szCs w:val="18"/>
              </w:rPr>
              <w:t>0.10</w:t>
            </w:r>
          </w:p>
        </w:tc>
      </w:tr>
      <w:tr>
        <w:tblPrEx>
          <w:tblCellMar>
            <w:top w:w="0" w:type="dxa"/>
            <w:left w:w="108" w:type="dxa"/>
            <w:bottom w:w="0" w:type="dxa"/>
            <w:right w:w="108" w:type="dxa"/>
          </w:tblCellMar>
        </w:tblPrEx>
        <w:trPr>
          <w:trHeight w:val="1026" w:hRule="atLeast"/>
          <w:jc w:val="center"/>
        </w:trPr>
        <w:tc>
          <w:tcPr>
            <w:tcW w:w="1760" w:type="pct"/>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各环节对课程目标达成的贡献率（</w:t>
            </w:r>
            <w:r>
              <w:rPr>
                <w:rFonts w:hint="eastAsia" w:ascii="宋体" w:hAnsi="宋体" w:cs="宋体"/>
                <w:i/>
                <w:kern w:val="0"/>
                <w:sz w:val="18"/>
                <w:szCs w:val="18"/>
              </w:rPr>
              <w:t>M</w:t>
            </w:r>
            <w:r>
              <w:rPr>
                <w:rFonts w:hint="eastAsia" w:ascii="宋体" w:hAnsi="宋体" w:cs="宋体"/>
                <w:i/>
                <w:kern w:val="0"/>
                <w:sz w:val="18"/>
                <w:szCs w:val="18"/>
                <w:vertAlign w:val="subscript"/>
              </w:rPr>
              <w:t>k</w:t>
            </w:r>
            <w:r>
              <w:rPr>
                <w:rFonts w:hint="eastAsia" w:ascii="宋体" w:hAnsi="宋体" w:cs="宋体"/>
                <w:kern w:val="0"/>
                <w:sz w:val="18"/>
                <w:szCs w:val="18"/>
              </w:rPr>
              <w:t>）</w:t>
            </w:r>
          </w:p>
        </w:tc>
        <w:tc>
          <w:tcPr>
            <w:tcW w:w="39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jc w:val="center"/>
              <w:rPr>
                <w:sz w:val="18"/>
                <w:szCs w:val="18"/>
              </w:rPr>
            </w:pPr>
            <w:r>
              <w:rPr>
                <w:rFonts w:hint="eastAsia"/>
                <w:sz w:val="18"/>
                <w:szCs w:val="18"/>
              </w:rPr>
              <w:t>0.</w:t>
            </w:r>
            <w:r>
              <w:rPr>
                <w:sz w:val="18"/>
                <w:szCs w:val="18"/>
              </w:rPr>
              <w:t>10</w:t>
            </w:r>
          </w:p>
        </w:tc>
        <w:tc>
          <w:tcPr>
            <w:tcW w:w="339" w:type="pct"/>
            <w:tcBorders>
              <w:top w:val="single" w:color="auto" w:sz="4" w:space="0"/>
              <w:left w:val="nil"/>
              <w:bottom w:val="single" w:color="auto" w:sz="4" w:space="0"/>
              <w:right w:val="single" w:color="auto" w:sz="4" w:space="0"/>
            </w:tcBorders>
            <w:shd w:val="clear" w:color="auto" w:fill="FFFFFF" w:themeFill="background1"/>
            <w:noWrap/>
            <w:vAlign w:val="center"/>
          </w:tcPr>
          <w:p>
            <w:pPr>
              <w:jc w:val="center"/>
              <w:rPr>
                <w:sz w:val="18"/>
                <w:szCs w:val="18"/>
              </w:rPr>
            </w:pPr>
            <w:r>
              <w:rPr>
                <w:rFonts w:hint="eastAsia"/>
                <w:sz w:val="18"/>
                <w:szCs w:val="18"/>
              </w:rPr>
              <w:t>0.</w:t>
            </w:r>
            <w:r>
              <w:rPr>
                <w:sz w:val="18"/>
                <w:szCs w:val="18"/>
              </w:rPr>
              <w:t>23</w:t>
            </w:r>
          </w:p>
        </w:tc>
        <w:tc>
          <w:tcPr>
            <w:tcW w:w="341" w:type="pct"/>
            <w:tcBorders>
              <w:top w:val="single" w:color="auto" w:sz="4" w:space="0"/>
              <w:left w:val="nil"/>
              <w:bottom w:val="single" w:color="auto" w:sz="4" w:space="0"/>
              <w:right w:val="single" w:color="auto" w:sz="4" w:space="0"/>
            </w:tcBorders>
            <w:shd w:val="clear" w:color="auto" w:fill="FFFFFF" w:themeFill="background1"/>
            <w:noWrap/>
            <w:vAlign w:val="center"/>
          </w:tcPr>
          <w:p>
            <w:pPr>
              <w:jc w:val="center"/>
              <w:rPr>
                <w:sz w:val="18"/>
                <w:szCs w:val="18"/>
              </w:rPr>
            </w:pPr>
            <w:r>
              <w:rPr>
                <w:rFonts w:hint="eastAsia"/>
                <w:sz w:val="18"/>
                <w:szCs w:val="18"/>
              </w:rPr>
              <w:t>0.</w:t>
            </w:r>
            <w:r>
              <w:rPr>
                <w:sz w:val="18"/>
                <w:szCs w:val="18"/>
              </w:rPr>
              <w:t>17</w:t>
            </w:r>
          </w:p>
        </w:tc>
        <w:tc>
          <w:tcPr>
            <w:tcW w:w="455" w:type="pct"/>
            <w:tcBorders>
              <w:top w:val="single" w:color="auto" w:sz="4" w:space="0"/>
              <w:left w:val="nil"/>
              <w:bottom w:val="single" w:color="auto" w:sz="4" w:space="0"/>
              <w:right w:val="single" w:color="auto" w:sz="4" w:space="0"/>
            </w:tcBorders>
            <w:shd w:val="clear" w:color="auto" w:fill="FFFFFF" w:themeFill="background1"/>
            <w:noWrap/>
            <w:vAlign w:val="center"/>
          </w:tcPr>
          <w:p>
            <w:pPr>
              <w:jc w:val="center"/>
              <w:rPr>
                <w:sz w:val="18"/>
                <w:szCs w:val="18"/>
              </w:rPr>
            </w:pPr>
            <w:r>
              <w:rPr>
                <w:rFonts w:hint="eastAsia"/>
                <w:sz w:val="18"/>
                <w:szCs w:val="18"/>
              </w:rPr>
              <w:t>0.</w:t>
            </w:r>
            <w:r>
              <w:rPr>
                <w:sz w:val="18"/>
                <w:szCs w:val="18"/>
              </w:rPr>
              <w:t>50</w:t>
            </w:r>
          </w:p>
        </w:tc>
        <w:tc>
          <w:tcPr>
            <w:tcW w:w="1705" w:type="pct"/>
            <w:gridSpan w:val="4"/>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教师出题或布置作业时</w:t>
            </w:r>
          </w:p>
          <w:p>
            <w:pPr>
              <w:jc w:val="center"/>
              <w:rPr>
                <w:b/>
                <w:sz w:val="18"/>
                <w:szCs w:val="18"/>
              </w:rPr>
            </w:pPr>
            <w:r>
              <w:rPr>
                <w:sz w:val="18"/>
                <w:szCs w:val="18"/>
              </w:rPr>
              <w:t>要尽量做到按照以上比例布局</w:t>
            </w:r>
          </w:p>
        </w:tc>
      </w:tr>
    </w:tbl>
    <w:p>
      <w:pPr>
        <w:spacing w:line="360" w:lineRule="auto"/>
        <w:ind w:right="-1611" w:rightChars="-767"/>
      </w:pPr>
    </w:p>
    <w:p>
      <w:pPr>
        <w:spacing w:line="360" w:lineRule="auto"/>
        <w:ind w:firstLine="420" w:firstLineChars="200"/>
        <w:rPr>
          <w:szCs w:val="21"/>
        </w:rPr>
        <w:sectPr>
          <w:pgSz w:w="16838" w:h="11906" w:orient="landscape"/>
          <w:pgMar w:top="1797" w:right="1440" w:bottom="1797" w:left="1440" w:header="851" w:footer="992" w:gutter="0"/>
          <w:pgNumType w:fmt="decimal"/>
          <w:cols w:space="425" w:num="1"/>
          <w:docGrid w:type="lines" w:linePitch="312" w:charSpace="0"/>
        </w:sectPr>
      </w:pPr>
    </w:p>
    <w:p>
      <w:pPr>
        <w:spacing w:line="360" w:lineRule="auto"/>
        <w:ind w:firstLine="420" w:firstLineChars="200"/>
        <w:rPr>
          <w:szCs w:val="21"/>
        </w:rPr>
      </w:pPr>
      <w:r>
        <w:rPr>
          <w:rFonts w:hint="eastAsia"/>
          <w:szCs w:val="21"/>
        </w:rPr>
        <w:t>采用达成值计算法，辅以对学生的问卷调查法。</w:t>
      </w:r>
    </w:p>
    <w:p>
      <w:pPr>
        <w:spacing w:line="360" w:lineRule="auto"/>
        <w:ind w:firstLine="422" w:firstLineChars="200"/>
        <w:rPr>
          <w:b/>
          <w:bCs/>
          <w:szCs w:val="21"/>
        </w:rPr>
      </w:pPr>
      <w:r>
        <w:rPr>
          <w:rFonts w:hint="eastAsia"/>
          <w:b/>
          <w:bCs/>
          <w:szCs w:val="21"/>
        </w:rPr>
        <w:t>课程目标定量评价：</w:t>
      </w:r>
    </w:p>
    <w:p>
      <w:pPr>
        <w:spacing w:line="360" w:lineRule="auto"/>
        <w:ind w:firstLine="420" w:firstLineChars="200"/>
        <w:rPr>
          <w:szCs w:val="21"/>
        </w:rPr>
      </w:pPr>
      <w:r>
        <w:rPr>
          <w:szCs w:val="21"/>
        </w:rPr>
        <w:t>达成值计算法结合上表权重分配，采用</w:t>
      </w:r>
      <w:r>
        <w:rPr>
          <w:rFonts w:hint="eastAsia"/>
          <w:szCs w:val="21"/>
        </w:rPr>
        <w:t>下表进行计算。</w:t>
      </w:r>
    </w:p>
    <w:p>
      <w:pPr>
        <w:spacing w:line="360" w:lineRule="auto"/>
        <w:ind w:firstLine="420" w:firstLineChars="200"/>
        <w:rPr>
          <w:szCs w:val="21"/>
        </w:rPr>
      </w:pPr>
      <w:r>
        <w:rPr>
          <w:szCs w:val="21"/>
        </w:rPr>
        <w:t>单一课程目标达成度评价采用下式：</w:t>
      </w:r>
    </w:p>
    <w:p>
      <w:pPr>
        <w:spacing w:line="360" w:lineRule="auto"/>
        <w:ind w:firstLine="420" w:firstLineChars="200"/>
        <w:rPr>
          <w:szCs w:val="21"/>
        </w:rPr>
      </w:pPr>
      <w:r>
        <w:rPr>
          <w:position w:val="-30"/>
          <w:szCs w:val="21"/>
        </w:rPr>
        <w:object>
          <v:shape id="_x0000_i1043" o:spt="75" type="#_x0000_t75" style="height:36pt;width:165.5pt;" o:ole="t" filled="f" o:preferrelative="t" stroked="f" coordsize="21600,21600">
            <v:path/>
            <v:fill on="f" focussize="0,0"/>
            <v:stroke on="f" joinstyle="miter"/>
            <v:imagedata r:id="rId145" o:title=""/>
            <o:lock v:ext="edit" aspectratio="t"/>
            <w10:wrap type="none"/>
            <w10:anchorlock/>
          </v:shape>
          <o:OLEObject Type="Embed" ProgID="Equation.3" ShapeID="_x0000_i1043" DrawAspect="Content" ObjectID="_1468075743" r:id="rId168">
            <o:LockedField>false</o:LockedField>
          </o:OLEObject>
        </w:object>
      </w:r>
    </w:p>
    <w:p>
      <w:pPr>
        <w:spacing w:line="360" w:lineRule="auto"/>
        <w:ind w:firstLine="420" w:firstLineChars="200"/>
        <w:rPr>
          <w:szCs w:val="21"/>
        </w:rPr>
      </w:pPr>
      <w:r>
        <w:rPr>
          <w:szCs w:val="21"/>
        </w:rPr>
        <w:t>总的课程目标达成度评价采用下式：</w:t>
      </w:r>
    </w:p>
    <w:p>
      <w:pPr>
        <w:spacing w:line="360" w:lineRule="auto"/>
        <w:ind w:firstLine="420" w:firstLineChars="200"/>
        <w:rPr>
          <w:szCs w:val="21"/>
        </w:rPr>
      </w:pPr>
      <w:r>
        <w:rPr>
          <w:position w:val="-30"/>
          <w:szCs w:val="21"/>
        </w:rPr>
        <w:object>
          <v:shape id="_x0000_i1044" o:spt="75" type="#_x0000_t75" style="height:36pt;width:150pt;" o:ole="t" filled="f" o:preferrelative="t" stroked="f" coordsize="21600,21600">
            <v:path/>
            <v:fill on="f" focussize="0,0"/>
            <v:stroke on="f" joinstyle="miter"/>
            <v:imagedata r:id="rId147" o:title=""/>
            <o:lock v:ext="edit" aspectratio="t"/>
            <w10:wrap type="none"/>
            <w10:anchorlock/>
          </v:shape>
          <o:OLEObject Type="Embed" ProgID="Equation.3" ShapeID="_x0000_i1044" DrawAspect="Content" ObjectID="_1468075744" r:id="rId169">
            <o:LockedField>false</o:LockedField>
          </o:OLEObject>
        </w:object>
      </w:r>
    </w:p>
    <w:p>
      <w:pPr>
        <w:spacing w:line="360" w:lineRule="auto"/>
        <w:ind w:firstLine="420" w:firstLineChars="200"/>
        <w:rPr>
          <w:szCs w:val="21"/>
        </w:rPr>
      </w:pPr>
      <w:r>
        <w:rPr>
          <w:szCs w:val="21"/>
        </w:rPr>
        <w:t>以上公式中：</w:t>
      </w:r>
    </w:p>
    <w:p>
      <w:pPr>
        <w:spacing w:line="360" w:lineRule="auto"/>
        <w:ind w:firstLine="420" w:firstLineChars="200"/>
        <w:rPr>
          <w:szCs w:val="21"/>
        </w:rPr>
      </w:pPr>
      <w:r>
        <w:rPr>
          <w:i/>
          <w:szCs w:val="21"/>
        </w:rPr>
        <w:t>k</w:t>
      </w:r>
      <w:r>
        <w:rPr>
          <w:szCs w:val="21"/>
        </w:rPr>
        <w:t>表示不同的评价方式，</w:t>
      </w:r>
      <w:r>
        <w:rPr>
          <w:i/>
          <w:szCs w:val="21"/>
        </w:rPr>
        <w:t>i</w:t>
      </w:r>
      <w:r>
        <w:rPr>
          <w:szCs w:val="21"/>
        </w:rPr>
        <w:t>表示不同的课程目标。</w:t>
      </w:r>
    </w:p>
    <w:p>
      <w:pPr>
        <w:spacing w:line="360" w:lineRule="auto"/>
        <w:ind w:firstLine="420" w:firstLineChars="200"/>
      </w:pPr>
      <w:r>
        <w:rPr>
          <w:position w:val="-10"/>
        </w:rPr>
        <w:object>
          <v:shape id="_x0000_i1045" o:spt="75" type="#_x0000_t75" style="height:17.5pt;width:14.5pt;" o:ole="t" filled="f" o:preferrelative="t" stroked="f" coordsize="21600,21600">
            <v:path/>
            <v:fill on="f" focussize="0,0"/>
            <v:stroke on="f" joinstyle="miter"/>
            <v:imagedata r:id="rId149" o:title=""/>
            <o:lock v:ext="edit" aspectratio="t"/>
            <w10:wrap type="none"/>
            <w10:anchorlock/>
          </v:shape>
          <o:OLEObject Type="Embed" ProgID="Equation.3" ShapeID="_x0000_i1045" DrawAspect="Content" ObjectID="_1468075745" r:id="rId170">
            <o:LockedField>false</o:LockedField>
          </o:OLEObject>
        </w:object>
      </w:r>
      <w:r>
        <w:t>表示第</w:t>
      </w:r>
      <w:r>
        <w:rPr>
          <w:i/>
        </w:rPr>
        <w:t>k</w:t>
      </w:r>
      <w:r>
        <w:t>种评价方式期末评价成绩平均分，均为百分制；</w:t>
      </w:r>
    </w:p>
    <w:p>
      <w:pPr>
        <w:spacing w:line="360" w:lineRule="auto"/>
        <w:ind w:firstLine="420" w:firstLineChars="200"/>
      </w:pPr>
      <w:r>
        <w:rPr>
          <w:position w:val="-10"/>
        </w:rPr>
        <w:object>
          <v:shape id="_x0000_i1046" o:spt="75" type="#_x0000_t75" style="height:17.5pt;width:74.5pt;" o:ole="t" filled="f" o:preferrelative="t" stroked="f" coordsize="21600,21600">
            <v:path/>
            <v:fill on="f" focussize="0,0"/>
            <v:stroke on="f" joinstyle="miter"/>
            <v:imagedata r:id="rId151" o:title=""/>
            <o:lock v:ext="edit" aspectratio="t"/>
            <w10:wrap type="none"/>
            <w10:anchorlock/>
          </v:shape>
          <o:OLEObject Type="Embed" ProgID="Equation.3" ShapeID="_x0000_i1046" DrawAspect="Content" ObjectID="_1468075746" r:id="rId171">
            <o:LockedField>false</o:LockedField>
          </o:OLEObject>
        </w:object>
      </w:r>
      <w:r>
        <w:t>是第</w:t>
      </w:r>
      <w:r>
        <w:rPr>
          <w:i/>
        </w:rPr>
        <w:t>k</w:t>
      </w:r>
      <w:r>
        <w:t>种评价方式通过第</w:t>
      </w:r>
      <w:r>
        <w:rPr>
          <w:i/>
        </w:rPr>
        <w:t>i</w:t>
      </w:r>
      <w:r>
        <w:t>个课程目标反映在总的课程目标评分占比；</w:t>
      </w:r>
    </w:p>
    <w:p>
      <w:pPr>
        <w:spacing w:line="360" w:lineRule="auto"/>
        <w:ind w:firstLine="420" w:firstLineChars="200"/>
        <w:rPr>
          <w:szCs w:val="21"/>
        </w:rPr>
      </w:pPr>
      <w:r>
        <w:rPr>
          <w:position w:val="-10"/>
        </w:rPr>
        <w:object>
          <v:shape id="_x0000_i1047" o:spt="75" type="#_x0000_t75" style="height:17.5pt;width:17.5pt;" o:ole="t" filled="f" o:preferrelative="t" stroked="f" coordsize="21600,21600">
            <v:path/>
            <v:fill on="f" focussize="0,0"/>
            <v:stroke on="f" joinstyle="miter"/>
            <v:imagedata r:id="rId153" o:title=""/>
            <o:lock v:ext="edit" aspectratio="t"/>
            <w10:wrap type="none"/>
            <w10:anchorlock/>
          </v:shape>
          <o:OLEObject Type="Embed" ProgID="Equation.3" ShapeID="_x0000_i1047" DrawAspect="Content" ObjectID="_1468075747" r:id="rId172">
            <o:LockedField>false</o:LockedField>
          </o:OLEObject>
        </w:object>
      </w:r>
      <w:r>
        <w:t>表示第</w:t>
      </w:r>
      <w:r>
        <w:rPr>
          <w:i/>
        </w:rPr>
        <w:t>k</w:t>
      </w:r>
      <w:r>
        <w:t>种评价方式对第</w:t>
      </w:r>
      <w:r>
        <w:rPr>
          <w:i/>
        </w:rPr>
        <w:t>i</w:t>
      </w:r>
      <w:r>
        <w:t>个课程目标百分占比；</w:t>
      </w:r>
    </w:p>
    <w:p>
      <w:pPr>
        <w:spacing w:line="360" w:lineRule="auto"/>
        <w:ind w:firstLine="420" w:firstLineChars="200"/>
      </w:pPr>
      <w:r>
        <w:rPr>
          <w:position w:val="-10"/>
        </w:rPr>
        <w:object>
          <v:shape id="_x0000_i1048" o:spt="75" type="#_x0000_t75" style="height:17.5pt;width:13pt;" o:ole="t" filled="f" o:preferrelative="t" stroked="f" coordsize="21600,21600">
            <v:path/>
            <v:fill on="f" focussize="0,0"/>
            <v:stroke on="f" joinstyle="miter"/>
            <v:imagedata r:id="rId155" o:title=""/>
            <o:lock v:ext="edit" aspectratio="t"/>
            <w10:wrap type="none"/>
            <w10:anchorlock/>
          </v:shape>
          <o:OLEObject Type="Embed" ProgID="Equation.3" ShapeID="_x0000_i1048" DrawAspect="Content" ObjectID="_1468075748" r:id="rId173">
            <o:LockedField>false</o:LockedField>
          </o:OLEObject>
        </w:object>
      </w:r>
      <w:r>
        <w:t>表示第</w:t>
      </w:r>
      <w:r>
        <w:rPr>
          <w:i/>
        </w:rPr>
        <w:t>i</w:t>
      </w:r>
      <w:r>
        <w:t>个课程目标在课程总评价中的占比；</w:t>
      </w:r>
    </w:p>
    <w:p>
      <w:pPr>
        <w:spacing w:line="360" w:lineRule="auto"/>
        <w:ind w:firstLine="422" w:firstLineChars="200"/>
        <w:rPr>
          <w:b/>
          <w:bCs/>
          <w:position w:val="-10"/>
          <w:szCs w:val="22"/>
        </w:rPr>
      </w:pPr>
      <w:r>
        <w:rPr>
          <w:rFonts w:hint="eastAsia"/>
          <w:b/>
          <w:bCs/>
          <w:position w:val="-10"/>
          <w:szCs w:val="22"/>
        </w:rPr>
        <w:t>课程目标定性评价：</w:t>
      </w:r>
    </w:p>
    <w:p>
      <w:pPr>
        <w:spacing w:line="360" w:lineRule="auto"/>
        <w:ind w:firstLine="420" w:firstLineChars="200"/>
        <w:rPr>
          <w:rFonts w:ascii="宋体" w:hAnsi="宋体" w:cs="宋体"/>
          <w:szCs w:val="21"/>
        </w:rPr>
      </w:pPr>
      <w:r>
        <w:rPr>
          <w:rFonts w:hint="eastAsia" w:ascii="宋体" w:hAnsi="宋体" w:cs="宋体"/>
          <w:szCs w:val="21"/>
        </w:rPr>
        <w:t>针对每门课的课程目标，直接设计问题，并要求学生明确给出目标能力达到的程度“很好（0.95）、较好（0.75）、中（0.60）、较差（0.45）、很差（0.25）”，根据各区段统计比例与括号中的目标分值加权后求和得出定性评价的结果。</w:t>
      </w:r>
    </w:p>
    <w:p>
      <w:pPr>
        <w:spacing w:line="360" w:lineRule="auto"/>
        <w:ind w:firstLine="422" w:firstLineChars="200"/>
        <w:rPr>
          <w:b/>
          <w:bCs/>
          <w:position w:val="-10"/>
          <w:szCs w:val="22"/>
        </w:rPr>
      </w:pPr>
      <w:r>
        <w:rPr>
          <w:rFonts w:hint="eastAsia"/>
          <w:b/>
          <w:bCs/>
          <w:position w:val="-10"/>
          <w:szCs w:val="22"/>
        </w:rPr>
        <w:t>课程目标达成结果：</w:t>
      </w:r>
    </w:p>
    <w:p>
      <w:pPr>
        <w:spacing w:line="360" w:lineRule="auto"/>
        <w:ind w:firstLine="420" w:firstLineChars="200"/>
        <w:rPr>
          <w:rFonts w:ascii="宋体" w:hAnsi="宋体" w:cs="宋体"/>
          <w:szCs w:val="21"/>
        </w:rPr>
      </w:pPr>
      <w:r>
        <w:rPr>
          <w:rFonts w:hint="eastAsia" w:ascii="宋体" w:hAnsi="宋体" w:cs="宋体"/>
          <w:szCs w:val="21"/>
        </w:rPr>
        <w:t>同一课程目标的评价，取定性评价和定量评价的平均值，作为最终评价结果。</w:t>
      </w:r>
    </w:p>
    <w:p>
      <w:pPr>
        <w:spacing w:line="360" w:lineRule="auto"/>
        <w:ind w:firstLine="420" w:firstLineChars="200"/>
        <w:rPr>
          <w:position w:val="-10"/>
          <w:szCs w:val="22"/>
        </w:rPr>
      </w:pPr>
      <w:r>
        <w:rPr>
          <w:rFonts w:hint="eastAsia"/>
          <w:position w:val="-10"/>
          <w:szCs w:val="22"/>
        </w:rPr>
        <w:t>课程目标达成度大于等于0.71为一级达成，大于等于0.65为二级达成。</w:t>
      </w:r>
    </w:p>
    <w:p>
      <w:pPr>
        <w:widowControl/>
        <w:jc w:val="left"/>
        <w:rPr>
          <w:rFonts w:eastAsia="黑体"/>
          <w:szCs w:val="24"/>
        </w:rPr>
      </w:pPr>
    </w:p>
    <w:p>
      <w:pPr>
        <w:tabs>
          <w:tab w:val="left" w:pos="420"/>
        </w:tabs>
        <w:adjustRightInd w:val="0"/>
        <w:snapToGrid w:val="0"/>
        <w:spacing w:line="360" w:lineRule="auto"/>
        <w:ind w:left="420" w:hanging="420"/>
        <w:rPr>
          <w:rFonts w:eastAsia="黑体"/>
          <w:szCs w:val="24"/>
        </w:rPr>
      </w:pPr>
      <w:r>
        <w:rPr>
          <w:rFonts w:hint="eastAsia" w:eastAsia="黑体"/>
          <w:szCs w:val="24"/>
        </w:rPr>
        <w:t>十一、各环节评价标准</w:t>
      </w:r>
    </w:p>
    <w:p>
      <w:pPr>
        <w:spacing w:line="360" w:lineRule="auto"/>
        <w:ind w:firstLine="420" w:firstLineChars="200"/>
        <w:rPr>
          <w:szCs w:val="21"/>
        </w:rPr>
      </w:pPr>
      <w:r>
        <w:rPr>
          <w:rFonts w:hint="eastAsia"/>
          <w:szCs w:val="21"/>
        </w:rPr>
        <w:t>本课程允许教师在各评价环节根据具体情况采取多样化、个性化的考核手段，其评价标准应当在《</w:t>
      </w:r>
      <w:r>
        <w:rPr>
          <w:rFonts w:hint="eastAsia" w:ascii="宋体" w:hAnsi="宋体"/>
          <w:szCs w:val="21"/>
        </w:rPr>
        <w:t>SIE-CT-01：</w:t>
      </w:r>
      <w:r>
        <w:rPr>
          <w:rFonts w:hint="eastAsia"/>
          <w:szCs w:val="21"/>
        </w:rPr>
        <w:t>授课计划》中明确并向学生公布，教学过程中的考核评价应当严格按照标准完成。</w:t>
      </w:r>
    </w:p>
    <w:p>
      <w:pPr>
        <w:tabs>
          <w:tab w:val="left" w:pos="420"/>
        </w:tabs>
        <w:adjustRightInd w:val="0"/>
        <w:snapToGrid w:val="0"/>
        <w:spacing w:line="360" w:lineRule="auto"/>
        <w:ind w:left="420" w:hanging="420"/>
        <w:rPr>
          <w:color w:val="0000FF"/>
        </w:rPr>
      </w:pPr>
    </w:p>
    <w:p>
      <w:pPr>
        <w:tabs>
          <w:tab w:val="left" w:pos="420"/>
        </w:tabs>
        <w:adjustRightInd w:val="0"/>
        <w:snapToGrid w:val="0"/>
        <w:spacing w:line="360" w:lineRule="auto"/>
        <w:ind w:left="420" w:hanging="420"/>
        <w:rPr>
          <w:rFonts w:eastAsia="黑体"/>
          <w:szCs w:val="24"/>
        </w:rPr>
      </w:pPr>
      <w:r>
        <w:rPr>
          <w:rFonts w:hint="eastAsia" w:eastAsia="黑体"/>
          <w:szCs w:val="24"/>
        </w:rPr>
        <w:t>十二、课程目标达成评价结果用于持续改进</w:t>
      </w:r>
    </w:p>
    <w:p>
      <w:pPr>
        <w:spacing w:line="360" w:lineRule="auto"/>
        <w:ind w:firstLine="420" w:firstLineChars="200"/>
        <w:rPr>
          <w:szCs w:val="21"/>
        </w:rPr>
      </w:pPr>
      <w:r>
        <w:rPr>
          <w:rFonts w:hint="eastAsia"/>
          <w:szCs w:val="21"/>
        </w:rPr>
        <w:t>课程目标达成评价结果将用于后续教学过程的持续改进。</w:t>
      </w:r>
    </w:p>
    <w:p>
      <w:pPr>
        <w:spacing w:line="360" w:lineRule="auto"/>
        <w:ind w:firstLine="420" w:firstLineChars="200"/>
        <w:rPr>
          <w:szCs w:val="21"/>
        </w:rPr>
      </w:pPr>
      <w:r>
        <w:rPr>
          <w:rFonts w:hint="eastAsia"/>
          <w:szCs w:val="21"/>
        </w:rPr>
        <w:t>针对课程目标达成评价中发现的问题与不足，重点是达成值相对较低的项，在本次授课总结中应由授课教师分析具体原因，并给出改进建议。后续任课教师应当针对以前的问题和建议，在授课计划中做好落实改进计划，并在授课过程中予以落实。</w:t>
      </w:r>
    </w:p>
    <w:p>
      <w:pPr>
        <w:pStyle w:val="18"/>
        <w:spacing w:before="240" w:after="360"/>
      </w:pPr>
      <w:bookmarkStart w:id="6" w:name="_Toc9049"/>
      <w:r>
        <w:rPr>
          <w:rFonts w:hint="eastAsia"/>
        </w:rPr>
        <w:t>《数字信号处理》教学大纲</w:t>
      </w:r>
      <w:bookmarkEnd w:id="6"/>
    </w:p>
    <w:p>
      <w:pPr>
        <w:adjustRightInd w:val="0"/>
        <w:snapToGrid w:val="0"/>
        <w:spacing w:line="360" w:lineRule="auto"/>
        <w:rPr>
          <w:bCs/>
          <w:kern w:val="0"/>
        </w:rPr>
      </w:pPr>
      <w:r>
        <w:rPr>
          <w:rFonts w:eastAsia="黑体"/>
          <w:szCs w:val="21"/>
        </w:rPr>
        <w:t>课程编号：</w:t>
      </w:r>
      <w:r>
        <w:rPr>
          <w:szCs w:val="21"/>
        </w:rPr>
        <w:t>Y03060012</w:t>
      </w:r>
    </w:p>
    <w:p>
      <w:pPr>
        <w:adjustRightInd w:val="0"/>
        <w:snapToGrid w:val="0"/>
        <w:spacing w:line="360" w:lineRule="auto"/>
        <w:rPr>
          <w:snapToGrid w:val="0"/>
          <w:kern w:val="0"/>
          <w:szCs w:val="21"/>
        </w:rPr>
      </w:pPr>
      <w:r>
        <w:rPr>
          <w:rFonts w:eastAsia="黑体"/>
          <w:szCs w:val="21"/>
        </w:rPr>
        <w:t>课程名称：</w:t>
      </w:r>
      <w:r>
        <w:rPr>
          <w:szCs w:val="21"/>
        </w:rPr>
        <w:t>数字信号处理</w:t>
      </w:r>
      <w:r>
        <w:rPr>
          <w:szCs w:val="21"/>
        </w:rPr>
        <w:tab/>
      </w:r>
      <w:r>
        <w:rPr>
          <w:szCs w:val="21"/>
        </w:rPr>
        <w:tab/>
      </w:r>
      <w:r>
        <w:rPr>
          <w:szCs w:val="21"/>
        </w:rPr>
        <w:tab/>
      </w:r>
      <w:r>
        <w:rPr>
          <w:szCs w:val="21"/>
        </w:rPr>
        <w:tab/>
      </w:r>
      <w:r>
        <w:rPr>
          <w:szCs w:val="21"/>
        </w:rPr>
        <w:tab/>
      </w:r>
      <w:r>
        <w:rPr>
          <w:rFonts w:eastAsia="黑体"/>
          <w:szCs w:val="21"/>
        </w:rPr>
        <w:t>开课单位：</w:t>
      </w:r>
      <w:r>
        <w:rPr>
          <w:szCs w:val="21"/>
        </w:rPr>
        <w:t>仪器与电子学院</w:t>
      </w:r>
      <w:r>
        <w:rPr>
          <w:rFonts w:eastAsia="黑体"/>
          <w:szCs w:val="21"/>
        </w:rPr>
        <w:tab/>
      </w:r>
    </w:p>
    <w:p>
      <w:pPr>
        <w:adjustRightInd w:val="0"/>
        <w:snapToGrid w:val="0"/>
        <w:spacing w:line="360" w:lineRule="auto"/>
        <w:rPr>
          <w:rFonts w:eastAsia="黑体"/>
          <w:szCs w:val="21"/>
        </w:rPr>
      </w:pPr>
      <w:r>
        <w:rPr>
          <w:rFonts w:eastAsia="黑体"/>
          <w:szCs w:val="21"/>
        </w:rPr>
        <w:t xml:space="preserve">总学时：32 </w:t>
      </w:r>
      <w:r>
        <w:rPr>
          <w:szCs w:val="21"/>
        </w:rPr>
        <w:t>(实验10学时)</w:t>
      </w:r>
      <w:r>
        <w:rPr>
          <w:rFonts w:eastAsia="黑体"/>
          <w:szCs w:val="21"/>
        </w:rPr>
        <w:tab/>
      </w:r>
      <w:r>
        <w:rPr>
          <w:rFonts w:eastAsia="黑体"/>
          <w:szCs w:val="21"/>
        </w:rPr>
        <w:tab/>
      </w:r>
      <w:r>
        <w:rPr>
          <w:rFonts w:eastAsia="黑体"/>
          <w:szCs w:val="21"/>
        </w:rPr>
        <w:tab/>
      </w:r>
      <w:r>
        <w:rPr>
          <w:rFonts w:eastAsia="黑体"/>
          <w:szCs w:val="21"/>
        </w:rPr>
        <w:tab/>
      </w:r>
      <w:r>
        <w:rPr>
          <w:rFonts w:eastAsia="黑体"/>
          <w:szCs w:val="21"/>
        </w:rPr>
        <w:t>学分：2</w:t>
      </w:r>
    </w:p>
    <w:p>
      <w:pPr>
        <w:adjustRightInd w:val="0"/>
        <w:snapToGrid w:val="0"/>
        <w:spacing w:line="360" w:lineRule="auto"/>
        <w:rPr>
          <w:rFonts w:hint="eastAsia" w:eastAsia="宋体"/>
          <w:szCs w:val="21"/>
          <w:lang w:eastAsia="zh-CN"/>
        </w:rPr>
      </w:pPr>
      <w:r>
        <w:rPr>
          <w:rFonts w:eastAsia="黑体"/>
          <w:szCs w:val="21"/>
        </w:rPr>
        <w:t>适用专业</w:t>
      </w:r>
      <w:r>
        <w:rPr>
          <w:szCs w:val="21"/>
        </w:rPr>
        <w:t>：测控技术与仪器</w:t>
      </w:r>
      <w:r>
        <w:rPr>
          <w:rFonts w:hint="eastAsia"/>
          <w:szCs w:val="21"/>
          <w:lang w:eastAsia="zh-CN"/>
        </w:rPr>
        <w:t>、智能感知工程</w:t>
      </w:r>
    </w:p>
    <w:p>
      <w:pPr>
        <w:adjustRightInd w:val="0"/>
        <w:snapToGrid w:val="0"/>
        <w:spacing w:line="360" w:lineRule="auto"/>
        <w:rPr>
          <w:szCs w:val="21"/>
        </w:rPr>
      </w:pPr>
      <w:r>
        <w:rPr>
          <w:rFonts w:eastAsia="黑体"/>
          <w:szCs w:val="21"/>
        </w:rPr>
        <w:t>先修课程：</w:t>
      </w:r>
      <w:r>
        <w:t>高等数学、线性代数、电子技术基础、复变函数、软件技术基础、信号与系统</w:t>
      </w:r>
    </w:p>
    <w:p>
      <w:pPr>
        <w:adjustRightInd w:val="0"/>
        <w:snapToGrid w:val="0"/>
        <w:spacing w:line="360" w:lineRule="auto"/>
        <w:rPr>
          <w:szCs w:val="21"/>
        </w:rPr>
      </w:pPr>
      <w:r>
        <w:rPr>
          <w:rFonts w:eastAsia="黑体"/>
          <w:szCs w:val="21"/>
        </w:rPr>
        <w:t>大纲撰写人：</w:t>
      </w:r>
      <w:r>
        <w:rPr>
          <w:szCs w:val="21"/>
        </w:rPr>
        <w:t>张志杰</w:t>
      </w:r>
    </w:p>
    <w:p>
      <w:pPr>
        <w:adjustRightInd w:val="0"/>
        <w:snapToGrid w:val="0"/>
        <w:spacing w:line="360" w:lineRule="auto"/>
        <w:rPr>
          <w:szCs w:val="21"/>
        </w:rPr>
      </w:pPr>
      <w:r>
        <w:rPr>
          <w:rFonts w:eastAsia="黑体"/>
          <w:szCs w:val="21"/>
        </w:rPr>
        <w:t>大纲编写（修订）时间：</w:t>
      </w:r>
      <w:r>
        <w:rPr>
          <w:szCs w:val="21"/>
        </w:rPr>
        <w:t>2019年5月</w:t>
      </w:r>
    </w:p>
    <w:p>
      <w:pPr>
        <w:rPr>
          <w:b/>
          <w:szCs w:val="21"/>
        </w:rPr>
      </w:pPr>
    </w:p>
    <w:p>
      <w:pPr>
        <w:numPr>
          <w:ilvl w:val="0"/>
          <w:numId w:val="2"/>
        </w:numPr>
        <w:adjustRightInd w:val="0"/>
        <w:snapToGrid w:val="0"/>
        <w:spacing w:line="360" w:lineRule="auto"/>
        <w:rPr>
          <w:rFonts w:eastAsia="黑体"/>
          <w:szCs w:val="21"/>
        </w:rPr>
      </w:pPr>
      <w:r>
        <w:rPr>
          <w:rFonts w:hint="eastAsia" w:eastAsia="黑体"/>
          <w:szCs w:val="21"/>
        </w:rPr>
        <w:t>课程在教学计划中的地位、作用</w:t>
      </w:r>
    </w:p>
    <w:p>
      <w:pPr>
        <w:spacing w:line="360" w:lineRule="auto"/>
        <w:ind w:firstLine="420" w:firstLineChars="200"/>
        <w:rPr>
          <w:szCs w:val="21"/>
        </w:rPr>
      </w:pPr>
      <w:r>
        <w:t>本课程是测控技术与仪器专业的一门必修专业基础课</w:t>
      </w:r>
      <w:r>
        <w:rPr>
          <w:rFonts w:hint="eastAsia"/>
          <w:lang w:eastAsia="zh-CN"/>
        </w:rPr>
        <w:t>，也是智能感知工程专业的一门专业方向选修课</w:t>
      </w:r>
      <w:r>
        <w:t>。随着现代科学技术的发展，数字信号处理理论和技术在科学和工程技术领域广泛应用。《数字信号处理》主要研究数字信号处理的基本概念、基本原理和基本分析方法，培养学生的自学能力、分析问题和解决问题的能力，为进一步学习专业课及以后从事科学研究和相关工程技术打下一定的基础。通过本课程的学习，学生可了解数字信号处理的学科概貌</w:t>
      </w:r>
      <w:r>
        <w:rPr>
          <w:rFonts w:hint="eastAsia"/>
        </w:rPr>
        <w:t>、</w:t>
      </w:r>
      <w:r>
        <w:t>发展现状及其在测控技术与仪器中的应用；使学生熟悉Z变换的基本概念和求解方法；理解离散傅里叶变换（DFT）的基本概念、性质、应用和典型快速傅里叶变换（FFT）算法；熟悉数字滤波器的基本结构，学习无限长单位脉冲响应（IIR）滤波器和有限长单位脉冲响应（FIR）滤波器的主要设计方法和性能分析。培养学生利用所学知识分析和解决工程实际问题的能力。</w:t>
      </w:r>
    </w:p>
    <w:p>
      <w:pPr>
        <w:spacing w:line="360" w:lineRule="auto"/>
        <w:ind w:firstLine="420" w:firstLineChars="200"/>
        <w:rPr>
          <w:szCs w:val="21"/>
        </w:rPr>
      </w:pPr>
    </w:p>
    <w:p>
      <w:pPr>
        <w:numPr>
          <w:ilvl w:val="0"/>
          <w:numId w:val="2"/>
        </w:numPr>
        <w:adjustRightInd w:val="0"/>
        <w:snapToGrid w:val="0"/>
        <w:spacing w:line="360" w:lineRule="auto"/>
        <w:ind w:left="420" w:leftChars="0" w:hanging="420" w:firstLineChars="0"/>
        <w:rPr>
          <w:rFonts w:hint="eastAsia" w:eastAsia="黑体"/>
          <w:szCs w:val="21"/>
        </w:rPr>
      </w:pPr>
      <w:r>
        <w:rPr>
          <w:rFonts w:hint="eastAsia" w:eastAsia="黑体"/>
          <w:szCs w:val="21"/>
        </w:rPr>
        <w:t>课程目标</w:t>
      </w:r>
    </w:p>
    <w:p>
      <w:pPr>
        <w:tabs>
          <w:tab w:val="left" w:pos="420"/>
        </w:tabs>
        <w:adjustRightInd w:val="0"/>
        <w:snapToGrid w:val="0"/>
        <w:spacing w:line="360" w:lineRule="auto"/>
        <w:rPr>
          <w:rFonts w:ascii="宋体" w:hAnsi="宋体"/>
          <w:szCs w:val="21"/>
        </w:rPr>
      </w:pPr>
      <w:r>
        <w:rPr>
          <w:rFonts w:hint="eastAsia" w:ascii="宋体" w:hAnsi="宋体"/>
          <w:szCs w:val="21"/>
        </w:rPr>
        <w:t>测控技术与仪器专业：</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7"/>
        <w:gridCol w:w="4000"/>
        <w:gridCol w:w="390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 w:type="pct"/>
            <w:vAlign w:val="center"/>
          </w:tcPr>
          <w:p>
            <w:pPr>
              <w:spacing w:line="360" w:lineRule="auto"/>
              <w:jc w:val="center"/>
              <w:rPr>
                <w:sz w:val="18"/>
                <w:szCs w:val="18"/>
              </w:rPr>
            </w:pPr>
            <w:r>
              <w:rPr>
                <w:sz w:val="18"/>
                <w:szCs w:val="18"/>
              </w:rPr>
              <w:t>序号</w:t>
            </w:r>
          </w:p>
        </w:tc>
        <w:tc>
          <w:tcPr>
            <w:tcW w:w="2345" w:type="pct"/>
            <w:vAlign w:val="center"/>
          </w:tcPr>
          <w:p>
            <w:pPr>
              <w:spacing w:line="360" w:lineRule="auto"/>
              <w:jc w:val="center"/>
              <w:rPr>
                <w:sz w:val="18"/>
                <w:szCs w:val="18"/>
              </w:rPr>
            </w:pPr>
            <w:r>
              <w:rPr>
                <w:sz w:val="18"/>
                <w:szCs w:val="18"/>
              </w:rPr>
              <w:t>课程目标</w:t>
            </w:r>
          </w:p>
        </w:tc>
        <w:tc>
          <w:tcPr>
            <w:tcW w:w="2287" w:type="pct"/>
            <w:vAlign w:val="center"/>
          </w:tcPr>
          <w:p>
            <w:pPr>
              <w:spacing w:line="360" w:lineRule="auto"/>
              <w:jc w:val="center"/>
              <w:rPr>
                <w:sz w:val="18"/>
                <w:szCs w:val="18"/>
              </w:rPr>
            </w:pPr>
            <w:r>
              <w:rPr>
                <w:sz w:val="18"/>
                <w:szCs w:val="18"/>
              </w:rPr>
              <w:t>支撑毕业要求</w:t>
            </w:r>
            <w:r>
              <w:rPr>
                <w:color w:val="000000"/>
                <w:sz w:val="18"/>
                <w:szCs w:val="18"/>
              </w:rPr>
              <w:t>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 w:type="pct"/>
            <w:vAlign w:val="center"/>
          </w:tcPr>
          <w:p>
            <w:pPr>
              <w:spacing w:line="360" w:lineRule="auto"/>
              <w:jc w:val="center"/>
              <w:rPr>
                <w:sz w:val="18"/>
                <w:szCs w:val="18"/>
              </w:rPr>
            </w:pPr>
            <w:r>
              <w:rPr>
                <w:rFonts w:hint="eastAsia"/>
                <w:sz w:val="18"/>
                <w:szCs w:val="18"/>
              </w:rPr>
              <w:t>1</w:t>
            </w:r>
          </w:p>
        </w:tc>
        <w:tc>
          <w:tcPr>
            <w:tcW w:w="2345" w:type="pct"/>
          </w:tcPr>
          <w:p>
            <w:pPr>
              <w:spacing w:line="360" w:lineRule="auto"/>
              <w:rPr>
                <w:sz w:val="18"/>
                <w:szCs w:val="18"/>
              </w:rPr>
            </w:pPr>
            <w:r>
              <w:rPr>
                <w:sz w:val="18"/>
                <w:szCs w:val="18"/>
              </w:rPr>
              <w:t>系统地学习Z变换和离散傅立叶变换（包括快速傅立叶变换）、数字滤波器的基础知识，并能够将这些知识运用到仪器类测控系统工程问题的解决中；</w:t>
            </w:r>
          </w:p>
        </w:tc>
        <w:tc>
          <w:tcPr>
            <w:tcW w:w="2287" w:type="pct"/>
          </w:tcPr>
          <w:p>
            <w:pPr>
              <w:widowControl/>
              <w:spacing w:line="360" w:lineRule="auto"/>
              <w:rPr>
                <w:sz w:val="18"/>
                <w:szCs w:val="18"/>
              </w:rPr>
            </w:pPr>
            <w:r>
              <w:rPr>
                <w:rFonts w:hint="eastAsia"/>
                <w:b/>
                <w:bCs/>
                <w:sz w:val="18"/>
                <w:szCs w:val="18"/>
              </w:rPr>
              <w:t>指标点2-1 问题识别：</w:t>
            </w:r>
            <w:r>
              <w:rPr>
                <w:rFonts w:hint="eastAsia"/>
                <w:sz w:val="18"/>
                <w:szCs w:val="18"/>
              </w:rPr>
              <w:t>能应用科学原理对测控技术与仪器专业复杂工程问题进行分解，并识别其中的关键特征和参数。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 w:type="pct"/>
            <w:vAlign w:val="center"/>
          </w:tcPr>
          <w:p>
            <w:pPr>
              <w:spacing w:line="360" w:lineRule="auto"/>
              <w:jc w:val="center"/>
              <w:rPr>
                <w:sz w:val="18"/>
                <w:szCs w:val="18"/>
              </w:rPr>
            </w:pPr>
            <w:r>
              <w:rPr>
                <w:rFonts w:hint="eastAsia"/>
                <w:sz w:val="18"/>
                <w:szCs w:val="18"/>
              </w:rPr>
              <w:t>2</w:t>
            </w:r>
          </w:p>
        </w:tc>
        <w:tc>
          <w:tcPr>
            <w:tcW w:w="2345" w:type="pct"/>
          </w:tcPr>
          <w:p>
            <w:pPr>
              <w:spacing w:line="360" w:lineRule="auto"/>
              <w:rPr>
                <w:sz w:val="18"/>
                <w:szCs w:val="18"/>
              </w:rPr>
            </w:pPr>
            <w:r>
              <w:rPr>
                <w:sz w:val="18"/>
                <w:szCs w:val="18"/>
              </w:rPr>
              <w:t>能够应用离散傅立叶变换（包括快速傅立叶变换）对传感器、测控系统的采集信号进行频域分析，识别被测量信号的频谱和关键参数；能够根据要求，设计满足特定需求的数字低通、高通、带通和带阻滤波器，并能够对设计方案进行优化。</w:t>
            </w:r>
          </w:p>
        </w:tc>
        <w:tc>
          <w:tcPr>
            <w:tcW w:w="2287" w:type="pct"/>
          </w:tcPr>
          <w:p>
            <w:pPr>
              <w:widowControl/>
              <w:spacing w:line="360" w:lineRule="auto"/>
              <w:rPr>
                <w:sz w:val="18"/>
                <w:szCs w:val="18"/>
              </w:rPr>
            </w:pPr>
            <w:r>
              <w:rPr>
                <w:rFonts w:hint="eastAsia"/>
                <w:b/>
                <w:bCs/>
                <w:sz w:val="18"/>
                <w:szCs w:val="18"/>
              </w:rPr>
              <w:t>指标点3-1 按需设计：</w:t>
            </w:r>
            <w:r>
              <w:rPr>
                <w:rFonts w:hint="eastAsia"/>
                <w:sz w:val="18"/>
                <w:szCs w:val="18"/>
              </w:rPr>
              <w:t>能够根据用户特定需求设计复杂工程问题的解决方案，设计相关的传感器、测控系统以及工艺流程，并能够针对方案进行优化选择。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 w:type="pct"/>
            <w:vAlign w:val="center"/>
          </w:tcPr>
          <w:p>
            <w:pPr>
              <w:spacing w:line="360" w:lineRule="auto"/>
              <w:jc w:val="center"/>
              <w:rPr>
                <w:sz w:val="18"/>
                <w:szCs w:val="18"/>
              </w:rPr>
            </w:pPr>
            <w:r>
              <w:rPr>
                <w:rFonts w:hint="eastAsia"/>
                <w:sz w:val="18"/>
                <w:szCs w:val="18"/>
              </w:rPr>
              <w:t>3</w:t>
            </w:r>
          </w:p>
        </w:tc>
        <w:tc>
          <w:tcPr>
            <w:tcW w:w="2345" w:type="pct"/>
          </w:tcPr>
          <w:p>
            <w:pPr>
              <w:spacing w:line="360" w:lineRule="auto"/>
              <w:rPr>
                <w:sz w:val="18"/>
                <w:szCs w:val="18"/>
              </w:rPr>
            </w:pPr>
            <w:r>
              <w:rPr>
                <w:sz w:val="18"/>
                <w:szCs w:val="18"/>
              </w:rPr>
              <w:t>能够使用matlab语言或其他软件，针对测控系统中传感器被测信号的先验信息或可能的噪声，进行信号的频域分析或滤波。</w:t>
            </w:r>
          </w:p>
        </w:tc>
        <w:tc>
          <w:tcPr>
            <w:tcW w:w="2287" w:type="pct"/>
          </w:tcPr>
          <w:p>
            <w:pPr>
              <w:spacing w:line="360" w:lineRule="auto"/>
              <w:rPr>
                <w:sz w:val="18"/>
                <w:szCs w:val="18"/>
              </w:rPr>
            </w:pPr>
            <w:r>
              <w:rPr>
                <w:rFonts w:hint="eastAsia"/>
                <w:b/>
                <w:bCs/>
                <w:sz w:val="18"/>
                <w:szCs w:val="18"/>
              </w:rPr>
              <w:t>指标点5-1 工具选择与开发：</w:t>
            </w:r>
            <w:r>
              <w:rPr>
                <w:rFonts w:hint="eastAsia"/>
                <w:sz w:val="18"/>
                <w:szCs w:val="18"/>
              </w:rPr>
              <w:t>了解当前主流工具的优点与不足，能针对复杂工程问题特性与需求做出对比选择，并能够开发一定的辅助工具用于解决问题。</w:t>
            </w:r>
          </w:p>
        </w:tc>
      </w:tr>
    </w:tbl>
    <w:p>
      <w:pPr>
        <w:tabs>
          <w:tab w:val="left" w:pos="420"/>
        </w:tabs>
        <w:adjustRightInd w:val="0"/>
        <w:snapToGrid w:val="0"/>
        <w:spacing w:line="360" w:lineRule="auto"/>
        <w:rPr>
          <w:rFonts w:eastAsia="黑体"/>
          <w:szCs w:val="21"/>
        </w:rPr>
      </w:pPr>
    </w:p>
    <w:p>
      <w:pPr>
        <w:tabs>
          <w:tab w:val="left" w:pos="420"/>
        </w:tabs>
        <w:adjustRightInd w:val="0"/>
        <w:snapToGrid w:val="0"/>
        <w:spacing w:line="360" w:lineRule="auto"/>
        <w:rPr>
          <w:rFonts w:ascii="宋体" w:hAnsi="宋体"/>
          <w:szCs w:val="21"/>
        </w:rPr>
      </w:pPr>
      <w:r>
        <w:rPr>
          <w:rFonts w:hint="eastAsia" w:ascii="宋体" w:hAnsi="宋体"/>
          <w:szCs w:val="21"/>
          <w:lang w:eastAsia="zh-CN"/>
        </w:rPr>
        <w:t>智能感知工程</w:t>
      </w:r>
      <w:r>
        <w:rPr>
          <w:rFonts w:hint="eastAsia" w:ascii="宋体" w:hAnsi="宋体"/>
          <w:szCs w:val="21"/>
        </w:rPr>
        <w:t>专业：</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7"/>
        <w:gridCol w:w="4000"/>
        <w:gridCol w:w="390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 w:type="pct"/>
            <w:vAlign w:val="center"/>
          </w:tcPr>
          <w:p>
            <w:pPr>
              <w:spacing w:line="360" w:lineRule="auto"/>
              <w:jc w:val="center"/>
              <w:rPr>
                <w:sz w:val="18"/>
                <w:szCs w:val="18"/>
              </w:rPr>
            </w:pPr>
            <w:r>
              <w:rPr>
                <w:sz w:val="18"/>
                <w:szCs w:val="18"/>
              </w:rPr>
              <w:t>序号</w:t>
            </w:r>
          </w:p>
        </w:tc>
        <w:tc>
          <w:tcPr>
            <w:tcW w:w="2345" w:type="pct"/>
            <w:vAlign w:val="center"/>
          </w:tcPr>
          <w:p>
            <w:pPr>
              <w:spacing w:line="360" w:lineRule="auto"/>
              <w:jc w:val="center"/>
              <w:rPr>
                <w:sz w:val="18"/>
                <w:szCs w:val="18"/>
              </w:rPr>
            </w:pPr>
            <w:r>
              <w:rPr>
                <w:sz w:val="18"/>
                <w:szCs w:val="18"/>
              </w:rPr>
              <w:t>课程目标</w:t>
            </w:r>
          </w:p>
        </w:tc>
        <w:tc>
          <w:tcPr>
            <w:tcW w:w="2287" w:type="pct"/>
            <w:vAlign w:val="center"/>
          </w:tcPr>
          <w:p>
            <w:pPr>
              <w:spacing w:line="360" w:lineRule="auto"/>
              <w:jc w:val="center"/>
              <w:rPr>
                <w:sz w:val="18"/>
                <w:szCs w:val="18"/>
              </w:rPr>
            </w:pPr>
            <w:r>
              <w:rPr>
                <w:sz w:val="18"/>
                <w:szCs w:val="18"/>
              </w:rPr>
              <w:t>支撑毕业要求</w:t>
            </w:r>
            <w:r>
              <w:rPr>
                <w:color w:val="000000"/>
                <w:sz w:val="18"/>
                <w:szCs w:val="18"/>
              </w:rPr>
              <w:t>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 w:type="pct"/>
            <w:vAlign w:val="center"/>
          </w:tcPr>
          <w:p>
            <w:pPr>
              <w:spacing w:line="360" w:lineRule="auto"/>
              <w:jc w:val="center"/>
              <w:rPr>
                <w:sz w:val="18"/>
                <w:szCs w:val="18"/>
              </w:rPr>
            </w:pPr>
            <w:r>
              <w:rPr>
                <w:rFonts w:hint="eastAsia"/>
                <w:sz w:val="18"/>
                <w:szCs w:val="18"/>
              </w:rPr>
              <w:t>1</w:t>
            </w:r>
          </w:p>
        </w:tc>
        <w:tc>
          <w:tcPr>
            <w:tcW w:w="2345" w:type="pct"/>
          </w:tcPr>
          <w:p>
            <w:pPr>
              <w:spacing w:line="360" w:lineRule="auto"/>
              <w:rPr>
                <w:sz w:val="18"/>
                <w:szCs w:val="18"/>
              </w:rPr>
            </w:pPr>
            <w:r>
              <w:rPr>
                <w:sz w:val="18"/>
                <w:szCs w:val="18"/>
              </w:rPr>
              <w:t>系统地学习Z变换和离散傅立叶变换（包括快速傅立叶变换）、数字滤波器的基础知识，并能够将这些知识运用到仪器类测控系统工程问题的解决中；</w:t>
            </w:r>
          </w:p>
        </w:tc>
        <w:tc>
          <w:tcPr>
            <w:tcW w:w="2287" w:type="pct"/>
          </w:tcPr>
          <w:p>
            <w:pPr>
              <w:widowControl/>
              <w:spacing w:line="360" w:lineRule="auto"/>
              <w:rPr>
                <w:sz w:val="18"/>
                <w:szCs w:val="18"/>
              </w:rPr>
            </w:pPr>
            <w:r>
              <w:rPr>
                <w:rFonts w:hint="eastAsia"/>
                <w:b/>
                <w:bCs/>
                <w:sz w:val="18"/>
                <w:szCs w:val="18"/>
              </w:rPr>
              <w:t>指标点2-1 问题识别：</w:t>
            </w:r>
            <w:r>
              <w:rPr>
                <w:bCs/>
                <w:sz w:val="18"/>
                <w:szCs w:val="18"/>
              </w:rPr>
              <w:t>能应用科学原理对智能感知工程专业复杂工程问题进行分解，并识别其中的关键特征和参数。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 w:type="pct"/>
            <w:vAlign w:val="center"/>
          </w:tcPr>
          <w:p>
            <w:pPr>
              <w:spacing w:line="360" w:lineRule="auto"/>
              <w:jc w:val="center"/>
              <w:rPr>
                <w:sz w:val="18"/>
                <w:szCs w:val="18"/>
              </w:rPr>
            </w:pPr>
            <w:r>
              <w:rPr>
                <w:rFonts w:hint="eastAsia"/>
                <w:sz w:val="18"/>
                <w:szCs w:val="18"/>
              </w:rPr>
              <w:t>2</w:t>
            </w:r>
          </w:p>
        </w:tc>
        <w:tc>
          <w:tcPr>
            <w:tcW w:w="2345" w:type="pct"/>
          </w:tcPr>
          <w:p>
            <w:pPr>
              <w:spacing w:line="360" w:lineRule="auto"/>
              <w:rPr>
                <w:sz w:val="18"/>
                <w:szCs w:val="18"/>
              </w:rPr>
            </w:pPr>
            <w:r>
              <w:rPr>
                <w:sz w:val="18"/>
                <w:szCs w:val="18"/>
              </w:rPr>
              <w:t>能够应用离散傅立叶变换（包括快速傅立叶变换）对传感器、测控系统的采集信号进行频域分析，识别被测量信号的频谱和关键参数；能够根据要求，设计满足特定需求的数字低通、高通、带通和带阻滤波器，并能够对设计方案进行优化。</w:t>
            </w:r>
          </w:p>
        </w:tc>
        <w:tc>
          <w:tcPr>
            <w:tcW w:w="2287" w:type="pct"/>
          </w:tcPr>
          <w:p>
            <w:pPr>
              <w:widowControl/>
              <w:spacing w:line="360" w:lineRule="auto"/>
              <w:rPr>
                <w:sz w:val="18"/>
                <w:szCs w:val="18"/>
              </w:rPr>
            </w:pPr>
            <w:r>
              <w:rPr>
                <w:rFonts w:hint="eastAsia"/>
                <w:b/>
                <w:bCs/>
                <w:sz w:val="18"/>
                <w:szCs w:val="18"/>
              </w:rPr>
              <w:t>指标点3-1 按需设计：</w:t>
            </w:r>
            <w:r>
              <w:rPr>
                <w:bCs/>
                <w:sz w:val="18"/>
                <w:szCs w:val="18"/>
              </w:rPr>
              <w:t>能够根据用户特定需求设计复杂工程问题的解决方案，设计相关的信息处理系统、智能控制系统以及工艺流程，并能够针对方案进行优化选择。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8" w:type="pct"/>
            <w:vAlign w:val="center"/>
          </w:tcPr>
          <w:p>
            <w:pPr>
              <w:spacing w:line="360" w:lineRule="auto"/>
              <w:jc w:val="center"/>
              <w:rPr>
                <w:sz w:val="18"/>
                <w:szCs w:val="18"/>
              </w:rPr>
            </w:pPr>
            <w:r>
              <w:rPr>
                <w:rFonts w:hint="eastAsia"/>
                <w:sz w:val="18"/>
                <w:szCs w:val="18"/>
              </w:rPr>
              <w:t>3</w:t>
            </w:r>
          </w:p>
        </w:tc>
        <w:tc>
          <w:tcPr>
            <w:tcW w:w="2345" w:type="pct"/>
          </w:tcPr>
          <w:p>
            <w:pPr>
              <w:spacing w:line="360" w:lineRule="auto"/>
              <w:rPr>
                <w:sz w:val="18"/>
                <w:szCs w:val="18"/>
              </w:rPr>
            </w:pPr>
            <w:r>
              <w:rPr>
                <w:sz w:val="18"/>
                <w:szCs w:val="18"/>
              </w:rPr>
              <w:t>能够使用matlab语言或其他软件，针对测控系统中传感器被测信号的先验信息或可能的噪声，进行信号的频域分析或滤波。</w:t>
            </w:r>
          </w:p>
        </w:tc>
        <w:tc>
          <w:tcPr>
            <w:tcW w:w="2287" w:type="pct"/>
          </w:tcPr>
          <w:p>
            <w:pPr>
              <w:spacing w:line="360" w:lineRule="auto"/>
              <w:rPr>
                <w:sz w:val="18"/>
                <w:szCs w:val="18"/>
              </w:rPr>
            </w:pPr>
            <w:r>
              <w:rPr>
                <w:rFonts w:hint="eastAsia"/>
                <w:b/>
                <w:bCs/>
                <w:sz w:val="18"/>
                <w:szCs w:val="18"/>
              </w:rPr>
              <w:t>指标点5-1 工具选择与开发：</w:t>
            </w:r>
            <w:r>
              <w:rPr>
                <w:bCs/>
                <w:sz w:val="18"/>
                <w:szCs w:val="18"/>
              </w:rPr>
              <w:t>了解当前主流工具的优点与不足，能针对复杂工程问题特性与需求做出对比选择，并能够开发一定的辅助工具用于解决问题。</w:t>
            </w:r>
          </w:p>
        </w:tc>
      </w:tr>
    </w:tbl>
    <w:p>
      <w:pPr>
        <w:pStyle w:val="9"/>
      </w:pPr>
    </w:p>
    <w:p>
      <w:pPr>
        <w:tabs>
          <w:tab w:val="left" w:pos="420"/>
        </w:tabs>
        <w:adjustRightInd w:val="0"/>
        <w:snapToGrid w:val="0"/>
        <w:spacing w:line="360" w:lineRule="auto"/>
        <w:ind w:left="420" w:hanging="420"/>
        <w:rPr>
          <w:rFonts w:eastAsia="黑体"/>
          <w:szCs w:val="21"/>
        </w:rPr>
      </w:pPr>
      <w:r>
        <w:rPr>
          <w:rFonts w:hint="eastAsia" w:eastAsia="黑体"/>
          <w:szCs w:val="21"/>
        </w:rPr>
        <w:t>三、基本要求</w:t>
      </w:r>
    </w:p>
    <w:p>
      <w:pPr>
        <w:tabs>
          <w:tab w:val="left" w:pos="0"/>
        </w:tabs>
        <w:adjustRightInd w:val="0"/>
        <w:snapToGrid w:val="0"/>
        <w:spacing w:line="360" w:lineRule="auto"/>
        <w:ind w:firstLine="420" w:firstLineChars="200"/>
        <w:rPr>
          <w:szCs w:val="21"/>
        </w:rPr>
      </w:pPr>
      <w:r>
        <w:rPr>
          <w:szCs w:val="21"/>
        </w:rPr>
        <w:t>1、本课程为专业基础课，要求学生先修高等数学、线性代数、电子技术基础、复变函数、信号与系统等课程，以具备数字信号处理理论的基础知识。</w:t>
      </w:r>
    </w:p>
    <w:p>
      <w:pPr>
        <w:spacing w:line="360" w:lineRule="auto"/>
        <w:ind w:firstLine="420" w:firstLineChars="200"/>
        <w:rPr>
          <w:szCs w:val="21"/>
        </w:rPr>
      </w:pPr>
      <w:r>
        <w:rPr>
          <w:szCs w:val="21"/>
        </w:rPr>
        <w:t>2、本课程要求具备一定的软件技术基础，在基本方法和算法理解的基础上，能够运用软件平台进行仿真和处理。</w:t>
      </w:r>
      <w:r>
        <w:drawing>
          <wp:anchor distT="0" distB="0" distL="114300" distR="114300" simplePos="0" relativeHeight="251659264" behindDoc="0" locked="0" layoutInCell="1" allowOverlap="1">
            <wp:simplePos x="0" y="0"/>
            <wp:positionH relativeFrom="character">
              <wp:posOffset>5081270</wp:posOffset>
            </wp:positionH>
            <wp:positionV relativeFrom="line">
              <wp:posOffset>-15240</wp:posOffset>
            </wp:positionV>
            <wp:extent cx="5715" cy="19050"/>
            <wp:effectExtent l="19050" t="19050" r="13335" b="19050"/>
            <wp:wrapNone/>
            <wp:docPr id="49" name="Image1"/>
            <wp:cNvGraphicFramePr/>
            <a:graphic xmlns:a="http://schemas.openxmlformats.org/drawingml/2006/main">
              <a:graphicData uri="http://schemas.openxmlformats.org/drawingml/2006/picture">
                <pic:pic xmlns:pic="http://schemas.openxmlformats.org/drawingml/2006/picture">
                  <pic:nvPicPr>
                    <pic:cNvPr id="49" name="Image1"/>
                    <pic:cNvPicPr preferRelativeResize="0">
                      <a:picLocks noChangeArrowheads="1"/>
                    </pic:cNvPicPr>
                  </pic:nvPicPr>
                  <pic:blipFill>
                    <a:blip r:embed="rId174">
                      <a:extLst>
                        <a:ext uri="{28A0092B-C50C-407E-A947-70E740481C1C}">
                          <a14:useLocalDpi xmlns:a14="http://schemas.microsoft.com/office/drawing/2010/main" val="0"/>
                        </a:ext>
                      </a:extLst>
                    </a:blip>
                    <a:srcRect/>
                    <a:stretch>
                      <a:fillRect/>
                    </a:stretch>
                  </pic:blipFill>
                  <pic:spPr>
                    <a:xfrm>
                      <a:off x="0" y="0"/>
                      <a:ext cx="5715" cy="19050"/>
                    </a:xfrm>
                    <a:prstGeom prst="rect">
                      <a:avLst/>
                    </a:prstGeom>
                    <a:solidFill>
                      <a:srgbClr val="FFFFFF"/>
                    </a:solidFill>
                    <a:ln w="9525">
                      <a:solidFill>
                        <a:srgbClr val="000000"/>
                      </a:solidFill>
                      <a:round/>
                    </a:ln>
                  </pic:spPr>
                </pic:pic>
              </a:graphicData>
            </a:graphic>
          </wp:anchor>
        </w:drawing>
      </w:r>
      <w:r>
        <w:drawing>
          <wp:anchor distT="0" distB="0" distL="114300" distR="114300" simplePos="0" relativeHeight="251660288" behindDoc="0" locked="0" layoutInCell="1" allowOverlap="1">
            <wp:simplePos x="0" y="0"/>
            <wp:positionH relativeFrom="character">
              <wp:posOffset>4876800</wp:posOffset>
            </wp:positionH>
            <wp:positionV relativeFrom="line">
              <wp:posOffset>50800</wp:posOffset>
            </wp:positionV>
            <wp:extent cx="111125" cy="29210"/>
            <wp:effectExtent l="19050" t="19050" r="22225" b="27940"/>
            <wp:wrapNone/>
            <wp:docPr id="402" name="图片 402"/>
            <wp:cNvGraphicFramePr/>
            <a:graphic xmlns:a="http://schemas.openxmlformats.org/drawingml/2006/main">
              <a:graphicData uri="http://schemas.openxmlformats.org/drawingml/2006/picture">
                <pic:pic xmlns:pic="http://schemas.openxmlformats.org/drawingml/2006/picture">
                  <pic:nvPicPr>
                    <pic:cNvPr id="402" name="图片 402"/>
                    <pic:cNvPicPr preferRelativeResize="0">
                      <a:picLocks noChangeArrowheads="1"/>
                    </pic:cNvPicPr>
                  </pic:nvPicPr>
                  <pic:blipFill>
                    <a:blip r:embed="rId175">
                      <a:extLst>
                        <a:ext uri="{28A0092B-C50C-407E-A947-70E740481C1C}">
                          <a14:useLocalDpi xmlns:a14="http://schemas.microsoft.com/office/drawing/2010/main" val="0"/>
                        </a:ext>
                      </a:extLst>
                    </a:blip>
                    <a:srcRect/>
                    <a:stretch>
                      <a:fillRect/>
                    </a:stretch>
                  </pic:blipFill>
                  <pic:spPr>
                    <a:xfrm>
                      <a:off x="0" y="0"/>
                      <a:ext cx="111125" cy="29210"/>
                    </a:xfrm>
                    <a:prstGeom prst="rect">
                      <a:avLst/>
                    </a:prstGeom>
                    <a:solidFill>
                      <a:srgbClr val="FFFFFF"/>
                    </a:solidFill>
                    <a:ln w="9525">
                      <a:solidFill>
                        <a:srgbClr val="000000"/>
                      </a:solidFill>
                      <a:round/>
                    </a:ln>
                  </pic:spPr>
                </pic:pic>
              </a:graphicData>
            </a:graphic>
          </wp:anchor>
        </w:drawing>
      </w:r>
    </w:p>
    <w:p>
      <w:pPr>
        <w:widowControl/>
        <w:adjustRightInd w:val="0"/>
        <w:snapToGrid w:val="0"/>
        <w:spacing w:line="360" w:lineRule="auto"/>
        <w:ind w:firstLine="420" w:firstLineChars="200"/>
        <w:jc w:val="left"/>
      </w:pPr>
      <w:r>
        <w:rPr>
          <w:color w:val="000000"/>
          <w:szCs w:val="21"/>
        </w:rPr>
        <w:t>3、</w:t>
      </w:r>
      <w:r>
        <w:t>深度和广度说明：对数字信号处理涉及的Z变换及其计算等基本概念要熟悉，重点</w:t>
      </w:r>
      <w:r>
        <w:drawing>
          <wp:anchor distT="0" distB="0" distL="114300" distR="114300" simplePos="0" relativeHeight="251661312" behindDoc="0" locked="0" layoutInCell="1" allowOverlap="1">
            <wp:simplePos x="0" y="0"/>
            <wp:positionH relativeFrom="character">
              <wp:posOffset>6442075</wp:posOffset>
            </wp:positionH>
            <wp:positionV relativeFrom="line">
              <wp:posOffset>-156210</wp:posOffset>
            </wp:positionV>
            <wp:extent cx="126365" cy="193675"/>
            <wp:effectExtent l="19050" t="19050" r="26035" b="15875"/>
            <wp:wrapNone/>
            <wp:docPr id="401" name="图片 401"/>
            <wp:cNvGraphicFramePr/>
            <a:graphic xmlns:a="http://schemas.openxmlformats.org/drawingml/2006/main">
              <a:graphicData uri="http://schemas.openxmlformats.org/drawingml/2006/picture">
                <pic:pic xmlns:pic="http://schemas.openxmlformats.org/drawingml/2006/picture">
                  <pic:nvPicPr>
                    <pic:cNvPr id="401" name="图片 401"/>
                    <pic:cNvPicPr preferRelativeResize="0">
                      <a:picLocks noChangeArrowheads="1"/>
                    </pic:cNvPicPr>
                  </pic:nvPicPr>
                  <pic:blipFill>
                    <a:blip r:embed="rId176">
                      <a:extLst>
                        <a:ext uri="{28A0092B-C50C-407E-A947-70E740481C1C}">
                          <a14:useLocalDpi xmlns:a14="http://schemas.microsoft.com/office/drawing/2010/main" val="0"/>
                        </a:ext>
                      </a:extLst>
                    </a:blip>
                    <a:srcRect/>
                    <a:stretch>
                      <a:fillRect/>
                    </a:stretch>
                  </pic:blipFill>
                  <pic:spPr>
                    <a:xfrm>
                      <a:off x="0" y="0"/>
                      <a:ext cx="126365" cy="193675"/>
                    </a:xfrm>
                    <a:prstGeom prst="rect">
                      <a:avLst/>
                    </a:prstGeom>
                    <a:solidFill>
                      <a:srgbClr val="FFFFFF"/>
                    </a:solidFill>
                    <a:ln w="9525">
                      <a:solidFill>
                        <a:srgbClr val="000000"/>
                      </a:solidFill>
                      <a:round/>
                    </a:ln>
                  </pic:spPr>
                </pic:pic>
              </a:graphicData>
            </a:graphic>
          </wp:anchor>
        </w:drawing>
      </w:r>
      <w:r>
        <w:drawing>
          <wp:anchor distT="0" distB="0" distL="114300" distR="114300" simplePos="0" relativeHeight="251662336" behindDoc="0" locked="0" layoutInCell="1" allowOverlap="1">
            <wp:simplePos x="0" y="0"/>
            <wp:positionH relativeFrom="character">
              <wp:posOffset>6452235</wp:posOffset>
            </wp:positionH>
            <wp:positionV relativeFrom="line">
              <wp:posOffset>-127000</wp:posOffset>
            </wp:positionV>
            <wp:extent cx="4445" cy="84455"/>
            <wp:effectExtent l="19050" t="19050" r="14605" b="10795"/>
            <wp:wrapNone/>
            <wp:docPr id="400" name="图片 400"/>
            <wp:cNvGraphicFramePr/>
            <a:graphic xmlns:a="http://schemas.openxmlformats.org/drawingml/2006/main">
              <a:graphicData uri="http://schemas.openxmlformats.org/drawingml/2006/picture">
                <pic:pic xmlns:pic="http://schemas.openxmlformats.org/drawingml/2006/picture">
                  <pic:nvPicPr>
                    <pic:cNvPr id="400" name="图片 400"/>
                    <pic:cNvPicPr preferRelativeResize="0">
                      <a:picLocks noChangeArrowheads="1"/>
                    </pic:cNvPicPr>
                  </pic:nvPicPr>
                  <pic:blipFill>
                    <a:blip r:embed="rId177">
                      <a:extLst>
                        <a:ext uri="{28A0092B-C50C-407E-A947-70E740481C1C}">
                          <a14:useLocalDpi xmlns:a14="http://schemas.microsoft.com/office/drawing/2010/main" val="0"/>
                        </a:ext>
                      </a:extLst>
                    </a:blip>
                    <a:srcRect/>
                    <a:stretch>
                      <a:fillRect/>
                    </a:stretch>
                  </pic:blipFill>
                  <pic:spPr>
                    <a:xfrm>
                      <a:off x="0" y="0"/>
                      <a:ext cx="4445" cy="84455"/>
                    </a:xfrm>
                    <a:prstGeom prst="rect">
                      <a:avLst/>
                    </a:prstGeom>
                    <a:solidFill>
                      <a:srgbClr val="FFFFFF"/>
                    </a:solidFill>
                    <a:ln w="9525">
                      <a:solidFill>
                        <a:srgbClr val="000000"/>
                      </a:solidFill>
                      <a:round/>
                    </a:ln>
                  </pic:spPr>
                </pic:pic>
              </a:graphicData>
            </a:graphic>
          </wp:anchor>
        </w:drawing>
      </w:r>
      <w:r>
        <w:t>讲授快速傅里叶变换算法、IIR和FIR数字滤波器设计方法。</w:t>
      </w:r>
    </w:p>
    <w:p>
      <w:pPr>
        <w:spacing w:line="360" w:lineRule="auto"/>
        <w:ind w:firstLine="420" w:firstLineChars="200"/>
        <w:rPr>
          <w:color w:val="FF0000"/>
          <w:szCs w:val="21"/>
        </w:rPr>
      </w:pPr>
      <w:r>
        <w:rPr>
          <w:color w:val="000000"/>
          <w:szCs w:val="21"/>
        </w:rPr>
        <w:t>4、</w:t>
      </w:r>
      <w:r>
        <w:t>偏差说明：为了鼓励教师引入个人授课风格或者适应技术发展的紧迫性，本课程允许教师授课内容做适当调整，最大正偏差为10%，不允许负偏差。正偏差通过压缩同等内容的学时数来完成。特殊情况，最大正偏差和置换偏差累计可达到20%，但在开课前要申请专业责任人批准。（正偏差指大纲知识点不变，新增知识点；负偏差是大纲知识点减少；置换偏差是指大纲中部分知识点被其它类似知识点替换）。</w:t>
      </w:r>
    </w:p>
    <w:p>
      <w:pPr>
        <w:spacing w:line="360" w:lineRule="auto"/>
        <w:ind w:firstLine="420" w:firstLineChars="200"/>
        <w:rPr>
          <w:szCs w:val="21"/>
        </w:rPr>
      </w:pPr>
    </w:p>
    <w:p>
      <w:pPr>
        <w:tabs>
          <w:tab w:val="left" w:pos="420"/>
        </w:tabs>
        <w:spacing w:line="360" w:lineRule="auto"/>
        <w:ind w:left="420" w:hanging="420"/>
        <w:rPr>
          <w:rFonts w:eastAsia="黑体"/>
          <w:szCs w:val="21"/>
        </w:rPr>
      </w:pPr>
      <w:r>
        <w:rPr>
          <w:rFonts w:hint="eastAsia" w:eastAsia="黑体"/>
          <w:szCs w:val="21"/>
        </w:rPr>
        <w:t>四、教学内容和教学方法</w:t>
      </w:r>
    </w:p>
    <w:p>
      <w:pPr>
        <w:widowControl/>
        <w:adjustRightInd w:val="0"/>
        <w:snapToGrid w:val="0"/>
        <w:spacing w:line="360" w:lineRule="auto"/>
        <w:ind w:firstLine="420" w:firstLineChars="200"/>
        <w:jc w:val="left"/>
      </w:pPr>
      <w:r>
        <w:t>本课程主要讲授的内容包括：离散时间与系统、Z变换、离散傅里叶变换及其快速算法、数字滤波器的基本结构及IIR和FIR数字滤波器设计方法。</w:t>
      </w:r>
    </w:p>
    <w:p>
      <w:pPr>
        <w:spacing w:line="360" w:lineRule="auto"/>
        <w:ind w:firstLine="420" w:firstLineChars="200"/>
      </w:pPr>
      <w:r>
        <w:t>教学方法：运用启发式、课堂提问、课堂演示等手段讲解数字信号处理的基本理论、算法与一些工程实际应用，提高学生学习的主动性，激发学生学习的兴趣和求知的欲望。</w:t>
      </w:r>
    </w:p>
    <w:p>
      <w:pPr>
        <w:spacing w:line="360" w:lineRule="auto"/>
        <w:ind w:firstLine="420" w:firstLineChars="200"/>
        <w:rPr>
          <w:color w:val="FF0000"/>
          <w:szCs w:val="21"/>
        </w:rPr>
      </w:pPr>
    </w:p>
    <w:p>
      <w:pPr>
        <w:tabs>
          <w:tab w:val="left" w:pos="420"/>
        </w:tabs>
        <w:adjustRightInd w:val="0"/>
        <w:snapToGrid w:val="0"/>
        <w:spacing w:line="360" w:lineRule="auto"/>
        <w:ind w:firstLine="420" w:firstLineChars="200"/>
        <w:rPr>
          <w:color w:val="000000"/>
        </w:rPr>
      </w:pPr>
      <w:r>
        <w:rPr>
          <w:rFonts w:eastAsia="黑体"/>
          <w:color w:val="000000"/>
        </w:rPr>
        <w:t>1  绪论（1学时）</w:t>
      </w:r>
    </w:p>
    <w:p>
      <w:pPr>
        <w:adjustRightInd w:val="0"/>
        <w:snapToGrid w:val="0"/>
        <w:spacing w:line="360" w:lineRule="auto"/>
        <w:ind w:firstLine="420" w:firstLineChars="200"/>
        <w:rPr>
          <w:color w:val="000000"/>
        </w:rPr>
      </w:pPr>
      <w:r>
        <w:rPr>
          <w:rFonts w:eastAsia="黑体"/>
          <w:color w:val="000000"/>
        </w:rPr>
        <w:t>1.1、学习</w:t>
      </w:r>
      <w:r>
        <w:rPr>
          <w:color w:val="000000"/>
        </w:rPr>
        <w:t>数字信号处理的研究对象；</w:t>
      </w:r>
    </w:p>
    <w:p>
      <w:pPr>
        <w:adjustRightInd w:val="0"/>
        <w:snapToGrid w:val="0"/>
        <w:spacing w:line="360" w:lineRule="auto"/>
        <w:ind w:firstLine="420" w:firstLineChars="200"/>
        <w:rPr>
          <w:color w:val="000000"/>
        </w:rPr>
      </w:pPr>
      <w:r>
        <w:rPr>
          <w:color w:val="000000"/>
        </w:rPr>
        <w:t>1.2、学习数字信号处理系统的基本组成和特点；</w:t>
      </w:r>
    </w:p>
    <w:p>
      <w:pPr>
        <w:adjustRightInd w:val="0"/>
        <w:snapToGrid w:val="0"/>
        <w:spacing w:line="360" w:lineRule="auto"/>
        <w:ind w:firstLine="420" w:firstLineChars="200"/>
        <w:rPr>
          <w:color w:val="000000"/>
        </w:rPr>
      </w:pPr>
      <w:r>
        <w:rPr>
          <w:color w:val="000000"/>
        </w:rPr>
        <w:t>重点：数字信号处理的学科概貌。</w:t>
      </w:r>
    </w:p>
    <w:p>
      <w:pPr>
        <w:pStyle w:val="28"/>
        <w:widowControl/>
        <w:adjustRightInd w:val="0"/>
        <w:snapToGrid w:val="0"/>
        <w:spacing w:line="360" w:lineRule="auto"/>
        <w:ind w:left="360" w:firstLine="0" w:firstLineChars="0"/>
        <w:jc w:val="left"/>
        <w:rPr>
          <w:snapToGrid w:val="0"/>
          <w:color w:val="000000"/>
          <w:kern w:val="0"/>
        </w:rPr>
      </w:pPr>
      <w:r>
        <w:rPr>
          <w:rFonts w:cs="宋体"/>
          <w:bCs/>
          <w:snapToGrid w:val="0"/>
          <w:color w:val="000000"/>
          <w:kern w:val="0"/>
          <w:szCs w:val="21"/>
        </w:rPr>
        <w:t>本章内容支撑课程目标</w:t>
      </w:r>
      <w:r>
        <w:rPr>
          <w:rFonts w:hint="eastAsia" w:cs="宋体"/>
          <w:bCs/>
          <w:snapToGrid w:val="0"/>
          <w:color w:val="000000"/>
          <w:kern w:val="0"/>
          <w:szCs w:val="21"/>
        </w:rPr>
        <w:t>1。</w:t>
      </w:r>
    </w:p>
    <w:p>
      <w:pPr>
        <w:adjustRightInd w:val="0"/>
        <w:snapToGrid w:val="0"/>
        <w:spacing w:line="360" w:lineRule="auto"/>
        <w:ind w:firstLine="420" w:firstLineChars="200"/>
        <w:rPr>
          <w:rFonts w:eastAsia="黑体"/>
          <w:color w:val="000000"/>
        </w:rPr>
      </w:pPr>
      <w:r>
        <w:rPr>
          <w:rFonts w:eastAsia="黑体"/>
          <w:color w:val="000000"/>
        </w:rPr>
        <w:t>2  Z变换（3学时）</w:t>
      </w:r>
    </w:p>
    <w:p>
      <w:pPr>
        <w:adjustRightInd w:val="0"/>
        <w:snapToGrid w:val="0"/>
        <w:spacing w:line="360" w:lineRule="auto"/>
        <w:ind w:firstLine="420" w:firstLineChars="200"/>
        <w:rPr>
          <w:color w:val="000000"/>
        </w:rPr>
      </w:pPr>
      <w:r>
        <w:rPr>
          <w:color w:val="000000"/>
        </w:rPr>
        <w:t>2.1、Z变换的定义；</w:t>
      </w:r>
    </w:p>
    <w:p>
      <w:pPr>
        <w:adjustRightInd w:val="0"/>
        <w:snapToGrid w:val="0"/>
        <w:spacing w:line="360" w:lineRule="auto"/>
        <w:ind w:firstLine="420" w:firstLineChars="200"/>
        <w:rPr>
          <w:color w:val="000000"/>
        </w:rPr>
      </w:pPr>
      <w:r>
        <w:rPr>
          <w:color w:val="000000"/>
        </w:rPr>
        <w:t>2.2、Z反变换；</w:t>
      </w:r>
    </w:p>
    <w:p>
      <w:pPr>
        <w:adjustRightInd w:val="0"/>
        <w:snapToGrid w:val="0"/>
        <w:spacing w:line="360" w:lineRule="auto"/>
        <w:ind w:firstLine="420" w:firstLineChars="200"/>
        <w:rPr>
          <w:color w:val="000000"/>
        </w:rPr>
      </w:pPr>
      <w:r>
        <w:rPr>
          <w:color w:val="000000"/>
        </w:rPr>
        <w:t>2.3、Z变换的基本性质；</w:t>
      </w:r>
    </w:p>
    <w:p>
      <w:pPr>
        <w:adjustRightInd w:val="0"/>
        <w:snapToGrid w:val="0"/>
        <w:spacing w:line="360" w:lineRule="auto"/>
        <w:ind w:firstLine="420" w:firstLineChars="200"/>
        <w:rPr>
          <w:color w:val="000000"/>
        </w:rPr>
      </w:pPr>
      <w:r>
        <w:rPr>
          <w:color w:val="000000"/>
        </w:rPr>
        <w:t>2.4、离散系统的系统函数，频率响应。</w:t>
      </w:r>
    </w:p>
    <w:p>
      <w:pPr>
        <w:adjustRightInd w:val="0"/>
        <w:snapToGrid w:val="0"/>
        <w:spacing w:line="360" w:lineRule="auto"/>
        <w:ind w:firstLine="420" w:firstLineChars="200"/>
        <w:rPr>
          <w:color w:val="000000"/>
        </w:rPr>
      </w:pPr>
      <w:r>
        <w:rPr>
          <w:color w:val="000000"/>
        </w:rPr>
        <w:t>重点：Z变换和Z反变换的概念、性质。</w:t>
      </w:r>
    </w:p>
    <w:p>
      <w:pPr>
        <w:adjustRightInd w:val="0"/>
        <w:snapToGrid w:val="0"/>
        <w:spacing w:line="360" w:lineRule="auto"/>
        <w:ind w:firstLine="420" w:firstLineChars="200"/>
        <w:rPr>
          <w:color w:val="000000"/>
        </w:rPr>
      </w:pPr>
      <w:r>
        <w:rPr>
          <w:color w:val="000000"/>
        </w:rPr>
        <w:t>难点：系统的频率响应。</w:t>
      </w:r>
    </w:p>
    <w:p>
      <w:pPr>
        <w:pStyle w:val="28"/>
        <w:widowControl/>
        <w:adjustRightInd w:val="0"/>
        <w:snapToGrid w:val="0"/>
        <w:spacing w:line="360" w:lineRule="auto"/>
        <w:ind w:left="360" w:firstLine="0" w:firstLineChars="0"/>
        <w:jc w:val="left"/>
        <w:rPr>
          <w:snapToGrid w:val="0"/>
          <w:color w:val="000000"/>
          <w:kern w:val="0"/>
        </w:rPr>
      </w:pPr>
      <w:r>
        <w:rPr>
          <w:rFonts w:cs="宋体"/>
          <w:bCs/>
          <w:snapToGrid w:val="0"/>
          <w:color w:val="000000"/>
          <w:kern w:val="0"/>
          <w:szCs w:val="21"/>
        </w:rPr>
        <w:t>本章内容支撑课程目标</w:t>
      </w:r>
      <w:r>
        <w:rPr>
          <w:rFonts w:hint="eastAsia" w:cs="宋体"/>
          <w:bCs/>
          <w:snapToGrid w:val="0"/>
          <w:color w:val="000000"/>
          <w:kern w:val="0"/>
          <w:szCs w:val="21"/>
        </w:rPr>
        <w:t>1。</w:t>
      </w:r>
    </w:p>
    <w:p>
      <w:pPr>
        <w:adjustRightInd w:val="0"/>
        <w:snapToGrid w:val="0"/>
        <w:spacing w:line="360" w:lineRule="auto"/>
        <w:ind w:firstLine="420" w:firstLineChars="200"/>
        <w:rPr>
          <w:rFonts w:eastAsia="黑体"/>
          <w:color w:val="000000"/>
        </w:rPr>
      </w:pPr>
      <w:r>
        <w:rPr>
          <w:rFonts w:eastAsia="黑体"/>
          <w:color w:val="000000"/>
        </w:rPr>
        <w:t>3  离散傅里叶变换（5学时）</w:t>
      </w:r>
    </w:p>
    <w:p>
      <w:pPr>
        <w:adjustRightInd w:val="0"/>
        <w:snapToGrid w:val="0"/>
        <w:spacing w:line="360" w:lineRule="auto"/>
        <w:ind w:firstLine="420" w:firstLineChars="200"/>
        <w:rPr>
          <w:color w:val="000000"/>
        </w:rPr>
      </w:pPr>
      <w:r>
        <w:rPr>
          <w:color w:val="000000"/>
        </w:rPr>
        <w:t>3.1、学习离散傅里叶变换的作用；</w:t>
      </w:r>
    </w:p>
    <w:p>
      <w:pPr>
        <w:adjustRightInd w:val="0"/>
        <w:snapToGrid w:val="0"/>
        <w:spacing w:line="360" w:lineRule="auto"/>
        <w:ind w:firstLine="420" w:firstLineChars="200"/>
        <w:rPr>
          <w:color w:val="000000"/>
        </w:rPr>
      </w:pPr>
      <w:r>
        <w:rPr>
          <w:color w:val="000000"/>
        </w:rPr>
        <w:t>3.2、傅里叶变换的几种形式；</w:t>
      </w:r>
    </w:p>
    <w:p>
      <w:pPr>
        <w:adjustRightInd w:val="0"/>
        <w:snapToGrid w:val="0"/>
        <w:spacing w:line="360" w:lineRule="auto"/>
        <w:ind w:firstLine="420" w:firstLineChars="200"/>
        <w:rPr>
          <w:color w:val="000000"/>
        </w:rPr>
      </w:pPr>
      <w:r>
        <w:rPr>
          <w:color w:val="000000"/>
        </w:rPr>
        <w:t>3.3、离散傅里叶变换；</w:t>
      </w:r>
    </w:p>
    <w:p>
      <w:pPr>
        <w:adjustRightInd w:val="0"/>
        <w:snapToGrid w:val="0"/>
        <w:spacing w:line="360" w:lineRule="auto"/>
        <w:ind w:firstLine="420" w:firstLineChars="200"/>
        <w:rPr>
          <w:color w:val="000000"/>
        </w:rPr>
      </w:pPr>
      <w:r>
        <w:rPr>
          <w:color w:val="000000"/>
        </w:rPr>
        <w:t>3.4、学习离散傅里叶变换的性质；</w:t>
      </w:r>
    </w:p>
    <w:p>
      <w:pPr>
        <w:adjustRightInd w:val="0"/>
        <w:snapToGrid w:val="0"/>
        <w:spacing w:line="360" w:lineRule="auto"/>
        <w:ind w:firstLine="420" w:firstLineChars="200"/>
        <w:rPr>
          <w:color w:val="000000"/>
        </w:rPr>
      </w:pPr>
      <w:r>
        <w:rPr>
          <w:color w:val="000000"/>
        </w:rPr>
        <w:t>3.5、抽样Z变换；</w:t>
      </w:r>
    </w:p>
    <w:p>
      <w:pPr>
        <w:adjustRightInd w:val="0"/>
        <w:snapToGrid w:val="0"/>
        <w:spacing w:line="360" w:lineRule="auto"/>
        <w:ind w:firstLine="420" w:firstLineChars="200"/>
        <w:rPr>
          <w:color w:val="000000"/>
        </w:rPr>
      </w:pPr>
      <w:r>
        <w:rPr>
          <w:color w:val="000000"/>
        </w:rPr>
        <w:t>3.6、DFT对连续时间信号的逼近。</w:t>
      </w:r>
    </w:p>
    <w:p>
      <w:pPr>
        <w:adjustRightInd w:val="0"/>
        <w:snapToGrid w:val="0"/>
        <w:spacing w:line="360" w:lineRule="auto"/>
        <w:ind w:firstLine="420" w:firstLineChars="200"/>
        <w:rPr>
          <w:color w:val="000000"/>
        </w:rPr>
      </w:pPr>
      <w:r>
        <w:rPr>
          <w:color w:val="000000"/>
        </w:rPr>
        <w:t>重点：傅里叶变换的四种形式，离散傅里叶变换的概念。</w:t>
      </w:r>
    </w:p>
    <w:p>
      <w:pPr>
        <w:adjustRightInd w:val="0"/>
        <w:snapToGrid w:val="0"/>
        <w:spacing w:line="360" w:lineRule="auto"/>
        <w:ind w:firstLine="420" w:firstLineChars="200"/>
        <w:rPr>
          <w:color w:val="000000"/>
        </w:rPr>
      </w:pPr>
      <w:r>
        <w:rPr>
          <w:color w:val="000000"/>
        </w:rPr>
        <w:t>难点：抽样Z变换。</w:t>
      </w:r>
    </w:p>
    <w:p>
      <w:pPr>
        <w:widowControl/>
        <w:adjustRightInd w:val="0"/>
        <w:snapToGrid w:val="0"/>
        <w:spacing w:line="360" w:lineRule="auto"/>
        <w:ind w:left="991" w:leftChars="202" w:hanging="567" w:hangingChars="270"/>
        <w:jc w:val="left"/>
        <w:rPr>
          <w:snapToGrid w:val="0"/>
          <w:color w:val="000000"/>
          <w:kern w:val="0"/>
        </w:rPr>
      </w:pPr>
      <w:r>
        <w:rPr>
          <w:rFonts w:cs="宋体"/>
          <w:bCs/>
          <w:snapToGrid w:val="0"/>
          <w:color w:val="000000"/>
          <w:kern w:val="0"/>
          <w:szCs w:val="21"/>
        </w:rPr>
        <w:t>本章内容支撑课程目标</w:t>
      </w:r>
      <w:r>
        <w:rPr>
          <w:rFonts w:hint="eastAsia" w:cs="宋体"/>
          <w:bCs/>
          <w:snapToGrid w:val="0"/>
          <w:color w:val="000000"/>
          <w:kern w:val="0"/>
          <w:szCs w:val="21"/>
        </w:rPr>
        <w:t>2、3。</w:t>
      </w:r>
    </w:p>
    <w:p>
      <w:pPr>
        <w:adjustRightInd w:val="0"/>
        <w:snapToGrid w:val="0"/>
        <w:spacing w:line="360" w:lineRule="auto"/>
        <w:ind w:firstLine="420" w:firstLineChars="200"/>
        <w:rPr>
          <w:rFonts w:eastAsia="黑体"/>
          <w:color w:val="000000"/>
        </w:rPr>
      </w:pPr>
      <w:r>
        <w:rPr>
          <w:rFonts w:eastAsia="黑体"/>
          <w:color w:val="000000"/>
        </w:rPr>
        <w:t>4  快速傅立叶变换（5学时）</w:t>
      </w:r>
    </w:p>
    <w:p>
      <w:pPr>
        <w:adjustRightInd w:val="0"/>
        <w:snapToGrid w:val="0"/>
        <w:spacing w:line="360" w:lineRule="auto"/>
        <w:ind w:firstLine="420" w:firstLineChars="200"/>
        <w:rPr>
          <w:color w:val="000000"/>
        </w:rPr>
      </w:pPr>
      <w:r>
        <w:rPr>
          <w:color w:val="000000"/>
        </w:rPr>
        <w:t>4.1、学习快速傅里叶变换的意义；</w:t>
      </w:r>
    </w:p>
    <w:p>
      <w:pPr>
        <w:adjustRightInd w:val="0"/>
        <w:snapToGrid w:val="0"/>
        <w:spacing w:line="360" w:lineRule="auto"/>
        <w:ind w:firstLine="420" w:firstLineChars="200"/>
        <w:rPr>
          <w:color w:val="000000"/>
        </w:rPr>
      </w:pPr>
      <w:r>
        <w:rPr>
          <w:color w:val="000000"/>
        </w:rPr>
        <w:t>4.2、学习直接计算DFT的问题及改进途径；</w:t>
      </w:r>
    </w:p>
    <w:p>
      <w:pPr>
        <w:adjustRightInd w:val="0"/>
        <w:snapToGrid w:val="0"/>
        <w:spacing w:line="360" w:lineRule="auto"/>
        <w:ind w:firstLine="420" w:firstLineChars="200"/>
        <w:rPr>
          <w:color w:val="000000"/>
        </w:rPr>
      </w:pPr>
      <w:r>
        <w:rPr>
          <w:color w:val="000000"/>
        </w:rPr>
        <w:t>4.3、按时间抽样的FFT算法；</w:t>
      </w:r>
    </w:p>
    <w:p>
      <w:pPr>
        <w:adjustRightInd w:val="0"/>
        <w:snapToGrid w:val="0"/>
        <w:spacing w:line="360" w:lineRule="auto"/>
        <w:ind w:firstLine="420" w:firstLineChars="200"/>
        <w:rPr>
          <w:color w:val="000000"/>
        </w:rPr>
      </w:pPr>
      <w:r>
        <w:rPr>
          <w:color w:val="000000"/>
        </w:rPr>
        <w:t>4.4、按频率抽样的FFT算法。</w:t>
      </w:r>
    </w:p>
    <w:p>
      <w:pPr>
        <w:adjustRightInd w:val="0"/>
        <w:snapToGrid w:val="0"/>
        <w:spacing w:line="360" w:lineRule="auto"/>
        <w:ind w:firstLine="420" w:firstLineChars="200"/>
        <w:rPr>
          <w:color w:val="000000"/>
        </w:rPr>
      </w:pPr>
      <w:r>
        <w:rPr>
          <w:color w:val="000000"/>
        </w:rPr>
        <w:t>重点：基2FFT算法原理。</w:t>
      </w:r>
    </w:p>
    <w:p>
      <w:pPr>
        <w:adjustRightInd w:val="0"/>
        <w:snapToGrid w:val="0"/>
        <w:spacing w:line="360" w:lineRule="auto"/>
        <w:ind w:firstLine="420" w:firstLineChars="200"/>
        <w:rPr>
          <w:color w:val="000000"/>
        </w:rPr>
      </w:pPr>
      <w:r>
        <w:rPr>
          <w:color w:val="000000"/>
        </w:rPr>
        <w:t>难点：FFT算法的应用。</w:t>
      </w:r>
    </w:p>
    <w:p>
      <w:pPr>
        <w:widowControl/>
        <w:adjustRightInd w:val="0"/>
        <w:snapToGrid w:val="0"/>
        <w:spacing w:line="360" w:lineRule="auto"/>
        <w:ind w:left="991" w:leftChars="202" w:hanging="567" w:hangingChars="270"/>
        <w:jc w:val="left"/>
        <w:rPr>
          <w:snapToGrid w:val="0"/>
          <w:color w:val="000000"/>
          <w:kern w:val="0"/>
        </w:rPr>
      </w:pPr>
      <w:r>
        <w:rPr>
          <w:rFonts w:cs="宋体"/>
          <w:bCs/>
          <w:snapToGrid w:val="0"/>
          <w:color w:val="000000"/>
          <w:kern w:val="0"/>
          <w:szCs w:val="21"/>
        </w:rPr>
        <w:t>本章内容支撑课程目标</w:t>
      </w:r>
      <w:r>
        <w:rPr>
          <w:rFonts w:hint="eastAsia" w:cs="宋体"/>
          <w:bCs/>
          <w:snapToGrid w:val="0"/>
          <w:color w:val="000000"/>
          <w:kern w:val="0"/>
          <w:szCs w:val="21"/>
        </w:rPr>
        <w:t>2、3。</w:t>
      </w:r>
    </w:p>
    <w:p>
      <w:pPr>
        <w:adjustRightInd w:val="0"/>
        <w:snapToGrid w:val="0"/>
        <w:spacing w:line="360" w:lineRule="auto"/>
        <w:ind w:firstLine="420" w:firstLineChars="200"/>
        <w:rPr>
          <w:color w:val="000000"/>
        </w:rPr>
      </w:pPr>
      <w:r>
        <w:rPr>
          <w:rFonts w:eastAsia="黑体"/>
          <w:color w:val="000000"/>
        </w:rPr>
        <w:t>5  数字滤波器的基本结构（2学时）</w:t>
      </w:r>
    </w:p>
    <w:p>
      <w:pPr>
        <w:adjustRightInd w:val="0"/>
        <w:snapToGrid w:val="0"/>
        <w:spacing w:line="360" w:lineRule="auto"/>
        <w:ind w:firstLine="420" w:firstLineChars="200"/>
        <w:rPr>
          <w:color w:val="000000"/>
        </w:rPr>
      </w:pPr>
      <w:r>
        <w:rPr>
          <w:color w:val="000000"/>
        </w:rPr>
        <w:t>5.1、学习数字滤波器结构的表示方法；</w:t>
      </w:r>
    </w:p>
    <w:p>
      <w:pPr>
        <w:adjustRightInd w:val="0"/>
        <w:snapToGrid w:val="0"/>
        <w:spacing w:line="360" w:lineRule="auto"/>
        <w:ind w:firstLine="420" w:firstLineChars="200"/>
        <w:rPr>
          <w:color w:val="000000"/>
        </w:rPr>
      </w:pPr>
      <w:r>
        <w:rPr>
          <w:color w:val="000000"/>
        </w:rPr>
        <w:t>5.2、无限长单位冲激响应（IIR）滤波器的基本结构；</w:t>
      </w:r>
    </w:p>
    <w:p>
      <w:pPr>
        <w:adjustRightInd w:val="0"/>
        <w:snapToGrid w:val="0"/>
        <w:spacing w:line="360" w:lineRule="auto"/>
        <w:ind w:firstLine="420" w:firstLineChars="200"/>
        <w:rPr>
          <w:color w:val="000000"/>
        </w:rPr>
      </w:pPr>
      <w:r>
        <w:rPr>
          <w:color w:val="000000"/>
        </w:rPr>
        <w:t>5.3、有限长单位冲激响应（FIR）滤波器的基本结构。</w:t>
      </w:r>
    </w:p>
    <w:p>
      <w:pPr>
        <w:adjustRightInd w:val="0"/>
        <w:snapToGrid w:val="0"/>
        <w:spacing w:line="360" w:lineRule="auto"/>
        <w:ind w:firstLine="420" w:firstLineChars="200"/>
        <w:rPr>
          <w:color w:val="000000"/>
        </w:rPr>
      </w:pPr>
      <w:r>
        <w:rPr>
          <w:color w:val="000000"/>
        </w:rPr>
        <w:t>重点：滤波器的正准型结构，高阶滤波器的级联、并联分解。</w:t>
      </w:r>
    </w:p>
    <w:p>
      <w:pPr>
        <w:adjustRightInd w:val="0"/>
        <w:snapToGrid w:val="0"/>
        <w:spacing w:line="360" w:lineRule="auto"/>
        <w:ind w:firstLine="420" w:firstLineChars="200"/>
        <w:rPr>
          <w:color w:val="000000"/>
        </w:rPr>
      </w:pPr>
      <w:r>
        <w:rPr>
          <w:color w:val="000000"/>
        </w:rPr>
        <w:t>难点：IIR滤波器和FIR滤波器的特点。</w:t>
      </w:r>
    </w:p>
    <w:p>
      <w:pPr>
        <w:widowControl/>
        <w:adjustRightInd w:val="0"/>
        <w:snapToGrid w:val="0"/>
        <w:spacing w:line="360" w:lineRule="auto"/>
        <w:ind w:left="991" w:leftChars="202" w:hanging="567" w:hangingChars="270"/>
        <w:jc w:val="left"/>
        <w:rPr>
          <w:snapToGrid w:val="0"/>
          <w:color w:val="000000"/>
          <w:kern w:val="0"/>
        </w:rPr>
      </w:pPr>
      <w:r>
        <w:rPr>
          <w:rFonts w:cs="宋体"/>
          <w:bCs/>
          <w:snapToGrid w:val="0"/>
          <w:color w:val="000000"/>
          <w:kern w:val="0"/>
          <w:szCs w:val="21"/>
        </w:rPr>
        <w:t>本章内容支撑课程目标</w:t>
      </w:r>
      <w:r>
        <w:rPr>
          <w:rFonts w:hint="eastAsia" w:cs="宋体"/>
          <w:bCs/>
          <w:snapToGrid w:val="0"/>
          <w:color w:val="000000"/>
          <w:kern w:val="0"/>
          <w:szCs w:val="21"/>
        </w:rPr>
        <w:t>1。</w:t>
      </w:r>
    </w:p>
    <w:p>
      <w:pPr>
        <w:adjustRightInd w:val="0"/>
        <w:snapToGrid w:val="0"/>
        <w:spacing w:line="360" w:lineRule="auto"/>
        <w:ind w:firstLine="420" w:firstLineChars="200"/>
        <w:rPr>
          <w:color w:val="000000"/>
        </w:rPr>
      </w:pPr>
      <w:r>
        <w:rPr>
          <w:rFonts w:eastAsia="黑体"/>
          <w:color w:val="000000"/>
        </w:rPr>
        <w:t xml:space="preserve">6  </w:t>
      </w:r>
      <w:r>
        <w:rPr>
          <w:color w:val="000000"/>
        </w:rPr>
        <w:t>IIR数字滤波器设计方法</w:t>
      </w:r>
      <w:r>
        <w:rPr>
          <w:rFonts w:eastAsia="黑体"/>
          <w:color w:val="000000"/>
        </w:rPr>
        <w:t>（7学时）</w:t>
      </w:r>
    </w:p>
    <w:p>
      <w:pPr>
        <w:adjustRightInd w:val="0"/>
        <w:snapToGrid w:val="0"/>
        <w:spacing w:line="360" w:lineRule="auto"/>
        <w:ind w:firstLine="420" w:firstLineChars="200"/>
        <w:rPr>
          <w:color w:val="000000"/>
        </w:rPr>
      </w:pPr>
      <w:r>
        <w:rPr>
          <w:color w:val="000000"/>
        </w:rPr>
        <w:t>6.1、学习滤波器的概念和意义；</w:t>
      </w:r>
    </w:p>
    <w:p>
      <w:pPr>
        <w:adjustRightInd w:val="0"/>
        <w:snapToGrid w:val="0"/>
        <w:spacing w:line="360" w:lineRule="auto"/>
        <w:ind w:firstLine="420" w:firstLineChars="200"/>
        <w:rPr>
          <w:color w:val="000000"/>
        </w:rPr>
      </w:pPr>
      <w:r>
        <w:rPr>
          <w:color w:val="000000"/>
        </w:rPr>
        <w:t>6.2、由模拟滤波器设计IIR数字滤波器；</w:t>
      </w:r>
    </w:p>
    <w:p>
      <w:pPr>
        <w:adjustRightInd w:val="0"/>
        <w:snapToGrid w:val="0"/>
        <w:spacing w:line="360" w:lineRule="auto"/>
        <w:ind w:firstLine="420" w:firstLineChars="200"/>
        <w:rPr>
          <w:color w:val="000000"/>
        </w:rPr>
      </w:pPr>
      <w:r>
        <w:rPr>
          <w:color w:val="000000"/>
        </w:rPr>
        <w:t>6.3、冲激响应不变法；</w:t>
      </w:r>
    </w:p>
    <w:p>
      <w:pPr>
        <w:adjustRightInd w:val="0"/>
        <w:snapToGrid w:val="0"/>
        <w:spacing w:line="360" w:lineRule="auto"/>
        <w:ind w:firstLine="420" w:firstLineChars="200"/>
        <w:rPr>
          <w:color w:val="000000"/>
        </w:rPr>
      </w:pPr>
      <w:r>
        <w:rPr>
          <w:color w:val="000000"/>
        </w:rPr>
        <w:t>6.4、阶跃响应不变法；</w:t>
      </w:r>
    </w:p>
    <w:p>
      <w:pPr>
        <w:adjustRightInd w:val="0"/>
        <w:snapToGrid w:val="0"/>
        <w:spacing w:line="360" w:lineRule="auto"/>
        <w:ind w:firstLine="420" w:firstLineChars="200"/>
        <w:rPr>
          <w:color w:val="000000"/>
        </w:rPr>
      </w:pPr>
      <w:r>
        <w:rPr>
          <w:color w:val="000000"/>
        </w:rPr>
        <w:t>6.5、双线性变换法；</w:t>
      </w:r>
    </w:p>
    <w:p>
      <w:pPr>
        <w:adjustRightInd w:val="0"/>
        <w:snapToGrid w:val="0"/>
        <w:spacing w:line="360" w:lineRule="auto"/>
        <w:ind w:firstLine="420" w:firstLineChars="200"/>
        <w:rPr>
          <w:color w:val="000000"/>
        </w:rPr>
      </w:pPr>
      <w:r>
        <w:rPr>
          <w:color w:val="000000"/>
        </w:rPr>
        <w:t>6.6、模拟低通滤波器特性。</w:t>
      </w:r>
    </w:p>
    <w:p>
      <w:pPr>
        <w:adjustRightInd w:val="0"/>
        <w:snapToGrid w:val="0"/>
        <w:spacing w:line="360" w:lineRule="auto"/>
        <w:ind w:firstLine="420" w:firstLineChars="200"/>
        <w:rPr>
          <w:color w:val="000000"/>
        </w:rPr>
      </w:pPr>
      <w:r>
        <w:rPr>
          <w:color w:val="000000"/>
        </w:rPr>
        <w:t>重点：IIR滤波器的设计思路和方法，双线性变换设计法。</w:t>
      </w:r>
    </w:p>
    <w:p>
      <w:pPr>
        <w:adjustRightInd w:val="0"/>
        <w:snapToGrid w:val="0"/>
        <w:spacing w:line="360" w:lineRule="auto"/>
        <w:ind w:firstLine="420" w:firstLineChars="200"/>
        <w:rPr>
          <w:color w:val="000000"/>
        </w:rPr>
      </w:pPr>
      <w:r>
        <w:rPr>
          <w:color w:val="000000"/>
        </w:rPr>
        <w:t>难点：四种典型滤波器和模拟低通滤波器之间的转换。</w:t>
      </w:r>
    </w:p>
    <w:p>
      <w:pPr>
        <w:widowControl/>
        <w:adjustRightInd w:val="0"/>
        <w:snapToGrid w:val="0"/>
        <w:spacing w:line="360" w:lineRule="auto"/>
        <w:ind w:left="991" w:leftChars="202" w:hanging="567" w:hangingChars="270"/>
        <w:jc w:val="left"/>
        <w:rPr>
          <w:snapToGrid w:val="0"/>
          <w:color w:val="000000"/>
          <w:kern w:val="0"/>
        </w:rPr>
      </w:pPr>
      <w:r>
        <w:rPr>
          <w:rFonts w:cs="宋体"/>
          <w:bCs/>
          <w:snapToGrid w:val="0"/>
          <w:color w:val="000000"/>
          <w:kern w:val="0"/>
          <w:szCs w:val="21"/>
        </w:rPr>
        <w:t>本章内容支撑课程目标</w:t>
      </w:r>
      <w:r>
        <w:rPr>
          <w:rFonts w:hint="eastAsia" w:cs="宋体"/>
          <w:bCs/>
          <w:snapToGrid w:val="0"/>
          <w:color w:val="000000"/>
          <w:kern w:val="0"/>
          <w:szCs w:val="21"/>
        </w:rPr>
        <w:t>2、3。</w:t>
      </w:r>
    </w:p>
    <w:p>
      <w:pPr>
        <w:adjustRightInd w:val="0"/>
        <w:snapToGrid w:val="0"/>
        <w:spacing w:line="360" w:lineRule="auto"/>
        <w:ind w:firstLine="420" w:firstLineChars="200"/>
        <w:rPr>
          <w:rFonts w:eastAsia="黑体"/>
          <w:color w:val="000000"/>
        </w:rPr>
      </w:pPr>
      <w:r>
        <w:rPr>
          <w:rFonts w:eastAsia="黑体"/>
          <w:color w:val="000000"/>
        </w:rPr>
        <w:t>7  FIR数字滤波器设计方法（5学时）</w:t>
      </w:r>
    </w:p>
    <w:p>
      <w:pPr>
        <w:adjustRightInd w:val="0"/>
        <w:snapToGrid w:val="0"/>
        <w:spacing w:line="360" w:lineRule="auto"/>
        <w:ind w:firstLine="420" w:firstLineChars="200"/>
        <w:rPr>
          <w:rFonts w:eastAsia="黑体"/>
          <w:color w:val="000000"/>
        </w:rPr>
      </w:pPr>
      <w:r>
        <w:rPr>
          <w:rFonts w:eastAsia="黑体"/>
          <w:color w:val="000000"/>
        </w:rPr>
        <w:t>7.1、</w:t>
      </w:r>
      <w:r>
        <w:rPr>
          <w:color w:val="000000"/>
        </w:rPr>
        <w:t>IIR数字滤波器和FIR数字滤波器的比较；</w:t>
      </w:r>
    </w:p>
    <w:p>
      <w:pPr>
        <w:adjustRightInd w:val="0"/>
        <w:snapToGrid w:val="0"/>
        <w:spacing w:line="360" w:lineRule="auto"/>
        <w:ind w:firstLine="420" w:firstLineChars="200"/>
        <w:rPr>
          <w:rFonts w:eastAsia="黑体"/>
          <w:color w:val="000000"/>
        </w:rPr>
      </w:pPr>
      <w:r>
        <w:rPr>
          <w:rFonts w:eastAsia="黑体"/>
          <w:color w:val="000000"/>
        </w:rPr>
        <w:t>7.2、</w:t>
      </w:r>
      <w:r>
        <w:rPr>
          <w:color w:val="000000"/>
        </w:rPr>
        <w:t>线性相位FIR滤波器的特点；</w:t>
      </w:r>
    </w:p>
    <w:p>
      <w:pPr>
        <w:adjustRightInd w:val="0"/>
        <w:snapToGrid w:val="0"/>
        <w:spacing w:line="360" w:lineRule="auto"/>
        <w:ind w:firstLine="420" w:firstLineChars="200"/>
        <w:rPr>
          <w:color w:val="000000"/>
        </w:rPr>
      </w:pPr>
      <w:r>
        <w:rPr>
          <w:color w:val="000000"/>
        </w:rPr>
        <w:t>7.3、窗函数设计法。</w:t>
      </w:r>
    </w:p>
    <w:p>
      <w:pPr>
        <w:adjustRightInd w:val="0"/>
        <w:snapToGrid w:val="0"/>
        <w:spacing w:line="360" w:lineRule="auto"/>
        <w:ind w:firstLine="420" w:firstLineChars="200"/>
        <w:rPr>
          <w:color w:val="000000"/>
        </w:rPr>
      </w:pPr>
      <w:r>
        <w:rPr>
          <w:color w:val="000000"/>
        </w:rPr>
        <w:t>重点：FIR滤波器的窗函数设计法。</w:t>
      </w:r>
    </w:p>
    <w:p>
      <w:pPr>
        <w:spacing w:line="360" w:lineRule="auto"/>
        <w:ind w:left="426"/>
        <w:rPr>
          <w:rFonts w:eastAsia="黑体"/>
          <w:szCs w:val="21"/>
        </w:rPr>
      </w:pPr>
      <w:r>
        <w:rPr>
          <w:color w:val="000000"/>
        </w:rPr>
        <w:t>难点：相位FIR滤波器的特点。</w:t>
      </w:r>
    </w:p>
    <w:p>
      <w:pPr>
        <w:spacing w:line="360" w:lineRule="auto"/>
        <w:ind w:left="426"/>
        <w:rPr>
          <w:rFonts w:eastAsia="黑体"/>
          <w:color w:val="000000"/>
          <w:szCs w:val="21"/>
        </w:rPr>
      </w:pPr>
      <w:r>
        <w:rPr>
          <w:rFonts w:cs="宋体"/>
          <w:bCs/>
          <w:snapToGrid w:val="0"/>
          <w:color w:val="000000"/>
          <w:kern w:val="0"/>
          <w:szCs w:val="21"/>
        </w:rPr>
        <w:t>本章内容支撑课程目标</w:t>
      </w:r>
      <w:r>
        <w:rPr>
          <w:rFonts w:hint="eastAsia" w:cs="宋体"/>
          <w:bCs/>
          <w:snapToGrid w:val="0"/>
          <w:color w:val="000000"/>
          <w:kern w:val="0"/>
          <w:szCs w:val="21"/>
        </w:rPr>
        <w:t>2、3。</w:t>
      </w:r>
    </w:p>
    <w:p>
      <w:pPr>
        <w:spacing w:line="360" w:lineRule="auto"/>
        <w:ind w:left="426"/>
        <w:rPr>
          <w:rFonts w:eastAsia="黑体"/>
          <w:szCs w:val="21"/>
        </w:rPr>
      </w:pPr>
    </w:p>
    <w:p>
      <w:pPr>
        <w:tabs>
          <w:tab w:val="left" w:pos="420"/>
        </w:tabs>
        <w:adjustRightInd w:val="0"/>
        <w:snapToGrid w:val="0"/>
        <w:spacing w:line="360" w:lineRule="auto"/>
        <w:ind w:left="420" w:hanging="420"/>
        <w:rPr>
          <w:rFonts w:eastAsia="黑体"/>
          <w:color w:val="000000"/>
          <w:szCs w:val="24"/>
        </w:rPr>
      </w:pPr>
      <w:r>
        <w:rPr>
          <w:rFonts w:eastAsia="黑体"/>
          <w:color w:val="000000"/>
          <w:szCs w:val="24"/>
        </w:rPr>
        <w:t>五、实验内容</w:t>
      </w:r>
    </w:p>
    <w:p>
      <w:pPr>
        <w:tabs>
          <w:tab w:val="left" w:pos="420"/>
        </w:tabs>
        <w:adjustRightInd w:val="0"/>
        <w:snapToGrid w:val="0"/>
        <w:spacing w:line="360" w:lineRule="auto"/>
        <w:ind w:firstLine="420" w:firstLineChars="200"/>
        <w:rPr>
          <w:color w:val="000000"/>
          <w:szCs w:val="21"/>
        </w:rPr>
      </w:pPr>
      <w:r>
        <w:rPr>
          <w:color w:val="000000"/>
          <w:szCs w:val="21"/>
        </w:rPr>
        <w:t>实验环节主要是在Matlab软件环境下上机操作，4学时。</w:t>
      </w:r>
    </w:p>
    <w:p>
      <w:pPr>
        <w:tabs>
          <w:tab w:val="left" w:pos="420"/>
        </w:tabs>
        <w:adjustRightInd w:val="0"/>
        <w:snapToGrid w:val="0"/>
        <w:spacing w:line="360" w:lineRule="auto"/>
        <w:ind w:firstLine="420" w:firstLineChars="200"/>
        <w:rPr>
          <w:rFonts w:eastAsia="黑体"/>
          <w:color w:val="000000"/>
          <w:szCs w:val="21"/>
        </w:rPr>
      </w:pPr>
      <w:r>
        <w:rPr>
          <w:rFonts w:eastAsia="黑体"/>
          <w:color w:val="000000"/>
          <w:szCs w:val="21"/>
        </w:rPr>
        <w:t>实验一离散时间系统与快速傅里叶变换（1学时）</w:t>
      </w:r>
    </w:p>
    <w:p>
      <w:pPr>
        <w:tabs>
          <w:tab w:val="left" w:pos="420"/>
        </w:tabs>
        <w:adjustRightInd w:val="0"/>
        <w:snapToGrid w:val="0"/>
        <w:spacing w:line="360" w:lineRule="auto"/>
        <w:ind w:firstLine="420" w:firstLineChars="200"/>
        <w:rPr>
          <w:color w:val="000000"/>
          <w:szCs w:val="21"/>
        </w:rPr>
      </w:pPr>
      <w:r>
        <w:rPr>
          <w:color w:val="000000"/>
          <w:szCs w:val="21"/>
        </w:rPr>
        <w:t>实验目的：</w:t>
      </w:r>
    </w:p>
    <w:p>
      <w:pPr>
        <w:tabs>
          <w:tab w:val="left" w:pos="420"/>
        </w:tabs>
        <w:adjustRightInd w:val="0"/>
        <w:snapToGrid w:val="0"/>
        <w:spacing w:line="360" w:lineRule="auto"/>
        <w:ind w:firstLine="420" w:firstLineChars="200"/>
        <w:rPr>
          <w:color w:val="000000"/>
          <w:szCs w:val="21"/>
        </w:rPr>
      </w:pPr>
      <w:r>
        <w:rPr>
          <w:color w:val="000000"/>
          <w:szCs w:val="21"/>
        </w:rPr>
        <w:t>1、通过本实验熟悉离散时间系统分析的</w:t>
      </w:r>
      <w:r>
        <w:rPr>
          <w:rFonts w:hint="eastAsia"/>
          <w:color w:val="000000"/>
          <w:szCs w:val="21"/>
        </w:rPr>
        <w:t>基本概念</w:t>
      </w:r>
      <w:r>
        <w:rPr>
          <w:color w:val="000000"/>
          <w:szCs w:val="21"/>
        </w:rPr>
        <w:t>；</w:t>
      </w:r>
    </w:p>
    <w:p>
      <w:pPr>
        <w:adjustRightInd w:val="0"/>
        <w:snapToGrid w:val="0"/>
        <w:spacing w:line="360" w:lineRule="auto"/>
        <w:ind w:firstLine="420" w:firstLineChars="200"/>
        <w:rPr>
          <w:color w:val="000000"/>
          <w:szCs w:val="21"/>
        </w:rPr>
      </w:pPr>
      <w:r>
        <w:rPr>
          <w:color w:val="000000"/>
          <w:szCs w:val="21"/>
        </w:rPr>
        <w:t>2、</w:t>
      </w:r>
      <w:r>
        <w:rPr>
          <w:color w:val="000000"/>
        </w:rPr>
        <w:t>能够</w:t>
      </w:r>
      <w:r>
        <w:rPr>
          <w:color w:val="000000"/>
          <w:szCs w:val="21"/>
        </w:rPr>
        <w:t>使用有关离散系统分析的MATLAB调用函数及格式，以深入理解离散时间系统的频率特性；</w:t>
      </w:r>
    </w:p>
    <w:p>
      <w:pPr>
        <w:adjustRightInd w:val="0"/>
        <w:snapToGrid w:val="0"/>
        <w:spacing w:line="360" w:lineRule="auto"/>
        <w:ind w:firstLine="420" w:firstLineChars="200"/>
        <w:rPr>
          <w:color w:val="000000"/>
          <w:szCs w:val="21"/>
        </w:rPr>
      </w:pPr>
      <w:r>
        <w:rPr>
          <w:color w:val="000000"/>
          <w:szCs w:val="21"/>
        </w:rPr>
        <w:t>3、通过本实验进一步加深对快速傅里叶变换的理解，学会运用fft,ifft。</w:t>
      </w:r>
    </w:p>
    <w:p>
      <w:pPr>
        <w:adjustRightInd w:val="0"/>
        <w:snapToGrid w:val="0"/>
        <w:spacing w:line="360" w:lineRule="auto"/>
        <w:ind w:firstLine="420" w:firstLineChars="200"/>
        <w:rPr>
          <w:color w:val="000000"/>
          <w:szCs w:val="21"/>
        </w:rPr>
      </w:pPr>
      <w:r>
        <w:rPr>
          <w:color w:val="000000"/>
          <w:szCs w:val="21"/>
        </w:rPr>
        <w:t>实验内容：</w:t>
      </w:r>
    </w:p>
    <w:p>
      <w:pPr>
        <w:adjustRightInd w:val="0"/>
        <w:snapToGrid w:val="0"/>
        <w:spacing w:line="360" w:lineRule="auto"/>
        <w:ind w:firstLine="420" w:firstLineChars="200"/>
        <w:rPr>
          <w:color w:val="000000"/>
          <w:szCs w:val="21"/>
        </w:rPr>
      </w:pPr>
      <w:r>
        <w:rPr>
          <w:color w:val="000000"/>
          <w:szCs w:val="21"/>
        </w:rPr>
        <w:t>进行如下上机实验：</w:t>
      </w:r>
    </w:p>
    <w:p>
      <w:pPr>
        <w:adjustRightInd w:val="0"/>
        <w:snapToGrid w:val="0"/>
        <w:spacing w:line="360" w:lineRule="auto"/>
        <w:ind w:firstLine="420" w:firstLineChars="200"/>
        <w:rPr>
          <w:color w:val="000000"/>
          <w:szCs w:val="21"/>
        </w:rPr>
      </w:pPr>
      <w:r>
        <w:rPr>
          <w:color w:val="000000"/>
          <w:szCs w:val="21"/>
        </w:rPr>
        <w:t>1、对于一个给定的离散线性时不变系统，绘制系统的极零图，仿真计算单位抽样响应，频率响应；</w:t>
      </w:r>
    </w:p>
    <w:p>
      <w:pPr>
        <w:adjustRightInd w:val="0"/>
        <w:snapToGrid w:val="0"/>
        <w:spacing w:line="360" w:lineRule="auto"/>
        <w:ind w:firstLine="420" w:firstLineChars="200"/>
        <w:rPr>
          <w:color w:val="000000"/>
          <w:szCs w:val="21"/>
        </w:rPr>
      </w:pPr>
      <w:r>
        <w:rPr>
          <w:color w:val="000000"/>
          <w:szCs w:val="21"/>
        </w:rPr>
        <w:t>2、基2快速傅里叶变换。</w:t>
      </w:r>
    </w:p>
    <w:p>
      <w:pPr>
        <w:adjustRightInd w:val="0"/>
        <w:snapToGrid w:val="0"/>
        <w:spacing w:line="360" w:lineRule="auto"/>
        <w:ind w:firstLine="420" w:firstLineChars="200"/>
        <w:rPr>
          <w:color w:val="000000"/>
          <w:szCs w:val="21"/>
        </w:rPr>
      </w:pPr>
      <w:r>
        <w:rPr>
          <w:rFonts w:cs="宋体"/>
          <w:bCs/>
          <w:snapToGrid w:val="0"/>
          <w:color w:val="000000"/>
          <w:kern w:val="0"/>
          <w:szCs w:val="21"/>
        </w:rPr>
        <w:t>本实验支撑课程目标</w:t>
      </w:r>
      <w:r>
        <w:rPr>
          <w:rFonts w:hint="eastAsia" w:cs="宋体"/>
          <w:bCs/>
          <w:snapToGrid w:val="0"/>
          <w:color w:val="000000"/>
          <w:kern w:val="0"/>
          <w:szCs w:val="21"/>
        </w:rPr>
        <w:t>1</w:t>
      </w:r>
      <w:r>
        <w:rPr>
          <w:rFonts w:cs="宋体"/>
          <w:bCs/>
          <w:snapToGrid w:val="0"/>
          <w:color w:val="000000"/>
          <w:kern w:val="0"/>
          <w:szCs w:val="21"/>
        </w:rPr>
        <w:t>、</w:t>
      </w:r>
      <w:r>
        <w:rPr>
          <w:rFonts w:hint="eastAsia" w:cs="宋体"/>
          <w:bCs/>
          <w:snapToGrid w:val="0"/>
          <w:color w:val="000000"/>
          <w:kern w:val="0"/>
          <w:szCs w:val="21"/>
        </w:rPr>
        <w:t>2、3。</w:t>
      </w:r>
    </w:p>
    <w:p>
      <w:pPr>
        <w:tabs>
          <w:tab w:val="left" w:pos="420"/>
        </w:tabs>
        <w:adjustRightInd w:val="0"/>
        <w:snapToGrid w:val="0"/>
        <w:spacing w:line="360" w:lineRule="auto"/>
        <w:ind w:firstLine="420" w:firstLineChars="200"/>
        <w:rPr>
          <w:rFonts w:eastAsia="黑体"/>
          <w:color w:val="000000"/>
          <w:szCs w:val="21"/>
        </w:rPr>
      </w:pPr>
      <w:r>
        <w:rPr>
          <w:rFonts w:eastAsia="黑体"/>
          <w:color w:val="000000"/>
          <w:szCs w:val="21"/>
        </w:rPr>
        <w:t>实验二无限长冲击响应（IIR）数字滤波器设计（1.5学时）</w:t>
      </w:r>
    </w:p>
    <w:p>
      <w:pPr>
        <w:adjustRightInd w:val="0"/>
        <w:snapToGrid w:val="0"/>
        <w:spacing w:line="360" w:lineRule="auto"/>
        <w:ind w:firstLine="420" w:firstLineChars="200"/>
        <w:rPr>
          <w:color w:val="000000"/>
          <w:szCs w:val="21"/>
        </w:rPr>
      </w:pPr>
      <w:r>
        <w:rPr>
          <w:color w:val="000000"/>
          <w:szCs w:val="21"/>
        </w:rPr>
        <w:t>实验目的：</w:t>
      </w:r>
    </w:p>
    <w:p>
      <w:pPr>
        <w:adjustRightInd w:val="0"/>
        <w:snapToGrid w:val="0"/>
        <w:spacing w:line="360" w:lineRule="auto"/>
        <w:ind w:firstLine="420" w:firstLineChars="200"/>
        <w:rPr>
          <w:color w:val="000000"/>
          <w:szCs w:val="21"/>
        </w:rPr>
      </w:pPr>
      <w:r>
        <w:rPr>
          <w:color w:val="000000"/>
          <w:szCs w:val="21"/>
        </w:rPr>
        <w:t>1、学习IIR数字滤波器的设计原理、设计方法和设计步骤；</w:t>
      </w:r>
    </w:p>
    <w:p>
      <w:pPr>
        <w:adjustRightInd w:val="0"/>
        <w:snapToGrid w:val="0"/>
        <w:spacing w:line="360" w:lineRule="auto"/>
        <w:ind w:firstLine="420" w:firstLineChars="200"/>
        <w:rPr>
          <w:color w:val="000000"/>
          <w:szCs w:val="21"/>
        </w:rPr>
      </w:pPr>
      <w:r>
        <w:rPr>
          <w:color w:val="000000"/>
          <w:szCs w:val="21"/>
        </w:rPr>
        <w:t>2、能根据给定的滤波器指标进行IIR数字滤波器设计。</w:t>
      </w:r>
    </w:p>
    <w:p>
      <w:pPr>
        <w:adjustRightInd w:val="0"/>
        <w:snapToGrid w:val="0"/>
        <w:spacing w:line="360" w:lineRule="auto"/>
        <w:ind w:firstLine="420" w:firstLineChars="200"/>
        <w:rPr>
          <w:color w:val="000000"/>
          <w:szCs w:val="21"/>
        </w:rPr>
      </w:pPr>
      <w:r>
        <w:rPr>
          <w:color w:val="000000"/>
          <w:szCs w:val="21"/>
        </w:rPr>
        <w:t>实验内容：</w:t>
      </w:r>
    </w:p>
    <w:p>
      <w:pPr>
        <w:adjustRightInd w:val="0"/>
        <w:snapToGrid w:val="0"/>
        <w:spacing w:line="360" w:lineRule="auto"/>
        <w:ind w:firstLine="420" w:firstLineChars="200"/>
        <w:rPr>
          <w:color w:val="000000"/>
          <w:szCs w:val="21"/>
        </w:rPr>
      </w:pPr>
      <w:r>
        <w:rPr>
          <w:color w:val="000000"/>
          <w:szCs w:val="21"/>
        </w:rPr>
        <w:t>1、将数字滤波器的技术指标转换为模拟滤波器的技术指标；</w:t>
      </w:r>
    </w:p>
    <w:p>
      <w:pPr>
        <w:adjustRightInd w:val="0"/>
        <w:snapToGrid w:val="0"/>
        <w:spacing w:line="360" w:lineRule="auto"/>
        <w:ind w:firstLine="420" w:firstLineChars="200"/>
        <w:rPr>
          <w:color w:val="000000"/>
          <w:szCs w:val="21"/>
        </w:rPr>
      </w:pPr>
      <w:r>
        <w:rPr>
          <w:color w:val="000000"/>
          <w:szCs w:val="21"/>
        </w:rPr>
        <w:t>2、设计模拟滤波器G(S)；</w:t>
      </w:r>
    </w:p>
    <w:p>
      <w:pPr>
        <w:adjustRightInd w:val="0"/>
        <w:snapToGrid w:val="0"/>
        <w:spacing w:line="360" w:lineRule="auto"/>
        <w:ind w:firstLine="420" w:firstLineChars="200"/>
        <w:rPr>
          <w:color w:val="000000"/>
          <w:szCs w:val="21"/>
        </w:rPr>
      </w:pPr>
      <w:r>
        <w:rPr>
          <w:color w:val="000000"/>
          <w:szCs w:val="21"/>
        </w:rPr>
        <w:t>3、将G(S)转换成数字滤波器H(Z)。</w:t>
      </w:r>
    </w:p>
    <w:p>
      <w:pPr>
        <w:adjustRightInd w:val="0"/>
        <w:snapToGrid w:val="0"/>
        <w:spacing w:line="360" w:lineRule="auto"/>
        <w:ind w:firstLine="420" w:firstLineChars="200"/>
        <w:rPr>
          <w:color w:val="000000"/>
          <w:szCs w:val="21"/>
        </w:rPr>
      </w:pPr>
      <w:r>
        <w:rPr>
          <w:rFonts w:cs="宋体"/>
          <w:bCs/>
          <w:snapToGrid w:val="0"/>
          <w:color w:val="000000"/>
          <w:kern w:val="0"/>
          <w:szCs w:val="21"/>
        </w:rPr>
        <w:t>本实验支撑课程目标</w:t>
      </w:r>
      <w:r>
        <w:rPr>
          <w:rFonts w:hint="eastAsia" w:cs="宋体"/>
          <w:bCs/>
          <w:snapToGrid w:val="0"/>
          <w:color w:val="000000"/>
          <w:kern w:val="0"/>
          <w:szCs w:val="21"/>
        </w:rPr>
        <w:t>2、3。</w:t>
      </w:r>
    </w:p>
    <w:p>
      <w:pPr>
        <w:tabs>
          <w:tab w:val="left" w:pos="420"/>
        </w:tabs>
        <w:adjustRightInd w:val="0"/>
        <w:snapToGrid w:val="0"/>
        <w:spacing w:line="360" w:lineRule="auto"/>
        <w:ind w:firstLine="420" w:firstLineChars="200"/>
        <w:rPr>
          <w:rFonts w:eastAsia="黑体"/>
          <w:color w:val="000000"/>
          <w:szCs w:val="21"/>
        </w:rPr>
      </w:pPr>
      <w:r>
        <w:rPr>
          <w:rFonts w:eastAsia="黑体"/>
          <w:color w:val="000000"/>
          <w:szCs w:val="21"/>
        </w:rPr>
        <w:t>实验三有限长冲击响应（FIR）数字滤波器设计（1.5学时）</w:t>
      </w:r>
    </w:p>
    <w:p>
      <w:pPr>
        <w:adjustRightInd w:val="0"/>
        <w:snapToGrid w:val="0"/>
        <w:spacing w:line="360" w:lineRule="auto"/>
        <w:ind w:firstLine="420" w:firstLineChars="200"/>
        <w:rPr>
          <w:color w:val="000000"/>
          <w:szCs w:val="21"/>
        </w:rPr>
      </w:pPr>
      <w:r>
        <w:rPr>
          <w:color w:val="000000"/>
          <w:szCs w:val="21"/>
        </w:rPr>
        <w:t>实验目的：</w:t>
      </w:r>
    </w:p>
    <w:p>
      <w:pPr>
        <w:adjustRightInd w:val="0"/>
        <w:snapToGrid w:val="0"/>
        <w:spacing w:line="360" w:lineRule="auto"/>
        <w:ind w:firstLine="420" w:firstLineChars="200"/>
        <w:rPr>
          <w:color w:val="000000"/>
          <w:szCs w:val="21"/>
        </w:rPr>
      </w:pPr>
      <w:r>
        <w:rPr>
          <w:color w:val="000000"/>
          <w:szCs w:val="21"/>
        </w:rPr>
        <w:t>1、学习</w:t>
      </w:r>
      <w:r>
        <w:rPr>
          <w:rFonts w:eastAsia="黑体"/>
          <w:color w:val="000000"/>
          <w:szCs w:val="21"/>
        </w:rPr>
        <w:t>FIR</w:t>
      </w:r>
      <w:r>
        <w:rPr>
          <w:color w:val="000000"/>
          <w:szCs w:val="21"/>
        </w:rPr>
        <w:t>数字滤波器设计原理、设计方法和设计步骤；</w:t>
      </w:r>
    </w:p>
    <w:p>
      <w:pPr>
        <w:adjustRightInd w:val="0"/>
        <w:snapToGrid w:val="0"/>
        <w:spacing w:line="360" w:lineRule="auto"/>
        <w:ind w:firstLine="420" w:firstLineChars="200"/>
        <w:rPr>
          <w:color w:val="000000"/>
          <w:szCs w:val="21"/>
        </w:rPr>
      </w:pPr>
      <w:r>
        <w:rPr>
          <w:color w:val="000000"/>
          <w:szCs w:val="21"/>
        </w:rPr>
        <w:t>2、用窗函数法设计FIR 数字滤波器的原理和方法；</w:t>
      </w:r>
    </w:p>
    <w:p>
      <w:pPr>
        <w:adjustRightInd w:val="0"/>
        <w:snapToGrid w:val="0"/>
        <w:spacing w:line="360" w:lineRule="auto"/>
        <w:ind w:firstLine="420" w:firstLineChars="200"/>
        <w:rPr>
          <w:color w:val="000000"/>
          <w:szCs w:val="21"/>
        </w:rPr>
      </w:pPr>
      <w:r>
        <w:rPr>
          <w:color w:val="000000"/>
          <w:szCs w:val="21"/>
        </w:rPr>
        <w:t>3、能根据给定的滤波器指标进行FIR数字滤波器设计。</w:t>
      </w:r>
    </w:p>
    <w:p>
      <w:pPr>
        <w:adjustRightInd w:val="0"/>
        <w:snapToGrid w:val="0"/>
        <w:spacing w:line="360" w:lineRule="auto"/>
        <w:ind w:firstLine="420" w:firstLineChars="200"/>
        <w:rPr>
          <w:color w:val="000000"/>
          <w:szCs w:val="21"/>
        </w:rPr>
      </w:pPr>
      <w:r>
        <w:rPr>
          <w:color w:val="000000"/>
          <w:szCs w:val="21"/>
        </w:rPr>
        <w:t>实验内容：</w:t>
      </w:r>
    </w:p>
    <w:p>
      <w:pPr>
        <w:adjustRightInd w:val="0"/>
        <w:snapToGrid w:val="0"/>
        <w:spacing w:line="360" w:lineRule="auto"/>
        <w:ind w:firstLine="420" w:firstLineChars="200"/>
        <w:rPr>
          <w:color w:val="000000"/>
          <w:szCs w:val="21"/>
        </w:rPr>
      </w:pPr>
      <w:r>
        <w:rPr>
          <w:color w:val="000000"/>
          <w:szCs w:val="21"/>
        </w:rPr>
        <w:t>1、给定理想频响函数</w:t>
      </w:r>
      <w:r>
        <w:rPr>
          <w:color w:val="000000"/>
          <w:position w:val="-12"/>
          <w:szCs w:val="21"/>
        </w:rPr>
        <w:drawing>
          <wp:inline distT="0" distB="0" distL="0" distR="0">
            <wp:extent cx="523875" cy="219075"/>
            <wp:effectExtent l="0" t="0" r="0" b="0"/>
            <wp:docPr id="102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_x0000_t75"/>
                    <pic:cNvPicPr>
                      <a:picLocks noChangeAspect="1"/>
                    </pic:cNvPicPr>
                  </pic:nvPicPr>
                  <pic:blipFill>
                    <a:blip r:embed="rId178" cstate="print"/>
                    <a:srcRect/>
                    <a:stretch>
                      <a:fillRect/>
                    </a:stretch>
                  </pic:blipFill>
                  <pic:spPr>
                    <a:xfrm>
                      <a:off x="0" y="0"/>
                      <a:ext cx="523875" cy="219075"/>
                    </a:xfrm>
                    <a:prstGeom prst="rect">
                      <a:avLst/>
                    </a:prstGeom>
                    <a:ln>
                      <a:noFill/>
                    </a:ln>
                  </pic:spPr>
                </pic:pic>
              </a:graphicData>
            </a:graphic>
          </wp:inline>
        </w:drawing>
      </w:r>
      <w:r>
        <w:rPr>
          <w:color w:val="000000"/>
          <w:szCs w:val="21"/>
        </w:rPr>
        <w:t>；</w:t>
      </w:r>
    </w:p>
    <w:p>
      <w:pPr>
        <w:adjustRightInd w:val="0"/>
        <w:snapToGrid w:val="0"/>
        <w:spacing w:line="360" w:lineRule="auto"/>
        <w:ind w:firstLine="420" w:firstLineChars="200"/>
        <w:rPr>
          <w:color w:val="000000"/>
          <w:szCs w:val="21"/>
        </w:rPr>
      </w:pPr>
      <w:r>
        <w:rPr>
          <w:color w:val="000000"/>
          <w:szCs w:val="21"/>
        </w:rPr>
        <w:t>2、根据指标选择窗函数。确定窗函数类型的主要依据是过度带宽和阻带最小衰耗的指标；</w:t>
      </w:r>
    </w:p>
    <w:p>
      <w:pPr>
        <w:adjustRightInd w:val="0"/>
        <w:snapToGrid w:val="0"/>
        <w:spacing w:line="360" w:lineRule="auto"/>
        <w:ind w:firstLine="420" w:firstLineChars="200"/>
        <w:rPr>
          <w:color w:val="000000"/>
          <w:szCs w:val="21"/>
        </w:rPr>
      </w:pPr>
      <w:r>
        <w:rPr>
          <w:color w:val="000000"/>
          <w:szCs w:val="21"/>
        </w:rPr>
        <w:t>3、用窗函数法建立系统的频响。</w:t>
      </w:r>
    </w:p>
    <w:p>
      <w:pPr>
        <w:adjustRightInd w:val="0"/>
        <w:snapToGrid w:val="0"/>
        <w:spacing w:line="360" w:lineRule="auto"/>
        <w:ind w:firstLine="420" w:firstLineChars="200"/>
        <w:rPr>
          <w:rFonts w:cs="宋体"/>
          <w:color w:val="000000"/>
          <w:kern w:val="0"/>
          <w:szCs w:val="21"/>
        </w:rPr>
      </w:pPr>
      <w:r>
        <w:rPr>
          <w:rFonts w:cs="宋体"/>
          <w:bCs/>
          <w:snapToGrid w:val="0"/>
          <w:color w:val="000000"/>
          <w:kern w:val="0"/>
          <w:szCs w:val="21"/>
        </w:rPr>
        <w:t>本实验支撑课程目标</w:t>
      </w:r>
      <w:r>
        <w:rPr>
          <w:rFonts w:hint="eastAsia" w:cs="宋体"/>
          <w:bCs/>
          <w:snapToGrid w:val="0"/>
          <w:color w:val="000000"/>
          <w:kern w:val="0"/>
          <w:szCs w:val="21"/>
        </w:rPr>
        <w:t>2、3。</w:t>
      </w:r>
    </w:p>
    <w:p>
      <w:pPr>
        <w:adjustRightInd w:val="0"/>
        <w:snapToGrid w:val="0"/>
        <w:spacing w:line="360" w:lineRule="auto"/>
        <w:ind w:firstLine="420" w:firstLineChars="200"/>
        <w:rPr>
          <w:rFonts w:cs="宋体"/>
          <w:kern w:val="0"/>
          <w:szCs w:val="21"/>
        </w:rPr>
      </w:pPr>
    </w:p>
    <w:p>
      <w:pPr>
        <w:tabs>
          <w:tab w:val="left" w:pos="420"/>
        </w:tabs>
        <w:adjustRightInd w:val="0"/>
        <w:snapToGrid w:val="0"/>
        <w:spacing w:line="360" w:lineRule="auto"/>
        <w:ind w:left="420" w:hanging="420"/>
        <w:rPr>
          <w:rFonts w:eastAsia="黑体"/>
          <w:color w:val="000000"/>
          <w:szCs w:val="24"/>
        </w:rPr>
      </w:pPr>
      <w:r>
        <w:rPr>
          <w:rFonts w:hint="eastAsia" w:ascii="黑体" w:hAnsi="宋体" w:eastAsia="黑体" w:cs="宋体"/>
          <w:kern w:val="0"/>
          <w:szCs w:val="21"/>
        </w:rPr>
        <w:t>六、学时分配</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040"/>
        <w:gridCol w:w="1994"/>
        <w:gridCol w:w="1834"/>
        <w:gridCol w:w="16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83" w:type="pct"/>
            <w:shd w:val="clear" w:color="auto" w:fill="auto"/>
            <w:vAlign w:val="center"/>
          </w:tcPr>
          <w:p>
            <w:pPr>
              <w:adjustRightInd w:val="0"/>
              <w:snapToGrid w:val="0"/>
              <w:jc w:val="center"/>
              <w:rPr>
                <w:color w:val="000000"/>
                <w:sz w:val="18"/>
                <w:szCs w:val="18"/>
              </w:rPr>
            </w:pPr>
            <w:r>
              <w:rPr>
                <w:color w:val="000000"/>
                <w:sz w:val="18"/>
                <w:szCs w:val="18"/>
              </w:rPr>
              <w:t>知识点及内容</w:t>
            </w:r>
          </w:p>
        </w:tc>
        <w:tc>
          <w:tcPr>
            <w:tcW w:w="1169" w:type="pct"/>
            <w:shd w:val="clear" w:color="auto" w:fill="auto"/>
            <w:vAlign w:val="center"/>
          </w:tcPr>
          <w:p>
            <w:pPr>
              <w:adjustRightInd w:val="0"/>
              <w:snapToGrid w:val="0"/>
              <w:jc w:val="center"/>
              <w:rPr>
                <w:color w:val="000000"/>
                <w:sz w:val="18"/>
                <w:szCs w:val="18"/>
              </w:rPr>
            </w:pPr>
            <w:r>
              <w:rPr>
                <w:color w:val="000000"/>
                <w:sz w:val="18"/>
                <w:szCs w:val="18"/>
              </w:rPr>
              <w:t>讲授（学时）</w:t>
            </w:r>
          </w:p>
        </w:tc>
        <w:tc>
          <w:tcPr>
            <w:tcW w:w="1075" w:type="pct"/>
            <w:shd w:val="clear" w:color="auto" w:fill="auto"/>
            <w:vAlign w:val="center"/>
          </w:tcPr>
          <w:p>
            <w:pPr>
              <w:adjustRightInd w:val="0"/>
              <w:snapToGrid w:val="0"/>
              <w:jc w:val="center"/>
              <w:rPr>
                <w:color w:val="000000"/>
                <w:sz w:val="18"/>
                <w:szCs w:val="18"/>
              </w:rPr>
            </w:pPr>
            <w:r>
              <w:rPr>
                <w:color w:val="000000"/>
                <w:sz w:val="18"/>
                <w:szCs w:val="18"/>
              </w:rPr>
              <w:t>实验（学时）</w:t>
            </w:r>
          </w:p>
        </w:tc>
        <w:tc>
          <w:tcPr>
            <w:tcW w:w="973" w:type="pct"/>
            <w:shd w:val="clear" w:color="auto" w:fill="auto"/>
            <w:vAlign w:val="center"/>
          </w:tcPr>
          <w:p>
            <w:pPr>
              <w:adjustRightInd w:val="0"/>
              <w:snapToGrid w:val="0"/>
              <w:jc w:val="center"/>
              <w:rPr>
                <w:color w:val="000000"/>
                <w:sz w:val="18"/>
                <w:szCs w:val="18"/>
              </w:rPr>
            </w:pPr>
            <w:r>
              <w:rPr>
                <w:color w:val="000000"/>
                <w:sz w:val="18"/>
                <w:szCs w:val="18"/>
              </w:rPr>
              <w:t>小计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83" w:type="pct"/>
            <w:shd w:val="clear" w:color="auto" w:fill="auto"/>
            <w:vAlign w:val="center"/>
          </w:tcPr>
          <w:p>
            <w:pPr>
              <w:adjustRightInd w:val="0"/>
              <w:snapToGrid w:val="0"/>
              <w:jc w:val="center"/>
              <w:rPr>
                <w:color w:val="000000"/>
                <w:sz w:val="18"/>
                <w:szCs w:val="18"/>
              </w:rPr>
            </w:pPr>
            <w:r>
              <w:rPr>
                <w:color w:val="000000"/>
                <w:sz w:val="18"/>
                <w:szCs w:val="18"/>
              </w:rPr>
              <w:t>1绪论</w:t>
            </w:r>
          </w:p>
        </w:tc>
        <w:tc>
          <w:tcPr>
            <w:tcW w:w="1169" w:type="pct"/>
            <w:shd w:val="clear" w:color="auto" w:fill="auto"/>
            <w:vAlign w:val="center"/>
          </w:tcPr>
          <w:p>
            <w:pPr>
              <w:adjustRightInd w:val="0"/>
              <w:snapToGrid w:val="0"/>
              <w:jc w:val="center"/>
              <w:rPr>
                <w:color w:val="000000"/>
                <w:sz w:val="18"/>
                <w:szCs w:val="18"/>
              </w:rPr>
            </w:pPr>
            <w:r>
              <w:rPr>
                <w:color w:val="000000"/>
                <w:sz w:val="18"/>
                <w:szCs w:val="18"/>
              </w:rPr>
              <w:t>1</w:t>
            </w:r>
          </w:p>
        </w:tc>
        <w:tc>
          <w:tcPr>
            <w:tcW w:w="1075" w:type="pct"/>
            <w:shd w:val="clear" w:color="auto" w:fill="auto"/>
            <w:vAlign w:val="center"/>
          </w:tcPr>
          <w:p>
            <w:pPr>
              <w:adjustRightInd w:val="0"/>
              <w:snapToGrid w:val="0"/>
              <w:jc w:val="center"/>
              <w:rPr>
                <w:color w:val="000000"/>
                <w:sz w:val="18"/>
                <w:szCs w:val="18"/>
              </w:rPr>
            </w:pPr>
            <w:r>
              <w:rPr>
                <w:color w:val="000000"/>
                <w:sz w:val="18"/>
                <w:szCs w:val="18"/>
              </w:rPr>
              <w:t>0</w:t>
            </w:r>
          </w:p>
        </w:tc>
        <w:tc>
          <w:tcPr>
            <w:tcW w:w="973" w:type="pct"/>
            <w:shd w:val="clear" w:color="auto" w:fill="auto"/>
            <w:vAlign w:val="center"/>
          </w:tcPr>
          <w:p>
            <w:pPr>
              <w:adjustRightInd w:val="0"/>
              <w:snapToGrid w:val="0"/>
              <w:jc w:val="center"/>
              <w:rPr>
                <w:color w:val="000000"/>
                <w:sz w:val="18"/>
                <w:szCs w:val="18"/>
              </w:rPr>
            </w:pPr>
            <w:r>
              <w:rPr>
                <w:color w:val="000000"/>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83" w:type="pct"/>
            <w:shd w:val="clear" w:color="auto" w:fill="auto"/>
            <w:vAlign w:val="center"/>
          </w:tcPr>
          <w:p>
            <w:pPr>
              <w:adjustRightInd w:val="0"/>
              <w:snapToGrid w:val="0"/>
              <w:jc w:val="center"/>
              <w:rPr>
                <w:color w:val="000000"/>
                <w:sz w:val="18"/>
                <w:szCs w:val="18"/>
              </w:rPr>
            </w:pPr>
            <w:r>
              <w:rPr>
                <w:color w:val="000000"/>
                <w:sz w:val="18"/>
                <w:szCs w:val="18"/>
              </w:rPr>
              <w:t>2 Z变换</w:t>
            </w:r>
          </w:p>
        </w:tc>
        <w:tc>
          <w:tcPr>
            <w:tcW w:w="1169" w:type="pct"/>
            <w:shd w:val="clear" w:color="auto" w:fill="auto"/>
            <w:vAlign w:val="center"/>
          </w:tcPr>
          <w:p>
            <w:pPr>
              <w:adjustRightInd w:val="0"/>
              <w:snapToGrid w:val="0"/>
              <w:jc w:val="center"/>
              <w:rPr>
                <w:color w:val="000000"/>
                <w:sz w:val="18"/>
                <w:szCs w:val="18"/>
              </w:rPr>
            </w:pPr>
            <w:r>
              <w:rPr>
                <w:color w:val="000000"/>
                <w:sz w:val="18"/>
                <w:szCs w:val="18"/>
              </w:rPr>
              <w:t>3</w:t>
            </w:r>
          </w:p>
        </w:tc>
        <w:tc>
          <w:tcPr>
            <w:tcW w:w="1075" w:type="pct"/>
            <w:shd w:val="clear" w:color="auto" w:fill="auto"/>
            <w:vAlign w:val="center"/>
          </w:tcPr>
          <w:p>
            <w:pPr>
              <w:adjustRightInd w:val="0"/>
              <w:snapToGrid w:val="0"/>
              <w:jc w:val="center"/>
              <w:rPr>
                <w:color w:val="000000"/>
                <w:sz w:val="18"/>
                <w:szCs w:val="18"/>
              </w:rPr>
            </w:pPr>
            <w:r>
              <w:rPr>
                <w:color w:val="000000"/>
                <w:sz w:val="18"/>
                <w:szCs w:val="18"/>
              </w:rPr>
              <w:t>0</w:t>
            </w:r>
          </w:p>
        </w:tc>
        <w:tc>
          <w:tcPr>
            <w:tcW w:w="973" w:type="pct"/>
            <w:shd w:val="clear" w:color="auto" w:fill="auto"/>
            <w:vAlign w:val="center"/>
          </w:tcPr>
          <w:p>
            <w:pPr>
              <w:adjustRightInd w:val="0"/>
              <w:snapToGrid w:val="0"/>
              <w:jc w:val="center"/>
              <w:rPr>
                <w:color w:val="000000"/>
                <w:sz w:val="18"/>
                <w:szCs w:val="18"/>
              </w:rPr>
            </w:pPr>
            <w:r>
              <w:rPr>
                <w:color w:val="000000"/>
                <w:sz w:val="18"/>
                <w:szCs w:val="18"/>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83" w:type="pct"/>
            <w:shd w:val="clear" w:color="auto" w:fill="auto"/>
            <w:vAlign w:val="center"/>
          </w:tcPr>
          <w:p>
            <w:pPr>
              <w:adjustRightInd w:val="0"/>
              <w:snapToGrid w:val="0"/>
              <w:jc w:val="center"/>
              <w:rPr>
                <w:color w:val="000000"/>
                <w:sz w:val="18"/>
                <w:szCs w:val="18"/>
              </w:rPr>
            </w:pPr>
            <w:r>
              <w:rPr>
                <w:color w:val="000000"/>
                <w:sz w:val="18"/>
                <w:szCs w:val="18"/>
              </w:rPr>
              <w:t>3离散傅里叶变换</w:t>
            </w:r>
          </w:p>
        </w:tc>
        <w:tc>
          <w:tcPr>
            <w:tcW w:w="1169" w:type="pct"/>
            <w:shd w:val="clear" w:color="auto" w:fill="auto"/>
            <w:vAlign w:val="center"/>
          </w:tcPr>
          <w:p>
            <w:pPr>
              <w:adjustRightInd w:val="0"/>
              <w:snapToGrid w:val="0"/>
              <w:jc w:val="center"/>
              <w:rPr>
                <w:color w:val="000000"/>
                <w:sz w:val="18"/>
                <w:szCs w:val="18"/>
              </w:rPr>
            </w:pPr>
            <w:r>
              <w:rPr>
                <w:color w:val="000000"/>
                <w:sz w:val="18"/>
                <w:szCs w:val="18"/>
              </w:rPr>
              <w:t>5</w:t>
            </w:r>
          </w:p>
        </w:tc>
        <w:tc>
          <w:tcPr>
            <w:tcW w:w="1075" w:type="pct"/>
            <w:shd w:val="clear" w:color="auto" w:fill="auto"/>
            <w:vAlign w:val="center"/>
          </w:tcPr>
          <w:p>
            <w:pPr>
              <w:adjustRightInd w:val="0"/>
              <w:snapToGrid w:val="0"/>
              <w:jc w:val="center"/>
              <w:rPr>
                <w:color w:val="000000"/>
                <w:sz w:val="18"/>
                <w:szCs w:val="18"/>
              </w:rPr>
            </w:pPr>
            <w:r>
              <w:rPr>
                <w:color w:val="000000"/>
                <w:sz w:val="18"/>
                <w:szCs w:val="18"/>
              </w:rPr>
              <w:t>0</w:t>
            </w:r>
          </w:p>
        </w:tc>
        <w:tc>
          <w:tcPr>
            <w:tcW w:w="973" w:type="pct"/>
            <w:shd w:val="clear" w:color="auto" w:fill="auto"/>
            <w:vAlign w:val="center"/>
          </w:tcPr>
          <w:p>
            <w:pPr>
              <w:adjustRightInd w:val="0"/>
              <w:snapToGrid w:val="0"/>
              <w:jc w:val="center"/>
              <w:rPr>
                <w:color w:val="000000"/>
                <w:sz w:val="18"/>
                <w:szCs w:val="18"/>
              </w:rPr>
            </w:pPr>
            <w:r>
              <w:rPr>
                <w:color w:val="000000"/>
                <w:sz w:val="18"/>
                <w:szCs w:val="18"/>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83" w:type="pct"/>
            <w:shd w:val="clear" w:color="auto" w:fill="auto"/>
            <w:vAlign w:val="center"/>
          </w:tcPr>
          <w:p>
            <w:pPr>
              <w:adjustRightInd w:val="0"/>
              <w:snapToGrid w:val="0"/>
              <w:jc w:val="center"/>
              <w:rPr>
                <w:color w:val="000000"/>
                <w:sz w:val="18"/>
                <w:szCs w:val="18"/>
              </w:rPr>
            </w:pPr>
            <w:r>
              <w:rPr>
                <w:color w:val="000000"/>
                <w:sz w:val="18"/>
                <w:szCs w:val="18"/>
              </w:rPr>
              <w:t>4快速傅立叶变换</w:t>
            </w:r>
          </w:p>
        </w:tc>
        <w:tc>
          <w:tcPr>
            <w:tcW w:w="1169" w:type="pct"/>
            <w:shd w:val="clear" w:color="auto" w:fill="auto"/>
            <w:vAlign w:val="center"/>
          </w:tcPr>
          <w:p>
            <w:pPr>
              <w:adjustRightInd w:val="0"/>
              <w:snapToGrid w:val="0"/>
              <w:jc w:val="center"/>
              <w:rPr>
                <w:color w:val="000000"/>
                <w:sz w:val="18"/>
                <w:szCs w:val="18"/>
              </w:rPr>
            </w:pPr>
            <w:r>
              <w:rPr>
                <w:color w:val="000000"/>
                <w:sz w:val="18"/>
                <w:szCs w:val="18"/>
              </w:rPr>
              <w:t>5</w:t>
            </w:r>
          </w:p>
        </w:tc>
        <w:tc>
          <w:tcPr>
            <w:tcW w:w="1075" w:type="pct"/>
            <w:shd w:val="clear" w:color="auto" w:fill="auto"/>
            <w:vAlign w:val="center"/>
          </w:tcPr>
          <w:p>
            <w:pPr>
              <w:adjustRightInd w:val="0"/>
              <w:snapToGrid w:val="0"/>
              <w:jc w:val="center"/>
              <w:rPr>
                <w:color w:val="000000"/>
                <w:sz w:val="18"/>
                <w:szCs w:val="18"/>
              </w:rPr>
            </w:pPr>
            <w:r>
              <w:rPr>
                <w:color w:val="000000"/>
                <w:sz w:val="18"/>
                <w:szCs w:val="18"/>
              </w:rPr>
              <w:t>1</w:t>
            </w:r>
          </w:p>
        </w:tc>
        <w:tc>
          <w:tcPr>
            <w:tcW w:w="973" w:type="pct"/>
            <w:shd w:val="clear" w:color="auto" w:fill="auto"/>
            <w:vAlign w:val="center"/>
          </w:tcPr>
          <w:p>
            <w:pPr>
              <w:adjustRightInd w:val="0"/>
              <w:snapToGrid w:val="0"/>
              <w:jc w:val="center"/>
              <w:rPr>
                <w:color w:val="000000"/>
                <w:sz w:val="18"/>
                <w:szCs w:val="18"/>
              </w:rPr>
            </w:pPr>
            <w:r>
              <w:rPr>
                <w:color w:val="000000"/>
                <w:sz w:val="18"/>
                <w:szCs w:val="18"/>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83" w:type="pct"/>
            <w:shd w:val="clear" w:color="auto" w:fill="auto"/>
            <w:vAlign w:val="center"/>
          </w:tcPr>
          <w:p>
            <w:pPr>
              <w:adjustRightInd w:val="0"/>
              <w:snapToGrid w:val="0"/>
              <w:jc w:val="center"/>
              <w:rPr>
                <w:color w:val="000000"/>
                <w:sz w:val="18"/>
                <w:szCs w:val="18"/>
              </w:rPr>
            </w:pPr>
            <w:r>
              <w:rPr>
                <w:color w:val="000000"/>
                <w:sz w:val="18"/>
                <w:szCs w:val="18"/>
              </w:rPr>
              <w:t>5数字滤波器的基本结构</w:t>
            </w:r>
          </w:p>
        </w:tc>
        <w:tc>
          <w:tcPr>
            <w:tcW w:w="1169" w:type="pct"/>
            <w:shd w:val="clear" w:color="auto" w:fill="auto"/>
            <w:vAlign w:val="center"/>
          </w:tcPr>
          <w:p>
            <w:pPr>
              <w:adjustRightInd w:val="0"/>
              <w:snapToGrid w:val="0"/>
              <w:jc w:val="center"/>
              <w:rPr>
                <w:color w:val="000000"/>
                <w:sz w:val="18"/>
                <w:szCs w:val="18"/>
              </w:rPr>
            </w:pPr>
            <w:r>
              <w:rPr>
                <w:color w:val="000000"/>
                <w:sz w:val="18"/>
                <w:szCs w:val="18"/>
              </w:rPr>
              <w:t>2</w:t>
            </w:r>
          </w:p>
        </w:tc>
        <w:tc>
          <w:tcPr>
            <w:tcW w:w="1075" w:type="pct"/>
            <w:shd w:val="clear" w:color="auto" w:fill="auto"/>
            <w:vAlign w:val="center"/>
          </w:tcPr>
          <w:p>
            <w:pPr>
              <w:adjustRightInd w:val="0"/>
              <w:snapToGrid w:val="0"/>
              <w:jc w:val="center"/>
              <w:rPr>
                <w:color w:val="000000"/>
                <w:sz w:val="18"/>
                <w:szCs w:val="18"/>
              </w:rPr>
            </w:pPr>
            <w:r>
              <w:rPr>
                <w:color w:val="000000"/>
                <w:sz w:val="18"/>
                <w:szCs w:val="18"/>
              </w:rPr>
              <w:t>0</w:t>
            </w:r>
          </w:p>
        </w:tc>
        <w:tc>
          <w:tcPr>
            <w:tcW w:w="973" w:type="pct"/>
            <w:shd w:val="clear" w:color="auto" w:fill="auto"/>
            <w:vAlign w:val="center"/>
          </w:tcPr>
          <w:p>
            <w:pPr>
              <w:adjustRightInd w:val="0"/>
              <w:snapToGrid w:val="0"/>
              <w:jc w:val="center"/>
              <w:rPr>
                <w:color w:val="000000"/>
                <w:sz w:val="18"/>
                <w:szCs w:val="18"/>
              </w:rPr>
            </w:pPr>
            <w:r>
              <w:rPr>
                <w:color w:val="000000"/>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83" w:type="pct"/>
            <w:shd w:val="clear" w:color="auto" w:fill="auto"/>
            <w:vAlign w:val="center"/>
          </w:tcPr>
          <w:p>
            <w:pPr>
              <w:adjustRightInd w:val="0"/>
              <w:snapToGrid w:val="0"/>
              <w:jc w:val="center"/>
              <w:rPr>
                <w:color w:val="000000"/>
                <w:sz w:val="18"/>
                <w:szCs w:val="18"/>
              </w:rPr>
            </w:pPr>
            <w:r>
              <w:rPr>
                <w:color w:val="000000"/>
                <w:sz w:val="18"/>
                <w:szCs w:val="18"/>
              </w:rPr>
              <w:t>6 IIR数字滤波器设计方法</w:t>
            </w:r>
          </w:p>
        </w:tc>
        <w:tc>
          <w:tcPr>
            <w:tcW w:w="1169" w:type="pct"/>
            <w:shd w:val="clear" w:color="auto" w:fill="auto"/>
            <w:vAlign w:val="center"/>
          </w:tcPr>
          <w:p>
            <w:pPr>
              <w:adjustRightInd w:val="0"/>
              <w:snapToGrid w:val="0"/>
              <w:jc w:val="center"/>
              <w:rPr>
                <w:color w:val="000000"/>
                <w:sz w:val="18"/>
                <w:szCs w:val="18"/>
              </w:rPr>
            </w:pPr>
            <w:r>
              <w:rPr>
                <w:color w:val="000000"/>
                <w:sz w:val="18"/>
                <w:szCs w:val="18"/>
              </w:rPr>
              <w:t>7</w:t>
            </w:r>
          </w:p>
        </w:tc>
        <w:tc>
          <w:tcPr>
            <w:tcW w:w="1075" w:type="pct"/>
            <w:shd w:val="clear" w:color="auto" w:fill="auto"/>
            <w:vAlign w:val="center"/>
          </w:tcPr>
          <w:p>
            <w:pPr>
              <w:adjustRightInd w:val="0"/>
              <w:snapToGrid w:val="0"/>
              <w:jc w:val="center"/>
              <w:rPr>
                <w:color w:val="000000"/>
                <w:sz w:val="18"/>
                <w:szCs w:val="18"/>
              </w:rPr>
            </w:pPr>
            <w:r>
              <w:rPr>
                <w:color w:val="000000"/>
                <w:sz w:val="18"/>
                <w:szCs w:val="18"/>
              </w:rPr>
              <w:t>1.5</w:t>
            </w:r>
          </w:p>
        </w:tc>
        <w:tc>
          <w:tcPr>
            <w:tcW w:w="973" w:type="pct"/>
            <w:shd w:val="clear" w:color="auto" w:fill="auto"/>
            <w:vAlign w:val="center"/>
          </w:tcPr>
          <w:p>
            <w:pPr>
              <w:adjustRightInd w:val="0"/>
              <w:snapToGrid w:val="0"/>
              <w:jc w:val="center"/>
              <w:rPr>
                <w:color w:val="000000"/>
                <w:sz w:val="18"/>
                <w:szCs w:val="18"/>
              </w:rPr>
            </w:pPr>
            <w:r>
              <w:rPr>
                <w:color w:val="000000"/>
                <w:sz w:val="18"/>
                <w:szCs w:val="18"/>
              </w:rPr>
              <w:t>8.5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83" w:type="pct"/>
            <w:shd w:val="clear" w:color="auto" w:fill="auto"/>
            <w:vAlign w:val="center"/>
          </w:tcPr>
          <w:p>
            <w:pPr>
              <w:adjustRightInd w:val="0"/>
              <w:snapToGrid w:val="0"/>
              <w:jc w:val="center"/>
              <w:rPr>
                <w:color w:val="000000"/>
                <w:sz w:val="18"/>
                <w:szCs w:val="18"/>
              </w:rPr>
            </w:pPr>
            <w:r>
              <w:rPr>
                <w:color w:val="000000"/>
                <w:sz w:val="18"/>
                <w:szCs w:val="18"/>
              </w:rPr>
              <w:t>7 FIR数字滤波器设计方法</w:t>
            </w:r>
          </w:p>
        </w:tc>
        <w:tc>
          <w:tcPr>
            <w:tcW w:w="1169" w:type="pct"/>
            <w:shd w:val="clear" w:color="auto" w:fill="auto"/>
            <w:vAlign w:val="center"/>
          </w:tcPr>
          <w:p>
            <w:pPr>
              <w:adjustRightInd w:val="0"/>
              <w:snapToGrid w:val="0"/>
              <w:jc w:val="center"/>
              <w:rPr>
                <w:color w:val="000000"/>
                <w:sz w:val="18"/>
                <w:szCs w:val="18"/>
              </w:rPr>
            </w:pPr>
            <w:r>
              <w:rPr>
                <w:color w:val="000000"/>
                <w:sz w:val="18"/>
                <w:szCs w:val="18"/>
              </w:rPr>
              <w:t>5</w:t>
            </w:r>
          </w:p>
        </w:tc>
        <w:tc>
          <w:tcPr>
            <w:tcW w:w="1075" w:type="pct"/>
            <w:shd w:val="clear" w:color="auto" w:fill="auto"/>
            <w:vAlign w:val="center"/>
          </w:tcPr>
          <w:p>
            <w:pPr>
              <w:adjustRightInd w:val="0"/>
              <w:snapToGrid w:val="0"/>
              <w:jc w:val="center"/>
              <w:rPr>
                <w:color w:val="000000"/>
                <w:sz w:val="18"/>
                <w:szCs w:val="18"/>
              </w:rPr>
            </w:pPr>
            <w:r>
              <w:rPr>
                <w:color w:val="000000"/>
                <w:sz w:val="18"/>
                <w:szCs w:val="18"/>
              </w:rPr>
              <w:t>1.5</w:t>
            </w:r>
          </w:p>
        </w:tc>
        <w:tc>
          <w:tcPr>
            <w:tcW w:w="973" w:type="pct"/>
            <w:shd w:val="clear" w:color="auto" w:fill="auto"/>
            <w:vAlign w:val="center"/>
          </w:tcPr>
          <w:p>
            <w:pPr>
              <w:adjustRightInd w:val="0"/>
              <w:snapToGrid w:val="0"/>
              <w:jc w:val="center"/>
              <w:rPr>
                <w:color w:val="000000"/>
                <w:sz w:val="18"/>
                <w:szCs w:val="18"/>
              </w:rPr>
            </w:pPr>
            <w:r>
              <w:rPr>
                <w:color w:val="000000"/>
                <w:sz w:val="18"/>
                <w:szCs w:val="18"/>
              </w:rPr>
              <w:t>6.5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83" w:type="pct"/>
            <w:shd w:val="clear" w:color="auto" w:fill="auto"/>
            <w:vAlign w:val="center"/>
          </w:tcPr>
          <w:p>
            <w:pPr>
              <w:adjustRightInd w:val="0"/>
              <w:snapToGrid w:val="0"/>
              <w:jc w:val="center"/>
              <w:rPr>
                <w:color w:val="000000"/>
                <w:sz w:val="18"/>
                <w:szCs w:val="18"/>
              </w:rPr>
            </w:pPr>
            <w:r>
              <w:rPr>
                <w:color w:val="000000"/>
                <w:sz w:val="18"/>
                <w:szCs w:val="18"/>
              </w:rPr>
              <w:t>合计</w:t>
            </w:r>
          </w:p>
        </w:tc>
        <w:tc>
          <w:tcPr>
            <w:tcW w:w="1169" w:type="pct"/>
            <w:shd w:val="clear" w:color="auto" w:fill="auto"/>
            <w:vAlign w:val="center"/>
          </w:tcPr>
          <w:p>
            <w:pPr>
              <w:adjustRightInd w:val="0"/>
              <w:snapToGrid w:val="0"/>
              <w:jc w:val="center"/>
              <w:rPr>
                <w:color w:val="000000"/>
                <w:sz w:val="18"/>
                <w:szCs w:val="18"/>
              </w:rPr>
            </w:pPr>
            <w:r>
              <w:rPr>
                <w:color w:val="000000"/>
                <w:sz w:val="18"/>
                <w:szCs w:val="18"/>
              </w:rPr>
              <w:t>28</w:t>
            </w:r>
          </w:p>
        </w:tc>
        <w:tc>
          <w:tcPr>
            <w:tcW w:w="1075" w:type="pct"/>
            <w:shd w:val="clear" w:color="auto" w:fill="auto"/>
            <w:vAlign w:val="center"/>
          </w:tcPr>
          <w:p>
            <w:pPr>
              <w:adjustRightInd w:val="0"/>
              <w:snapToGrid w:val="0"/>
              <w:jc w:val="center"/>
              <w:rPr>
                <w:color w:val="000000"/>
                <w:sz w:val="18"/>
                <w:szCs w:val="18"/>
              </w:rPr>
            </w:pPr>
            <w:r>
              <w:rPr>
                <w:color w:val="000000"/>
                <w:sz w:val="18"/>
                <w:szCs w:val="18"/>
              </w:rPr>
              <w:t>4</w:t>
            </w:r>
          </w:p>
        </w:tc>
        <w:tc>
          <w:tcPr>
            <w:tcW w:w="973" w:type="pct"/>
            <w:shd w:val="clear" w:color="auto" w:fill="auto"/>
            <w:vAlign w:val="center"/>
          </w:tcPr>
          <w:p>
            <w:pPr>
              <w:adjustRightInd w:val="0"/>
              <w:snapToGrid w:val="0"/>
              <w:jc w:val="center"/>
              <w:rPr>
                <w:color w:val="000000"/>
                <w:sz w:val="18"/>
                <w:szCs w:val="18"/>
              </w:rPr>
            </w:pPr>
            <w:r>
              <w:rPr>
                <w:color w:val="000000"/>
                <w:sz w:val="18"/>
                <w:szCs w:val="18"/>
              </w:rPr>
              <w:t>32</w:t>
            </w:r>
          </w:p>
        </w:tc>
      </w:tr>
    </w:tbl>
    <w:p>
      <w:pPr>
        <w:tabs>
          <w:tab w:val="left" w:pos="420"/>
        </w:tabs>
        <w:adjustRightInd w:val="0"/>
        <w:snapToGrid w:val="0"/>
        <w:spacing w:line="360" w:lineRule="auto"/>
        <w:ind w:left="420" w:hanging="420"/>
        <w:rPr>
          <w:rFonts w:eastAsia="黑体"/>
          <w:color w:val="000000"/>
          <w:szCs w:val="24"/>
        </w:rPr>
      </w:pPr>
    </w:p>
    <w:p>
      <w:pPr>
        <w:widowControl/>
        <w:spacing w:line="360" w:lineRule="auto"/>
        <w:jc w:val="left"/>
        <w:rPr>
          <w:rFonts w:eastAsia="黑体"/>
          <w:szCs w:val="24"/>
        </w:rPr>
      </w:pPr>
      <w:r>
        <w:rPr>
          <w:rFonts w:hint="eastAsia" w:eastAsia="黑体"/>
          <w:szCs w:val="24"/>
        </w:rPr>
        <w:t>七、教材、补充教材及参考资料</w:t>
      </w:r>
    </w:p>
    <w:p>
      <w:pPr>
        <w:adjustRightInd w:val="0"/>
        <w:snapToGrid w:val="0"/>
        <w:spacing w:line="360" w:lineRule="auto"/>
        <w:ind w:firstLine="420" w:firstLineChars="200"/>
        <w:rPr>
          <w:color w:val="000000"/>
          <w:szCs w:val="21"/>
        </w:rPr>
      </w:pPr>
      <w:r>
        <w:rPr>
          <w:color w:val="000000"/>
          <w:szCs w:val="21"/>
        </w:rPr>
        <w:t>1、程佩青主编，《数字信号处理》，清华大学出版社（第四版）；</w:t>
      </w:r>
    </w:p>
    <w:p>
      <w:pPr>
        <w:adjustRightInd w:val="0"/>
        <w:snapToGrid w:val="0"/>
        <w:spacing w:line="360" w:lineRule="auto"/>
        <w:ind w:firstLine="420" w:firstLineChars="200"/>
        <w:rPr>
          <w:color w:val="000000"/>
          <w:szCs w:val="21"/>
        </w:rPr>
      </w:pPr>
      <w:r>
        <w:rPr>
          <w:color w:val="000000"/>
          <w:szCs w:val="21"/>
        </w:rPr>
        <w:t>2、胡广书主编，《数字信号理论、算法与实现》，清华大学出版社；</w:t>
      </w:r>
    </w:p>
    <w:p>
      <w:pPr>
        <w:adjustRightInd w:val="0"/>
        <w:snapToGrid w:val="0"/>
        <w:spacing w:line="360" w:lineRule="auto"/>
        <w:ind w:firstLine="420" w:firstLineChars="200"/>
        <w:rPr>
          <w:color w:val="000000"/>
          <w:szCs w:val="21"/>
        </w:rPr>
      </w:pPr>
      <w:r>
        <w:rPr>
          <w:color w:val="000000"/>
          <w:szCs w:val="21"/>
        </w:rPr>
        <w:t>3、A.V.Oppenheim ，《Digital Signal Processing》，1975，中译本有多种。</w:t>
      </w:r>
    </w:p>
    <w:p>
      <w:pPr>
        <w:adjustRightInd w:val="0"/>
        <w:snapToGrid w:val="0"/>
        <w:spacing w:line="360" w:lineRule="auto"/>
        <w:ind w:firstLine="420" w:firstLineChars="200"/>
        <w:rPr>
          <w:color w:val="000000"/>
          <w:szCs w:val="21"/>
        </w:rPr>
      </w:pPr>
      <w:r>
        <w:rPr>
          <w:color w:val="000000"/>
          <w:szCs w:val="21"/>
        </w:rPr>
        <w:t>4、视频材料：麻省理工学院公开课（信号与系统：模拟与数字信号处理），讲师：Alan V. Oppenheim；网址：</w:t>
      </w:r>
      <w:bookmarkStart w:id="7" w:name="OLE_LINK4"/>
      <w:r>
        <w:rPr>
          <w:color w:val="000000"/>
          <w:szCs w:val="21"/>
        </w:rPr>
        <w:t>http://open.163.com/special/opencourse/signals.html</w:t>
      </w:r>
      <w:bookmarkEnd w:id="7"/>
    </w:p>
    <w:p>
      <w:pPr>
        <w:tabs>
          <w:tab w:val="left" w:pos="420"/>
        </w:tabs>
        <w:spacing w:line="360" w:lineRule="auto"/>
        <w:ind w:left="420" w:hanging="420"/>
        <w:rPr>
          <w:rFonts w:eastAsia="黑体"/>
          <w:szCs w:val="24"/>
        </w:rPr>
      </w:pPr>
    </w:p>
    <w:p>
      <w:pPr>
        <w:tabs>
          <w:tab w:val="left" w:pos="420"/>
        </w:tabs>
        <w:spacing w:line="360" w:lineRule="auto"/>
        <w:ind w:left="420" w:hanging="420"/>
        <w:rPr>
          <w:rFonts w:eastAsia="黑体"/>
          <w:szCs w:val="24"/>
        </w:rPr>
      </w:pPr>
      <w:r>
        <w:rPr>
          <w:rFonts w:hint="eastAsia" w:eastAsia="黑体"/>
          <w:szCs w:val="24"/>
        </w:rPr>
        <w:t>八、课程目标达成的途径和措施</w:t>
      </w:r>
    </w:p>
    <w:p>
      <w:pPr>
        <w:adjustRightInd w:val="0"/>
        <w:snapToGrid w:val="0"/>
        <w:spacing w:line="360" w:lineRule="auto"/>
        <w:ind w:firstLine="420" w:firstLineChars="200"/>
        <w:rPr>
          <w:color w:val="000000"/>
          <w:szCs w:val="21"/>
        </w:rPr>
      </w:pPr>
      <w:r>
        <w:rPr>
          <w:color w:val="000000"/>
          <w:szCs w:val="21"/>
        </w:rPr>
        <w:t>1、考核目标：在考核学生对数字信号处理的基本知识、基本原理和方法的基础上，重点考核学生对快速傅里叶变换和数字滤波器设计方法的综合应用能力。</w:t>
      </w:r>
    </w:p>
    <w:p>
      <w:pPr>
        <w:adjustRightInd w:val="0"/>
        <w:snapToGrid w:val="0"/>
        <w:spacing w:line="360" w:lineRule="auto"/>
        <w:ind w:firstLine="420" w:firstLineChars="200"/>
        <w:rPr>
          <w:color w:val="000000"/>
          <w:szCs w:val="21"/>
        </w:rPr>
      </w:pPr>
      <w:r>
        <w:rPr>
          <w:color w:val="000000"/>
          <w:szCs w:val="21"/>
        </w:rPr>
        <w:t>2、考核方式：作业、上机实验、课外实践与考试相结合综合评价。</w:t>
      </w:r>
    </w:p>
    <w:p>
      <w:pPr>
        <w:adjustRightInd w:val="0"/>
        <w:snapToGrid w:val="0"/>
        <w:spacing w:line="360" w:lineRule="auto"/>
        <w:ind w:firstLine="420" w:firstLineChars="200"/>
        <w:rPr>
          <w:color w:val="000000"/>
          <w:szCs w:val="21"/>
        </w:rPr>
      </w:pPr>
      <w:r>
        <w:rPr>
          <w:color w:val="000000"/>
          <w:szCs w:val="21"/>
        </w:rPr>
        <w:t>3、评价环节对课程目标达成贡献率及支撑材料：</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043"/>
        <w:gridCol w:w="2598"/>
        <w:gridCol w:w="2599"/>
        <w:gridCol w:w="128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198" w:type="pct"/>
            <w:shd w:val="clear" w:color="auto" w:fill="auto"/>
            <w:vAlign w:val="center"/>
          </w:tcPr>
          <w:p>
            <w:pPr>
              <w:widowControl/>
              <w:jc w:val="center"/>
              <w:rPr>
                <w:color w:val="000000"/>
                <w:kern w:val="0"/>
                <w:sz w:val="18"/>
              </w:rPr>
            </w:pPr>
            <w:r>
              <w:rPr>
                <w:color w:val="000000"/>
                <w:kern w:val="0"/>
                <w:sz w:val="18"/>
              </w:rPr>
              <w:t>考察环节</w:t>
            </w:r>
          </w:p>
        </w:tc>
        <w:tc>
          <w:tcPr>
            <w:tcW w:w="1523" w:type="pct"/>
            <w:shd w:val="clear" w:color="auto" w:fill="auto"/>
            <w:vAlign w:val="center"/>
          </w:tcPr>
          <w:p>
            <w:pPr>
              <w:widowControl/>
              <w:jc w:val="center"/>
              <w:rPr>
                <w:color w:val="000000"/>
                <w:kern w:val="0"/>
                <w:sz w:val="18"/>
              </w:rPr>
            </w:pPr>
            <w:r>
              <w:rPr>
                <w:color w:val="000000"/>
                <w:kern w:val="0"/>
                <w:sz w:val="18"/>
              </w:rPr>
              <w:t>作业</w:t>
            </w:r>
          </w:p>
        </w:tc>
        <w:tc>
          <w:tcPr>
            <w:tcW w:w="1524" w:type="pct"/>
            <w:shd w:val="clear" w:color="auto" w:fill="auto"/>
            <w:vAlign w:val="center"/>
          </w:tcPr>
          <w:p>
            <w:pPr>
              <w:widowControl/>
              <w:jc w:val="center"/>
              <w:rPr>
                <w:color w:val="000000"/>
                <w:kern w:val="0"/>
                <w:sz w:val="18"/>
              </w:rPr>
            </w:pPr>
            <w:r>
              <w:rPr>
                <w:color w:val="000000"/>
                <w:kern w:val="0"/>
                <w:sz w:val="18"/>
              </w:rPr>
              <w:t>实验</w:t>
            </w:r>
          </w:p>
        </w:tc>
        <w:tc>
          <w:tcPr>
            <w:tcW w:w="755" w:type="pct"/>
            <w:shd w:val="clear" w:color="auto" w:fill="auto"/>
            <w:vAlign w:val="center"/>
          </w:tcPr>
          <w:p>
            <w:pPr>
              <w:widowControl/>
              <w:jc w:val="center"/>
              <w:rPr>
                <w:color w:val="000000"/>
                <w:kern w:val="0"/>
                <w:sz w:val="18"/>
              </w:rPr>
            </w:pPr>
            <w:r>
              <w:rPr>
                <w:color w:val="000000"/>
                <w:kern w:val="0"/>
                <w:sz w:val="18"/>
              </w:rPr>
              <w:t>期末考试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198" w:type="pct"/>
            <w:shd w:val="clear" w:color="auto" w:fill="auto"/>
            <w:vAlign w:val="center"/>
          </w:tcPr>
          <w:p>
            <w:pPr>
              <w:widowControl/>
              <w:jc w:val="center"/>
              <w:rPr>
                <w:color w:val="000000"/>
                <w:kern w:val="0"/>
                <w:sz w:val="18"/>
              </w:rPr>
            </w:pPr>
            <w:r>
              <w:rPr>
                <w:color w:val="000000"/>
                <w:kern w:val="0"/>
                <w:sz w:val="18"/>
              </w:rPr>
              <w:t>课程目标达成</w:t>
            </w:r>
          </w:p>
          <w:p>
            <w:pPr>
              <w:widowControl/>
              <w:jc w:val="center"/>
              <w:rPr>
                <w:color w:val="000000"/>
                <w:kern w:val="0"/>
                <w:sz w:val="18"/>
              </w:rPr>
            </w:pPr>
            <w:r>
              <w:rPr>
                <w:color w:val="000000"/>
                <w:kern w:val="0"/>
                <w:sz w:val="18"/>
              </w:rPr>
              <w:t>的贡献率</w:t>
            </w:r>
          </w:p>
        </w:tc>
        <w:tc>
          <w:tcPr>
            <w:tcW w:w="1523" w:type="pct"/>
            <w:shd w:val="clear" w:color="auto" w:fill="auto"/>
            <w:vAlign w:val="center"/>
          </w:tcPr>
          <w:p>
            <w:pPr>
              <w:widowControl/>
              <w:jc w:val="center"/>
              <w:rPr>
                <w:color w:val="000000"/>
                <w:sz w:val="18"/>
              </w:rPr>
            </w:pPr>
            <w:r>
              <w:rPr>
                <w:color w:val="000000"/>
                <w:sz w:val="18"/>
              </w:rPr>
              <w:t xml:space="preserve">0.20 </w:t>
            </w:r>
          </w:p>
        </w:tc>
        <w:tc>
          <w:tcPr>
            <w:tcW w:w="1524" w:type="pct"/>
            <w:shd w:val="clear" w:color="auto" w:fill="auto"/>
            <w:vAlign w:val="center"/>
          </w:tcPr>
          <w:p>
            <w:pPr>
              <w:widowControl/>
              <w:jc w:val="center"/>
              <w:rPr>
                <w:color w:val="000000"/>
                <w:sz w:val="18"/>
              </w:rPr>
            </w:pPr>
            <w:r>
              <w:rPr>
                <w:color w:val="000000"/>
                <w:sz w:val="18"/>
              </w:rPr>
              <w:t xml:space="preserve">0.20 </w:t>
            </w:r>
          </w:p>
        </w:tc>
        <w:tc>
          <w:tcPr>
            <w:tcW w:w="755" w:type="pct"/>
            <w:shd w:val="clear" w:color="auto" w:fill="auto"/>
            <w:vAlign w:val="center"/>
          </w:tcPr>
          <w:p>
            <w:pPr>
              <w:widowControl/>
              <w:jc w:val="center"/>
              <w:rPr>
                <w:color w:val="000000"/>
                <w:sz w:val="18"/>
              </w:rPr>
            </w:pPr>
            <w:r>
              <w:rPr>
                <w:color w:val="000000"/>
                <w:sz w:val="18"/>
              </w:rPr>
              <w:t xml:space="preserve">0.60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98" w:type="pct"/>
            <w:shd w:val="clear" w:color="auto" w:fill="auto"/>
            <w:vAlign w:val="center"/>
          </w:tcPr>
          <w:p>
            <w:pPr>
              <w:widowControl/>
              <w:jc w:val="center"/>
              <w:rPr>
                <w:color w:val="000000"/>
                <w:kern w:val="0"/>
                <w:sz w:val="18"/>
              </w:rPr>
            </w:pPr>
            <w:r>
              <w:rPr>
                <w:color w:val="000000"/>
                <w:kern w:val="0"/>
                <w:sz w:val="18"/>
              </w:rPr>
              <w:t>支撑材料</w:t>
            </w:r>
          </w:p>
        </w:tc>
        <w:tc>
          <w:tcPr>
            <w:tcW w:w="1523" w:type="pct"/>
            <w:shd w:val="clear" w:color="auto" w:fill="auto"/>
            <w:vAlign w:val="center"/>
          </w:tcPr>
          <w:p>
            <w:pPr>
              <w:widowControl/>
              <w:jc w:val="left"/>
              <w:rPr>
                <w:color w:val="000000"/>
                <w:kern w:val="0"/>
                <w:sz w:val="18"/>
              </w:rPr>
            </w:pPr>
            <w:r>
              <w:rPr>
                <w:color w:val="000000"/>
                <w:kern w:val="0"/>
                <w:sz w:val="18"/>
              </w:rPr>
              <w:t>作业评价标准、作业评分登记表（作业评价标准，典型作业拍照，或电子版）</w:t>
            </w:r>
          </w:p>
        </w:tc>
        <w:tc>
          <w:tcPr>
            <w:tcW w:w="1524" w:type="pct"/>
            <w:shd w:val="clear" w:color="auto" w:fill="auto"/>
            <w:vAlign w:val="center"/>
          </w:tcPr>
          <w:p>
            <w:pPr>
              <w:widowControl/>
              <w:jc w:val="left"/>
              <w:rPr>
                <w:color w:val="000000"/>
                <w:kern w:val="0"/>
                <w:sz w:val="18"/>
              </w:rPr>
            </w:pPr>
            <w:r>
              <w:rPr>
                <w:color w:val="000000"/>
                <w:kern w:val="0"/>
                <w:sz w:val="18"/>
              </w:rPr>
              <w:t>课内实验评价标准，实验课堂记录，典型实验报告（可以提交电子版）</w:t>
            </w:r>
          </w:p>
        </w:tc>
        <w:tc>
          <w:tcPr>
            <w:tcW w:w="755" w:type="pct"/>
            <w:shd w:val="clear" w:color="auto" w:fill="auto"/>
            <w:vAlign w:val="center"/>
          </w:tcPr>
          <w:p>
            <w:pPr>
              <w:widowControl/>
              <w:jc w:val="left"/>
              <w:rPr>
                <w:color w:val="000000"/>
                <w:kern w:val="0"/>
                <w:sz w:val="18"/>
              </w:rPr>
            </w:pPr>
            <w:r>
              <w:rPr>
                <w:color w:val="000000"/>
                <w:kern w:val="0"/>
                <w:sz w:val="18"/>
              </w:rPr>
              <w:t>试题评分标准，试卷，</w:t>
            </w:r>
          </w:p>
        </w:tc>
      </w:tr>
    </w:tbl>
    <w:p>
      <w:pPr>
        <w:adjustRightInd w:val="0"/>
        <w:snapToGrid w:val="0"/>
        <w:spacing w:line="360" w:lineRule="auto"/>
        <w:rPr>
          <w:color w:val="000000"/>
        </w:rPr>
      </w:pPr>
    </w:p>
    <w:p>
      <w:pPr>
        <w:tabs>
          <w:tab w:val="left" w:pos="420"/>
        </w:tabs>
        <w:adjustRightInd w:val="0"/>
        <w:snapToGrid w:val="0"/>
        <w:spacing w:line="360" w:lineRule="auto"/>
        <w:ind w:left="420" w:hanging="420"/>
        <w:rPr>
          <w:rFonts w:ascii="宋体" w:hAnsi="宋体"/>
          <w:color w:val="000000"/>
          <w:sz w:val="18"/>
          <w:szCs w:val="18"/>
        </w:rPr>
      </w:pPr>
      <w:r>
        <w:rPr>
          <w:rFonts w:eastAsia="黑体"/>
          <w:color w:val="000000"/>
          <w:szCs w:val="24"/>
        </w:rPr>
        <w:t>九</w:t>
      </w:r>
      <w:r>
        <w:rPr>
          <w:rFonts w:hint="eastAsia" w:eastAsia="黑体"/>
          <w:color w:val="000000"/>
          <w:szCs w:val="24"/>
        </w:rPr>
        <w:t>、覆盖课程目标达成评价的知识点及权重</w:t>
      </w:r>
    </w:p>
    <w:tbl>
      <w:tblPr>
        <w:tblStyle w:val="20"/>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226"/>
        <w:gridCol w:w="1312"/>
        <w:gridCol w:w="199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64" w:type="pct"/>
            <w:vAlign w:val="center"/>
          </w:tcPr>
          <w:p>
            <w:pPr>
              <w:jc w:val="center"/>
              <w:rPr>
                <w:color w:val="000000"/>
                <w:sz w:val="18"/>
                <w:szCs w:val="18"/>
              </w:rPr>
            </w:pPr>
            <w:r>
              <w:rPr>
                <w:color w:val="000000"/>
                <w:sz w:val="18"/>
                <w:szCs w:val="18"/>
              </w:rPr>
              <w:t>知识点</w:t>
            </w:r>
          </w:p>
        </w:tc>
        <w:tc>
          <w:tcPr>
            <w:tcW w:w="769" w:type="pct"/>
            <w:vAlign w:val="center"/>
          </w:tcPr>
          <w:p>
            <w:pPr>
              <w:jc w:val="center"/>
              <w:rPr>
                <w:color w:val="000000"/>
                <w:sz w:val="18"/>
                <w:szCs w:val="18"/>
              </w:rPr>
            </w:pPr>
            <w:r>
              <w:rPr>
                <w:color w:val="000000"/>
                <w:sz w:val="18"/>
                <w:szCs w:val="18"/>
              </w:rPr>
              <w:t>权重</w:t>
            </w:r>
          </w:p>
        </w:tc>
        <w:tc>
          <w:tcPr>
            <w:tcW w:w="1167" w:type="pct"/>
            <w:vAlign w:val="center"/>
          </w:tcPr>
          <w:p>
            <w:pPr>
              <w:jc w:val="center"/>
              <w:rPr>
                <w:color w:val="000000"/>
                <w:sz w:val="18"/>
                <w:szCs w:val="18"/>
              </w:rPr>
            </w:pPr>
            <w:r>
              <w:rPr>
                <w:color w:val="000000"/>
                <w:sz w:val="18"/>
                <w:szCs w:val="18"/>
              </w:rPr>
              <w:t>支撑课程目标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64" w:type="pct"/>
            <w:vAlign w:val="center"/>
          </w:tcPr>
          <w:p>
            <w:pPr>
              <w:rPr>
                <w:color w:val="000000"/>
                <w:sz w:val="18"/>
                <w:szCs w:val="18"/>
              </w:rPr>
            </w:pPr>
            <w:r>
              <w:rPr>
                <w:color w:val="000000"/>
                <w:sz w:val="18"/>
                <w:szCs w:val="18"/>
              </w:rPr>
              <w:t>1绪论</w:t>
            </w:r>
          </w:p>
        </w:tc>
        <w:tc>
          <w:tcPr>
            <w:tcW w:w="769" w:type="pct"/>
            <w:vAlign w:val="center"/>
          </w:tcPr>
          <w:p>
            <w:pPr>
              <w:jc w:val="center"/>
              <w:rPr>
                <w:color w:val="000000"/>
                <w:sz w:val="18"/>
                <w:szCs w:val="18"/>
              </w:rPr>
            </w:pPr>
            <w:r>
              <w:rPr>
                <w:rFonts w:hint="eastAsia"/>
                <w:color w:val="000000"/>
                <w:sz w:val="18"/>
                <w:szCs w:val="18"/>
              </w:rPr>
              <w:t>0.</w:t>
            </w:r>
            <w:r>
              <w:rPr>
                <w:color w:val="000000"/>
                <w:sz w:val="18"/>
                <w:szCs w:val="18"/>
              </w:rPr>
              <w:t>10</w:t>
            </w:r>
          </w:p>
        </w:tc>
        <w:tc>
          <w:tcPr>
            <w:tcW w:w="1167" w:type="pct"/>
            <w:vAlign w:val="center"/>
          </w:tcPr>
          <w:p>
            <w:pPr>
              <w:jc w:val="center"/>
              <w:rPr>
                <w:color w:val="000000"/>
                <w:sz w:val="18"/>
                <w:szCs w:val="18"/>
              </w:rPr>
            </w:pPr>
            <w:r>
              <w:rPr>
                <w:rFonts w:hint="eastAsia"/>
                <w:color w:val="000000"/>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64" w:type="pct"/>
            <w:vAlign w:val="center"/>
          </w:tcPr>
          <w:p>
            <w:pPr>
              <w:rPr>
                <w:color w:val="000000"/>
                <w:sz w:val="18"/>
                <w:szCs w:val="18"/>
              </w:rPr>
            </w:pPr>
            <w:r>
              <w:rPr>
                <w:color w:val="000000"/>
                <w:sz w:val="18"/>
                <w:szCs w:val="18"/>
              </w:rPr>
              <w:t>2 Z变换</w:t>
            </w:r>
          </w:p>
        </w:tc>
        <w:tc>
          <w:tcPr>
            <w:tcW w:w="769" w:type="pct"/>
            <w:vAlign w:val="center"/>
          </w:tcPr>
          <w:p>
            <w:pPr>
              <w:jc w:val="center"/>
              <w:rPr>
                <w:color w:val="000000"/>
                <w:sz w:val="18"/>
                <w:szCs w:val="18"/>
              </w:rPr>
            </w:pPr>
            <w:r>
              <w:rPr>
                <w:rFonts w:hint="eastAsia"/>
                <w:color w:val="000000"/>
                <w:sz w:val="18"/>
                <w:szCs w:val="18"/>
              </w:rPr>
              <w:t>0.</w:t>
            </w:r>
            <w:r>
              <w:rPr>
                <w:color w:val="000000"/>
                <w:sz w:val="18"/>
                <w:szCs w:val="18"/>
              </w:rPr>
              <w:t>15</w:t>
            </w:r>
          </w:p>
        </w:tc>
        <w:tc>
          <w:tcPr>
            <w:tcW w:w="1167" w:type="pct"/>
            <w:vAlign w:val="center"/>
          </w:tcPr>
          <w:p>
            <w:pPr>
              <w:jc w:val="center"/>
              <w:rPr>
                <w:color w:val="000000"/>
                <w:sz w:val="18"/>
                <w:szCs w:val="18"/>
              </w:rPr>
            </w:pPr>
            <w:r>
              <w:rPr>
                <w:rFonts w:hint="eastAsia"/>
                <w:color w:val="000000"/>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64" w:type="pct"/>
            <w:vAlign w:val="center"/>
          </w:tcPr>
          <w:p>
            <w:pPr>
              <w:rPr>
                <w:color w:val="000000"/>
                <w:sz w:val="18"/>
                <w:szCs w:val="18"/>
              </w:rPr>
            </w:pPr>
            <w:r>
              <w:rPr>
                <w:color w:val="000000"/>
                <w:sz w:val="18"/>
                <w:szCs w:val="18"/>
              </w:rPr>
              <w:t>3离散傅里叶变换</w:t>
            </w:r>
          </w:p>
        </w:tc>
        <w:tc>
          <w:tcPr>
            <w:tcW w:w="769" w:type="pct"/>
            <w:vAlign w:val="center"/>
          </w:tcPr>
          <w:p>
            <w:pPr>
              <w:jc w:val="center"/>
              <w:rPr>
                <w:color w:val="000000"/>
                <w:sz w:val="18"/>
                <w:szCs w:val="18"/>
              </w:rPr>
            </w:pPr>
            <w:r>
              <w:rPr>
                <w:rFonts w:hint="eastAsia"/>
                <w:color w:val="000000"/>
                <w:sz w:val="18"/>
                <w:szCs w:val="18"/>
              </w:rPr>
              <w:t>0.</w:t>
            </w:r>
            <w:r>
              <w:rPr>
                <w:color w:val="000000"/>
                <w:sz w:val="18"/>
                <w:szCs w:val="18"/>
              </w:rPr>
              <w:t>15</w:t>
            </w:r>
          </w:p>
        </w:tc>
        <w:tc>
          <w:tcPr>
            <w:tcW w:w="1167" w:type="pct"/>
            <w:vAlign w:val="center"/>
          </w:tcPr>
          <w:p>
            <w:pPr>
              <w:jc w:val="center"/>
              <w:rPr>
                <w:color w:val="000000"/>
                <w:sz w:val="18"/>
                <w:szCs w:val="18"/>
              </w:rPr>
            </w:pPr>
            <w:r>
              <w:rPr>
                <w:rFonts w:hint="eastAsia"/>
                <w:color w:val="000000"/>
                <w:sz w:val="18"/>
                <w:szCs w:val="18"/>
              </w:rPr>
              <w:t>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64" w:type="pct"/>
            <w:vAlign w:val="center"/>
          </w:tcPr>
          <w:p>
            <w:pPr>
              <w:rPr>
                <w:color w:val="000000"/>
                <w:sz w:val="18"/>
                <w:szCs w:val="18"/>
              </w:rPr>
            </w:pPr>
            <w:r>
              <w:rPr>
                <w:color w:val="000000"/>
                <w:sz w:val="18"/>
                <w:szCs w:val="18"/>
              </w:rPr>
              <w:t>4快速傅立叶变换</w:t>
            </w:r>
          </w:p>
        </w:tc>
        <w:tc>
          <w:tcPr>
            <w:tcW w:w="769" w:type="pct"/>
            <w:vAlign w:val="center"/>
          </w:tcPr>
          <w:p>
            <w:pPr>
              <w:jc w:val="center"/>
              <w:rPr>
                <w:color w:val="000000"/>
                <w:sz w:val="18"/>
                <w:szCs w:val="18"/>
              </w:rPr>
            </w:pPr>
            <w:r>
              <w:rPr>
                <w:rFonts w:hint="eastAsia"/>
                <w:color w:val="000000"/>
                <w:sz w:val="18"/>
                <w:szCs w:val="18"/>
              </w:rPr>
              <w:t>0.</w:t>
            </w:r>
            <w:r>
              <w:rPr>
                <w:color w:val="000000"/>
                <w:sz w:val="18"/>
                <w:szCs w:val="18"/>
              </w:rPr>
              <w:t>1</w:t>
            </w:r>
            <w:r>
              <w:rPr>
                <w:rFonts w:hint="eastAsia"/>
                <w:color w:val="000000"/>
                <w:sz w:val="18"/>
                <w:szCs w:val="18"/>
              </w:rPr>
              <w:t>5</w:t>
            </w:r>
          </w:p>
        </w:tc>
        <w:tc>
          <w:tcPr>
            <w:tcW w:w="1167" w:type="pct"/>
            <w:vAlign w:val="center"/>
          </w:tcPr>
          <w:p>
            <w:pPr>
              <w:jc w:val="center"/>
              <w:rPr>
                <w:color w:val="000000"/>
                <w:sz w:val="18"/>
                <w:szCs w:val="18"/>
              </w:rPr>
            </w:pPr>
            <w:r>
              <w:rPr>
                <w:rFonts w:hint="eastAsia"/>
                <w:color w:val="000000"/>
                <w:sz w:val="18"/>
                <w:szCs w:val="18"/>
              </w:rPr>
              <w:t>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64" w:type="pct"/>
            <w:vAlign w:val="center"/>
          </w:tcPr>
          <w:p>
            <w:pPr>
              <w:rPr>
                <w:color w:val="000000"/>
                <w:sz w:val="18"/>
                <w:szCs w:val="18"/>
              </w:rPr>
            </w:pPr>
            <w:r>
              <w:rPr>
                <w:color w:val="000000"/>
                <w:sz w:val="18"/>
                <w:szCs w:val="18"/>
              </w:rPr>
              <w:t>5数字滤波器的基本结构</w:t>
            </w:r>
          </w:p>
        </w:tc>
        <w:tc>
          <w:tcPr>
            <w:tcW w:w="769" w:type="pct"/>
            <w:vAlign w:val="center"/>
          </w:tcPr>
          <w:p>
            <w:pPr>
              <w:jc w:val="center"/>
              <w:rPr>
                <w:color w:val="000000"/>
                <w:sz w:val="18"/>
                <w:szCs w:val="18"/>
              </w:rPr>
            </w:pPr>
            <w:r>
              <w:rPr>
                <w:rFonts w:hint="eastAsia"/>
                <w:color w:val="000000"/>
                <w:sz w:val="18"/>
                <w:szCs w:val="18"/>
              </w:rPr>
              <w:t>0.15</w:t>
            </w:r>
          </w:p>
        </w:tc>
        <w:tc>
          <w:tcPr>
            <w:tcW w:w="1167" w:type="pct"/>
            <w:vAlign w:val="center"/>
          </w:tcPr>
          <w:p>
            <w:pPr>
              <w:jc w:val="center"/>
              <w:rPr>
                <w:color w:val="000000"/>
                <w:sz w:val="18"/>
                <w:szCs w:val="18"/>
              </w:rPr>
            </w:pPr>
            <w:r>
              <w:rPr>
                <w:rFonts w:hint="eastAsia"/>
                <w:color w:val="000000"/>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64" w:type="pct"/>
            <w:vAlign w:val="center"/>
          </w:tcPr>
          <w:p>
            <w:pPr>
              <w:rPr>
                <w:color w:val="000000"/>
                <w:sz w:val="18"/>
                <w:szCs w:val="18"/>
              </w:rPr>
            </w:pPr>
            <w:r>
              <w:rPr>
                <w:color w:val="000000"/>
                <w:sz w:val="18"/>
                <w:szCs w:val="18"/>
              </w:rPr>
              <w:t>6 IIR数字滤波器设计方法</w:t>
            </w:r>
          </w:p>
        </w:tc>
        <w:tc>
          <w:tcPr>
            <w:tcW w:w="769" w:type="pct"/>
            <w:vAlign w:val="center"/>
          </w:tcPr>
          <w:p>
            <w:pPr>
              <w:jc w:val="center"/>
              <w:rPr>
                <w:color w:val="000000"/>
                <w:sz w:val="18"/>
                <w:szCs w:val="18"/>
              </w:rPr>
            </w:pPr>
            <w:r>
              <w:rPr>
                <w:rFonts w:hint="eastAsia"/>
                <w:color w:val="000000"/>
                <w:sz w:val="18"/>
                <w:szCs w:val="18"/>
              </w:rPr>
              <w:t>0.</w:t>
            </w:r>
            <w:r>
              <w:rPr>
                <w:color w:val="000000"/>
                <w:sz w:val="18"/>
                <w:szCs w:val="18"/>
              </w:rPr>
              <w:t>1</w:t>
            </w:r>
            <w:r>
              <w:rPr>
                <w:rFonts w:hint="eastAsia"/>
                <w:color w:val="000000"/>
                <w:sz w:val="18"/>
                <w:szCs w:val="18"/>
              </w:rPr>
              <w:t>5</w:t>
            </w:r>
          </w:p>
        </w:tc>
        <w:tc>
          <w:tcPr>
            <w:tcW w:w="1167" w:type="pct"/>
            <w:vAlign w:val="center"/>
          </w:tcPr>
          <w:p>
            <w:pPr>
              <w:jc w:val="center"/>
              <w:rPr>
                <w:color w:val="000000"/>
                <w:sz w:val="18"/>
                <w:szCs w:val="18"/>
              </w:rPr>
            </w:pPr>
            <w:r>
              <w:rPr>
                <w:rFonts w:hint="eastAsia"/>
                <w:color w:val="000000"/>
                <w:sz w:val="18"/>
                <w:szCs w:val="18"/>
              </w:rPr>
              <w:t>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64" w:type="pct"/>
            <w:vAlign w:val="center"/>
          </w:tcPr>
          <w:p>
            <w:pPr>
              <w:rPr>
                <w:color w:val="000000"/>
                <w:sz w:val="18"/>
                <w:szCs w:val="18"/>
              </w:rPr>
            </w:pPr>
            <w:r>
              <w:rPr>
                <w:color w:val="000000"/>
                <w:sz w:val="18"/>
                <w:szCs w:val="18"/>
              </w:rPr>
              <w:t>7 FIR数字滤波器设计方法</w:t>
            </w:r>
          </w:p>
        </w:tc>
        <w:tc>
          <w:tcPr>
            <w:tcW w:w="769" w:type="pct"/>
            <w:vAlign w:val="center"/>
          </w:tcPr>
          <w:p>
            <w:pPr>
              <w:jc w:val="center"/>
              <w:rPr>
                <w:color w:val="000000"/>
                <w:sz w:val="18"/>
                <w:szCs w:val="18"/>
              </w:rPr>
            </w:pPr>
            <w:r>
              <w:rPr>
                <w:rFonts w:hint="eastAsia"/>
                <w:color w:val="000000"/>
                <w:sz w:val="18"/>
                <w:szCs w:val="18"/>
              </w:rPr>
              <w:t>0.</w:t>
            </w:r>
            <w:r>
              <w:rPr>
                <w:color w:val="000000"/>
                <w:sz w:val="18"/>
                <w:szCs w:val="18"/>
              </w:rPr>
              <w:t>1</w:t>
            </w:r>
            <w:r>
              <w:rPr>
                <w:rFonts w:hint="eastAsia"/>
                <w:sz w:val="18"/>
                <w:szCs w:val="18"/>
              </w:rPr>
              <w:t>5</w:t>
            </w:r>
          </w:p>
        </w:tc>
        <w:tc>
          <w:tcPr>
            <w:tcW w:w="1167" w:type="pct"/>
            <w:vAlign w:val="center"/>
          </w:tcPr>
          <w:p>
            <w:pPr>
              <w:jc w:val="center"/>
              <w:rPr>
                <w:color w:val="000000"/>
                <w:sz w:val="18"/>
                <w:szCs w:val="18"/>
              </w:rPr>
            </w:pPr>
            <w:r>
              <w:rPr>
                <w:rFonts w:hint="eastAsia"/>
                <w:color w:val="000000"/>
                <w:sz w:val="18"/>
                <w:szCs w:val="18"/>
              </w:rPr>
              <w:t>2、3</w:t>
            </w:r>
          </w:p>
        </w:tc>
      </w:tr>
    </w:tbl>
    <w:p>
      <w:pPr>
        <w:spacing w:before="120" w:beforeLines="50" w:line="360" w:lineRule="auto"/>
        <w:ind w:firstLine="210" w:firstLineChars="100"/>
        <w:rPr>
          <w:color w:val="000000"/>
          <w:sz w:val="24"/>
          <w:szCs w:val="24"/>
        </w:rPr>
      </w:pPr>
      <w:r>
        <w:rPr>
          <w:rFonts w:hint="eastAsia" w:ascii="宋体" w:hAnsi="宋体" w:cs="宋体"/>
          <w:szCs w:val="21"/>
        </w:rPr>
        <w:t>本课程不可以申请免修。</w:t>
      </w:r>
    </w:p>
    <w:p>
      <w:pPr>
        <w:spacing w:line="360" w:lineRule="auto"/>
        <w:ind w:firstLine="420" w:firstLineChars="200"/>
        <w:rPr>
          <w:color w:val="0000FF"/>
          <w:szCs w:val="21"/>
        </w:rPr>
        <w:sectPr>
          <w:headerReference r:id="rId26" w:type="first"/>
          <w:footerReference r:id="rId29" w:type="first"/>
          <w:headerReference r:id="rId24" w:type="default"/>
          <w:footerReference r:id="rId27" w:type="default"/>
          <w:headerReference r:id="rId25" w:type="even"/>
          <w:footerReference r:id="rId28" w:type="even"/>
          <w:pgSz w:w="11906" w:h="16838"/>
          <w:pgMar w:top="1440" w:right="1797" w:bottom="1440" w:left="1797" w:header="851" w:footer="992" w:gutter="0"/>
          <w:pgNumType w:fmt="decimal"/>
          <w:cols w:space="425" w:num="1"/>
          <w:docGrid w:linePitch="312" w:charSpace="0"/>
        </w:sectPr>
      </w:pPr>
    </w:p>
    <w:p>
      <w:pPr>
        <w:tabs>
          <w:tab w:val="left" w:pos="420"/>
        </w:tabs>
        <w:adjustRightInd w:val="0"/>
        <w:snapToGrid w:val="0"/>
        <w:spacing w:line="360" w:lineRule="auto"/>
        <w:ind w:left="420" w:hanging="420"/>
        <w:rPr>
          <w:rFonts w:eastAsia="黑体"/>
          <w:szCs w:val="24"/>
        </w:rPr>
      </w:pPr>
      <w:r>
        <w:rPr>
          <w:rFonts w:hint="eastAsia" w:eastAsia="黑体"/>
          <w:szCs w:val="24"/>
        </w:rPr>
        <w:t>十、课程目标达成评价</w:t>
      </w:r>
    </w:p>
    <w:p>
      <w:pPr>
        <w:spacing w:line="360" w:lineRule="auto"/>
        <w:ind w:firstLine="420" w:firstLineChars="200"/>
        <w:jc w:val="center"/>
        <w:rPr>
          <w:color w:val="000000"/>
        </w:rPr>
      </w:pPr>
      <w:r>
        <w:rPr>
          <w:rFonts w:hint="eastAsia"/>
        </w:rPr>
        <w:t>各环节对课程目标达成评价所使用到的权重占比分配</w:t>
      </w:r>
      <w:r>
        <w:rPr>
          <w:rFonts w:hint="eastAsia"/>
          <w:color w:val="000000"/>
        </w:rPr>
        <w:t>及考核权重分配</w:t>
      </w:r>
    </w:p>
    <w:tbl>
      <w:tblPr>
        <w:tblStyle w:val="19"/>
        <w:tblW w:w="5000" w:type="pct"/>
        <w:jc w:val="center"/>
        <w:tblLayout w:type="autofit"/>
        <w:tblCellMar>
          <w:top w:w="0" w:type="dxa"/>
          <w:left w:w="108" w:type="dxa"/>
          <w:bottom w:w="0" w:type="dxa"/>
          <w:right w:w="108" w:type="dxa"/>
        </w:tblCellMar>
      </w:tblPr>
      <w:tblGrid>
        <w:gridCol w:w="584"/>
        <w:gridCol w:w="952"/>
        <w:gridCol w:w="1443"/>
        <w:gridCol w:w="1301"/>
        <w:gridCol w:w="1505"/>
        <w:gridCol w:w="1443"/>
        <w:gridCol w:w="1440"/>
        <w:gridCol w:w="1590"/>
        <w:gridCol w:w="1361"/>
        <w:gridCol w:w="1278"/>
        <w:gridCol w:w="1277"/>
      </w:tblGrid>
      <w:tr>
        <w:tblPrEx>
          <w:tblCellMar>
            <w:top w:w="0" w:type="dxa"/>
            <w:left w:w="108" w:type="dxa"/>
            <w:bottom w:w="0" w:type="dxa"/>
            <w:right w:w="108" w:type="dxa"/>
          </w:tblCellMar>
        </w:tblPrEx>
        <w:trPr>
          <w:trHeight w:val="1015" w:hRule="atLeast"/>
          <w:jc w:val="center"/>
        </w:trPr>
        <w:tc>
          <w:tcPr>
            <w:tcW w:w="2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课程目标</w:t>
            </w:r>
          </w:p>
        </w:tc>
        <w:tc>
          <w:tcPr>
            <w:tcW w:w="33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知识面比例</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（本列总和为1）</w:t>
            </w:r>
          </w:p>
          <w:p>
            <w:pPr>
              <w:widowControl/>
              <w:jc w:val="center"/>
              <w:rPr>
                <w:rFonts w:ascii="宋体" w:hAnsi="宋体" w:cs="宋体"/>
                <w:i/>
                <w:color w:val="000000"/>
                <w:kern w:val="0"/>
                <w:sz w:val="18"/>
                <w:szCs w:val="18"/>
              </w:rPr>
            </w:pPr>
            <w:r>
              <w:rPr>
                <w:rFonts w:ascii="宋体" w:hAnsi="宋体" w:cs="宋体"/>
                <w:i/>
                <w:color w:val="000000"/>
                <w:kern w:val="0"/>
                <w:sz w:val="18"/>
                <w:szCs w:val="18"/>
              </w:rPr>
              <w:t>P</w:t>
            </w:r>
            <w:r>
              <w:rPr>
                <w:rFonts w:ascii="宋体" w:hAnsi="宋体" w:cs="宋体"/>
                <w:i/>
                <w:color w:val="000000"/>
                <w:kern w:val="0"/>
                <w:sz w:val="18"/>
                <w:szCs w:val="18"/>
                <w:vertAlign w:val="subscript"/>
              </w:rPr>
              <w:t>i</w:t>
            </w:r>
          </w:p>
        </w:tc>
        <w:tc>
          <w:tcPr>
            <w:tcW w:w="1499"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sz w:val="18"/>
                <w:szCs w:val="18"/>
              </w:rPr>
              <w:t>各环节评价比例分配</w:t>
            </w:r>
            <w:r>
              <w:rPr>
                <w:rFonts w:hint="eastAsia" w:ascii="宋体" w:hAnsi="宋体"/>
                <w:color w:val="000000"/>
                <w:sz w:val="18"/>
                <w:szCs w:val="18"/>
              </w:rPr>
              <w:br w:type="textWrapping"/>
            </w:r>
            <w:r>
              <w:rPr>
                <w:rFonts w:hint="eastAsia" w:ascii="宋体" w:hAnsi="宋体"/>
                <w:color w:val="000000"/>
                <w:sz w:val="18"/>
                <w:szCs w:val="18"/>
              </w:rPr>
              <w:t>（每行总和为1）</w:t>
            </w:r>
            <w:r>
              <w:rPr>
                <w:rFonts w:hint="eastAsia" w:ascii="宋体" w:hAnsi="宋体"/>
                <w:color w:val="000000"/>
                <w:sz w:val="18"/>
                <w:szCs w:val="18"/>
              </w:rPr>
              <w:br w:type="textWrapping"/>
            </w:r>
            <w:r>
              <w:rPr>
                <w:rFonts w:hint="eastAsia" w:ascii="宋体" w:hAnsi="宋体"/>
                <w:i/>
                <w:color w:val="000000"/>
                <w:sz w:val="18"/>
                <w:szCs w:val="18"/>
              </w:rPr>
              <w:t>W</w:t>
            </w:r>
            <w:r>
              <w:rPr>
                <w:rFonts w:hint="eastAsia" w:ascii="宋体" w:hAnsi="宋体"/>
                <w:i/>
                <w:color w:val="000000"/>
                <w:sz w:val="18"/>
                <w:szCs w:val="18"/>
                <w:vertAlign w:val="subscript"/>
              </w:rPr>
              <w:t>ik</w:t>
            </w:r>
          </w:p>
        </w:tc>
        <w:tc>
          <w:tcPr>
            <w:tcW w:w="1578" w:type="pct"/>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000000"/>
                <w:sz w:val="18"/>
                <w:szCs w:val="18"/>
              </w:rPr>
            </w:pPr>
            <w:r>
              <w:rPr>
                <w:rFonts w:hint="eastAsia" w:ascii="宋体" w:hAnsi="宋体"/>
                <w:color w:val="000000"/>
                <w:sz w:val="18"/>
                <w:szCs w:val="18"/>
              </w:rPr>
              <w:t>各环节在课程达成中的占比</w:t>
            </w:r>
            <w:r>
              <w:rPr>
                <w:rFonts w:hint="eastAsia" w:ascii="宋体" w:hAnsi="宋体"/>
                <w:color w:val="000000"/>
                <w:sz w:val="18"/>
                <w:szCs w:val="18"/>
              </w:rPr>
              <w:br w:type="textWrapping"/>
            </w:r>
            <w:r>
              <w:rPr>
                <w:rFonts w:hint="eastAsia" w:ascii="宋体" w:hAnsi="宋体"/>
                <w:color w:val="000000"/>
                <w:sz w:val="18"/>
                <w:szCs w:val="18"/>
              </w:rPr>
              <w:t>（所有行列总和为1）</w:t>
            </w:r>
            <w:r>
              <w:rPr>
                <w:rFonts w:hint="eastAsia" w:ascii="宋体" w:hAnsi="宋体"/>
                <w:color w:val="000000"/>
                <w:sz w:val="18"/>
                <w:szCs w:val="18"/>
              </w:rPr>
              <w:br w:type="textWrapping"/>
            </w:r>
            <w:r>
              <w:rPr>
                <w:rFonts w:hint="eastAsia" w:ascii="宋体" w:hAnsi="宋体"/>
                <w:i/>
                <w:color w:val="000000"/>
                <w:sz w:val="18"/>
                <w:szCs w:val="18"/>
              </w:rPr>
              <w:t>S</w:t>
            </w:r>
            <w:r>
              <w:rPr>
                <w:rFonts w:hint="eastAsia" w:ascii="宋体" w:hAnsi="宋体"/>
                <w:i/>
                <w:color w:val="000000"/>
                <w:sz w:val="18"/>
                <w:szCs w:val="18"/>
                <w:vertAlign w:val="subscript"/>
              </w:rPr>
              <w:t>ik</w:t>
            </w:r>
            <w:r>
              <w:rPr>
                <w:rFonts w:hint="eastAsia" w:ascii="宋体" w:hAnsi="宋体"/>
                <w:i/>
                <w:color w:val="000000"/>
                <w:sz w:val="18"/>
                <w:szCs w:val="18"/>
              </w:rPr>
              <w:t>=P</w:t>
            </w:r>
            <w:r>
              <w:rPr>
                <w:rFonts w:hint="eastAsia" w:ascii="宋体" w:hAnsi="宋体"/>
                <w:i/>
                <w:color w:val="000000"/>
                <w:sz w:val="18"/>
                <w:szCs w:val="18"/>
                <w:vertAlign w:val="subscript"/>
              </w:rPr>
              <w:t>i</w:t>
            </w:r>
            <w:r>
              <w:rPr>
                <w:rFonts w:hint="eastAsia" w:ascii="宋体" w:hAnsi="宋体"/>
                <w:i/>
                <w:color w:val="000000"/>
                <w:sz w:val="18"/>
                <w:szCs w:val="18"/>
              </w:rPr>
              <w:t>*W</w:t>
            </w:r>
            <w:r>
              <w:rPr>
                <w:rFonts w:hint="eastAsia" w:ascii="宋体" w:hAnsi="宋体"/>
                <w:i/>
                <w:color w:val="000000"/>
                <w:sz w:val="18"/>
                <w:szCs w:val="18"/>
                <w:vertAlign w:val="subscript"/>
              </w:rPr>
              <w:t>ik</w:t>
            </w:r>
          </w:p>
        </w:tc>
        <w:tc>
          <w:tcPr>
            <w:tcW w:w="138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sz w:val="18"/>
                <w:szCs w:val="18"/>
              </w:rPr>
            </w:pPr>
            <w:r>
              <w:rPr>
                <w:rFonts w:hint="eastAsia" w:ascii="宋体" w:hAnsi="宋体"/>
                <w:color w:val="000000"/>
                <w:sz w:val="18"/>
                <w:szCs w:val="18"/>
              </w:rPr>
              <w:t>各环节课程目标考核权重分布</w:t>
            </w:r>
          </w:p>
          <w:p>
            <w:pPr>
              <w:jc w:val="center"/>
              <w:rPr>
                <w:rFonts w:ascii="宋体" w:hAnsi="宋体"/>
                <w:color w:val="000000"/>
                <w:sz w:val="18"/>
                <w:szCs w:val="18"/>
              </w:rPr>
            </w:pPr>
            <w:r>
              <w:rPr>
                <w:rFonts w:ascii="宋体" w:hAnsi="宋体"/>
                <w:color w:val="000000"/>
                <w:sz w:val="18"/>
                <w:szCs w:val="18"/>
              </w:rPr>
              <w:t>（每一列总和为</w:t>
            </w:r>
            <w:r>
              <w:rPr>
                <w:rFonts w:hint="eastAsia" w:ascii="宋体" w:hAnsi="宋体"/>
                <w:color w:val="000000"/>
                <w:sz w:val="18"/>
                <w:szCs w:val="18"/>
              </w:rPr>
              <w:t>1</w:t>
            </w:r>
            <w:r>
              <w:rPr>
                <w:rFonts w:ascii="宋体" w:hAnsi="宋体"/>
                <w:color w:val="000000"/>
                <w:sz w:val="18"/>
                <w:szCs w:val="18"/>
              </w:rPr>
              <w:t>）</w:t>
            </w:r>
          </w:p>
          <w:p>
            <w:pPr>
              <w:jc w:val="center"/>
              <w:rPr>
                <w:rFonts w:ascii="宋体" w:hAnsi="宋体"/>
                <w:i/>
                <w:color w:val="000000"/>
                <w:sz w:val="18"/>
                <w:szCs w:val="18"/>
              </w:rPr>
            </w:pPr>
            <w:r>
              <w:rPr>
                <w:rFonts w:hint="eastAsia" w:ascii="宋体" w:hAnsi="宋体"/>
                <w:i/>
                <w:color w:val="000000"/>
                <w:sz w:val="18"/>
                <w:szCs w:val="18"/>
              </w:rPr>
              <w:t>E</w:t>
            </w:r>
            <w:r>
              <w:rPr>
                <w:rFonts w:hint="eastAsia" w:ascii="宋体" w:hAnsi="宋体"/>
                <w:i/>
                <w:color w:val="000000"/>
                <w:sz w:val="18"/>
                <w:szCs w:val="18"/>
                <w:vertAlign w:val="subscript"/>
              </w:rPr>
              <w:t>ik</w:t>
            </w:r>
            <w:r>
              <w:rPr>
                <w:rFonts w:hint="eastAsia" w:ascii="宋体" w:hAnsi="宋体"/>
                <w:i/>
                <w:color w:val="000000"/>
                <w:sz w:val="18"/>
                <w:szCs w:val="18"/>
              </w:rPr>
              <w:t>=</w:t>
            </w:r>
            <w:r>
              <w:rPr>
                <w:rFonts w:ascii="宋体" w:hAnsi="宋体"/>
                <w:i/>
                <w:color w:val="000000"/>
                <w:sz w:val="18"/>
                <w:szCs w:val="18"/>
              </w:rPr>
              <w:t>S</w:t>
            </w:r>
            <w:r>
              <w:rPr>
                <w:rFonts w:ascii="宋体" w:hAnsi="宋体"/>
                <w:i/>
                <w:color w:val="000000"/>
                <w:sz w:val="18"/>
                <w:szCs w:val="18"/>
                <w:vertAlign w:val="subscript"/>
              </w:rPr>
              <w:t>ik</w:t>
            </w:r>
            <w:r>
              <w:rPr>
                <w:rFonts w:ascii="宋体" w:hAnsi="宋体"/>
                <w:i/>
                <w:color w:val="000000"/>
                <w:sz w:val="18"/>
                <w:szCs w:val="18"/>
              </w:rPr>
              <w:t>/M</w:t>
            </w:r>
            <w:r>
              <w:rPr>
                <w:rFonts w:ascii="宋体" w:hAnsi="宋体"/>
                <w:i/>
                <w:color w:val="000000"/>
                <w:sz w:val="18"/>
                <w:szCs w:val="18"/>
                <w:vertAlign w:val="subscript"/>
              </w:rPr>
              <w:t>ik</w:t>
            </w:r>
          </w:p>
        </w:tc>
      </w:tr>
      <w:tr>
        <w:tblPrEx>
          <w:tblCellMar>
            <w:top w:w="0" w:type="dxa"/>
            <w:left w:w="108" w:type="dxa"/>
            <w:bottom w:w="0" w:type="dxa"/>
            <w:right w:w="108" w:type="dxa"/>
          </w:tblCellMar>
        </w:tblPrEx>
        <w:trPr>
          <w:trHeight w:val="986" w:hRule="atLeast"/>
          <w:jc w:val="center"/>
        </w:trPr>
        <w:tc>
          <w:tcPr>
            <w:tcW w:w="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18"/>
                <w:szCs w:val="18"/>
              </w:rPr>
            </w:pPr>
          </w:p>
        </w:tc>
        <w:tc>
          <w:tcPr>
            <w:tcW w:w="33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18"/>
                <w:szCs w:val="18"/>
              </w:rPr>
            </w:pPr>
          </w:p>
        </w:tc>
        <w:tc>
          <w:tcPr>
            <w:tcW w:w="509" w:type="pct"/>
            <w:tcBorders>
              <w:top w:val="nil"/>
              <w:left w:val="nil"/>
              <w:bottom w:val="single" w:color="auto" w:sz="4" w:space="0"/>
              <w:right w:val="single" w:color="auto" w:sz="4" w:space="0"/>
            </w:tcBorders>
            <w:shd w:val="clear" w:color="auto" w:fill="auto"/>
            <w:vAlign w:val="center"/>
          </w:tcPr>
          <w:p>
            <w:pPr>
              <w:adjustRightInd w:val="0"/>
              <w:jc w:val="center"/>
              <w:rPr>
                <w:color w:val="000000"/>
                <w:kern w:val="0"/>
                <w:sz w:val="18"/>
                <w:szCs w:val="18"/>
              </w:rPr>
            </w:pPr>
            <w:r>
              <w:rPr>
                <w:color w:val="000000"/>
                <w:kern w:val="0"/>
                <w:sz w:val="18"/>
                <w:szCs w:val="18"/>
              </w:rPr>
              <w:t>作业</w:t>
            </w:r>
          </w:p>
        </w:tc>
        <w:tc>
          <w:tcPr>
            <w:tcW w:w="459" w:type="pct"/>
            <w:tcBorders>
              <w:top w:val="nil"/>
              <w:left w:val="nil"/>
              <w:bottom w:val="single" w:color="auto" w:sz="4" w:space="0"/>
              <w:right w:val="single" w:color="auto" w:sz="4" w:space="0"/>
            </w:tcBorders>
            <w:shd w:val="clear" w:color="auto" w:fill="auto"/>
            <w:vAlign w:val="center"/>
          </w:tcPr>
          <w:p>
            <w:pPr>
              <w:adjustRightInd w:val="0"/>
              <w:jc w:val="center"/>
              <w:rPr>
                <w:color w:val="000000"/>
                <w:kern w:val="0"/>
                <w:sz w:val="18"/>
                <w:szCs w:val="18"/>
              </w:rPr>
            </w:pPr>
            <w:r>
              <w:rPr>
                <w:color w:val="000000"/>
                <w:kern w:val="0"/>
                <w:sz w:val="18"/>
                <w:szCs w:val="18"/>
              </w:rPr>
              <w:t>实验</w:t>
            </w:r>
          </w:p>
        </w:tc>
        <w:tc>
          <w:tcPr>
            <w:tcW w:w="530" w:type="pct"/>
            <w:tcBorders>
              <w:top w:val="nil"/>
              <w:left w:val="nil"/>
              <w:bottom w:val="single" w:color="auto" w:sz="4" w:space="0"/>
              <w:right w:val="single" w:color="auto" w:sz="4" w:space="0"/>
            </w:tcBorders>
            <w:shd w:val="clear" w:color="auto" w:fill="auto"/>
            <w:vAlign w:val="center"/>
          </w:tcPr>
          <w:p>
            <w:pPr>
              <w:adjustRightInd w:val="0"/>
              <w:jc w:val="center"/>
              <w:rPr>
                <w:color w:val="000000"/>
                <w:kern w:val="0"/>
                <w:sz w:val="18"/>
                <w:szCs w:val="18"/>
              </w:rPr>
            </w:pPr>
            <w:r>
              <w:rPr>
                <w:color w:val="000000"/>
                <w:kern w:val="0"/>
                <w:sz w:val="18"/>
                <w:szCs w:val="18"/>
              </w:rPr>
              <w:t>期末考试</w:t>
            </w:r>
          </w:p>
        </w:tc>
        <w:tc>
          <w:tcPr>
            <w:tcW w:w="509" w:type="pct"/>
            <w:tcBorders>
              <w:top w:val="nil"/>
              <w:left w:val="nil"/>
              <w:bottom w:val="single" w:color="auto" w:sz="4" w:space="0"/>
              <w:right w:val="single" w:color="auto" w:sz="4" w:space="0"/>
            </w:tcBorders>
            <w:shd w:val="clear" w:color="auto" w:fill="auto"/>
            <w:vAlign w:val="center"/>
          </w:tcPr>
          <w:p>
            <w:pPr>
              <w:adjustRightInd w:val="0"/>
              <w:jc w:val="center"/>
              <w:rPr>
                <w:color w:val="000000"/>
                <w:kern w:val="0"/>
                <w:sz w:val="18"/>
                <w:szCs w:val="18"/>
              </w:rPr>
            </w:pPr>
            <w:r>
              <w:rPr>
                <w:color w:val="000000"/>
                <w:kern w:val="0"/>
                <w:sz w:val="18"/>
                <w:szCs w:val="18"/>
              </w:rPr>
              <w:t>作业</w:t>
            </w:r>
          </w:p>
        </w:tc>
        <w:tc>
          <w:tcPr>
            <w:tcW w:w="508" w:type="pct"/>
            <w:tcBorders>
              <w:top w:val="nil"/>
              <w:left w:val="nil"/>
              <w:bottom w:val="single" w:color="auto" w:sz="4" w:space="0"/>
              <w:right w:val="single" w:color="auto" w:sz="4" w:space="0"/>
            </w:tcBorders>
            <w:shd w:val="clear" w:color="auto" w:fill="auto"/>
            <w:vAlign w:val="center"/>
          </w:tcPr>
          <w:p>
            <w:pPr>
              <w:adjustRightInd w:val="0"/>
              <w:jc w:val="center"/>
              <w:rPr>
                <w:color w:val="000000"/>
                <w:kern w:val="0"/>
                <w:sz w:val="18"/>
                <w:szCs w:val="18"/>
              </w:rPr>
            </w:pPr>
            <w:r>
              <w:rPr>
                <w:color w:val="000000"/>
                <w:kern w:val="0"/>
                <w:sz w:val="18"/>
                <w:szCs w:val="18"/>
              </w:rPr>
              <w:t>实验</w:t>
            </w:r>
          </w:p>
        </w:tc>
        <w:tc>
          <w:tcPr>
            <w:tcW w:w="561" w:type="pct"/>
            <w:tcBorders>
              <w:top w:val="nil"/>
              <w:left w:val="nil"/>
              <w:bottom w:val="single" w:color="auto" w:sz="4" w:space="0"/>
              <w:right w:val="single" w:color="auto" w:sz="4" w:space="0"/>
            </w:tcBorders>
            <w:shd w:val="clear" w:color="auto" w:fill="auto"/>
            <w:vAlign w:val="center"/>
          </w:tcPr>
          <w:p>
            <w:pPr>
              <w:adjustRightInd w:val="0"/>
              <w:jc w:val="center"/>
              <w:rPr>
                <w:color w:val="000000"/>
                <w:kern w:val="0"/>
                <w:sz w:val="18"/>
                <w:szCs w:val="18"/>
              </w:rPr>
            </w:pPr>
            <w:r>
              <w:rPr>
                <w:color w:val="000000"/>
                <w:kern w:val="0"/>
                <w:sz w:val="18"/>
                <w:szCs w:val="18"/>
              </w:rPr>
              <w:t>期末考试</w:t>
            </w:r>
          </w:p>
        </w:tc>
        <w:tc>
          <w:tcPr>
            <w:tcW w:w="48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jc w:val="center"/>
              <w:rPr>
                <w:color w:val="000000"/>
                <w:kern w:val="0"/>
                <w:sz w:val="18"/>
                <w:szCs w:val="18"/>
              </w:rPr>
            </w:pPr>
            <w:r>
              <w:rPr>
                <w:color w:val="000000"/>
                <w:kern w:val="0"/>
                <w:sz w:val="18"/>
                <w:szCs w:val="18"/>
              </w:rPr>
              <w:t>作业</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jc w:val="center"/>
              <w:rPr>
                <w:color w:val="000000"/>
                <w:kern w:val="0"/>
                <w:sz w:val="18"/>
                <w:szCs w:val="18"/>
              </w:rPr>
            </w:pPr>
            <w:r>
              <w:rPr>
                <w:color w:val="000000"/>
                <w:kern w:val="0"/>
                <w:sz w:val="18"/>
                <w:szCs w:val="18"/>
              </w:rPr>
              <w:t>实验</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jc w:val="center"/>
              <w:rPr>
                <w:color w:val="000000"/>
                <w:kern w:val="0"/>
                <w:sz w:val="18"/>
                <w:szCs w:val="18"/>
              </w:rPr>
            </w:pPr>
            <w:r>
              <w:rPr>
                <w:color w:val="000000"/>
                <w:kern w:val="0"/>
                <w:sz w:val="18"/>
                <w:szCs w:val="18"/>
              </w:rPr>
              <w:t>期末考试</w:t>
            </w:r>
          </w:p>
        </w:tc>
      </w:tr>
      <w:tr>
        <w:tblPrEx>
          <w:tblCellMar>
            <w:top w:w="0" w:type="dxa"/>
            <w:left w:w="108" w:type="dxa"/>
            <w:bottom w:w="0" w:type="dxa"/>
            <w:right w:w="108" w:type="dxa"/>
          </w:tblCellMar>
        </w:tblPrEx>
        <w:trPr>
          <w:trHeight w:val="1020" w:hRule="atLeast"/>
          <w:jc w:val="center"/>
        </w:trPr>
        <w:tc>
          <w:tcPr>
            <w:tcW w:w="206" w:type="pct"/>
            <w:tcBorders>
              <w:top w:val="nil"/>
              <w:left w:val="single" w:color="auto" w:sz="4" w:space="0"/>
              <w:bottom w:val="single" w:color="auto" w:sz="4" w:space="0"/>
              <w:right w:val="single" w:color="auto" w:sz="4" w:space="0"/>
            </w:tcBorders>
            <w:shd w:val="clear" w:color="auto" w:fill="auto"/>
            <w:vAlign w:val="center"/>
          </w:tcPr>
          <w:p>
            <w:pPr>
              <w:jc w:val="center"/>
              <w:rPr>
                <w:bCs/>
                <w:color w:val="000000"/>
                <w:sz w:val="18"/>
                <w:szCs w:val="18"/>
              </w:rPr>
            </w:pPr>
            <w:r>
              <w:rPr>
                <w:bCs/>
                <w:color w:val="000000"/>
                <w:sz w:val="18"/>
                <w:szCs w:val="18"/>
              </w:rPr>
              <w:t>1</w:t>
            </w:r>
          </w:p>
        </w:tc>
        <w:tc>
          <w:tcPr>
            <w:tcW w:w="336"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jc w:val="center"/>
              <w:rPr>
                <w:bCs/>
                <w:color w:val="000000"/>
                <w:sz w:val="18"/>
                <w:szCs w:val="18"/>
              </w:rPr>
            </w:pPr>
            <w:r>
              <w:rPr>
                <w:bCs/>
                <w:color w:val="000000"/>
                <w:sz w:val="18"/>
                <w:szCs w:val="18"/>
              </w:rPr>
              <w:t>0.4</w:t>
            </w:r>
          </w:p>
        </w:tc>
        <w:tc>
          <w:tcPr>
            <w:tcW w:w="509" w:type="pct"/>
            <w:tcBorders>
              <w:top w:val="single" w:color="auto" w:sz="4" w:space="0"/>
              <w:left w:val="nil"/>
              <w:bottom w:val="single" w:color="auto" w:sz="4" w:space="0"/>
              <w:right w:val="single" w:color="auto" w:sz="4" w:space="0"/>
            </w:tcBorders>
            <w:shd w:val="clear" w:color="auto" w:fill="auto"/>
            <w:noWrap/>
            <w:vAlign w:val="center"/>
          </w:tcPr>
          <w:p>
            <w:pPr>
              <w:adjustRightInd w:val="0"/>
              <w:jc w:val="center"/>
              <w:rPr>
                <w:bCs/>
                <w:color w:val="000000"/>
                <w:sz w:val="18"/>
                <w:szCs w:val="18"/>
              </w:rPr>
            </w:pPr>
            <w:r>
              <w:rPr>
                <w:bCs/>
                <w:color w:val="000000"/>
                <w:sz w:val="18"/>
                <w:szCs w:val="18"/>
              </w:rPr>
              <w:t>0.2</w:t>
            </w:r>
          </w:p>
        </w:tc>
        <w:tc>
          <w:tcPr>
            <w:tcW w:w="459" w:type="pct"/>
            <w:tcBorders>
              <w:top w:val="single" w:color="auto" w:sz="4" w:space="0"/>
              <w:left w:val="nil"/>
              <w:bottom w:val="single" w:color="auto" w:sz="4" w:space="0"/>
              <w:right w:val="single" w:color="auto" w:sz="4" w:space="0"/>
            </w:tcBorders>
            <w:shd w:val="clear" w:color="auto" w:fill="auto"/>
            <w:noWrap/>
            <w:vAlign w:val="center"/>
          </w:tcPr>
          <w:p>
            <w:pPr>
              <w:adjustRightInd w:val="0"/>
              <w:jc w:val="center"/>
              <w:rPr>
                <w:bCs/>
                <w:color w:val="000000"/>
                <w:sz w:val="18"/>
                <w:szCs w:val="18"/>
              </w:rPr>
            </w:pPr>
            <w:r>
              <w:rPr>
                <w:bCs/>
                <w:color w:val="000000"/>
                <w:sz w:val="18"/>
                <w:szCs w:val="18"/>
              </w:rPr>
              <w:t>0.05</w:t>
            </w:r>
          </w:p>
        </w:tc>
        <w:tc>
          <w:tcPr>
            <w:tcW w:w="530" w:type="pct"/>
            <w:tcBorders>
              <w:top w:val="single" w:color="auto" w:sz="4" w:space="0"/>
              <w:left w:val="nil"/>
              <w:bottom w:val="single" w:color="auto" w:sz="4" w:space="0"/>
              <w:right w:val="single" w:color="auto" w:sz="4" w:space="0"/>
            </w:tcBorders>
            <w:shd w:val="clear" w:color="auto" w:fill="auto"/>
            <w:noWrap/>
            <w:vAlign w:val="center"/>
          </w:tcPr>
          <w:p>
            <w:pPr>
              <w:adjustRightInd w:val="0"/>
              <w:jc w:val="center"/>
              <w:rPr>
                <w:bCs/>
                <w:color w:val="000000"/>
                <w:sz w:val="18"/>
                <w:szCs w:val="18"/>
              </w:rPr>
            </w:pPr>
            <w:r>
              <w:rPr>
                <w:bCs/>
                <w:color w:val="000000"/>
                <w:sz w:val="18"/>
                <w:szCs w:val="18"/>
              </w:rPr>
              <w:t>0.75</w:t>
            </w:r>
          </w:p>
        </w:tc>
        <w:tc>
          <w:tcPr>
            <w:tcW w:w="509" w:type="pct"/>
            <w:tcBorders>
              <w:top w:val="single" w:color="auto" w:sz="4" w:space="0"/>
              <w:left w:val="nil"/>
              <w:bottom w:val="single" w:color="auto" w:sz="4" w:space="0"/>
              <w:right w:val="single" w:color="auto" w:sz="4" w:space="0"/>
            </w:tcBorders>
            <w:shd w:val="clear" w:color="auto" w:fill="auto"/>
            <w:noWrap/>
            <w:vAlign w:val="center"/>
          </w:tcPr>
          <w:p>
            <w:pPr>
              <w:adjustRightInd w:val="0"/>
              <w:jc w:val="center"/>
              <w:rPr>
                <w:bCs/>
                <w:color w:val="000000"/>
                <w:sz w:val="18"/>
                <w:szCs w:val="18"/>
              </w:rPr>
            </w:pPr>
            <w:r>
              <w:rPr>
                <w:bCs/>
                <w:color w:val="000000"/>
                <w:sz w:val="18"/>
                <w:szCs w:val="18"/>
              </w:rPr>
              <w:t>0.08</w:t>
            </w:r>
          </w:p>
        </w:tc>
        <w:tc>
          <w:tcPr>
            <w:tcW w:w="508" w:type="pct"/>
            <w:tcBorders>
              <w:top w:val="single" w:color="auto" w:sz="4" w:space="0"/>
              <w:left w:val="nil"/>
              <w:bottom w:val="single" w:color="auto" w:sz="4" w:space="0"/>
              <w:right w:val="single" w:color="auto" w:sz="4" w:space="0"/>
            </w:tcBorders>
            <w:shd w:val="clear" w:color="auto" w:fill="auto"/>
            <w:noWrap/>
            <w:vAlign w:val="center"/>
          </w:tcPr>
          <w:p>
            <w:pPr>
              <w:adjustRightInd w:val="0"/>
              <w:jc w:val="center"/>
              <w:rPr>
                <w:bCs/>
                <w:color w:val="000000"/>
                <w:sz w:val="18"/>
                <w:szCs w:val="18"/>
              </w:rPr>
            </w:pPr>
            <w:r>
              <w:rPr>
                <w:bCs/>
                <w:color w:val="000000"/>
                <w:sz w:val="18"/>
                <w:szCs w:val="18"/>
              </w:rPr>
              <w:t xml:space="preserve"> 0.02</w:t>
            </w:r>
          </w:p>
        </w:tc>
        <w:tc>
          <w:tcPr>
            <w:tcW w:w="561" w:type="pct"/>
            <w:tcBorders>
              <w:top w:val="single" w:color="auto" w:sz="4" w:space="0"/>
              <w:left w:val="nil"/>
              <w:bottom w:val="single" w:color="auto" w:sz="4" w:space="0"/>
              <w:right w:val="single" w:color="auto" w:sz="4" w:space="0"/>
            </w:tcBorders>
            <w:shd w:val="clear" w:color="auto" w:fill="auto"/>
            <w:noWrap/>
            <w:vAlign w:val="center"/>
          </w:tcPr>
          <w:p>
            <w:pPr>
              <w:adjustRightInd w:val="0"/>
              <w:jc w:val="center"/>
              <w:rPr>
                <w:bCs/>
                <w:color w:val="000000"/>
                <w:sz w:val="18"/>
                <w:szCs w:val="18"/>
              </w:rPr>
            </w:pPr>
            <w:r>
              <w:rPr>
                <w:bCs/>
                <w:color w:val="000000"/>
                <w:sz w:val="18"/>
                <w:szCs w:val="18"/>
              </w:rPr>
              <w:t xml:space="preserve">0.30 </w:t>
            </w:r>
          </w:p>
        </w:tc>
        <w:tc>
          <w:tcPr>
            <w:tcW w:w="48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color w:val="000000"/>
                <w:sz w:val="18"/>
                <w:szCs w:val="18"/>
              </w:rPr>
            </w:pPr>
            <w:r>
              <w:rPr>
                <w:rFonts w:hint="eastAsia"/>
                <w:bCs/>
                <w:color w:val="000000"/>
                <w:sz w:val="18"/>
                <w:szCs w:val="18"/>
              </w:rPr>
              <w:t>0.4</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color w:val="000000"/>
                <w:sz w:val="18"/>
                <w:szCs w:val="18"/>
              </w:rPr>
            </w:pPr>
            <w:r>
              <w:rPr>
                <w:rFonts w:hint="eastAsia"/>
                <w:bCs/>
                <w:color w:val="000000"/>
                <w:sz w:val="18"/>
                <w:szCs w:val="18"/>
              </w:rPr>
              <w:t>0.1</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color w:val="000000"/>
                <w:sz w:val="18"/>
                <w:szCs w:val="18"/>
              </w:rPr>
            </w:pPr>
            <w:r>
              <w:rPr>
                <w:rFonts w:hint="eastAsia"/>
                <w:bCs/>
                <w:color w:val="000000"/>
                <w:sz w:val="18"/>
                <w:szCs w:val="18"/>
              </w:rPr>
              <w:t>0.5</w:t>
            </w:r>
          </w:p>
        </w:tc>
      </w:tr>
      <w:tr>
        <w:tblPrEx>
          <w:tblCellMar>
            <w:top w:w="0" w:type="dxa"/>
            <w:left w:w="108" w:type="dxa"/>
            <w:bottom w:w="0" w:type="dxa"/>
            <w:right w:w="108" w:type="dxa"/>
          </w:tblCellMar>
        </w:tblPrEx>
        <w:trPr>
          <w:trHeight w:val="694" w:hRule="atLeast"/>
          <w:jc w:val="center"/>
        </w:trPr>
        <w:tc>
          <w:tcPr>
            <w:tcW w:w="206" w:type="pct"/>
            <w:tcBorders>
              <w:top w:val="nil"/>
              <w:left w:val="single" w:color="auto" w:sz="4" w:space="0"/>
              <w:bottom w:val="single" w:color="auto" w:sz="4" w:space="0"/>
              <w:right w:val="single" w:color="auto" w:sz="4" w:space="0"/>
            </w:tcBorders>
            <w:shd w:val="clear" w:color="auto" w:fill="auto"/>
            <w:vAlign w:val="center"/>
          </w:tcPr>
          <w:p>
            <w:pPr>
              <w:jc w:val="center"/>
              <w:rPr>
                <w:bCs/>
                <w:color w:val="000000"/>
                <w:sz w:val="18"/>
                <w:szCs w:val="18"/>
              </w:rPr>
            </w:pPr>
            <w:r>
              <w:rPr>
                <w:bCs/>
                <w:color w:val="000000"/>
                <w:sz w:val="18"/>
                <w:szCs w:val="18"/>
              </w:rPr>
              <w:t>2</w:t>
            </w:r>
          </w:p>
        </w:tc>
        <w:tc>
          <w:tcPr>
            <w:tcW w:w="336" w:type="pct"/>
            <w:tcBorders>
              <w:top w:val="nil"/>
              <w:left w:val="single" w:color="auto" w:sz="4" w:space="0"/>
              <w:bottom w:val="single" w:color="auto" w:sz="4" w:space="0"/>
              <w:right w:val="single" w:color="auto" w:sz="4" w:space="0"/>
            </w:tcBorders>
            <w:shd w:val="clear" w:color="auto" w:fill="auto"/>
            <w:noWrap/>
            <w:vAlign w:val="center"/>
          </w:tcPr>
          <w:p>
            <w:pPr>
              <w:adjustRightInd w:val="0"/>
              <w:jc w:val="center"/>
              <w:rPr>
                <w:bCs/>
                <w:color w:val="000000"/>
                <w:sz w:val="18"/>
                <w:szCs w:val="18"/>
              </w:rPr>
            </w:pPr>
            <w:r>
              <w:rPr>
                <w:bCs/>
                <w:color w:val="000000"/>
                <w:sz w:val="18"/>
                <w:szCs w:val="18"/>
              </w:rPr>
              <w:t>0.</w:t>
            </w:r>
            <w:r>
              <w:rPr>
                <w:rFonts w:hint="eastAsia"/>
                <w:bCs/>
                <w:color w:val="000000"/>
                <w:sz w:val="18"/>
                <w:szCs w:val="18"/>
              </w:rPr>
              <w:t>4</w:t>
            </w:r>
          </w:p>
        </w:tc>
        <w:tc>
          <w:tcPr>
            <w:tcW w:w="509" w:type="pct"/>
            <w:tcBorders>
              <w:top w:val="nil"/>
              <w:left w:val="nil"/>
              <w:bottom w:val="single" w:color="auto" w:sz="4" w:space="0"/>
              <w:right w:val="single" w:color="auto" w:sz="4" w:space="0"/>
            </w:tcBorders>
            <w:shd w:val="clear" w:color="auto" w:fill="auto"/>
            <w:noWrap/>
            <w:vAlign w:val="center"/>
          </w:tcPr>
          <w:p>
            <w:pPr>
              <w:adjustRightInd w:val="0"/>
              <w:jc w:val="center"/>
              <w:rPr>
                <w:bCs/>
                <w:color w:val="000000"/>
                <w:sz w:val="18"/>
                <w:szCs w:val="18"/>
              </w:rPr>
            </w:pPr>
            <w:r>
              <w:rPr>
                <w:bCs/>
                <w:color w:val="000000"/>
                <w:sz w:val="18"/>
                <w:szCs w:val="18"/>
              </w:rPr>
              <w:t>0.2</w:t>
            </w:r>
          </w:p>
        </w:tc>
        <w:tc>
          <w:tcPr>
            <w:tcW w:w="459" w:type="pct"/>
            <w:tcBorders>
              <w:top w:val="nil"/>
              <w:left w:val="nil"/>
              <w:bottom w:val="single" w:color="auto" w:sz="4" w:space="0"/>
              <w:right w:val="single" w:color="auto" w:sz="4" w:space="0"/>
            </w:tcBorders>
            <w:shd w:val="clear" w:color="auto" w:fill="auto"/>
            <w:noWrap/>
            <w:vAlign w:val="center"/>
          </w:tcPr>
          <w:p>
            <w:pPr>
              <w:adjustRightInd w:val="0"/>
              <w:jc w:val="center"/>
              <w:rPr>
                <w:bCs/>
                <w:color w:val="000000"/>
                <w:sz w:val="18"/>
                <w:szCs w:val="18"/>
              </w:rPr>
            </w:pPr>
            <w:r>
              <w:rPr>
                <w:bCs/>
                <w:color w:val="000000"/>
                <w:sz w:val="18"/>
                <w:szCs w:val="18"/>
              </w:rPr>
              <w:t>0.3</w:t>
            </w:r>
          </w:p>
        </w:tc>
        <w:tc>
          <w:tcPr>
            <w:tcW w:w="530" w:type="pct"/>
            <w:tcBorders>
              <w:top w:val="nil"/>
              <w:left w:val="nil"/>
              <w:bottom w:val="single" w:color="auto" w:sz="4" w:space="0"/>
              <w:right w:val="single" w:color="auto" w:sz="4" w:space="0"/>
            </w:tcBorders>
            <w:shd w:val="clear" w:color="auto" w:fill="auto"/>
            <w:noWrap/>
            <w:vAlign w:val="center"/>
          </w:tcPr>
          <w:p>
            <w:pPr>
              <w:adjustRightInd w:val="0"/>
              <w:jc w:val="center"/>
              <w:rPr>
                <w:bCs/>
                <w:color w:val="000000"/>
                <w:sz w:val="18"/>
                <w:szCs w:val="18"/>
              </w:rPr>
            </w:pPr>
            <w:r>
              <w:rPr>
                <w:bCs/>
                <w:color w:val="000000"/>
                <w:sz w:val="18"/>
                <w:szCs w:val="18"/>
              </w:rPr>
              <w:t>0.5</w:t>
            </w:r>
          </w:p>
        </w:tc>
        <w:tc>
          <w:tcPr>
            <w:tcW w:w="509" w:type="pct"/>
            <w:tcBorders>
              <w:top w:val="nil"/>
              <w:left w:val="nil"/>
              <w:bottom w:val="single" w:color="auto" w:sz="4" w:space="0"/>
              <w:right w:val="single" w:color="auto" w:sz="4" w:space="0"/>
            </w:tcBorders>
            <w:shd w:val="clear" w:color="auto" w:fill="auto"/>
            <w:noWrap/>
            <w:vAlign w:val="center"/>
          </w:tcPr>
          <w:p>
            <w:pPr>
              <w:adjustRightInd w:val="0"/>
              <w:jc w:val="center"/>
              <w:rPr>
                <w:bCs/>
                <w:color w:val="000000"/>
                <w:sz w:val="18"/>
                <w:szCs w:val="18"/>
              </w:rPr>
            </w:pPr>
            <w:r>
              <w:rPr>
                <w:bCs/>
                <w:color w:val="000000"/>
                <w:sz w:val="18"/>
                <w:szCs w:val="18"/>
              </w:rPr>
              <w:t>0.0</w:t>
            </w:r>
            <w:r>
              <w:rPr>
                <w:rFonts w:hint="eastAsia"/>
                <w:bCs/>
                <w:color w:val="000000"/>
                <w:sz w:val="18"/>
                <w:szCs w:val="18"/>
              </w:rPr>
              <w:t>8</w:t>
            </w:r>
          </w:p>
        </w:tc>
        <w:tc>
          <w:tcPr>
            <w:tcW w:w="508" w:type="pct"/>
            <w:tcBorders>
              <w:top w:val="nil"/>
              <w:left w:val="nil"/>
              <w:bottom w:val="single" w:color="auto" w:sz="4" w:space="0"/>
              <w:right w:val="single" w:color="auto" w:sz="4" w:space="0"/>
            </w:tcBorders>
            <w:shd w:val="clear" w:color="auto" w:fill="auto"/>
            <w:noWrap/>
            <w:vAlign w:val="center"/>
          </w:tcPr>
          <w:p>
            <w:pPr>
              <w:adjustRightInd w:val="0"/>
              <w:jc w:val="center"/>
              <w:rPr>
                <w:bCs/>
                <w:color w:val="000000"/>
                <w:sz w:val="18"/>
                <w:szCs w:val="18"/>
              </w:rPr>
            </w:pPr>
            <w:r>
              <w:rPr>
                <w:bCs/>
                <w:color w:val="000000"/>
                <w:sz w:val="18"/>
                <w:szCs w:val="18"/>
              </w:rPr>
              <w:t>0.</w:t>
            </w:r>
            <w:r>
              <w:rPr>
                <w:rFonts w:hint="eastAsia"/>
                <w:bCs/>
                <w:color w:val="000000"/>
                <w:sz w:val="18"/>
                <w:szCs w:val="18"/>
              </w:rPr>
              <w:t>12</w:t>
            </w:r>
          </w:p>
        </w:tc>
        <w:tc>
          <w:tcPr>
            <w:tcW w:w="561" w:type="pct"/>
            <w:tcBorders>
              <w:top w:val="nil"/>
              <w:left w:val="nil"/>
              <w:bottom w:val="single" w:color="auto" w:sz="4" w:space="0"/>
              <w:right w:val="single" w:color="auto" w:sz="4" w:space="0"/>
            </w:tcBorders>
            <w:shd w:val="clear" w:color="auto" w:fill="auto"/>
            <w:noWrap/>
            <w:vAlign w:val="center"/>
          </w:tcPr>
          <w:p>
            <w:pPr>
              <w:adjustRightInd w:val="0"/>
              <w:jc w:val="center"/>
              <w:rPr>
                <w:bCs/>
                <w:color w:val="000000"/>
                <w:sz w:val="18"/>
                <w:szCs w:val="18"/>
              </w:rPr>
            </w:pPr>
            <w:r>
              <w:rPr>
                <w:bCs/>
                <w:color w:val="000000"/>
                <w:sz w:val="18"/>
                <w:szCs w:val="18"/>
              </w:rPr>
              <w:t>0.</w:t>
            </w:r>
            <w:r>
              <w:rPr>
                <w:rFonts w:hint="eastAsia"/>
                <w:bCs/>
                <w:color w:val="000000"/>
                <w:sz w:val="18"/>
                <w:szCs w:val="18"/>
              </w:rPr>
              <w:t>20</w:t>
            </w:r>
          </w:p>
        </w:tc>
        <w:tc>
          <w:tcPr>
            <w:tcW w:w="48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color w:val="000000"/>
                <w:sz w:val="18"/>
                <w:szCs w:val="18"/>
              </w:rPr>
            </w:pPr>
            <w:r>
              <w:rPr>
                <w:rFonts w:hint="eastAsia"/>
                <w:bCs/>
                <w:color w:val="000000"/>
                <w:sz w:val="18"/>
                <w:szCs w:val="18"/>
              </w:rPr>
              <w:t>0.4</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color w:val="000000"/>
                <w:sz w:val="18"/>
                <w:szCs w:val="18"/>
              </w:rPr>
            </w:pPr>
            <w:r>
              <w:rPr>
                <w:rFonts w:hint="eastAsia"/>
                <w:bCs/>
                <w:color w:val="000000"/>
                <w:sz w:val="18"/>
                <w:szCs w:val="18"/>
              </w:rPr>
              <w:t>0.6</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color w:val="000000"/>
                <w:sz w:val="18"/>
                <w:szCs w:val="18"/>
              </w:rPr>
            </w:pPr>
            <w:r>
              <w:rPr>
                <w:rFonts w:hint="eastAsia"/>
                <w:bCs/>
                <w:color w:val="000000"/>
                <w:sz w:val="18"/>
                <w:szCs w:val="18"/>
              </w:rPr>
              <w:t>0.33</w:t>
            </w:r>
          </w:p>
        </w:tc>
      </w:tr>
      <w:tr>
        <w:tblPrEx>
          <w:tblCellMar>
            <w:top w:w="0" w:type="dxa"/>
            <w:left w:w="108" w:type="dxa"/>
            <w:bottom w:w="0" w:type="dxa"/>
            <w:right w:w="108" w:type="dxa"/>
          </w:tblCellMar>
        </w:tblPrEx>
        <w:trPr>
          <w:trHeight w:val="690" w:hRule="atLeast"/>
          <w:jc w:val="center"/>
        </w:trPr>
        <w:tc>
          <w:tcPr>
            <w:tcW w:w="206" w:type="pct"/>
            <w:tcBorders>
              <w:top w:val="nil"/>
              <w:left w:val="single" w:color="auto" w:sz="4" w:space="0"/>
              <w:bottom w:val="single" w:color="auto" w:sz="4" w:space="0"/>
              <w:right w:val="single" w:color="auto" w:sz="4" w:space="0"/>
            </w:tcBorders>
            <w:shd w:val="clear" w:color="auto" w:fill="auto"/>
            <w:vAlign w:val="center"/>
          </w:tcPr>
          <w:p>
            <w:pPr>
              <w:jc w:val="center"/>
              <w:rPr>
                <w:bCs/>
                <w:color w:val="000000"/>
                <w:sz w:val="18"/>
                <w:szCs w:val="18"/>
              </w:rPr>
            </w:pPr>
            <w:r>
              <w:rPr>
                <w:bCs/>
                <w:color w:val="000000"/>
                <w:sz w:val="18"/>
                <w:szCs w:val="18"/>
              </w:rPr>
              <w:t>3</w:t>
            </w:r>
          </w:p>
        </w:tc>
        <w:tc>
          <w:tcPr>
            <w:tcW w:w="336" w:type="pct"/>
            <w:tcBorders>
              <w:top w:val="nil"/>
              <w:left w:val="single" w:color="auto" w:sz="4" w:space="0"/>
              <w:bottom w:val="single" w:color="auto" w:sz="4" w:space="0"/>
              <w:right w:val="single" w:color="auto" w:sz="4" w:space="0"/>
            </w:tcBorders>
            <w:shd w:val="clear" w:color="auto" w:fill="auto"/>
            <w:noWrap/>
            <w:vAlign w:val="center"/>
          </w:tcPr>
          <w:p>
            <w:pPr>
              <w:adjustRightInd w:val="0"/>
              <w:jc w:val="center"/>
              <w:rPr>
                <w:bCs/>
                <w:color w:val="000000"/>
                <w:sz w:val="18"/>
                <w:szCs w:val="18"/>
              </w:rPr>
            </w:pPr>
            <w:r>
              <w:rPr>
                <w:bCs/>
                <w:color w:val="000000"/>
                <w:sz w:val="18"/>
                <w:szCs w:val="18"/>
              </w:rPr>
              <w:t>0.</w:t>
            </w:r>
            <w:r>
              <w:rPr>
                <w:rFonts w:hint="eastAsia"/>
                <w:bCs/>
                <w:color w:val="000000"/>
                <w:sz w:val="18"/>
                <w:szCs w:val="18"/>
              </w:rPr>
              <w:t>2</w:t>
            </w:r>
          </w:p>
        </w:tc>
        <w:tc>
          <w:tcPr>
            <w:tcW w:w="509" w:type="pct"/>
            <w:tcBorders>
              <w:top w:val="nil"/>
              <w:left w:val="nil"/>
              <w:bottom w:val="single" w:color="auto" w:sz="4" w:space="0"/>
              <w:right w:val="single" w:color="auto" w:sz="4" w:space="0"/>
            </w:tcBorders>
            <w:shd w:val="clear" w:color="auto" w:fill="auto"/>
            <w:noWrap/>
            <w:vAlign w:val="center"/>
          </w:tcPr>
          <w:p>
            <w:pPr>
              <w:adjustRightInd w:val="0"/>
              <w:jc w:val="center"/>
              <w:rPr>
                <w:bCs/>
                <w:color w:val="000000"/>
                <w:sz w:val="18"/>
                <w:szCs w:val="18"/>
              </w:rPr>
            </w:pPr>
            <w:r>
              <w:rPr>
                <w:bCs/>
                <w:color w:val="000000"/>
                <w:sz w:val="18"/>
                <w:szCs w:val="18"/>
              </w:rPr>
              <w:t>0.2</w:t>
            </w:r>
          </w:p>
        </w:tc>
        <w:tc>
          <w:tcPr>
            <w:tcW w:w="459" w:type="pct"/>
            <w:tcBorders>
              <w:top w:val="nil"/>
              <w:left w:val="nil"/>
              <w:bottom w:val="single" w:color="auto" w:sz="4" w:space="0"/>
              <w:right w:val="single" w:color="auto" w:sz="4" w:space="0"/>
            </w:tcBorders>
            <w:shd w:val="clear" w:color="auto" w:fill="auto"/>
            <w:noWrap/>
            <w:vAlign w:val="center"/>
          </w:tcPr>
          <w:p>
            <w:pPr>
              <w:adjustRightInd w:val="0"/>
              <w:jc w:val="center"/>
              <w:rPr>
                <w:bCs/>
                <w:color w:val="000000"/>
                <w:sz w:val="18"/>
                <w:szCs w:val="18"/>
              </w:rPr>
            </w:pPr>
            <w:r>
              <w:rPr>
                <w:bCs/>
                <w:color w:val="000000"/>
                <w:sz w:val="18"/>
                <w:szCs w:val="18"/>
              </w:rPr>
              <w:t>0. 3</w:t>
            </w:r>
          </w:p>
        </w:tc>
        <w:tc>
          <w:tcPr>
            <w:tcW w:w="530" w:type="pct"/>
            <w:tcBorders>
              <w:top w:val="nil"/>
              <w:left w:val="nil"/>
              <w:bottom w:val="single" w:color="auto" w:sz="4" w:space="0"/>
              <w:right w:val="single" w:color="auto" w:sz="4" w:space="0"/>
            </w:tcBorders>
            <w:shd w:val="clear" w:color="auto" w:fill="auto"/>
            <w:noWrap/>
            <w:vAlign w:val="center"/>
          </w:tcPr>
          <w:p>
            <w:pPr>
              <w:adjustRightInd w:val="0"/>
              <w:jc w:val="center"/>
              <w:rPr>
                <w:bCs/>
                <w:color w:val="000000"/>
                <w:sz w:val="18"/>
                <w:szCs w:val="18"/>
              </w:rPr>
            </w:pPr>
            <w:r>
              <w:rPr>
                <w:bCs/>
                <w:color w:val="000000"/>
                <w:sz w:val="18"/>
                <w:szCs w:val="18"/>
              </w:rPr>
              <w:t>0. 5</w:t>
            </w:r>
          </w:p>
        </w:tc>
        <w:tc>
          <w:tcPr>
            <w:tcW w:w="509" w:type="pct"/>
            <w:tcBorders>
              <w:top w:val="nil"/>
              <w:left w:val="nil"/>
              <w:bottom w:val="single" w:color="auto" w:sz="4" w:space="0"/>
              <w:right w:val="single" w:color="auto" w:sz="4" w:space="0"/>
            </w:tcBorders>
            <w:shd w:val="clear" w:color="auto" w:fill="auto"/>
            <w:noWrap/>
            <w:vAlign w:val="center"/>
          </w:tcPr>
          <w:p>
            <w:pPr>
              <w:adjustRightInd w:val="0"/>
              <w:jc w:val="center"/>
              <w:rPr>
                <w:bCs/>
                <w:color w:val="000000"/>
                <w:sz w:val="18"/>
                <w:szCs w:val="18"/>
              </w:rPr>
            </w:pPr>
            <w:r>
              <w:rPr>
                <w:bCs/>
                <w:color w:val="000000"/>
                <w:sz w:val="18"/>
                <w:szCs w:val="18"/>
              </w:rPr>
              <w:t>0.0</w:t>
            </w:r>
            <w:r>
              <w:rPr>
                <w:rFonts w:hint="eastAsia"/>
                <w:bCs/>
                <w:color w:val="000000"/>
                <w:sz w:val="18"/>
                <w:szCs w:val="18"/>
              </w:rPr>
              <w:t>4</w:t>
            </w:r>
            <w:r>
              <w:rPr>
                <w:bCs/>
                <w:color w:val="000000"/>
                <w:sz w:val="18"/>
                <w:szCs w:val="18"/>
              </w:rPr>
              <w:t>　</w:t>
            </w:r>
          </w:p>
        </w:tc>
        <w:tc>
          <w:tcPr>
            <w:tcW w:w="508" w:type="pct"/>
            <w:tcBorders>
              <w:top w:val="nil"/>
              <w:left w:val="nil"/>
              <w:bottom w:val="single" w:color="auto" w:sz="4" w:space="0"/>
              <w:right w:val="single" w:color="auto" w:sz="4" w:space="0"/>
            </w:tcBorders>
            <w:shd w:val="clear" w:color="auto" w:fill="auto"/>
            <w:noWrap/>
            <w:vAlign w:val="center"/>
          </w:tcPr>
          <w:p>
            <w:pPr>
              <w:adjustRightInd w:val="0"/>
              <w:jc w:val="center"/>
              <w:rPr>
                <w:bCs/>
                <w:color w:val="000000"/>
                <w:sz w:val="18"/>
                <w:szCs w:val="18"/>
              </w:rPr>
            </w:pPr>
            <w:r>
              <w:rPr>
                <w:bCs/>
                <w:color w:val="000000"/>
                <w:sz w:val="18"/>
                <w:szCs w:val="18"/>
              </w:rPr>
              <w:t>0.0</w:t>
            </w:r>
            <w:r>
              <w:rPr>
                <w:rFonts w:hint="eastAsia"/>
                <w:bCs/>
                <w:color w:val="000000"/>
                <w:sz w:val="18"/>
                <w:szCs w:val="18"/>
              </w:rPr>
              <w:t>6</w:t>
            </w:r>
          </w:p>
        </w:tc>
        <w:tc>
          <w:tcPr>
            <w:tcW w:w="561" w:type="pct"/>
            <w:tcBorders>
              <w:top w:val="nil"/>
              <w:left w:val="nil"/>
              <w:bottom w:val="single" w:color="auto" w:sz="4" w:space="0"/>
              <w:right w:val="single" w:color="auto" w:sz="4" w:space="0"/>
            </w:tcBorders>
            <w:shd w:val="clear" w:color="auto" w:fill="auto"/>
            <w:noWrap/>
            <w:vAlign w:val="center"/>
          </w:tcPr>
          <w:p>
            <w:pPr>
              <w:adjustRightInd w:val="0"/>
              <w:jc w:val="center"/>
              <w:rPr>
                <w:bCs/>
                <w:color w:val="000000"/>
                <w:sz w:val="18"/>
                <w:szCs w:val="18"/>
              </w:rPr>
            </w:pPr>
            <w:r>
              <w:rPr>
                <w:bCs/>
                <w:color w:val="000000"/>
                <w:sz w:val="18"/>
                <w:szCs w:val="18"/>
              </w:rPr>
              <w:t>0.1</w:t>
            </w:r>
            <w:r>
              <w:rPr>
                <w:rFonts w:hint="eastAsia"/>
                <w:bCs/>
                <w:color w:val="000000"/>
                <w:sz w:val="18"/>
                <w:szCs w:val="18"/>
              </w:rPr>
              <w:t>0</w:t>
            </w:r>
          </w:p>
        </w:tc>
        <w:tc>
          <w:tcPr>
            <w:tcW w:w="48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color w:val="000000"/>
                <w:sz w:val="18"/>
                <w:szCs w:val="18"/>
              </w:rPr>
            </w:pPr>
            <w:r>
              <w:rPr>
                <w:rFonts w:hint="eastAsia"/>
                <w:bCs/>
                <w:color w:val="000000"/>
                <w:sz w:val="18"/>
                <w:szCs w:val="18"/>
              </w:rPr>
              <w:t>0.2</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color w:val="000000"/>
                <w:sz w:val="18"/>
                <w:szCs w:val="18"/>
              </w:rPr>
            </w:pPr>
            <w:r>
              <w:rPr>
                <w:rFonts w:hint="eastAsia"/>
                <w:bCs/>
                <w:color w:val="000000"/>
                <w:sz w:val="18"/>
                <w:szCs w:val="18"/>
              </w:rPr>
              <w:t>0.3</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color w:val="000000"/>
                <w:sz w:val="18"/>
                <w:szCs w:val="18"/>
              </w:rPr>
            </w:pPr>
            <w:r>
              <w:rPr>
                <w:rFonts w:hint="eastAsia"/>
                <w:bCs/>
                <w:color w:val="000000"/>
                <w:sz w:val="18"/>
                <w:szCs w:val="18"/>
              </w:rPr>
              <w:t>0.17</w:t>
            </w:r>
          </w:p>
        </w:tc>
      </w:tr>
      <w:tr>
        <w:tblPrEx>
          <w:tblCellMar>
            <w:top w:w="0" w:type="dxa"/>
            <w:left w:w="108" w:type="dxa"/>
            <w:bottom w:w="0" w:type="dxa"/>
            <w:right w:w="108" w:type="dxa"/>
          </w:tblCellMar>
        </w:tblPrEx>
        <w:trPr>
          <w:trHeight w:val="1026" w:hRule="atLeast"/>
          <w:jc w:val="center"/>
        </w:trPr>
        <w:tc>
          <w:tcPr>
            <w:tcW w:w="2041" w:type="pct"/>
            <w:gridSpan w:val="5"/>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color w:val="FF0000"/>
                <w:kern w:val="0"/>
                <w:sz w:val="18"/>
                <w:szCs w:val="18"/>
              </w:rPr>
            </w:pPr>
            <w:r>
              <w:rPr>
                <w:rFonts w:hint="eastAsia" w:ascii="宋体" w:hAnsi="宋体" w:cs="宋体"/>
                <w:color w:val="000000"/>
                <w:kern w:val="0"/>
                <w:sz w:val="18"/>
                <w:szCs w:val="18"/>
              </w:rPr>
              <w:t>各环节对课程目标达成的贡献率（</w:t>
            </w:r>
            <w:r>
              <w:rPr>
                <w:rFonts w:hint="eastAsia" w:ascii="宋体" w:hAnsi="宋体" w:cs="宋体"/>
                <w:i/>
                <w:color w:val="000000"/>
                <w:kern w:val="0"/>
                <w:sz w:val="18"/>
                <w:szCs w:val="18"/>
              </w:rPr>
              <w:t>M</w:t>
            </w:r>
            <w:r>
              <w:rPr>
                <w:rFonts w:hint="eastAsia" w:ascii="宋体" w:hAnsi="宋体" w:cs="宋体"/>
                <w:i/>
                <w:color w:val="000000"/>
                <w:kern w:val="0"/>
                <w:sz w:val="18"/>
                <w:szCs w:val="18"/>
                <w:vertAlign w:val="subscript"/>
              </w:rPr>
              <w:t>k</w:t>
            </w:r>
            <w:r>
              <w:rPr>
                <w:rFonts w:hint="eastAsia" w:ascii="宋体" w:hAnsi="宋体" w:cs="宋体"/>
                <w:color w:val="000000"/>
                <w:kern w:val="0"/>
                <w:sz w:val="18"/>
                <w:szCs w:val="18"/>
              </w:rPr>
              <w:t>）</w:t>
            </w:r>
          </w:p>
        </w:tc>
        <w:tc>
          <w:tcPr>
            <w:tcW w:w="509"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jc w:val="center"/>
              <w:rPr>
                <w:color w:val="000000"/>
                <w:sz w:val="18"/>
                <w:szCs w:val="18"/>
              </w:rPr>
            </w:pPr>
            <w:r>
              <w:rPr>
                <w:color w:val="000000"/>
                <w:sz w:val="18"/>
                <w:szCs w:val="18"/>
              </w:rPr>
              <w:t>0.20</w:t>
            </w:r>
          </w:p>
        </w:tc>
        <w:tc>
          <w:tcPr>
            <w:tcW w:w="508" w:type="pct"/>
            <w:tcBorders>
              <w:top w:val="single" w:color="auto" w:sz="4" w:space="0"/>
              <w:left w:val="nil"/>
              <w:bottom w:val="single" w:color="auto" w:sz="4" w:space="0"/>
              <w:right w:val="single" w:color="auto" w:sz="4" w:space="0"/>
            </w:tcBorders>
            <w:shd w:val="clear" w:color="auto" w:fill="auto"/>
            <w:noWrap/>
            <w:vAlign w:val="center"/>
          </w:tcPr>
          <w:p>
            <w:pPr>
              <w:adjustRightInd w:val="0"/>
              <w:jc w:val="center"/>
              <w:rPr>
                <w:color w:val="000000"/>
                <w:sz w:val="18"/>
                <w:szCs w:val="18"/>
              </w:rPr>
            </w:pPr>
            <w:r>
              <w:rPr>
                <w:color w:val="000000"/>
                <w:sz w:val="18"/>
                <w:szCs w:val="18"/>
              </w:rPr>
              <w:t xml:space="preserve">0.20 </w:t>
            </w:r>
          </w:p>
        </w:tc>
        <w:tc>
          <w:tcPr>
            <w:tcW w:w="561" w:type="pct"/>
            <w:tcBorders>
              <w:top w:val="single" w:color="auto" w:sz="4" w:space="0"/>
              <w:left w:val="nil"/>
              <w:bottom w:val="single" w:color="auto" w:sz="4" w:space="0"/>
              <w:right w:val="single" w:color="auto" w:sz="4" w:space="0"/>
            </w:tcBorders>
            <w:shd w:val="clear" w:color="auto" w:fill="auto"/>
            <w:noWrap/>
            <w:vAlign w:val="center"/>
          </w:tcPr>
          <w:p>
            <w:pPr>
              <w:adjustRightInd w:val="0"/>
              <w:jc w:val="center"/>
              <w:rPr>
                <w:color w:val="000000"/>
                <w:sz w:val="18"/>
                <w:szCs w:val="18"/>
              </w:rPr>
            </w:pPr>
            <w:r>
              <w:rPr>
                <w:color w:val="000000"/>
                <w:sz w:val="18"/>
                <w:szCs w:val="18"/>
              </w:rPr>
              <w:t xml:space="preserve">0.60 </w:t>
            </w:r>
          </w:p>
        </w:tc>
        <w:tc>
          <w:tcPr>
            <w:tcW w:w="138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教师出题或布置作业时</w:t>
            </w:r>
          </w:p>
          <w:p>
            <w:pPr>
              <w:jc w:val="center"/>
              <w:rPr>
                <w:b/>
                <w:color w:val="FF0000"/>
                <w:sz w:val="18"/>
                <w:szCs w:val="18"/>
              </w:rPr>
            </w:pPr>
            <w:r>
              <w:rPr>
                <w:sz w:val="18"/>
                <w:szCs w:val="18"/>
              </w:rPr>
              <w:t>要尽量做到按照以上比例布局</w:t>
            </w:r>
            <w:r>
              <w:rPr>
                <w:sz w:val="18"/>
                <w:szCs w:val="18"/>
              </w:rPr>
              <w:drawing>
                <wp:anchor distT="0" distB="0" distL="114300" distR="114300" simplePos="0" relativeHeight="251694080" behindDoc="0" locked="0" layoutInCell="1" allowOverlap="1">
                  <wp:simplePos x="0" y="0"/>
                  <wp:positionH relativeFrom="character">
                    <wp:posOffset>1189990</wp:posOffset>
                  </wp:positionH>
                  <wp:positionV relativeFrom="line">
                    <wp:posOffset>1224280</wp:posOffset>
                  </wp:positionV>
                  <wp:extent cx="19050" cy="22860"/>
                  <wp:effectExtent l="19050" t="19050" r="19050" b="15240"/>
                  <wp:wrapNone/>
                  <wp:docPr id="393" name="图片 393"/>
                  <wp:cNvGraphicFramePr/>
                  <a:graphic xmlns:a="http://schemas.openxmlformats.org/drawingml/2006/main">
                    <a:graphicData uri="http://schemas.openxmlformats.org/drawingml/2006/picture">
                      <pic:pic xmlns:pic="http://schemas.openxmlformats.org/drawingml/2006/picture">
                        <pic:nvPicPr>
                          <pic:cNvPr id="393" name="图片 393"/>
                          <pic:cNvPicPr preferRelativeResize="0">
                            <a:picLocks noChangeArrowheads="1"/>
                          </pic:cNvPicPr>
                        </pic:nvPicPr>
                        <pic:blipFill>
                          <a:blip r:embed="rId179">
                            <a:extLst>
                              <a:ext uri="{28A0092B-C50C-407E-A947-70E740481C1C}">
                                <a14:useLocalDpi xmlns:a14="http://schemas.microsoft.com/office/drawing/2010/main" val="0"/>
                              </a:ext>
                            </a:extLst>
                          </a:blip>
                          <a:srcRect/>
                          <a:stretch>
                            <a:fillRect/>
                          </a:stretch>
                        </pic:blipFill>
                        <pic:spPr>
                          <a:xfrm>
                            <a:off x="0" y="0"/>
                            <a:ext cx="19050" cy="22860"/>
                          </a:xfrm>
                          <a:prstGeom prst="rect">
                            <a:avLst/>
                          </a:prstGeom>
                          <a:solidFill>
                            <a:srgbClr val="FFFFFF"/>
                          </a:solidFill>
                          <a:ln w="9525">
                            <a:solidFill>
                              <a:srgbClr val="000000"/>
                            </a:solidFill>
                            <a:round/>
                          </a:ln>
                        </pic:spPr>
                      </pic:pic>
                    </a:graphicData>
                  </a:graphic>
                </wp:anchor>
              </w:drawing>
            </w:r>
          </w:p>
        </w:tc>
      </w:tr>
    </w:tbl>
    <w:p>
      <w:pPr>
        <w:spacing w:line="360" w:lineRule="auto"/>
        <w:jc w:val="left"/>
      </w:pPr>
    </w:p>
    <w:p>
      <w:pPr>
        <w:spacing w:line="360" w:lineRule="auto"/>
        <w:rPr>
          <w:color w:val="FF0000"/>
        </w:rPr>
        <w:sectPr>
          <w:pgSz w:w="16838" w:h="11906" w:orient="landscape"/>
          <w:pgMar w:top="1797" w:right="1440" w:bottom="1797" w:left="1440" w:header="851" w:footer="992" w:gutter="0"/>
          <w:pgNumType w:fmt="decimal"/>
          <w:cols w:space="425" w:num="1"/>
          <w:docGrid w:linePitch="312" w:charSpace="0"/>
        </w:sectPr>
      </w:pPr>
    </w:p>
    <w:p>
      <w:pPr>
        <w:adjustRightInd w:val="0"/>
        <w:snapToGrid w:val="0"/>
        <w:spacing w:line="360" w:lineRule="auto"/>
        <w:ind w:firstLine="420" w:firstLineChars="200"/>
        <w:rPr>
          <w:szCs w:val="21"/>
        </w:rPr>
      </w:pPr>
      <w:r>
        <w:rPr>
          <w:rFonts w:hint="eastAsia"/>
          <w:szCs w:val="21"/>
        </w:rPr>
        <w:t>采用达成值计算法，辅以对学生的问卷调查法。</w:t>
      </w:r>
    </w:p>
    <w:p>
      <w:pPr>
        <w:adjustRightInd w:val="0"/>
        <w:snapToGrid w:val="0"/>
        <w:spacing w:line="360" w:lineRule="auto"/>
        <w:ind w:firstLine="422" w:firstLineChars="200"/>
        <w:rPr>
          <w:b/>
          <w:bCs/>
          <w:szCs w:val="21"/>
        </w:rPr>
      </w:pPr>
      <w:r>
        <w:rPr>
          <w:rFonts w:hint="eastAsia"/>
          <w:b/>
          <w:bCs/>
          <w:szCs w:val="21"/>
        </w:rPr>
        <w:t>课程目标定量评价：</w:t>
      </w:r>
    </w:p>
    <w:p>
      <w:pPr>
        <w:adjustRightInd w:val="0"/>
        <w:snapToGrid w:val="0"/>
        <w:spacing w:line="360" w:lineRule="auto"/>
        <w:ind w:firstLine="420" w:firstLineChars="200"/>
        <w:rPr>
          <w:szCs w:val="21"/>
        </w:rPr>
      </w:pPr>
      <w:r>
        <w:rPr>
          <w:szCs w:val="21"/>
        </w:rPr>
        <w:t>达成值计算法结合上表权重分配，采用</w:t>
      </w:r>
      <w:r>
        <w:rPr>
          <w:rFonts w:hint="eastAsia"/>
          <w:szCs w:val="21"/>
        </w:rPr>
        <w:t>下表进行计算。</w:t>
      </w:r>
    </w:p>
    <w:p>
      <w:pPr>
        <w:adjustRightInd w:val="0"/>
        <w:snapToGrid w:val="0"/>
        <w:spacing w:line="360" w:lineRule="auto"/>
        <w:ind w:firstLine="420" w:firstLineChars="200"/>
        <w:rPr>
          <w:szCs w:val="21"/>
        </w:rPr>
      </w:pPr>
      <w:r>
        <w:rPr>
          <w:szCs w:val="21"/>
        </w:rPr>
        <w:t>单一课程目标达成度评价采用下式：</w:t>
      </w:r>
    </w:p>
    <w:p>
      <w:pPr>
        <w:adjustRightInd w:val="0"/>
        <w:snapToGrid w:val="0"/>
        <w:spacing w:line="360" w:lineRule="auto"/>
        <w:ind w:firstLine="420" w:firstLineChars="200"/>
        <w:rPr>
          <w:szCs w:val="21"/>
        </w:rPr>
      </w:pPr>
      <w:r>
        <w:rPr>
          <w:position w:val="-30"/>
          <w:szCs w:val="21"/>
        </w:rPr>
        <w:object>
          <v:shape id="_x0000_i1049" o:spt="75" type="#_x0000_t75" style="height:36pt;width:165.5pt;" o:ole="t" filled="f" o:preferrelative="t" stroked="f" coordsize="21600,21600">
            <v:path/>
            <v:fill on="f" focussize="0,0"/>
            <v:stroke on="f" joinstyle="miter"/>
            <v:imagedata r:id="rId145" o:title=""/>
            <o:lock v:ext="edit" aspectratio="t"/>
            <w10:wrap type="none"/>
            <w10:anchorlock/>
          </v:shape>
          <o:OLEObject Type="Embed" ProgID="Equation.3" ShapeID="_x0000_i1049" DrawAspect="Content" ObjectID="_1468075749" r:id="rId180">
            <o:LockedField>false</o:LockedField>
          </o:OLEObject>
        </w:object>
      </w:r>
    </w:p>
    <w:p>
      <w:pPr>
        <w:adjustRightInd w:val="0"/>
        <w:snapToGrid w:val="0"/>
        <w:spacing w:line="360" w:lineRule="auto"/>
        <w:ind w:firstLine="420" w:firstLineChars="200"/>
        <w:rPr>
          <w:szCs w:val="21"/>
        </w:rPr>
      </w:pPr>
      <w:r>
        <w:rPr>
          <w:szCs w:val="21"/>
        </w:rPr>
        <w:t>总的课程目标达成度评价采用下式：</w:t>
      </w:r>
    </w:p>
    <w:p>
      <w:pPr>
        <w:adjustRightInd w:val="0"/>
        <w:snapToGrid w:val="0"/>
        <w:spacing w:line="360" w:lineRule="auto"/>
        <w:ind w:firstLine="420" w:firstLineChars="200"/>
        <w:rPr>
          <w:szCs w:val="21"/>
        </w:rPr>
      </w:pPr>
      <w:r>
        <w:rPr>
          <w:position w:val="-30"/>
          <w:szCs w:val="21"/>
        </w:rPr>
        <w:object>
          <v:shape id="_x0000_i1050" o:spt="75" type="#_x0000_t75" style="height:36pt;width:150pt;" o:ole="t" filled="f" o:preferrelative="t" stroked="f" coordsize="21600,21600">
            <v:path/>
            <v:fill on="f" focussize="0,0"/>
            <v:stroke on="f" joinstyle="miter"/>
            <v:imagedata r:id="rId147" o:title=""/>
            <o:lock v:ext="edit" aspectratio="t"/>
            <w10:wrap type="none"/>
            <w10:anchorlock/>
          </v:shape>
          <o:OLEObject Type="Embed" ProgID="Equation.3" ShapeID="_x0000_i1050" DrawAspect="Content" ObjectID="_1468075750" r:id="rId181">
            <o:LockedField>false</o:LockedField>
          </o:OLEObject>
        </w:object>
      </w:r>
    </w:p>
    <w:p>
      <w:pPr>
        <w:adjustRightInd w:val="0"/>
        <w:snapToGrid w:val="0"/>
        <w:spacing w:line="360" w:lineRule="auto"/>
        <w:ind w:firstLine="420" w:firstLineChars="200"/>
        <w:rPr>
          <w:szCs w:val="21"/>
        </w:rPr>
      </w:pPr>
      <w:r>
        <w:rPr>
          <w:szCs w:val="21"/>
        </w:rPr>
        <w:t>以上公式中：</w:t>
      </w:r>
    </w:p>
    <w:p>
      <w:pPr>
        <w:adjustRightInd w:val="0"/>
        <w:snapToGrid w:val="0"/>
        <w:spacing w:line="360" w:lineRule="auto"/>
        <w:ind w:firstLine="420" w:firstLineChars="200"/>
        <w:rPr>
          <w:szCs w:val="21"/>
        </w:rPr>
      </w:pPr>
      <w:r>
        <w:rPr>
          <w:i/>
          <w:szCs w:val="21"/>
        </w:rPr>
        <w:t>k</w:t>
      </w:r>
      <w:r>
        <w:rPr>
          <w:szCs w:val="21"/>
        </w:rPr>
        <w:t>表示不同的评价方式，</w:t>
      </w:r>
      <w:r>
        <w:rPr>
          <w:i/>
          <w:szCs w:val="21"/>
        </w:rPr>
        <w:t>i</w:t>
      </w:r>
      <w:r>
        <w:rPr>
          <w:szCs w:val="21"/>
        </w:rPr>
        <w:t>表示不同的课程目标。</w:t>
      </w:r>
    </w:p>
    <w:p>
      <w:pPr>
        <w:adjustRightInd w:val="0"/>
        <w:snapToGrid w:val="0"/>
        <w:spacing w:line="360" w:lineRule="auto"/>
        <w:ind w:firstLine="420" w:firstLineChars="200"/>
      </w:pPr>
      <w:r>
        <w:rPr>
          <w:position w:val="-10"/>
        </w:rPr>
        <w:object>
          <v:shape id="_x0000_i1051" o:spt="75" type="#_x0000_t75" style="height:17.5pt;width:14.5pt;" o:ole="t" filled="f" o:preferrelative="t" stroked="f" coordsize="21600,21600">
            <v:path/>
            <v:fill on="f" focussize="0,0"/>
            <v:stroke on="f" joinstyle="miter"/>
            <v:imagedata r:id="rId149" o:title=""/>
            <o:lock v:ext="edit" aspectratio="t"/>
            <w10:wrap type="none"/>
            <w10:anchorlock/>
          </v:shape>
          <o:OLEObject Type="Embed" ProgID="Equation.3" ShapeID="_x0000_i1051" DrawAspect="Content" ObjectID="_1468075751" r:id="rId182">
            <o:LockedField>false</o:LockedField>
          </o:OLEObject>
        </w:object>
      </w:r>
      <w:r>
        <w:t xml:space="preserve"> 表示第</w:t>
      </w:r>
      <w:r>
        <w:rPr>
          <w:i/>
        </w:rPr>
        <w:t>k</w:t>
      </w:r>
      <w:r>
        <w:t>种评价方式期末评价成绩平均分，均为百分制；</w:t>
      </w:r>
    </w:p>
    <w:p>
      <w:pPr>
        <w:adjustRightInd w:val="0"/>
        <w:snapToGrid w:val="0"/>
        <w:spacing w:line="360" w:lineRule="auto"/>
        <w:ind w:firstLine="420" w:firstLineChars="200"/>
      </w:pPr>
      <w:r>
        <w:rPr>
          <w:position w:val="-10"/>
        </w:rPr>
        <w:object>
          <v:shape id="_x0000_i1052" o:spt="75" type="#_x0000_t75" style="height:17.5pt;width:74.5pt;" o:ole="t" filled="f" o:preferrelative="t" stroked="f" coordsize="21600,21600">
            <v:path/>
            <v:fill on="f" focussize="0,0"/>
            <v:stroke on="f" joinstyle="miter"/>
            <v:imagedata r:id="rId151" o:title=""/>
            <o:lock v:ext="edit" aspectratio="t"/>
            <w10:wrap type="none"/>
            <w10:anchorlock/>
          </v:shape>
          <o:OLEObject Type="Embed" ProgID="Equation.3" ShapeID="_x0000_i1052" DrawAspect="Content" ObjectID="_1468075752" r:id="rId183">
            <o:LockedField>false</o:LockedField>
          </o:OLEObject>
        </w:object>
      </w:r>
      <w:r>
        <w:t xml:space="preserve">  是第</w:t>
      </w:r>
      <w:r>
        <w:rPr>
          <w:i/>
        </w:rPr>
        <w:t>k</w:t>
      </w:r>
      <w:r>
        <w:t>种评价方式通过第</w:t>
      </w:r>
      <w:r>
        <w:rPr>
          <w:i/>
        </w:rPr>
        <w:t>i</w:t>
      </w:r>
      <w:r>
        <w:t>个课程目标反映在总的课程目标评分占比；</w:t>
      </w:r>
    </w:p>
    <w:p>
      <w:pPr>
        <w:adjustRightInd w:val="0"/>
        <w:snapToGrid w:val="0"/>
        <w:spacing w:line="360" w:lineRule="auto"/>
        <w:ind w:firstLine="420" w:firstLineChars="200"/>
        <w:rPr>
          <w:szCs w:val="21"/>
        </w:rPr>
      </w:pPr>
      <w:r>
        <w:rPr>
          <w:position w:val="-10"/>
        </w:rPr>
        <w:object>
          <v:shape id="_x0000_i1053" o:spt="75" type="#_x0000_t75" style="height:17.5pt;width:17.5pt;" o:ole="t" filled="f" o:preferrelative="t" stroked="f" coordsize="21600,21600">
            <v:path/>
            <v:fill on="f" focussize="0,0"/>
            <v:stroke on="f" joinstyle="miter"/>
            <v:imagedata r:id="rId153" o:title=""/>
            <o:lock v:ext="edit" aspectratio="t"/>
            <w10:wrap type="none"/>
            <w10:anchorlock/>
          </v:shape>
          <o:OLEObject Type="Embed" ProgID="Equation.3" ShapeID="_x0000_i1053" DrawAspect="Content" ObjectID="_1468075753" r:id="rId184">
            <o:LockedField>false</o:LockedField>
          </o:OLEObject>
        </w:object>
      </w:r>
      <w:r>
        <w:t xml:space="preserve"> 表示第</w:t>
      </w:r>
      <w:r>
        <w:rPr>
          <w:i/>
        </w:rPr>
        <w:t>k</w:t>
      </w:r>
      <w:r>
        <w:t>种评价方式对第</w:t>
      </w:r>
      <w:r>
        <w:rPr>
          <w:i/>
        </w:rPr>
        <w:t>i</w:t>
      </w:r>
      <w:r>
        <w:t>个课程目标百分占比；</w:t>
      </w:r>
    </w:p>
    <w:p>
      <w:pPr>
        <w:adjustRightInd w:val="0"/>
        <w:snapToGrid w:val="0"/>
        <w:spacing w:line="360" w:lineRule="auto"/>
        <w:ind w:firstLine="420" w:firstLineChars="200"/>
      </w:pPr>
      <w:r>
        <w:rPr>
          <w:position w:val="-10"/>
        </w:rPr>
        <w:object>
          <v:shape id="_x0000_i1054" o:spt="75" type="#_x0000_t75" style="height:17.5pt;width:13pt;" o:ole="t" filled="f" o:preferrelative="t" stroked="f" coordsize="21600,21600">
            <v:path/>
            <v:fill on="f" focussize="0,0"/>
            <v:stroke on="f" joinstyle="miter"/>
            <v:imagedata r:id="rId155" o:title=""/>
            <o:lock v:ext="edit" aspectratio="t"/>
            <w10:wrap type="none"/>
            <w10:anchorlock/>
          </v:shape>
          <o:OLEObject Type="Embed" ProgID="Equation.3" ShapeID="_x0000_i1054" DrawAspect="Content" ObjectID="_1468075754" r:id="rId185">
            <o:LockedField>false</o:LockedField>
          </o:OLEObject>
        </w:object>
      </w:r>
      <w:r>
        <w:t xml:space="preserve"> 表示第</w:t>
      </w:r>
      <w:r>
        <w:rPr>
          <w:i/>
        </w:rPr>
        <w:t>i</w:t>
      </w:r>
      <w:r>
        <w:t>个课程目标在课程总评价中的占比；</w:t>
      </w:r>
    </w:p>
    <w:p>
      <w:pPr>
        <w:adjustRightInd w:val="0"/>
        <w:snapToGrid w:val="0"/>
        <w:spacing w:line="360" w:lineRule="auto"/>
        <w:ind w:firstLine="422" w:firstLineChars="200"/>
        <w:rPr>
          <w:b/>
          <w:bCs/>
          <w:position w:val="-10"/>
          <w:szCs w:val="22"/>
        </w:rPr>
      </w:pPr>
      <w:r>
        <w:rPr>
          <w:rFonts w:hint="eastAsia"/>
          <w:b/>
          <w:bCs/>
          <w:position w:val="-10"/>
          <w:szCs w:val="22"/>
        </w:rPr>
        <w:t>课程目标定性评价：</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针对每门课的课程目标，直接设计问题，并要求学生明确给出目标能力达到的程度“很好（0.95）、较好（0.75）、中（0.60）、较差（0.45）、很差（0.25）”，根据各区段统计比例与括号中的目标分值加权后求和得出定性评价的结果。</w:t>
      </w:r>
    </w:p>
    <w:p>
      <w:pPr>
        <w:adjustRightInd w:val="0"/>
        <w:snapToGrid w:val="0"/>
        <w:spacing w:line="360" w:lineRule="auto"/>
        <w:ind w:firstLine="422" w:firstLineChars="200"/>
        <w:rPr>
          <w:b/>
          <w:bCs/>
          <w:position w:val="-10"/>
          <w:szCs w:val="22"/>
        </w:rPr>
      </w:pPr>
      <w:r>
        <w:rPr>
          <w:rFonts w:hint="eastAsia"/>
          <w:b/>
          <w:bCs/>
          <w:position w:val="-10"/>
          <w:szCs w:val="22"/>
        </w:rPr>
        <w:t>课程目标达成结果：</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同一课程目标的评价，取定性评价和定量评价的平均值，作为最终评价结果。</w:t>
      </w:r>
    </w:p>
    <w:p>
      <w:pPr>
        <w:adjustRightInd w:val="0"/>
        <w:snapToGrid w:val="0"/>
        <w:spacing w:line="360" w:lineRule="auto"/>
        <w:ind w:firstLine="420" w:firstLineChars="200"/>
        <w:rPr>
          <w:position w:val="-10"/>
          <w:szCs w:val="22"/>
        </w:rPr>
      </w:pPr>
      <w:r>
        <w:rPr>
          <w:rFonts w:hint="eastAsia"/>
          <w:position w:val="-10"/>
          <w:szCs w:val="22"/>
        </w:rPr>
        <w:t>课程目标达成度大于等于0.71为一级达成，大于等于0.65为二级达成。</w:t>
      </w:r>
    </w:p>
    <w:p>
      <w:pPr>
        <w:widowControl/>
        <w:adjustRightInd w:val="0"/>
        <w:snapToGrid w:val="0"/>
        <w:jc w:val="left"/>
        <w:rPr>
          <w:rFonts w:eastAsia="黑体"/>
          <w:szCs w:val="24"/>
        </w:rPr>
      </w:pPr>
    </w:p>
    <w:p>
      <w:pPr>
        <w:tabs>
          <w:tab w:val="left" w:pos="420"/>
        </w:tabs>
        <w:adjustRightInd w:val="0"/>
        <w:snapToGrid w:val="0"/>
        <w:spacing w:line="360" w:lineRule="auto"/>
        <w:ind w:left="420" w:hanging="420"/>
        <w:rPr>
          <w:rFonts w:eastAsia="黑体"/>
          <w:szCs w:val="24"/>
        </w:rPr>
      </w:pPr>
      <w:r>
        <w:rPr>
          <w:rFonts w:hint="eastAsia" w:eastAsia="黑体"/>
          <w:szCs w:val="24"/>
        </w:rPr>
        <w:t>十一、各环节评价标准</w:t>
      </w:r>
    </w:p>
    <w:p>
      <w:pPr>
        <w:adjustRightInd w:val="0"/>
        <w:snapToGrid w:val="0"/>
        <w:spacing w:line="360" w:lineRule="auto"/>
        <w:ind w:firstLine="420" w:firstLineChars="200"/>
        <w:rPr>
          <w:szCs w:val="21"/>
        </w:rPr>
      </w:pPr>
      <w:r>
        <w:rPr>
          <w:rFonts w:hint="eastAsia"/>
          <w:szCs w:val="21"/>
        </w:rPr>
        <w:t>本课程允许教师在各评价环节根据具体情况采取多样化、个性化的考核手段，其评价标准应当在《</w:t>
      </w:r>
      <w:r>
        <w:rPr>
          <w:rFonts w:hint="eastAsia" w:ascii="宋体" w:hAnsi="宋体"/>
          <w:szCs w:val="21"/>
        </w:rPr>
        <w:t>SIE-CT-01：</w:t>
      </w:r>
      <w:r>
        <w:rPr>
          <w:rFonts w:hint="eastAsia"/>
          <w:szCs w:val="21"/>
        </w:rPr>
        <w:t>授课计划》中明确并向学生公布，教学过程中的考核评价应当严格按照标准完成。</w:t>
      </w:r>
    </w:p>
    <w:p>
      <w:pPr>
        <w:tabs>
          <w:tab w:val="left" w:pos="420"/>
        </w:tabs>
        <w:adjustRightInd w:val="0"/>
        <w:snapToGrid w:val="0"/>
        <w:spacing w:line="360" w:lineRule="auto"/>
        <w:ind w:left="420" w:hanging="420"/>
        <w:rPr>
          <w:color w:val="0000FF"/>
        </w:rPr>
      </w:pPr>
    </w:p>
    <w:p>
      <w:pPr>
        <w:tabs>
          <w:tab w:val="left" w:pos="420"/>
        </w:tabs>
        <w:adjustRightInd w:val="0"/>
        <w:snapToGrid w:val="0"/>
        <w:spacing w:line="360" w:lineRule="auto"/>
        <w:ind w:left="420" w:hanging="420"/>
        <w:rPr>
          <w:rFonts w:eastAsia="黑体"/>
          <w:szCs w:val="24"/>
        </w:rPr>
      </w:pPr>
      <w:r>
        <w:rPr>
          <w:rFonts w:hint="eastAsia" w:eastAsia="黑体"/>
          <w:szCs w:val="24"/>
        </w:rPr>
        <w:t>十二、课程目标达成评价结果用于持续改进</w:t>
      </w:r>
    </w:p>
    <w:p>
      <w:pPr>
        <w:adjustRightInd w:val="0"/>
        <w:snapToGrid w:val="0"/>
        <w:spacing w:line="360" w:lineRule="auto"/>
        <w:ind w:firstLine="420" w:firstLineChars="200"/>
        <w:rPr>
          <w:szCs w:val="21"/>
        </w:rPr>
      </w:pPr>
      <w:r>
        <w:rPr>
          <w:rFonts w:hint="eastAsia"/>
          <w:szCs w:val="21"/>
        </w:rPr>
        <w:t>课程目标达成评价结果将用于后续教学过程的持续改进。</w:t>
      </w:r>
    </w:p>
    <w:p>
      <w:pPr>
        <w:adjustRightInd w:val="0"/>
        <w:snapToGrid w:val="0"/>
        <w:spacing w:line="360" w:lineRule="auto"/>
        <w:ind w:firstLine="420" w:firstLineChars="200"/>
        <w:rPr>
          <w:szCs w:val="21"/>
        </w:rPr>
        <w:sectPr>
          <w:headerReference r:id="rId32" w:type="first"/>
          <w:footerReference r:id="rId35" w:type="first"/>
          <w:headerReference r:id="rId30" w:type="default"/>
          <w:footerReference r:id="rId33" w:type="default"/>
          <w:headerReference r:id="rId31" w:type="even"/>
          <w:footerReference r:id="rId34" w:type="even"/>
          <w:pgSz w:w="11906" w:h="16838"/>
          <w:pgMar w:top="1440" w:right="1797" w:bottom="1440" w:left="1797" w:header="851" w:footer="992" w:gutter="0"/>
          <w:pgNumType w:fmt="decimal"/>
          <w:cols w:space="425" w:num="1"/>
          <w:docGrid w:linePitch="312" w:charSpace="0"/>
        </w:sectPr>
      </w:pPr>
      <w:r>
        <w:rPr>
          <w:rFonts w:hint="eastAsia"/>
          <w:szCs w:val="21"/>
        </w:rPr>
        <w:t>针对课程目标达成评价中发现的问题与不足，重点是达成值相对较低的项，在本次授课总结中应由授课教师分析具体原因，并给出改进建议。后续任课教师应当针对以前的问题和建议，在授课计划中做好落实改进计划，并在授课过程中予以落实。</w:t>
      </w:r>
    </w:p>
    <w:p>
      <w:pPr>
        <w:pStyle w:val="18"/>
        <w:spacing w:before="240" w:after="360"/>
      </w:pPr>
      <w:bookmarkStart w:id="8" w:name="_Toc10437"/>
      <w:r>
        <w:t>《传感器原理及设计》教学大纲</w:t>
      </w:r>
      <w:bookmarkEnd w:id="8"/>
    </w:p>
    <w:p>
      <w:pPr>
        <w:adjustRightInd w:val="0"/>
        <w:snapToGrid w:val="0"/>
        <w:spacing w:line="360" w:lineRule="auto"/>
        <w:rPr>
          <w:bCs/>
          <w:kern w:val="0"/>
        </w:rPr>
      </w:pPr>
      <w:r>
        <w:rPr>
          <w:rFonts w:hint="eastAsia" w:eastAsia="黑体"/>
          <w:szCs w:val="21"/>
        </w:rPr>
        <w:t>课程编号：</w:t>
      </w:r>
      <w:r>
        <w:rPr>
          <w:szCs w:val="21"/>
        </w:rPr>
        <w:t>Y03060013</w:t>
      </w:r>
    </w:p>
    <w:p>
      <w:pPr>
        <w:adjustRightInd w:val="0"/>
        <w:snapToGrid w:val="0"/>
        <w:spacing w:line="360" w:lineRule="auto"/>
        <w:rPr>
          <w:snapToGrid w:val="0"/>
          <w:kern w:val="0"/>
          <w:szCs w:val="21"/>
        </w:rPr>
      </w:pPr>
      <w:r>
        <w:rPr>
          <w:rFonts w:hint="eastAsia" w:eastAsia="黑体"/>
          <w:szCs w:val="21"/>
        </w:rPr>
        <w:t>课程名称：</w:t>
      </w:r>
      <w:r>
        <w:rPr>
          <w:rFonts w:ascii="宋体" w:hAnsi="宋体"/>
          <w:szCs w:val="21"/>
        </w:rPr>
        <w:t>传感器原理及设计</w:t>
      </w:r>
      <w:r>
        <w:rPr>
          <w:szCs w:val="21"/>
        </w:rPr>
        <w:tab/>
      </w:r>
      <w:r>
        <w:rPr>
          <w:szCs w:val="21"/>
        </w:rPr>
        <w:tab/>
      </w:r>
      <w:r>
        <w:rPr>
          <w:szCs w:val="21"/>
        </w:rPr>
        <w:tab/>
      </w:r>
      <w:r>
        <w:rPr>
          <w:szCs w:val="21"/>
        </w:rPr>
        <w:tab/>
      </w:r>
      <w:r>
        <w:rPr>
          <w:rFonts w:hint="eastAsia" w:eastAsia="黑体"/>
          <w:szCs w:val="21"/>
        </w:rPr>
        <w:t>开课单位：</w:t>
      </w:r>
      <w:r>
        <w:rPr>
          <w:rFonts w:hint="eastAsia"/>
          <w:szCs w:val="21"/>
        </w:rPr>
        <w:t>仪器与电子学院</w:t>
      </w:r>
      <w:r>
        <w:rPr>
          <w:rFonts w:eastAsia="黑体"/>
          <w:szCs w:val="21"/>
        </w:rPr>
        <w:tab/>
      </w:r>
    </w:p>
    <w:p>
      <w:pPr>
        <w:adjustRightInd w:val="0"/>
        <w:snapToGrid w:val="0"/>
        <w:spacing w:line="360" w:lineRule="auto"/>
        <w:rPr>
          <w:rFonts w:eastAsia="黑体"/>
          <w:szCs w:val="21"/>
        </w:rPr>
      </w:pPr>
      <w:r>
        <w:rPr>
          <w:rFonts w:hint="eastAsia" w:eastAsia="黑体"/>
          <w:szCs w:val="21"/>
        </w:rPr>
        <w:t>总学时：</w:t>
      </w:r>
      <w:r>
        <w:rPr>
          <w:szCs w:val="21"/>
        </w:rPr>
        <w:t>4</w:t>
      </w:r>
      <w:r>
        <w:rPr>
          <w:rFonts w:hint="eastAsia"/>
          <w:szCs w:val="21"/>
        </w:rPr>
        <w:t>8</w:t>
      </w:r>
      <w:r>
        <w:rPr>
          <w:szCs w:val="21"/>
        </w:rPr>
        <w:t xml:space="preserve"> (</w:t>
      </w:r>
      <w:r>
        <w:rPr>
          <w:rFonts w:hint="eastAsia"/>
          <w:szCs w:val="21"/>
        </w:rPr>
        <w:t>实验</w:t>
      </w:r>
      <w:r>
        <w:rPr>
          <w:szCs w:val="21"/>
        </w:rPr>
        <w:t>1</w:t>
      </w:r>
      <w:r>
        <w:rPr>
          <w:rFonts w:hint="eastAsia"/>
          <w:szCs w:val="21"/>
        </w:rPr>
        <w:t>0学时</w:t>
      </w:r>
      <w:r>
        <w:rPr>
          <w:szCs w:val="21"/>
        </w:rPr>
        <w:t>)</w:t>
      </w:r>
      <w:r>
        <w:rPr>
          <w:rFonts w:eastAsia="黑体"/>
          <w:szCs w:val="21"/>
        </w:rPr>
        <w:tab/>
      </w:r>
      <w:r>
        <w:rPr>
          <w:rFonts w:eastAsia="黑体"/>
          <w:szCs w:val="21"/>
        </w:rPr>
        <w:tab/>
      </w:r>
      <w:r>
        <w:rPr>
          <w:rFonts w:eastAsia="黑体"/>
          <w:szCs w:val="21"/>
        </w:rPr>
        <w:tab/>
      </w:r>
      <w:r>
        <w:rPr>
          <w:rFonts w:eastAsia="黑体"/>
          <w:szCs w:val="21"/>
        </w:rPr>
        <w:tab/>
      </w:r>
      <w:r>
        <w:rPr>
          <w:rFonts w:hint="eastAsia" w:eastAsia="黑体"/>
          <w:szCs w:val="21"/>
        </w:rPr>
        <w:t>学分：3</w:t>
      </w:r>
    </w:p>
    <w:p>
      <w:pPr>
        <w:adjustRightInd w:val="0"/>
        <w:snapToGrid w:val="0"/>
        <w:spacing w:line="360" w:lineRule="auto"/>
        <w:rPr>
          <w:szCs w:val="21"/>
        </w:rPr>
      </w:pPr>
      <w:r>
        <w:rPr>
          <w:rFonts w:eastAsia="黑体"/>
          <w:szCs w:val="21"/>
        </w:rPr>
        <w:t>适用专业：</w:t>
      </w:r>
      <w:r>
        <w:rPr>
          <w:szCs w:val="21"/>
        </w:rPr>
        <w:t>测控技术与仪器</w:t>
      </w:r>
      <w:r>
        <w:rPr>
          <w:rFonts w:hint="eastAsia"/>
          <w:szCs w:val="21"/>
        </w:rPr>
        <w:t>专业、电子科学与技术专业、</w:t>
      </w:r>
      <w:r>
        <w:rPr>
          <w:rFonts w:hint="eastAsia"/>
          <w:szCs w:val="21"/>
          <w:lang w:eastAsia="zh-CN"/>
        </w:rPr>
        <w:t>智能感知工程</w:t>
      </w:r>
      <w:r>
        <w:rPr>
          <w:rFonts w:hint="eastAsia"/>
          <w:szCs w:val="21"/>
        </w:rPr>
        <w:t>专业</w:t>
      </w:r>
    </w:p>
    <w:p>
      <w:pPr>
        <w:adjustRightInd w:val="0"/>
        <w:snapToGrid w:val="0"/>
        <w:spacing w:line="360" w:lineRule="auto"/>
        <w:ind w:left="1050" w:hanging="1050" w:hangingChars="500"/>
        <w:rPr>
          <w:szCs w:val="21"/>
        </w:rPr>
      </w:pPr>
      <w:r>
        <w:rPr>
          <w:rFonts w:eastAsia="黑体"/>
          <w:szCs w:val="21"/>
        </w:rPr>
        <w:t>先修课程：</w:t>
      </w:r>
      <w:r>
        <w:rPr>
          <w:szCs w:val="21"/>
        </w:rPr>
        <w:t>高等数学、工程力学、工程制图基础、大学物理、模拟电子技术、数字电子技术、仪器零件设计</w:t>
      </w:r>
    </w:p>
    <w:p>
      <w:pPr>
        <w:adjustRightInd w:val="0"/>
        <w:snapToGrid w:val="0"/>
        <w:spacing w:line="360" w:lineRule="auto"/>
        <w:rPr>
          <w:szCs w:val="21"/>
        </w:rPr>
      </w:pPr>
      <w:r>
        <w:rPr>
          <w:rFonts w:hint="eastAsia" w:eastAsia="黑体"/>
          <w:szCs w:val="21"/>
        </w:rPr>
        <w:t>大纲撰写人：</w:t>
      </w:r>
      <w:r>
        <w:rPr>
          <w:rFonts w:hint="eastAsia"/>
          <w:szCs w:val="21"/>
        </w:rPr>
        <w:t>李晨</w:t>
      </w:r>
    </w:p>
    <w:p>
      <w:pPr>
        <w:adjustRightInd w:val="0"/>
        <w:snapToGrid w:val="0"/>
        <w:spacing w:line="360" w:lineRule="auto"/>
        <w:rPr>
          <w:rFonts w:ascii="宋体" w:hAnsi="宋体"/>
          <w:szCs w:val="21"/>
        </w:rPr>
      </w:pPr>
      <w:r>
        <w:rPr>
          <w:rFonts w:hint="eastAsia" w:eastAsia="黑体"/>
          <w:szCs w:val="21"/>
        </w:rPr>
        <w:t>大纲编写（修订）时间：</w:t>
      </w:r>
      <w:r>
        <w:rPr>
          <w:szCs w:val="21"/>
        </w:rPr>
        <w:t>2019年5月</w:t>
      </w:r>
    </w:p>
    <w:p>
      <w:pPr>
        <w:adjustRightInd w:val="0"/>
        <w:snapToGrid w:val="0"/>
        <w:spacing w:line="360" w:lineRule="auto"/>
        <w:rPr>
          <w:szCs w:val="21"/>
        </w:rPr>
      </w:pPr>
    </w:p>
    <w:p>
      <w:pPr>
        <w:numPr>
          <w:ilvl w:val="0"/>
          <w:numId w:val="3"/>
        </w:numPr>
        <w:adjustRightInd w:val="0"/>
        <w:snapToGrid w:val="0"/>
        <w:spacing w:line="360" w:lineRule="auto"/>
        <w:rPr>
          <w:rFonts w:eastAsia="黑体"/>
          <w:szCs w:val="21"/>
        </w:rPr>
      </w:pPr>
      <w:r>
        <w:rPr>
          <w:rFonts w:hint="eastAsia" w:eastAsia="黑体"/>
          <w:szCs w:val="21"/>
        </w:rPr>
        <w:t>课程在教学计划中的地位、作用</w:t>
      </w:r>
    </w:p>
    <w:p>
      <w:pPr>
        <w:spacing w:line="360" w:lineRule="auto"/>
        <w:ind w:firstLine="420" w:firstLineChars="200"/>
        <w:rPr>
          <w:szCs w:val="21"/>
        </w:rPr>
      </w:pPr>
      <w:r>
        <w:rPr>
          <w:szCs w:val="21"/>
        </w:rPr>
        <w:t>本课程是测控技术与仪器专业的主要专业技术课，</w:t>
      </w:r>
      <w:r>
        <w:rPr>
          <w:rFonts w:hint="eastAsia"/>
          <w:szCs w:val="21"/>
        </w:rPr>
        <w:t>也是电子科学与技术专业、</w:t>
      </w:r>
      <w:r>
        <w:rPr>
          <w:rFonts w:hint="eastAsia"/>
          <w:szCs w:val="21"/>
          <w:lang w:eastAsia="zh-CN"/>
        </w:rPr>
        <w:t>智能感知工程</w:t>
      </w:r>
      <w:r>
        <w:rPr>
          <w:rFonts w:hint="eastAsia"/>
          <w:szCs w:val="21"/>
        </w:rPr>
        <w:t>专业的专业任选课，</w:t>
      </w:r>
      <w:r>
        <w:rPr>
          <w:szCs w:val="21"/>
        </w:rPr>
        <w:t>为了使学生能够全面地学习常用传感器的种类、原理及应用方法而设置的。熟悉各种传感器的原理和应用，包括传感器的特性，能够达到根据</w:t>
      </w:r>
      <w:r>
        <w:rPr>
          <w:rFonts w:hint="eastAsia"/>
          <w:szCs w:val="21"/>
        </w:rPr>
        <w:t>传感器应用及</w:t>
      </w:r>
      <w:r>
        <w:rPr>
          <w:szCs w:val="21"/>
        </w:rPr>
        <w:t>测试技术要求，具有合理</w:t>
      </w:r>
      <w:r>
        <w:rPr>
          <w:rFonts w:hint="eastAsia"/>
          <w:szCs w:val="21"/>
        </w:rPr>
        <w:t>地</w:t>
      </w:r>
      <w:r>
        <w:rPr>
          <w:szCs w:val="21"/>
        </w:rPr>
        <w:t>选</w:t>
      </w:r>
      <w:r>
        <w:rPr>
          <w:rFonts w:hint="eastAsia"/>
          <w:szCs w:val="21"/>
        </w:rPr>
        <w:t>择</w:t>
      </w:r>
      <w:r>
        <w:rPr>
          <w:szCs w:val="21"/>
        </w:rPr>
        <w:t>传感器的能力，组建测试系统的能力，有自己动手设计特殊用途传感器的能力</w:t>
      </w:r>
      <w:r>
        <w:rPr>
          <w:rFonts w:hint="eastAsia"/>
          <w:szCs w:val="21"/>
        </w:rPr>
        <w:t>，</w:t>
      </w:r>
      <w:r>
        <w:rPr>
          <w:szCs w:val="21"/>
        </w:rPr>
        <w:t>及对传感器静、动态特性的标定能力，以期能够在</w:t>
      </w:r>
      <w:r>
        <w:rPr>
          <w:rFonts w:hint="eastAsia"/>
          <w:szCs w:val="21"/>
        </w:rPr>
        <w:t>工程</w:t>
      </w:r>
      <w:r>
        <w:rPr>
          <w:szCs w:val="21"/>
        </w:rPr>
        <w:t>测试技术中合理选择最优测试方案</w:t>
      </w:r>
      <w:r>
        <w:rPr>
          <w:rFonts w:hint="eastAsia"/>
          <w:szCs w:val="21"/>
        </w:rPr>
        <w:t>。</w:t>
      </w:r>
    </w:p>
    <w:p>
      <w:pPr>
        <w:spacing w:line="360" w:lineRule="auto"/>
        <w:ind w:firstLine="420" w:firstLineChars="200"/>
        <w:rPr>
          <w:szCs w:val="21"/>
        </w:rPr>
      </w:pPr>
    </w:p>
    <w:p>
      <w:pPr>
        <w:tabs>
          <w:tab w:val="left" w:pos="420"/>
        </w:tabs>
        <w:adjustRightInd w:val="0"/>
        <w:snapToGrid w:val="0"/>
        <w:spacing w:line="360" w:lineRule="auto"/>
        <w:ind w:left="420" w:hanging="420"/>
        <w:rPr>
          <w:rFonts w:eastAsia="黑体"/>
          <w:szCs w:val="21"/>
        </w:rPr>
      </w:pPr>
      <w:r>
        <w:rPr>
          <w:rFonts w:hint="eastAsia" w:eastAsia="黑体"/>
          <w:szCs w:val="21"/>
        </w:rPr>
        <w:t>二、课程目标</w:t>
      </w:r>
    </w:p>
    <w:p>
      <w:pPr>
        <w:spacing w:line="360" w:lineRule="auto"/>
        <w:jc w:val="left"/>
        <w:rPr>
          <w:szCs w:val="21"/>
        </w:rPr>
      </w:pPr>
      <w:r>
        <w:rPr>
          <w:rFonts w:hint="eastAsia"/>
          <w:szCs w:val="21"/>
        </w:rPr>
        <w:t>测控技术与仪器专业：</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30"/>
        <w:gridCol w:w="3972"/>
        <w:gridCol w:w="412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52" w:type="pct"/>
            <w:vAlign w:val="center"/>
          </w:tcPr>
          <w:p>
            <w:pPr>
              <w:adjustRightInd w:val="0"/>
              <w:snapToGrid w:val="0"/>
              <w:spacing w:line="360" w:lineRule="auto"/>
              <w:jc w:val="center"/>
              <w:rPr>
                <w:sz w:val="18"/>
                <w:szCs w:val="18"/>
              </w:rPr>
            </w:pPr>
            <w:r>
              <w:rPr>
                <w:sz w:val="18"/>
                <w:szCs w:val="18"/>
              </w:rPr>
              <w:t>序号</w:t>
            </w:r>
          </w:p>
        </w:tc>
        <w:tc>
          <w:tcPr>
            <w:tcW w:w="2329" w:type="pct"/>
            <w:vAlign w:val="center"/>
          </w:tcPr>
          <w:p>
            <w:pPr>
              <w:adjustRightInd w:val="0"/>
              <w:snapToGrid w:val="0"/>
              <w:spacing w:line="360" w:lineRule="auto"/>
              <w:jc w:val="center"/>
              <w:rPr>
                <w:sz w:val="18"/>
                <w:szCs w:val="18"/>
              </w:rPr>
            </w:pPr>
            <w:r>
              <w:rPr>
                <w:sz w:val="18"/>
                <w:szCs w:val="18"/>
              </w:rPr>
              <w:t>课程目标</w:t>
            </w:r>
          </w:p>
        </w:tc>
        <w:tc>
          <w:tcPr>
            <w:tcW w:w="2419" w:type="pct"/>
            <w:vAlign w:val="center"/>
          </w:tcPr>
          <w:p>
            <w:pPr>
              <w:adjustRightInd w:val="0"/>
              <w:snapToGrid w:val="0"/>
              <w:spacing w:line="360" w:lineRule="auto"/>
              <w:jc w:val="center"/>
              <w:rPr>
                <w:sz w:val="18"/>
                <w:szCs w:val="18"/>
              </w:rPr>
            </w:pPr>
            <w:r>
              <w:rPr>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252" w:type="pct"/>
            <w:vAlign w:val="center"/>
          </w:tcPr>
          <w:p>
            <w:pPr>
              <w:adjustRightInd w:val="0"/>
              <w:snapToGrid w:val="0"/>
              <w:spacing w:line="360" w:lineRule="auto"/>
              <w:jc w:val="center"/>
              <w:rPr>
                <w:sz w:val="18"/>
                <w:szCs w:val="18"/>
              </w:rPr>
            </w:pPr>
            <w:r>
              <w:rPr>
                <w:rFonts w:hint="eastAsia"/>
                <w:sz w:val="18"/>
                <w:szCs w:val="18"/>
              </w:rPr>
              <w:t>1</w:t>
            </w:r>
          </w:p>
        </w:tc>
        <w:tc>
          <w:tcPr>
            <w:tcW w:w="2329" w:type="pct"/>
            <w:vAlign w:val="center"/>
          </w:tcPr>
          <w:p>
            <w:pPr>
              <w:adjustRightInd w:val="0"/>
              <w:snapToGrid w:val="0"/>
              <w:spacing w:line="360" w:lineRule="auto"/>
              <w:rPr>
                <w:sz w:val="18"/>
                <w:szCs w:val="18"/>
              </w:rPr>
            </w:pPr>
            <w:r>
              <w:rPr>
                <w:rFonts w:hint="eastAsia"/>
                <w:sz w:val="18"/>
                <w:szCs w:val="18"/>
              </w:rPr>
              <w:t>能够整合多种资源，综合考虑环境因素影响，</w:t>
            </w:r>
            <w:r>
              <w:rPr>
                <w:sz w:val="18"/>
                <w:szCs w:val="18"/>
              </w:rPr>
              <w:t>根据技术要求</w:t>
            </w:r>
            <w:r>
              <w:rPr>
                <w:rFonts w:hint="eastAsia"/>
                <w:sz w:val="18"/>
                <w:szCs w:val="18"/>
              </w:rPr>
              <w:t>，将所学的传感器知识应用到实际工程应用测试系统之中；</w:t>
            </w:r>
          </w:p>
        </w:tc>
        <w:tc>
          <w:tcPr>
            <w:tcW w:w="2419" w:type="pct"/>
            <w:vAlign w:val="center"/>
          </w:tcPr>
          <w:p>
            <w:pPr>
              <w:adjustRightInd w:val="0"/>
              <w:snapToGrid w:val="0"/>
              <w:spacing w:line="360" w:lineRule="auto"/>
              <w:rPr>
                <w:sz w:val="18"/>
                <w:szCs w:val="18"/>
              </w:rPr>
            </w:pPr>
            <w:r>
              <w:rPr>
                <w:b/>
                <w:bCs/>
                <w:sz w:val="18"/>
                <w:szCs w:val="18"/>
              </w:rPr>
              <w:t>指标点1-2 知识运用能力：</w:t>
            </w:r>
            <w:r>
              <w:rPr>
                <w:sz w:val="18"/>
                <w:szCs w:val="18"/>
              </w:rPr>
              <w:t>能将基础知识恰当地运用到仪器类复杂工程问题的解决中。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252" w:type="pct"/>
            <w:vAlign w:val="center"/>
          </w:tcPr>
          <w:p>
            <w:pPr>
              <w:adjustRightInd w:val="0"/>
              <w:snapToGrid w:val="0"/>
              <w:spacing w:line="360" w:lineRule="auto"/>
              <w:jc w:val="center"/>
              <w:rPr>
                <w:sz w:val="18"/>
                <w:szCs w:val="18"/>
              </w:rPr>
            </w:pPr>
            <w:r>
              <w:rPr>
                <w:rFonts w:hint="eastAsia"/>
                <w:sz w:val="18"/>
                <w:szCs w:val="18"/>
              </w:rPr>
              <w:t>2</w:t>
            </w:r>
          </w:p>
        </w:tc>
        <w:tc>
          <w:tcPr>
            <w:tcW w:w="2329" w:type="pct"/>
            <w:vAlign w:val="center"/>
          </w:tcPr>
          <w:p>
            <w:pPr>
              <w:adjustRightInd w:val="0"/>
              <w:snapToGrid w:val="0"/>
              <w:spacing w:line="360" w:lineRule="auto"/>
              <w:rPr>
                <w:sz w:val="18"/>
                <w:szCs w:val="18"/>
              </w:rPr>
            </w:pPr>
            <w:r>
              <w:rPr>
                <w:sz w:val="18"/>
                <w:szCs w:val="18"/>
              </w:rPr>
              <w:t>能够</w:t>
            </w:r>
            <w:r>
              <w:rPr>
                <w:rFonts w:hint="eastAsia"/>
                <w:sz w:val="18"/>
                <w:szCs w:val="18"/>
              </w:rPr>
              <w:t>针对特定测试系统，分解识别复杂系统，</w:t>
            </w:r>
            <w:r>
              <w:rPr>
                <w:sz w:val="18"/>
                <w:szCs w:val="18"/>
              </w:rPr>
              <w:t>合理和正确</w:t>
            </w:r>
            <w:r>
              <w:rPr>
                <w:rFonts w:hint="eastAsia"/>
                <w:sz w:val="18"/>
                <w:szCs w:val="18"/>
              </w:rPr>
              <w:t>地</w:t>
            </w:r>
            <w:r>
              <w:rPr>
                <w:sz w:val="18"/>
                <w:szCs w:val="18"/>
              </w:rPr>
              <w:t>选用传感器</w:t>
            </w:r>
            <w:r>
              <w:rPr>
                <w:rFonts w:hint="eastAsia"/>
                <w:sz w:val="18"/>
                <w:szCs w:val="18"/>
              </w:rPr>
              <w:t>，并</w:t>
            </w:r>
            <w:r>
              <w:rPr>
                <w:sz w:val="18"/>
                <w:szCs w:val="18"/>
              </w:rPr>
              <w:t>对传感器的输出信号进行处理和分析</w:t>
            </w:r>
            <w:r>
              <w:rPr>
                <w:rFonts w:hint="eastAsia"/>
                <w:sz w:val="18"/>
                <w:szCs w:val="18"/>
              </w:rPr>
              <w:t>的</w:t>
            </w:r>
            <w:r>
              <w:rPr>
                <w:sz w:val="18"/>
                <w:szCs w:val="18"/>
              </w:rPr>
              <w:t>能力；</w:t>
            </w:r>
          </w:p>
        </w:tc>
        <w:tc>
          <w:tcPr>
            <w:tcW w:w="2419" w:type="pct"/>
            <w:vAlign w:val="center"/>
          </w:tcPr>
          <w:p>
            <w:pPr>
              <w:adjustRightInd w:val="0"/>
              <w:snapToGrid w:val="0"/>
              <w:spacing w:line="360" w:lineRule="auto"/>
              <w:rPr>
                <w:sz w:val="18"/>
                <w:szCs w:val="18"/>
              </w:rPr>
            </w:pPr>
            <w:r>
              <w:rPr>
                <w:rFonts w:hint="eastAsia"/>
                <w:b/>
                <w:bCs/>
                <w:sz w:val="18"/>
                <w:szCs w:val="18"/>
              </w:rPr>
              <w:t>指标点2-1 问题识别：</w:t>
            </w:r>
            <w:r>
              <w:rPr>
                <w:rFonts w:hint="eastAsia"/>
                <w:sz w:val="18"/>
                <w:szCs w:val="18"/>
              </w:rPr>
              <w:t>能应用科学原理对多种测控技术与仪器专业复杂工程问题进行分解，并识别其中的关键特征和参数。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2" w:type="pct"/>
            <w:vAlign w:val="center"/>
          </w:tcPr>
          <w:p>
            <w:pPr>
              <w:adjustRightInd w:val="0"/>
              <w:snapToGrid w:val="0"/>
              <w:spacing w:line="360" w:lineRule="auto"/>
              <w:jc w:val="center"/>
              <w:rPr>
                <w:sz w:val="18"/>
                <w:szCs w:val="18"/>
              </w:rPr>
            </w:pPr>
            <w:r>
              <w:rPr>
                <w:rFonts w:hint="eastAsia"/>
                <w:sz w:val="18"/>
                <w:szCs w:val="18"/>
              </w:rPr>
              <w:t>3</w:t>
            </w:r>
          </w:p>
        </w:tc>
        <w:tc>
          <w:tcPr>
            <w:tcW w:w="2329" w:type="pct"/>
            <w:vAlign w:val="center"/>
          </w:tcPr>
          <w:p>
            <w:pPr>
              <w:adjustRightInd w:val="0"/>
              <w:snapToGrid w:val="0"/>
              <w:spacing w:line="360" w:lineRule="auto"/>
              <w:rPr>
                <w:sz w:val="18"/>
                <w:szCs w:val="18"/>
              </w:rPr>
            </w:pPr>
            <w:r>
              <w:rPr>
                <w:rFonts w:hint="eastAsia"/>
                <w:sz w:val="18"/>
                <w:szCs w:val="18"/>
              </w:rPr>
              <w:t>能够在分析识别环境及系统的基础上，设计各类传感器在特定场所下的应用，优化完善工作流程；</w:t>
            </w:r>
          </w:p>
        </w:tc>
        <w:tc>
          <w:tcPr>
            <w:tcW w:w="2419" w:type="pct"/>
            <w:vAlign w:val="center"/>
          </w:tcPr>
          <w:p>
            <w:pPr>
              <w:adjustRightInd w:val="0"/>
              <w:snapToGrid w:val="0"/>
              <w:spacing w:line="360" w:lineRule="auto"/>
              <w:rPr>
                <w:sz w:val="18"/>
                <w:szCs w:val="18"/>
              </w:rPr>
            </w:pPr>
            <w:r>
              <w:rPr>
                <w:rFonts w:hint="eastAsia"/>
                <w:b/>
                <w:bCs/>
                <w:sz w:val="18"/>
                <w:szCs w:val="18"/>
              </w:rPr>
              <w:t>指标点3-1 按需设计：</w:t>
            </w:r>
            <w:r>
              <w:rPr>
                <w:rFonts w:hint="eastAsia"/>
                <w:sz w:val="18"/>
                <w:szCs w:val="18"/>
              </w:rPr>
              <w:t>能够根据用户特定需求设计复杂工程问题的解决方案，设计相关的电路、系统和工艺流程。并能够针对方案进行优化选择。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2" w:type="pct"/>
            <w:vAlign w:val="center"/>
          </w:tcPr>
          <w:p>
            <w:pPr>
              <w:adjustRightInd w:val="0"/>
              <w:snapToGrid w:val="0"/>
              <w:spacing w:line="360" w:lineRule="auto"/>
              <w:jc w:val="center"/>
              <w:rPr>
                <w:sz w:val="18"/>
                <w:szCs w:val="18"/>
              </w:rPr>
            </w:pPr>
            <w:r>
              <w:rPr>
                <w:rFonts w:hint="eastAsia"/>
                <w:sz w:val="18"/>
                <w:szCs w:val="18"/>
              </w:rPr>
              <w:t>4</w:t>
            </w:r>
          </w:p>
        </w:tc>
        <w:tc>
          <w:tcPr>
            <w:tcW w:w="2329" w:type="pct"/>
            <w:vAlign w:val="center"/>
          </w:tcPr>
          <w:p>
            <w:pPr>
              <w:adjustRightInd w:val="0"/>
              <w:snapToGrid w:val="0"/>
              <w:spacing w:line="360" w:lineRule="auto"/>
              <w:rPr>
                <w:sz w:val="18"/>
                <w:szCs w:val="18"/>
              </w:rPr>
            </w:pPr>
            <w:r>
              <w:rPr>
                <w:rFonts w:hint="eastAsia"/>
                <w:sz w:val="18"/>
                <w:szCs w:val="18"/>
              </w:rPr>
              <w:t>能够具有</w:t>
            </w:r>
            <w:r>
              <w:rPr>
                <w:sz w:val="18"/>
                <w:szCs w:val="18"/>
              </w:rPr>
              <w:t>对常用传感器的动静态特性分析</w:t>
            </w:r>
            <w:r>
              <w:rPr>
                <w:rFonts w:hint="eastAsia"/>
                <w:sz w:val="18"/>
                <w:szCs w:val="18"/>
              </w:rPr>
              <w:t>的能力</w:t>
            </w:r>
            <w:r>
              <w:rPr>
                <w:sz w:val="18"/>
                <w:szCs w:val="18"/>
              </w:rPr>
              <w:t>，并依据</w:t>
            </w:r>
            <w:r>
              <w:rPr>
                <w:rFonts w:hint="eastAsia"/>
                <w:sz w:val="18"/>
                <w:szCs w:val="18"/>
              </w:rPr>
              <w:t>设计对</w:t>
            </w:r>
            <w:r>
              <w:rPr>
                <w:sz w:val="18"/>
                <w:szCs w:val="18"/>
              </w:rPr>
              <w:t>一定的实验仪器</w:t>
            </w:r>
            <w:r>
              <w:rPr>
                <w:rFonts w:hint="eastAsia"/>
                <w:sz w:val="18"/>
                <w:szCs w:val="18"/>
              </w:rPr>
              <w:t>自己动手</w:t>
            </w:r>
            <w:r>
              <w:rPr>
                <w:sz w:val="18"/>
                <w:szCs w:val="18"/>
              </w:rPr>
              <w:t>进行标定与校准；</w:t>
            </w:r>
          </w:p>
        </w:tc>
        <w:tc>
          <w:tcPr>
            <w:tcW w:w="2419" w:type="pct"/>
            <w:vAlign w:val="center"/>
          </w:tcPr>
          <w:p>
            <w:pPr>
              <w:adjustRightInd w:val="0"/>
              <w:snapToGrid w:val="0"/>
              <w:spacing w:line="360" w:lineRule="auto"/>
              <w:rPr>
                <w:sz w:val="18"/>
                <w:szCs w:val="18"/>
              </w:rPr>
            </w:pPr>
            <w:r>
              <w:rPr>
                <w:b/>
                <w:bCs/>
                <w:sz w:val="18"/>
                <w:szCs w:val="18"/>
              </w:rPr>
              <w:t>指标点4-2 实验设计能力：</w:t>
            </w:r>
            <w:r>
              <w:rPr>
                <w:sz w:val="18"/>
                <w:szCs w:val="18"/>
              </w:rPr>
              <w:t>能够基于专业理论，根据所面对的复杂问题的特征，选择研究路线，设计可行的实验方案，并选用或搭建实验装置，开展研究；</w:t>
            </w:r>
          </w:p>
        </w:tc>
      </w:tr>
    </w:tbl>
    <w:p>
      <w:pPr>
        <w:rPr>
          <w:szCs w:val="21"/>
        </w:rPr>
      </w:pPr>
    </w:p>
    <w:p>
      <w:pPr>
        <w:spacing w:line="360" w:lineRule="auto"/>
        <w:jc w:val="left"/>
        <w:rPr>
          <w:szCs w:val="21"/>
        </w:rPr>
      </w:pPr>
      <w:r>
        <w:rPr>
          <w:rFonts w:hint="eastAsia"/>
          <w:szCs w:val="21"/>
          <w:lang w:eastAsia="zh-CN"/>
        </w:rPr>
        <w:t>智能感知工程</w:t>
      </w:r>
      <w:r>
        <w:rPr>
          <w:rFonts w:hint="eastAsia"/>
          <w:szCs w:val="21"/>
        </w:rPr>
        <w:t>专业：</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30"/>
        <w:gridCol w:w="3516"/>
        <w:gridCol w:w="458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52" w:type="pct"/>
            <w:vAlign w:val="center"/>
          </w:tcPr>
          <w:p>
            <w:pPr>
              <w:adjustRightInd w:val="0"/>
              <w:snapToGrid w:val="0"/>
              <w:spacing w:line="360" w:lineRule="auto"/>
              <w:jc w:val="center"/>
              <w:rPr>
                <w:sz w:val="18"/>
                <w:szCs w:val="18"/>
              </w:rPr>
            </w:pPr>
            <w:r>
              <w:rPr>
                <w:sz w:val="18"/>
                <w:szCs w:val="18"/>
              </w:rPr>
              <w:t>序号</w:t>
            </w:r>
          </w:p>
        </w:tc>
        <w:tc>
          <w:tcPr>
            <w:tcW w:w="2061" w:type="pct"/>
            <w:vAlign w:val="center"/>
          </w:tcPr>
          <w:p>
            <w:pPr>
              <w:adjustRightInd w:val="0"/>
              <w:snapToGrid w:val="0"/>
              <w:spacing w:line="360" w:lineRule="auto"/>
              <w:jc w:val="center"/>
              <w:rPr>
                <w:sz w:val="18"/>
                <w:szCs w:val="18"/>
              </w:rPr>
            </w:pPr>
            <w:r>
              <w:rPr>
                <w:sz w:val="18"/>
                <w:szCs w:val="18"/>
              </w:rPr>
              <w:t>课程目标</w:t>
            </w:r>
          </w:p>
        </w:tc>
        <w:tc>
          <w:tcPr>
            <w:tcW w:w="2686" w:type="pct"/>
            <w:vAlign w:val="center"/>
          </w:tcPr>
          <w:p>
            <w:pPr>
              <w:adjustRightInd w:val="0"/>
              <w:snapToGrid w:val="0"/>
              <w:spacing w:line="360" w:lineRule="auto"/>
              <w:jc w:val="center"/>
              <w:rPr>
                <w:sz w:val="18"/>
                <w:szCs w:val="18"/>
              </w:rPr>
            </w:pPr>
            <w:r>
              <w:rPr>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252" w:type="pct"/>
            <w:vAlign w:val="center"/>
          </w:tcPr>
          <w:p>
            <w:pPr>
              <w:adjustRightInd w:val="0"/>
              <w:snapToGrid w:val="0"/>
              <w:spacing w:line="360" w:lineRule="auto"/>
              <w:jc w:val="center"/>
              <w:rPr>
                <w:sz w:val="18"/>
                <w:szCs w:val="18"/>
              </w:rPr>
            </w:pPr>
            <w:r>
              <w:rPr>
                <w:rFonts w:hint="eastAsia"/>
                <w:sz w:val="18"/>
                <w:szCs w:val="18"/>
              </w:rPr>
              <w:t>1</w:t>
            </w:r>
          </w:p>
        </w:tc>
        <w:tc>
          <w:tcPr>
            <w:tcW w:w="2061" w:type="pct"/>
            <w:vAlign w:val="center"/>
          </w:tcPr>
          <w:p>
            <w:pPr>
              <w:adjustRightInd w:val="0"/>
              <w:snapToGrid w:val="0"/>
              <w:spacing w:line="360" w:lineRule="auto"/>
              <w:rPr>
                <w:sz w:val="18"/>
                <w:szCs w:val="18"/>
              </w:rPr>
            </w:pPr>
            <w:r>
              <w:rPr>
                <w:rFonts w:hint="eastAsia"/>
                <w:sz w:val="18"/>
                <w:szCs w:val="18"/>
              </w:rPr>
              <w:t>能够整合多种资源，综合考虑环境因素影响，</w:t>
            </w:r>
            <w:r>
              <w:rPr>
                <w:sz w:val="18"/>
                <w:szCs w:val="18"/>
              </w:rPr>
              <w:t>根据技术要求</w:t>
            </w:r>
            <w:r>
              <w:rPr>
                <w:rFonts w:hint="eastAsia"/>
                <w:sz w:val="18"/>
                <w:szCs w:val="18"/>
              </w:rPr>
              <w:t>，将所学的传感器知识应用到实际工程应用测试系统之中；</w:t>
            </w:r>
          </w:p>
        </w:tc>
        <w:tc>
          <w:tcPr>
            <w:tcW w:w="2686" w:type="pct"/>
            <w:vAlign w:val="center"/>
          </w:tcPr>
          <w:p>
            <w:pPr>
              <w:adjustRightInd w:val="0"/>
              <w:snapToGrid w:val="0"/>
              <w:spacing w:line="360" w:lineRule="auto"/>
              <w:rPr>
                <w:sz w:val="18"/>
                <w:szCs w:val="18"/>
              </w:rPr>
            </w:pPr>
            <w:r>
              <w:rPr>
                <w:b/>
                <w:bCs/>
                <w:sz w:val="18"/>
                <w:szCs w:val="18"/>
              </w:rPr>
              <w:t>指标点1-2 知识运用能力：</w:t>
            </w:r>
            <w:r>
              <w:rPr>
                <w:bCs/>
                <w:sz w:val="18"/>
                <w:szCs w:val="18"/>
              </w:rPr>
              <w:t>能将基础知识恰当地应用到智能感知工程专业智能传感与控制等复杂工程问题的解决中。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252" w:type="pct"/>
            <w:vAlign w:val="center"/>
          </w:tcPr>
          <w:p>
            <w:pPr>
              <w:adjustRightInd w:val="0"/>
              <w:snapToGrid w:val="0"/>
              <w:spacing w:line="360" w:lineRule="auto"/>
              <w:jc w:val="center"/>
              <w:rPr>
                <w:sz w:val="18"/>
                <w:szCs w:val="18"/>
              </w:rPr>
            </w:pPr>
            <w:r>
              <w:rPr>
                <w:rFonts w:hint="eastAsia"/>
                <w:sz w:val="18"/>
                <w:szCs w:val="18"/>
              </w:rPr>
              <w:t>2</w:t>
            </w:r>
          </w:p>
        </w:tc>
        <w:tc>
          <w:tcPr>
            <w:tcW w:w="2061" w:type="pct"/>
            <w:vAlign w:val="center"/>
          </w:tcPr>
          <w:p>
            <w:pPr>
              <w:adjustRightInd w:val="0"/>
              <w:snapToGrid w:val="0"/>
              <w:spacing w:line="360" w:lineRule="auto"/>
              <w:rPr>
                <w:sz w:val="18"/>
                <w:szCs w:val="18"/>
              </w:rPr>
            </w:pPr>
            <w:r>
              <w:rPr>
                <w:sz w:val="18"/>
                <w:szCs w:val="18"/>
              </w:rPr>
              <w:t>能够</w:t>
            </w:r>
            <w:r>
              <w:rPr>
                <w:rFonts w:hint="eastAsia"/>
                <w:sz w:val="18"/>
                <w:szCs w:val="18"/>
              </w:rPr>
              <w:t>针对特定测试系统，分解识别复杂系统，</w:t>
            </w:r>
            <w:r>
              <w:rPr>
                <w:sz w:val="18"/>
                <w:szCs w:val="18"/>
              </w:rPr>
              <w:t>合理和正确</w:t>
            </w:r>
            <w:r>
              <w:rPr>
                <w:rFonts w:hint="eastAsia"/>
                <w:sz w:val="18"/>
                <w:szCs w:val="18"/>
              </w:rPr>
              <w:t>地</w:t>
            </w:r>
            <w:r>
              <w:rPr>
                <w:sz w:val="18"/>
                <w:szCs w:val="18"/>
              </w:rPr>
              <w:t>选用传感器</w:t>
            </w:r>
            <w:r>
              <w:rPr>
                <w:rFonts w:hint="eastAsia"/>
                <w:sz w:val="18"/>
                <w:szCs w:val="18"/>
              </w:rPr>
              <w:t>，并</w:t>
            </w:r>
            <w:r>
              <w:rPr>
                <w:sz w:val="18"/>
                <w:szCs w:val="18"/>
              </w:rPr>
              <w:t>对传感器的输出信号进行处理和分析</w:t>
            </w:r>
            <w:r>
              <w:rPr>
                <w:rFonts w:hint="eastAsia"/>
                <w:sz w:val="18"/>
                <w:szCs w:val="18"/>
              </w:rPr>
              <w:t>的</w:t>
            </w:r>
            <w:r>
              <w:rPr>
                <w:sz w:val="18"/>
                <w:szCs w:val="18"/>
              </w:rPr>
              <w:t>能力；</w:t>
            </w:r>
          </w:p>
        </w:tc>
        <w:tc>
          <w:tcPr>
            <w:tcW w:w="2686" w:type="pct"/>
            <w:vAlign w:val="center"/>
          </w:tcPr>
          <w:p>
            <w:pPr>
              <w:adjustRightInd w:val="0"/>
              <w:snapToGrid w:val="0"/>
              <w:spacing w:line="360" w:lineRule="auto"/>
              <w:rPr>
                <w:sz w:val="18"/>
                <w:szCs w:val="18"/>
              </w:rPr>
            </w:pPr>
            <w:r>
              <w:rPr>
                <w:rFonts w:hint="eastAsia"/>
                <w:b/>
                <w:bCs/>
                <w:sz w:val="18"/>
                <w:szCs w:val="18"/>
              </w:rPr>
              <w:t>指标点2-1 问题识别：</w:t>
            </w:r>
            <w:r>
              <w:rPr>
                <w:bCs/>
                <w:sz w:val="18"/>
                <w:szCs w:val="18"/>
              </w:rPr>
              <w:t>能应用科学原理对智能感知工程专业复杂工程问题进行分解，并识别其中的关键特征和参数。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2" w:type="pct"/>
            <w:vAlign w:val="center"/>
          </w:tcPr>
          <w:p>
            <w:pPr>
              <w:adjustRightInd w:val="0"/>
              <w:snapToGrid w:val="0"/>
              <w:spacing w:line="360" w:lineRule="auto"/>
              <w:jc w:val="center"/>
              <w:rPr>
                <w:sz w:val="18"/>
                <w:szCs w:val="18"/>
              </w:rPr>
            </w:pPr>
            <w:r>
              <w:rPr>
                <w:rFonts w:hint="eastAsia"/>
                <w:sz w:val="18"/>
                <w:szCs w:val="18"/>
              </w:rPr>
              <w:t>3</w:t>
            </w:r>
          </w:p>
        </w:tc>
        <w:tc>
          <w:tcPr>
            <w:tcW w:w="2061" w:type="pct"/>
            <w:vAlign w:val="center"/>
          </w:tcPr>
          <w:p>
            <w:pPr>
              <w:adjustRightInd w:val="0"/>
              <w:snapToGrid w:val="0"/>
              <w:spacing w:line="360" w:lineRule="auto"/>
              <w:rPr>
                <w:sz w:val="18"/>
                <w:szCs w:val="18"/>
              </w:rPr>
            </w:pPr>
            <w:r>
              <w:rPr>
                <w:rFonts w:hint="eastAsia"/>
                <w:sz w:val="18"/>
                <w:szCs w:val="18"/>
              </w:rPr>
              <w:t>能够在分析识别环境及系统的基础上，设计各类传感器在特定场所下的应用，优化完善工作流程；</w:t>
            </w:r>
          </w:p>
        </w:tc>
        <w:tc>
          <w:tcPr>
            <w:tcW w:w="2686" w:type="pct"/>
            <w:vAlign w:val="center"/>
          </w:tcPr>
          <w:p>
            <w:pPr>
              <w:adjustRightInd w:val="0"/>
              <w:snapToGrid w:val="0"/>
              <w:spacing w:line="360" w:lineRule="auto"/>
              <w:rPr>
                <w:sz w:val="18"/>
                <w:szCs w:val="18"/>
              </w:rPr>
            </w:pPr>
            <w:r>
              <w:rPr>
                <w:rFonts w:hint="eastAsia"/>
                <w:b/>
                <w:bCs/>
                <w:sz w:val="18"/>
                <w:szCs w:val="18"/>
              </w:rPr>
              <w:t>指标点3-1 按需设计：</w:t>
            </w:r>
            <w:r>
              <w:rPr>
                <w:bCs/>
                <w:sz w:val="18"/>
                <w:szCs w:val="18"/>
              </w:rPr>
              <w:t>能够根据用户特定需求设计复杂工程问题的解决方案，设计相关的信息处理系统、智能控制系统以及工艺流程，并能够针对方案进行优化选择。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2" w:type="pct"/>
            <w:vAlign w:val="center"/>
          </w:tcPr>
          <w:p>
            <w:pPr>
              <w:adjustRightInd w:val="0"/>
              <w:snapToGrid w:val="0"/>
              <w:spacing w:line="360" w:lineRule="auto"/>
              <w:jc w:val="center"/>
              <w:rPr>
                <w:sz w:val="18"/>
                <w:szCs w:val="18"/>
              </w:rPr>
            </w:pPr>
            <w:r>
              <w:rPr>
                <w:rFonts w:hint="eastAsia"/>
                <w:sz w:val="18"/>
                <w:szCs w:val="18"/>
              </w:rPr>
              <w:t>4</w:t>
            </w:r>
          </w:p>
        </w:tc>
        <w:tc>
          <w:tcPr>
            <w:tcW w:w="2061" w:type="pct"/>
            <w:vAlign w:val="center"/>
          </w:tcPr>
          <w:p>
            <w:pPr>
              <w:adjustRightInd w:val="0"/>
              <w:snapToGrid w:val="0"/>
              <w:spacing w:line="360" w:lineRule="auto"/>
              <w:rPr>
                <w:sz w:val="18"/>
                <w:szCs w:val="18"/>
              </w:rPr>
            </w:pPr>
            <w:r>
              <w:rPr>
                <w:rFonts w:hint="eastAsia"/>
                <w:sz w:val="18"/>
                <w:szCs w:val="18"/>
              </w:rPr>
              <w:t>能够具有</w:t>
            </w:r>
            <w:r>
              <w:rPr>
                <w:sz w:val="18"/>
                <w:szCs w:val="18"/>
              </w:rPr>
              <w:t>对常用传感器的动静态特性分析</w:t>
            </w:r>
            <w:r>
              <w:rPr>
                <w:rFonts w:hint="eastAsia"/>
                <w:sz w:val="18"/>
                <w:szCs w:val="18"/>
              </w:rPr>
              <w:t>的能力</w:t>
            </w:r>
            <w:r>
              <w:rPr>
                <w:sz w:val="18"/>
                <w:szCs w:val="18"/>
              </w:rPr>
              <w:t>，并依据</w:t>
            </w:r>
            <w:r>
              <w:rPr>
                <w:rFonts w:hint="eastAsia"/>
                <w:sz w:val="18"/>
                <w:szCs w:val="18"/>
              </w:rPr>
              <w:t>设计对</w:t>
            </w:r>
            <w:r>
              <w:rPr>
                <w:sz w:val="18"/>
                <w:szCs w:val="18"/>
              </w:rPr>
              <w:t>一定的实验仪器</w:t>
            </w:r>
            <w:r>
              <w:rPr>
                <w:rFonts w:hint="eastAsia"/>
                <w:sz w:val="18"/>
                <w:szCs w:val="18"/>
              </w:rPr>
              <w:t>自己动手</w:t>
            </w:r>
            <w:r>
              <w:rPr>
                <w:sz w:val="18"/>
                <w:szCs w:val="18"/>
              </w:rPr>
              <w:t>进行标定与校准；</w:t>
            </w:r>
          </w:p>
        </w:tc>
        <w:tc>
          <w:tcPr>
            <w:tcW w:w="2686" w:type="pct"/>
            <w:vAlign w:val="center"/>
          </w:tcPr>
          <w:p>
            <w:pPr>
              <w:adjustRightInd w:val="0"/>
              <w:snapToGrid w:val="0"/>
              <w:spacing w:line="360" w:lineRule="auto"/>
              <w:rPr>
                <w:sz w:val="18"/>
                <w:szCs w:val="18"/>
              </w:rPr>
            </w:pPr>
            <w:r>
              <w:rPr>
                <w:b/>
                <w:bCs/>
                <w:sz w:val="18"/>
                <w:szCs w:val="18"/>
              </w:rPr>
              <w:t>指标点4-2 实验设计能力：</w:t>
            </w:r>
            <w:r>
              <w:rPr>
                <w:bCs/>
                <w:sz w:val="18"/>
                <w:szCs w:val="18"/>
              </w:rPr>
              <w:t>能够基于专业理论，根据所面对的复杂问题特征，选择研究路线，设计可行的实验方案，并选用或搭建实验装置，开展研究。</w:t>
            </w:r>
          </w:p>
        </w:tc>
      </w:tr>
    </w:tbl>
    <w:p>
      <w:pPr>
        <w:jc w:val="center"/>
        <w:rPr>
          <w:szCs w:val="21"/>
        </w:rPr>
      </w:pPr>
    </w:p>
    <w:p>
      <w:pPr>
        <w:jc w:val="left"/>
        <w:rPr>
          <w:szCs w:val="21"/>
        </w:rPr>
      </w:pPr>
      <w:r>
        <w:rPr>
          <w:rFonts w:hint="eastAsia"/>
          <w:szCs w:val="21"/>
        </w:rPr>
        <w:t>电子科学与技术专业：</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30"/>
        <w:gridCol w:w="3360"/>
        <w:gridCol w:w="473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52" w:type="pct"/>
            <w:vAlign w:val="center"/>
          </w:tcPr>
          <w:p>
            <w:pPr>
              <w:adjustRightInd w:val="0"/>
              <w:snapToGrid w:val="0"/>
              <w:spacing w:line="360" w:lineRule="auto"/>
              <w:jc w:val="center"/>
              <w:rPr>
                <w:sz w:val="18"/>
                <w:szCs w:val="18"/>
              </w:rPr>
            </w:pPr>
            <w:r>
              <w:rPr>
                <w:sz w:val="18"/>
                <w:szCs w:val="18"/>
              </w:rPr>
              <w:t>序号</w:t>
            </w:r>
          </w:p>
        </w:tc>
        <w:tc>
          <w:tcPr>
            <w:tcW w:w="1970" w:type="pct"/>
            <w:vAlign w:val="center"/>
          </w:tcPr>
          <w:p>
            <w:pPr>
              <w:adjustRightInd w:val="0"/>
              <w:snapToGrid w:val="0"/>
              <w:spacing w:line="360" w:lineRule="auto"/>
              <w:jc w:val="center"/>
              <w:rPr>
                <w:sz w:val="18"/>
                <w:szCs w:val="18"/>
              </w:rPr>
            </w:pPr>
            <w:r>
              <w:rPr>
                <w:sz w:val="18"/>
                <w:szCs w:val="18"/>
              </w:rPr>
              <w:t>课程目标</w:t>
            </w:r>
          </w:p>
        </w:tc>
        <w:tc>
          <w:tcPr>
            <w:tcW w:w="2778" w:type="pct"/>
            <w:vAlign w:val="center"/>
          </w:tcPr>
          <w:p>
            <w:pPr>
              <w:adjustRightInd w:val="0"/>
              <w:snapToGrid w:val="0"/>
              <w:spacing w:line="360" w:lineRule="auto"/>
              <w:jc w:val="center"/>
              <w:rPr>
                <w:sz w:val="18"/>
                <w:szCs w:val="18"/>
              </w:rPr>
            </w:pPr>
            <w:r>
              <w:rPr>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252" w:type="pct"/>
            <w:vAlign w:val="center"/>
          </w:tcPr>
          <w:p>
            <w:pPr>
              <w:adjustRightInd w:val="0"/>
              <w:snapToGrid w:val="0"/>
              <w:spacing w:line="360" w:lineRule="auto"/>
              <w:jc w:val="center"/>
              <w:rPr>
                <w:sz w:val="18"/>
                <w:szCs w:val="18"/>
              </w:rPr>
            </w:pPr>
            <w:r>
              <w:rPr>
                <w:rFonts w:hint="eastAsia"/>
                <w:sz w:val="18"/>
                <w:szCs w:val="18"/>
              </w:rPr>
              <w:t>1</w:t>
            </w:r>
          </w:p>
        </w:tc>
        <w:tc>
          <w:tcPr>
            <w:tcW w:w="1970" w:type="pct"/>
            <w:vAlign w:val="center"/>
          </w:tcPr>
          <w:p>
            <w:pPr>
              <w:adjustRightInd w:val="0"/>
              <w:snapToGrid w:val="0"/>
              <w:spacing w:line="360" w:lineRule="auto"/>
              <w:rPr>
                <w:sz w:val="18"/>
                <w:szCs w:val="18"/>
              </w:rPr>
            </w:pPr>
            <w:r>
              <w:rPr>
                <w:rFonts w:hint="eastAsia"/>
                <w:sz w:val="18"/>
                <w:szCs w:val="18"/>
              </w:rPr>
              <w:t>能够整合多种资源，综合考虑环境因素影响，</w:t>
            </w:r>
            <w:r>
              <w:rPr>
                <w:sz w:val="18"/>
                <w:szCs w:val="18"/>
              </w:rPr>
              <w:t>根据技术要求</w:t>
            </w:r>
            <w:r>
              <w:rPr>
                <w:rFonts w:hint="eastAsia"/>
                <w:sz w:val="18"/>
                <w:szCs w:val="18"/>
              </w:rPr>
              <w:t>，将所学的传感器知识应用到实际工程应用测试系统之中；</w:t>
            </w:r>
          </w:p>
        </w:tc>
        <w:tc>
          <w:tcPr>
            <w:tcW w:w="2778" w:type="pct"/>
            <w:vAlign w:val="center"/>
          </w:tcPr>
          <w:p>
            <w:pPr>
              <w:adjustRightInd w:val="0"/>
              <w:snapToGrid w:val="0"/>
              <w:spacing w:line="360" w:lineRule="auto"/>
              <w:rPr>
                <w:sz w:val="18"/>
                <w:szCs w:val="18"/>
              </w:rPr>
            </w:pPr>
            <w:r>
              <w:rPr>
                <w:b/>
                <w:bCs/>
                <w:sz w:val="18"/>
                <w:szCs w:val="18"/>
              </w:rPr>
              <w:t>指标点1-2 知识运用能力：</w:t>
            </w:r>
            <w:r>
              <w:rPr>
                <w:rFonts w:hint="eastAsia"/>
                <w:sz w:val="18"/>
                <w:szCs w:val="18"/>
              </w:rPr>
              <w:t>掌握从事电子类专业工作所需的数学和自然科学知识，能够将相关知识用于解决光电子系统设计及应用、物联网设计与应用、嵌入式系统设计与应用等专业特色相关的复杂工程问题。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252" w:type="pct"/>
            <w:vAlign w:val="center"/>
          </w:tcPr>
          <w:p>
            <w:pPr>
              <w:adjustRightInd w:val="0"/>
              <w:snapToGrid w:val="0"/>
              <w:spacing w:line="360" w:lineRule="auto"/>
              <w:jc w:val="center"/>
              <w:rPr>
                <w:sz w:val="18"/>
                <w:szCs w:val="18"/>
              </w:rPr>
            </w:pPr>
            <w:r>
              <w:rPr>
                <w:rFonts w:hint="eastAsia"/>
                <w:sz w:val="18"/>
                <w:szCs w:val="18"/>
              </w:rPr>
              <w:t>2</w:t>
            </w:r>
          </w:p>
        </w:tc>
        <w:tc>
          <w:tcPr>
            <w:tcW w:w="1970" w:type="pct"/>
            <w:vAlign w:val="center"/>
          </w:tcPr>
          <w:p>
            <w:pPr>
              <w:adjustRightInd w:val="0"/>
              <w:snapToGrid w:val="0"/>
              <w:spacing w:line="360" w:lineRule="auto"/>
              <w:rPr>
                <w:sz w:val="18"/>
                <w:szCs w:val="18"/>
              </w:rPr>
            </w:pPr>
            <w:r>
              <w:rPr>
                <w:sz w:val="18"/>
                <w:szCs w:val="18"/>
              </w:rPr>
              <w:t>能够</w:t>
            </w:r>
            <w:r>
              <w:rPr>
                <w:rFonts w:hint="eastAsia"/>
                <w:sz w:val="18"/>
                <w:szCs w:val="18"/>
              </w:rPr>
              <w:t>针对特定测试系统，分解识别复杂系统，</w:t>
            </w:r>
            <w:r>
              <w:rPr>
                <w:sz w:val="18"/>
                <w:szCs w:val="18"/>
              </w:rPr>
              <w:t>合理和正确</w:t>
            </w:r>
            <w:r>
              <w:rPr>
                <w:rFonts w:hint="eastAsia"/>
                <w:sz w:val="18"/>
                <w:szCs w:val="18"/>
              </w:rPr>
              <w:t>地</w:t>
            </w:r>
            <w:r>
              <w:rPr>
                <w:sz w:val="18"/>
                <w:szCs w:val="18"/>
              </w:rPr>
              <w:t>选用传感器</w:t>
            </w:r>
            <w:r>
              <w:rPr>
                <w:rFonts w:hint="eastAsia"/>
                <w:sz w:val="18"/>
                <w:szCs w:val="18"/>
              </w:rPr>
              <w:t>，并</w:t>
            </w:r>
            <w:r>
              <w:rPr>
                <w:sz w:val="18"/>
                <w:szCs w:val="18"/>
              </w:rPr>
              <w:t>对传感器的输出信号进行处理和分析</w:t>
            </w:r>
            <w:r>
              <w:rPr>
                <w:rFonts w:hint="eastAsia"/>
                <w:sz w:val="18"/>
                <w:szCs w:val="18"/>
              </w:rPr>
              <w:t>的</w:t>
            </w:r>
            <w:r>
              <w:rPr>
                <w:sz w:val="18"/>
                <w:szCs w:val="18"/>
              </w:rPr>
              <w:t>能力；</w:t>
            </w:r>
          </w:p>
        </w:tc>
        <w:tc>
          <w:tcPr>
            <w:tcW w:w="2778" w:type="pct"/>
            <w:vAlign w:val="center"/>
          </w:tcPr>
          <w:p>
            <w:pPr>
              <w:adjustRightInd w:val="0"/>
              <w:snapToGrid w:val="0"/>
              <w:spacing w:line="360" w:lineRule="auto"/>
              <w:rPr>
                <w:sz w:val="18"/>
                <w:szCs w:val="18"/>
              </w:rPr>
            </w:pPr>
            <w:r>
              <w:rPr>
                <w:rFonts w:hint="eastAsia"/>
                <w:b/>
                <w:bCs/>
                <w:sz w:val="18"/>
                <w:szCs w:val="18"/>
              </w:rPr>
              <w:t>指标点2-1 问题识别：</w:t>
            </w:r>
            <w:r>
              <w:rPr>
                <w:rFonts w:hint="eastAsia" w:ascii="宋体" w:hAnsi="宋体" w:cs="宋体"/>
                <w:sz w:val="18"/>
                <w:szCs w:val="18"/>
              </w:rPr>
              <w:t>能够应用工程所需的数学、自然科学知识和电子科学与技术专业的基本理论，对本专业有关的复杂工程问题进行识别、表达和分析，得出有效结论。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2" w:type="pct"/>
            <w:vAlign w:val="center"/>
          </w:tcPr>
          <w:p>
            <w:pPr>
              <w:adjustRightInd w:val="0"/>
              <w:snapToGrid w:val="0"/>
              <w:spacing w:line="360" w:lineRule="auto"/>
              <w:jc w:val="center"/>
              <w:rPr>
                <w:sz w:val="18"/>
                <w:szCs w:val="18"/>
              </w:rPr>
            </w:pPr>
            <w:r>
              <w:rPr>
                <w:rFonts w:hint="eastAsia"/>
                <w:sz w:val="18"/>
                <w:szCs w:val="18"/>
              </w:rPr>
              <w:t>3</w:t>
            </w:r>
          </w:p>
        </w:tc>
        <w:tc>
          <w:tcPr>
            <w:tcW w:w="1970" w:type="pct"/>
            <w:vAlign w:val="center"/>
          </w:tcPr>
          <w:p>
            <w:pPr>
              <w:adjustRightInd w:val="0"/>
              <w:snapToGrid w:val="0"/>
              <w:spacing w:line="360" w:lineRule="auto"/>
              <w:rPr>
                <w:sz w:val="18"/>
                <w:szCs w:val="18"/>
              </w:rPr>
            </w:pPr>
            <w:r>
              <w:rPr>
                <w:rFonts w:hint="eastAsia"/>
                <w:sz w:val="18"/>
                <w:szCs w:val="18"/>
              </w:rPr>
              <w:t>能够在分析识别环境及系统的基础上，设计各类传感器在特定场所下的应用，优化完善工作流程；</w:t>
            </w:r>
          </w:p>
        </w:tc>
        <w:tc>
          <w:tcPr>
            <w:tcW w:w="2778" w:type="pct"/>
            <w:vAlign w:val="center"/>
          </w:tcPr>
          <w:p>
            <w:pPr>
              <w:adjustRightInd w:val="0"/>
              <w:snapToGrid w:val="0"/>
              <w:spacing w:line="360" w:lineRule="auto"/>
              <w:rPr>
                <w:sz w:val="18"/>
                <w:szCs w:val="18"/>
              </w:rPr>
            </w:pPr>
            <w:r>
              <w:rPr>
                <w:rFonts w:hint="eastAsia"/>
                <w:b/>
                <w:bCs/>
                <w:sz w:val="18"/>
                <w:szCs w:val="18"/>
              </w:rPr>
              <w:t>指标点3-1 按需设计：</w:t>
            </w:r>
            <w:r>
              <w:rPr>
                <w:rFonts w:hint="eastAsia" w:ascii="宋体" w:hAnsi="宋体" w:cs="宋体"/>
                <w:sz w:val="18"/>
                <w:szCs w:val="18"/>
              </w:rPr>
              <w:t>能够设计针对电子科学与技术专业复杂工程问题的解决方案，设计电路系统、电路或相关工艺流程，解决电子领域工程问题。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2" w:type="pct"/>
            <w:vAlign w:val="center"/>
          </w:tcPr>
          <w:p>
            <w:pPr>
              <w:adjustRightInd w:val="0"/>
              <w:snapToGrid w:val="0"/>
              <w:spacing w:line="360" w:lineRule="auto"/>
              <w:jc w:val="center"/>
              <w:rPr>
                <w:sz w:val="18"/>
                <w:szCs w:val="18"/>
              </w:rPr>
            </w:pPr>
            <w:r>
              <w:rPr>
                <w:rFonts w:hint="eastAsia"/>
                <w:sz w:val="18"/>
                <w:szCs w:val="18"/>
              </w:rPr>
              <w:t>4</w:t>
            </w:r>
          </w:p>
        </w:tc>
        <w:tc>
          <w:tcPr>
            <w:tcW w:w="1970" w:type="pct"/>
            <w:vAlign w:val="center"/>
          </w:tcPr>
          <w:p>
            <w:pPr>
              <w:adjustRightInd w:val="0"/>
              <w:snapToGrid w:val="0"/>
              <w:spacing w:line="360" w:lineRule="auto"/>
              <w:rPr>
                <w:sz w:val="18"/>
                <w:szCs w:val="18"/>
              </w:rPr>
            </w:pPr>
            <w:r>
              <w:rPr>
                <w:rFonts w:hint="eastAsia"/>
                <w:sz w:val="18"/>
                <w:szCs w:val="18"/>
              </w:rPr>
              <w:t>能够具有</w:t>
            </w:r>
            <w:r>
              <w:rPr>
                <w:sz w:val="18"/>
                <w:szCs w:val="18"/>
              </w:rPr>
              <w:t>对常用传感器的动静态特性分析</w:t>
            </w:r>
            <w:r>
              <w:rPr>
                <w:rFonts w:hint="eastAsia"/>
                <w:sz w:val="18"/>
                <w:szCs w:val="18"/>
              </w:rPr>
              <w:t>的能力</w:t>
            </w:r>
            <w:r>
              <w:rPr>
                <w:sz w:val="18"/>
                <w:szCs w:val="18"/>
              </w:rPr>
              <w:t>，依据</w:t>
            </w:r>
            <w:r>
              <w:rPr>
                <w:rFonts w:hint="eastAsia"/>
                <w:sz w:val="18"/>
                <w:szCs w:val="18"/>
              </w:rPr>
              <w:t>设计对</w:t>
            </w:r>
            <w:r>
              <w:rPr>
                <w:sz w:val="18"/>
                <w:szCs w:val="18"/>
              </w:rPr>
              <w:t>实验仪器</w:t>
            </w:r>
            <w:r>
              <w:rPr>
                <w:rFonts w:hint="eastAsia"/>
                <w:sz w:val="18"/>
                <w:szCs w:val="18"/>
              </w:rPr>
              <w:t>自己动手</w:t>
            </w:r>
            <w:r>
              <w:rPr>
                <w:sz w:val="18"/>
                <w:szCs w:val="18"/>
              </w:rPr>
              <w:t>进行标定与校准；</w:t>
            </w:r>
          </w:p>
        </w:tc>
        <w:tc>
          <w:tcPr>
            <w:tcW w:w="2778" w:type="pct"/>
            <w:vAlign w:val="center"/>
          </w:tcPr>
          <w:p>
            <w:pPr>
              <w:adjustRightInd w:val="0"/>
              <w:snapToGrid w:val="0"/>
              <w:spacing w:line="360" w:lineRule="auto"/>
              <w:rPr>
                <w:sz w:val="18"/>
                <w:szCs w:val="18"/>
              </w:rPr>
            </w:pPr>
            <w:r>
              <w:rPr>
                <w:b/>
                <w:bCs/>
                <w:sz w:val="18"/>
                <w:szCs w:val="18"/>
              </w:rPr>
              <w:t>指标点4-2 实验设计能力：</w:t>
            </w:r>
            <w:r>
              <w:rPr>
                <w:rFonts w:hint="eastAsia"/>
                <w:sz w:val="18"/>
                <w:szCs w:val="18"/>
              </w:rPr>
              <w:t>能够基于电子领域的相关科学原理，对电子科学与技术专业有关的复杂工程问题进行研究，设计可行的实验方案，对实验结果进行分析与数据处理，通过误差分析、信息综合等方法获得有效结论。</w:t>
            </w:r>
          </w:p>
        </w:tc>
      </w:tr>
    </w:tbl>
    <w:p>
      <w:pPr>
        <w:tabs>
          <w:tab w:val="left" w:pos="420"/>
        </w:tabs>
        <w:adjustRightInd w:val="0"/>
        <w:snapToGrid w:val="0"/>
        <w:spacing w:line="360" w:lineRule="auto"/>
        <w:ind w:left="420" w:hanging="420"/>
        <w:rPr>
          <w:rFonts w:eastAsia="黑体"/>
          <w:szCs w:val="21"/>
        </w:rPr>
      </w:pPr>
    </w:p>
    <w:p>
      <w:pPr>
        <w:tabs>
          <w:tab w:val="left" w:pos="420"/>
        </w:tabs>
        <w:adjustRightInd w:val="0"/>
        <w:snapToGrid w:val="0"/>
        <w:spacing w:line="360" w:lineRule="auto"/>
        <w:rPr>
          <w:rFonts w:ascii="黑体" w:hAnsi="黑体" w:eastAsia="黑体"/>
          <w:szCs w:val="21"/>
        </w:rPr>
      </w:pPr>
      <w:r>
        <w:rPr>
          <w:rFonts w:hint="eastAsia" w:ascii="黑体" w:hAnsi="黑体" w:eastAsia="黑体"/>
          <w:szCs w:val="21"/>
        </w:rPr>
        <w:t>三、 基本要求</w:t>
      </w:r>
    </w:p>
    <w:p>
      <w:pPr>
        <w:adjustRightInd w:val="0"/>
        <w:snapToGrid w:val="0"/>
        <w:spacing w:line="360" w:lineRule="auto"/>
        <w:ind w:firstLine="420" w:firstLineChars="200"/>
        <w:rPr>
          <w:szCs w:val="21"/>
        </w:rPr>
      </w:pPr>
      <w:r>
        <w:rPr>
          <w:rFonts w:hint="eastAsia"/>
          <w:szCs w:val="21"/>
        </w:rPr>
        <w:t>1、</w:t>
      </w:r>
      <w:r>
        <w:rPr>
          <w:szCs w:val="21"/>
        </w:rPr>
        <w:t>本课程是在二年基础课后所设置的技术专业课之一，先修</w:t>
      </w:r>
      <w:r>
        <w:rPr>
          <w:rFonts w:hint="eastAsia"/>
          <w:szCs w:val="21"/>
        </w:rPr>
        <w:t>课程有：</w:t>
      </w:r>
      <w:r>
        <w:rPr>
          <w:szCs w:val="21"/>
        </w:rPr>
        <w:t>高等数学、工程力学、工程制图基础、大学物理、模拟电子技术、数字电子技术、</w:t>
      </w:r>
      <w:r>
        <w:rPr>
          <w:rFonts w:hint="eastAsia"/>
          <w:szCs w:val="21"/>
        </w:rPr>
        <w:t>精密</w:t>
      </w:r>
      <w:r>
        <w:rPr>
          <w:szCs w:val="21"/>
        </w:rPr>
        <w:t>仪器零件设计等，是为了使学生能够全面地学习常用传感器的种类、原理及应用方法而设置的。</w:t>
      </w:r>
    </w:p>
    <w:p>
      <w:pPr>
        <w:adjustRightInd w:val="0"/>
        <w:snapToGrid w:val="0"/>
        <w:spacing w:line="360" w:lineRule="auto"/>
        <w:ind w:firstLine="420" w:firstLineChars="200"/>
        <w:rPr>
          <w:szCs w:val="21"/>
        </w:rPr>
      </w:pPr>
      <w:r>
        <w:rPr>
          <w:szCs w:val="21"/>
        </w:rPr>
        <w:t>2</w:t>
      </w:r>
      <w:r>
        <w:rPr>
          <w:rFonts w:hint="eastAsia"/>
          <w:szCs w:val="21"/>
        </w:rPr>
        <w:t>、教师通过讲授</w:t>
      </w:r>
      <w:r>
        <w:rPr>
          <w:szCs w:val="21"/>
        </w:rPr>
        <w:t>传感器的静态特性及动态特性的含义、获取方法、分析方法</w:t>
      </w:r>
      <w:r>
        <w:rPr>
          <w:rFonts w:hint="eastAsia"/>
          <w:szCs w:val="21"/>
        </w:rPr>
        <w:t>，让学生学习如何分析传感器特性与应用，并与实验相结合，学会组建测试系统，分析输入与输出特性关系。</w:t>
      </w:r>
    </w:p>
    <w:p>
      <w:pPr>
        <w:spacing w:line="360" w:lineRule="auto"/>
        <w:ind w:firstLine="420" w:firstLineChars="200"/>
        <w:rPr>
          <w:szCs w:val="21"/>
        </w:rPr>
      </w:pPr>
      <w:r>
        <w:rPr>
          <w:szCs w:val="21"/>
        </w:rPr>
        <w:t>3</w:t>
      </w:r>
      <w:r>
        <w:rPr>
          <w:rFonts w:hint="eastAsia"/>
          <w:szCs w:val="21"/>
        </w:rPr>
        <w:t>、通过传感器原理与特性的讲授与学生参与讨论，学生会举出所学原理的传感器在测试工程中的典型应用。</w:t>
      </w:r>
    </w:p>
    <w:p>
      <w:pPr>
        <w:spacing w:line="360" w:lineRule="auto"/>
        <w:ind w:firstLine="420" w:firstLineChars="200"/>
        <w:rPr>
          <w:szCs w:val="21"/>
        </w:rPr>
      </w:pPr>
      <w:r>
        <w:rPr>
          <w:szCs w:val="21"/>
        </w:rPr>
        <w:t>4</w:t>
      </w:r>
      <w:r>
        <w:rPr>
          <w:rFonts w:hint="eastAsia"/>
          <w:szCs w:val="21"/>
        </w:rPr>
        <w:t>、依据所学的传感器原理知识和弹性元件设计，要求学生通过实验环节，对传感器的结构、特性加深理解，能够自己动手设计或选择特殊用途传感器，能搭建解决复杂测试工程问题的测试系统。</w:t>
      </w:r>
    </w:p>
    <w:p>
      <w:pPr>
        <w:spacing w:line="360" w:lineRule="auto"/>
        <w:ind w:firstLine="420" w:firstLineChars="200"/>
        <w:jc w:val="left"/>
      </w:pPr>
      <w:r>
        <w:rPr>
          <w:rFonts w:hint="eastAsia"/>
        </w:rPr>
        <w:t>5、深度和广度说明：</w:t>
      </w:r>
      <w:r>
        <w:rPr>
          <w:szCs w:val="21"/>
        </w:rPr>
        <w:t>传感器</w:t>
      </w:r>
      <w:r>
        <w:rPr>
          <w:rFonts w:hint="eastAsia"/>
          <w:szCs w:val="21"/>
        </w:rPr>
        <w:t>种类繁多，</w:t>
      </w:r>
      <w:r>
        <w:rPr>
          <w:szCs w:val="21"/>
        </w:rPr>
        <w:t>工作原理</w:t>
      </w:r>
      <w:r>
        <w:rPr>
          <w:rFonts w:hint="eastAsia"/>
          <w:szCs w:val="21"/>
        </w:rPr>
        <w:t>、</w:t>
      </w:r>
      <w:r>
        <w:rPr>
          <w:szCs w:val="21"/>
        </w:rPr>
        <w:t>特性分析</w:t>
      </w:r>
      <w:r>
        <w:rPr>
          <w:rFonts w:hint="eastAsia"/>
          <w:szCs w:val="21"/>
        </w:rPr>
        <w:t>、</w:t>
      </w:r>
      <w:r>
        <w:rPr>
          <w:szCs w:val="21"/>
        </w:rPr>
        <w:t>测量电路</w:t>
      </w:r>
      <w:r>
        <w:rPr>
          <w:rFonts w:hint="eastAsia"/>
          <w:szCs w:val="21"/>
        </w:rPr>
        <w:t>等也不相同，在授课的基础上，通过加强实验环节增加对各种传感器原理、特性的深度和广度认知，提升学生对传感器在测试工程中应用方面的能力</w:t>
      </w:r>
      <w:r>
        <w:rPr>
          <w:rFonts w:hint="eastAsia"/>
        </w:rPr>
        <w:t>。</w:t>
      </w:r>
    </w:p>
    <w:p>
      <w:pPr>
        <w:spacing w:line="360" w:lineRule="auto"/>
        <w:ind w:firstLine="420" w:firstLineChars="200"/>
        <w:rPr>
          <w:szCs w:val="21"/>
        </w:rPr>
      </w:pPr>
      <w:r>
        <w:rPr>
          <w:rFonts w:hint="eastAsia"/>
          <w:szCs w:val="21"/>
        </w:rPr>
        <w:t>6、</w:t>
      </w:r>
      <w:r>
        <w:rPr>
          <w:szCs w:val="21"/>
        </w:rPr>
        <w:t>偏差说明：为了鼓励教师引入个人授课风格或者适应技术发展的紧迫性，本课程允许教师授课内容做适当调整，最大正偏差为</w:t>
      </w:r>
      <w:r>
        <w:rPr>
          <w:rFonts w:hint="eastAsia"/>
          <w:szCs w:val="21"/>
        </w:rPr>
        <w:t>10%，不允许负偏差。正偏差通过压缩同等内容的学时数来完成。特殊情况，最大正偏差和置换偏差累计可达到20%，但在开课前要申请专业责任人批准。（正偏差指大纲知识点不变，新增知识点；负偏差是大纲知识点减少；置换偏差是指大纲中部分知识点被其它类似知识点替换）。</w:t>
      </w:r>
    </w:p>
    <w:p>
      <w:pPr>
        <w:spacing w:line="360" w:lineRule="auto"/>
        <w:ind w:firstLine="420" w:firstLineChars="200"/>
        <w:rPr>
          <w:szCs w:val="21"/>
        </w:rPr>
      </w:pPr>
    </w:p>
    <w:p>
      <w:pPr>
        <w:tabs>
          <w:tab w:val="left" w:pos="420"/>
        </w:tabs>
        <w:adjustRightInd w:val="0"/>
        <w:snapToGrid w:val="0"/>
        <w:spacing w:line="360" w:lineRule="auto"/>
        <w:ind w:left="420" w:hanging="420"/>
        <w:rPr>
          <w:rFonts w:eastAsia="黑体"/>
          <w:szCs w:val="21"/>
        </w:rPr>
      </w:pPr>
      <w:r>
        <w:rPr>
          <w:rFonts w:eastAsia="黑体"/>
          <w:szCs w:val="21"/>
        </w:rPr>
        <w:t>四、教学内容和教学方法</w:t>
      </w:r>
    </w:p>
    <w:p>
      <w:pPr>
        <w:widowControl/>
        <w:spacing w:line="360" w:lineRule="auto"/>
        <w:ind w:firstLine="420" w:firstLineChars="200"/>
        <w:jc w:val="left"/>
        <w:rPr>
          <w:szCs w:val="21"/>
        </w:rPr>
      </w:pPr>
      <w:r>
        <w:rPr>
          <w:szCs w:val="21"/>
        </w:rPr>
        <w:t>教学内容：在先修的基础课基础上，本课程重点讲授的内容包括：传感器的定义、分类、作用、发展方向，静态特性、动态特性及其标定方法，弹性元件设计，应变</w:t>
      </w:r>
      <w:r>
        <w:rPr>
          <w:rFonts w:hint="eastAsia"/>
          <w:szCs w:val="21"/>
        </w:rPr>
        <w:t>、</w:t>
      </w:r>
      <w:r>
        <w:rPr>
          <w:szCs w:val="21"/>
        </w:rPr>
        <w:t>电容</w:t>
      </w:r>
      <w:r>
        <w:rPr>
          <w:rFonts w:hint="eastAsia"/>
          <w:szCs w:val="21"/>
        </w:rPr>
        <w:t>、</w:t>
      </w:r>
      <w:r>
        <w:rPr>
          <w:szCs w:val="21"/>
        </w:rPr>
        <w:t>电感</w:t>
      </w:r>
      <w:r>
        <w:rPr>
          <w:rFonts w:hint="eastAsia"/>
          <w:szCs w:val="21"/>
        </w:rPr>
        <w:t>、</w:t>
      </w:r>
      <w:r>
        <w:rPr>
          <w:szCs w:val="21"/>
        </w:rPr>
        <w:t>压电</w:t>
      </w:r>
      <w:r>
        <w:rPr>
          <w:rFonts w:hint="eastAsia"/>
          <w:szCs w:val="21"/>
        </w:rPr>
        <w:t>、</w:t>
      </w:r>
      <w:r>
        <w:rPr>
          <w:szCs w:val="21"/>
        </w:rPr>
        <w:t>压阻</w:t>
      </w:r>
      <w:r>
        <w:rPr>
          <w:rFonts w:hint="eastAsia"/>
          <w:szCs w:val="21"/>
        </w:rPr>
        <w:t>、</w:t>
      </w:r>
      <w:r>
        <w:rPr>
          <w:szCs w:val="21"/>
        </w:rPr>
        <w:t>热电</w:t>
      </w:r>
      <w:r>
        <w:rPr>
          <w:rFonts w:hint="eastAsia"/>
          <w:szCs w:val="21"/>
        </w:rPr>
        <w:t>、</w:t>
      </w:r>
      <w:r>
        <w:rPr>
          <w:szCs w:val="21"/>
        </w:rPr>
        <w:t>光电</w:t>
      </w:r>
      <w:r>
        <w:rPr>
          <w:rFonts w:hint="eastAsia"/>
          <w:szCs w:val="21"/>
        </w:rPr>
        <w:t>、</w:t>
      </w:r>
      <w:r>
        <w:rPr>
          <w:szCs w:val="21"/>
        </w:rPr>
        <w:t>磁敏</w:t>
      </w:r>
      <w:r>
        <w:rPr>
          <w:rFonts w:hint="eastAsia"/>
          <w:szCs w:val="21"/>
        </w:rPr>
        <w:t>、</w:t>
      </w:r>
      <w:r>
        <w:rPr>
          <w:szCs w:val="21"/>
        </w:rPr>
        <w:t>光导纤维等传感器原理、结构、特性分析、测量电路、传感器设计与应用等内容</w:t>
      </w:r>
      <w:r>
        <w:rPr>
          <w:rFonts w:hint="eastAsia"/>
          <w:szCs w:val="21"/>
        </w:rPr>
        <w:t>。</w:t>
      </w:r>
    </w:p>
    <w:p>
      <w:pPr>
        <w:widowControl/>
        <w:spacing w:line="360" w:lineRule="auto"/>
        <w:ind w:firstLine="420" w:firstLineChars="200"/>
        <w:jc w:val="left"/>
        <w:rPr>
          <w:szCs w:val="21"/>
        </w:rPr>
      </w:pPr>
      <w:r>
        <w:rPr>
          <w:szCs w:val="21"/>
        </w:rPr>
        <w:t>教学方法：</w:t>
      </w:r>
    </w:p>
    <w:p>
      <w:pPr>
        <w:widowControl/>
        <w:spacing w:line="360" w:lineRule="auto"/>
        <w:ind w:firstLine="420" w:firstLineChars="200"/>
        <w:jc w:val="left"/>
        <w:rPr>
          <w:szCs w:val="21"/>
        </w:rPr>
      </w:pPr>
      <w:r>
        <w:rPr>
          <w:rFonts w:hint="eastAsia"/>
          <w:szCs w:val="21"/>
        </w:rPr>
        <w:t>1、</w:t>
      </w:r>
      <w:r>
        <w:rPr>
          <w:szCs w:val="21"/>
        </w:rPr>
        <w:t>讲授法</w:t>
      </w:r>
      <w:r>
        <w:rPr>
          <w:rFonts w:hint="eastAsia"/>
          <w:szCs w:val="21"/>
        </w:rPr>
        <w:t>：</w:t>
      </w:r>
      <w:r>
        <w:rPr>
          <w:szCs w:val="21"/>
        </w:rPr>
        <w:t>采用板书、</w:t>
      </w:r>
      <w:r>
        <w:rPr>
          <w:rFonts w:hint="eastAsia"/>
          <w:szCs w:val="21"/>
        </w:rPr>
        <w:t>PPT</w:t>
      </w:r>
      <w:r>
        <w:rPr>
          <w:szCs w:val="21"/>
        </w:rPr>
        <w:t>加多媒体，加启发式教学，</w:t>
      </w:r>
      <w:r>
        <w:rPr>
          <w:rFonts w:hint="eastAsia"/>
          <w:szCs w:val="21"/>
        </w:rPr>
        <w:t>以一些典型传感器特性与应用案例为主线</w:t>
      </w:r>
      <w:r>
        <w:rPr>
          <w:szCs w:val="21"/>
        </w:rPr>
        <w:t>解释概念、论证原理和阐明规律。</w:t>
      </w:r>
      <w:r>
        <w:rPr>
          <w:rFonts w:hint="eastAsia"/>
          <w:szCs w:val="21"/>
        </w:rPr>
        <w:t>结合最新前沿技术，激发学生学习兴趣和热情。</w:t>
      </w:r>
    </w:p>
    <w:p>
      <w:pPr>
        <w:widowControl/>
        <w:spacing w:line="360" w:lineRule="auto"/>
        <w:ind w:firstLine="420"/>
        <w:jc w:val="left"/>
        <w:rPr>
          <w:szCs w:val="21"/>
        </w:rPr>
      </w:pPr>
      <w:r>
        <w:rPr>
          <w:rFonts w:hint="eastAsia"/>
          <w:szCs w:val="21"/>
        </w:rPr>
        <w:t>2、</w:t>
      </w:r>
      <w:r>
        <w:rPr>
          <w:szCs w:val="21"/>
        </w:rPr>
        <w:t>讨论法</w:t>
      </w:r>
      <w:r>
        <w:rPr>
          <w:rFonts w:hint="eastAsia"/>
          <w:szCs w:val="21"/>
        </w:rPr>
        <w:t>：</w:t>
      </w:r>
      <w:r>
        <w:rPr>
          <w:szCs w:val="21"/>
        </w:rPr>
        <w:t>分成小组围绕传感器特性与应用问题，通过网上查</w:t>
      </w:r>
      <w:r>
        <w:rPr>
          <w:rFonts w:hint="eastAsia"/>
          <w:szCs w:val="21"/>
        </w:rPr>
        <w:t>询</w:t>
      </w:r>
      <w:r>
        <w:rPr>
          <w:szCs w:val="21"/>
        </w:rPr>
        <w:t>，讨论，发表各自意见和看法，共同研讨，相互启发，集思广益，相互提高。</w:t>
      </w:r>
    </w:p>
    <w:p>
      <w:pPr>
        <w:widowControl/>
        <w:spacing w:line="360" w:lineRule="auto"/>
        <w:ind w:firstLine="420"/>
        <w:jc w:val="left"/>
        <w:rPr>
          <w:szCs w:val="21"/>
        </w:rPr>
      </w:pPr>
      <w:r>
        <w:rPr>
          <w:rFonts w:hint="eastAsia"/>
          <w:szCs w:val="21"/>
        </w:rPr>
        <w:t>3、</w:t>
      </w:r>
      <w:r>
        <w:rPr>
          <w:szCs w:val="21"/>
        </w:rPr>
        <w:t>实验、练习法：通过实验让学生验证原理，从中获得新的启发，通过练习，巩固所学的基本原理和规律。</w:t>
      </w:r>
    </w:p>
    <w:p>
      <w:pPr>
        <w:widowControl/>
        <w:spacing w:line="360" w:lineRule="auto"/>
        <w:ind w:firstLine="420"/>
        <w:jc w:val="left"/>
        <w:rPr>
          <w:szCs w:val="21"/>
        </w:rPr>
      </w:pPr>
      <w:r>
        <w:rPr>
          <w:rFonts w:hint="eastAsia"/>
          <w:szCs w:val="21"/>
        </w:rPr>
        <w:t>4、课外拓展作业：围绕典型的传感器在智慧地球中的应用，检索查询，以5-6人为小组，完成传感器应用背景，原理，特性，应用四部分组成的小报告，期望达到学用合一。</w:t>
      </w:r>
    </w:p>
    <w:p>
      <w:pPr>
        <w:pStyle w:val="12"/>
        <w:spacing w:line="360" w:lineRule="auto"/>
        <w:ind w:left="426"/>
        <w:jc w:val="left"/>
        <w:rPr>
          <w:rFonts w:ascii="Times New Roman" w:hAnsi="Times New Roman" w:eastAsia="黑体"/>
          <w:szCs w:val="21"/>
        </w:rPr>
      </w:pPr>
      <w:r>
        <w:rPr>
          <w:rFonts w:ascii="Times New Roman" w:hAnsi="Times New Roman" w:eastAsia="黑体"/>
          <w:szCs w:val="21"/>
        </w:rPr>
        <w:t>1  传感器概述（2学时）</w:t>
      </w:r>
    </w:p>
    <w:p>
      <w:pPr>
        <w:pStyle w:val="12"/>
        <w:tabs>
          <w:tab w:val="right" w:leader="dot" w:pos="8385"/>
        </w:tabs>
        <w:spacing w:line="360" w:lineRule="auto"/>
        <w:ind w:left="426"/>
        <w:jc w:val="left"/>
        <w:rPr>
          <w:rFonts w:ascii="Times New Roman" w:hAnsi="Times New Roman"/>
          <w:szCs w:val="21"/>
        </w:rPr>
      </w:pPr>
      <w:r>
        <w:rPr>
          <w:rFonts w:ascii="Times New Roman" w:hAnsi="Times New Roman"/>
          <w:szCs w:val="21"/>
        </w:rPr>
        <w:t>1.1、传感器的定义及分类；</w:t>
      </w:r>
    </w:p>
    <w:p>
      <w:pPr>
        <w:pStyle w:val="12"/>
        <w:tabs>
          <w:tab w:val="right" w:leader="dot" w:pos="8385"/>
        </w:tabs>
        <w:spacing w:line="360" w:lineRule="auto"/>
        <w:ind w:left="426"/>
        <w:jc w:val="left"/>
        <w:rPr>
          <w:rFonts w:ascii="Times New Roman" w:hAnsi="Times New Roman"/>
          <w:szCs w:val="21"/>
        </w:rPr>
      </w:pPr>
      <w:r>
        <w:rPr>
          <w:rFonts w:ascii="Times New Roman" w:hAnsi="Times New Roman"/>
          <w:szCs w:val="21"/>
        </w:rPr>
        <w:t>1.2、传感器的作用与地位；</w:t>
      </w:r>
    </w:p>
    <w:p>
      <w:pPr>
        <w:tabs>
          <w:tab w:val="right" w:leader="dot" w:pos="8385"/>
        </w:tabs>
        <w:spacing w:line="360" w:lineRule="auto"/>
        <w:ind w:left="426"/>
        <w:jc w:val="left"/>
        <w:rPr>
          <w:szCs w:val="21"/>
        </w:rPr>
      </w:pPr>
      <w:r>
        <w:rPr>
          <w:szCs w:val="21"/>
        </w:rPr>
        <w:t>1.3、学会传感器技术的发展动向。</w:t>
      </w:r>
    </w:p>
    <w:p>
      <w:pPr>
        <w:widowControl/>
        <w:spacing w:line="360" w:lineRule="auto"/>
        <w:ind w:left="426"/>
        <w:jc w:val="left"/>
        <w:rPr>
          <w:rFonts w:eastAsia="黑体"/>
          <w:szCs w:val="21"/>
        </w:rPr>
      </w:pPr>
      <w:r>
        <w:rPr>
          <w:rFonts w:cs="宋体"/>
          <w:bCs/>
          <w:snapToGrid w:val="0"/>
          <w:kern w:val="0"/>
          <w:szCs w:val="21"/>
        </w:rPr>
        <w:t>本章内容支撑课程目标</w:t>
      </w:r>
      <w:r>
        <w:rPr>
          <w:rFonts w:hint="eastAsia" w:cs="宋体"/>
          <w:bCs/>
          <w:snapToGrid w:val="0"/>
          <w:kern w:val="0"/>
          <w:szCs w:val="21"/>
        </w:rPr>
        <w:t>1、2</w:t>
      </w:r>
    </w:p>
    <w:p>
      <w:pPr>
        <w:tabs>
          <w:tab w:val="right" w:leader="dot" w:pos="8385"/>
        </w:tabs>
        <w:spacing w:line="360" w:lineRule="auto"/>
        <w:ind w:left="426"/>
        <w:jc w:val="left"/>
        <w:rPr>
          <w:szCs w:val="21"/>
        </w:rPr>
      </w:pPr>
      <w:r>
        <w:rPr>
          <w:rFonts w:eastAsia="黑体"/>
          <w:szCs w:val="21"/>
        </w:rPr>
        <w:t>2  传感器的特性及标定（6学时）</w:t>
      </w:r>
    </w:p>
    <w:p>
      <w:pPr>
        <w:pStyle w:val="12"/>
        <w:tabs>
          <w:tab w:val="right" w:leader="dot" w:pos="8385"/>
        </w:tabs>
        <w:spacing w:line="360" w:lineRule="auto"/>
        <w:ind w:left="426"/>
        <w:jc w:val="left"/>
        <w:rPr>
          <w:rFonts w:ascii="Times New Roman" w:hAnsi="Times New Roman"/>
          <w:szCs w:val="21"/>
        </w:rPr>
      </w:pPr>
      <w:r>
        <w:rPr>
          <w:rFonts w:ascii="Times New Roman" w:hAnsi="Times New Roman"/>
          <w:szCs w:val="21"/>
        </w:rPr>
        <w:t>2.1、传感器的静态特性；（重点）</w:t>
      </w:r>
    </w:p>
    <w:p>
      <w:pPr>
        <w:pStyle w:val="12"/>
        <w:tabs>
          <w:tab w:val="right" w:leader="dot" w:pos="8385"/>
        </w:tabs>
        <w:spacing w:line="360" w:lineRule="auto"/>
        <w:ind w:left="426"/>
        <w:jc w:val="left"/>
        <w:rPr>
          <w:rFonts w:ascii="Times New Roman" w:hAnsi="Times New Roman"/>
          <w:szCs w:val="21"/>
        </w:rPr>
      </w:pPr>
      <w:r>
        <w:rPr>
          <w:rFonts w:ascii="Times New Roman" w:hAnsi="Times New Roman"/>
          <w:szCs w:val="21"/>
        </w:rPr>
        <w:t>2.2、传感器的动态特性；（重点、难点）</w:t>
      </w:r>
    </w:p>
    <w:p>
      <w:pPr>
        <w:pStyle w:val="12"/>
        <w:spacing w:line="360" w:lineRule="auto"/>
        <w:ind w:left="426"/>
        <w:jc w:val="left"/>
        <w:rPr>
          <w:rFonts w:ascii="Times New Roman" w:hAnsi="Times New Roman"/>
          <w:szCs w:val="21"/>
        </w:rPr>
      </w:pPr>
      <w:r>
        <w:rPr>
          <w:rFonts w:ascii="Times New Roman" w:hAnsi="Times New Roman"/>
          <w:szCs w:val="21"/>
        </w:rPr>
        <w:t>2.3、传感器的标定。</w:t>
      </w:r>
    </w:p>
    <w:p>
      <w:pPr>
        <w:widowControl/>
        <w:spacing w:line="360" w:lineRule="auto"/>
        <w:ind w:left="426"/>
        <w:jc w:val="left"/>
        <w:rPr>
          <w:szCs w:val="21"/>
        </w:rPr>
      </w:pPr>
      <w:r>
        <w:rPr>
          <w:rFonts w:cs="宋体"/>
          <w:bCs/>
          <w:snapToGrid w:val="0"/>
          <w:kern w:val="0"/>
          <w:szCs w:val="21"/>
        </w:rPr>
        <w:t>本章内容支撑课程目标</w:t>
      </w:r>
      <w:r>
        <w:rPr>
          <w:rFonts w:hint="eastAsia" w:cs="宋体"/>
          <w:bCs/>
          <w:snapToGrid w:val="0"/>
          <w:kern w:val="0"/>
          <w:szCs w:val="21"/>
        </w:rPr>
        <w:t>4</w:t>
      </w:r>
    </w:p>
    <w:p>
      <w:pPr>
        <w:pStyle w:val="12"/>
        <w:spacing w:line="360" w:lineRule="auto"/>
        <w:ind w:left="426"/>
        <w:jc w:val="left"/>
        <w:rPr>
          <w:rFonts w:ascii="Times New Roman" w:hAnsi="Times New Roman" w:eastAsia="黑体"/>
          <w:szCs w:val="21"/>
        </w:rPr>
      </w:pPr>
      <w:r>
        <w:rPr>
          <w:rFonts w:ascii="Times New Roman" w:hAnsi="Times New Roman" w:eastAsia="黑体"/>
          <w:szCs w:val="21"/>
        </w:rPr>
        <w:t>3传感器中的弹性敏感元件设计（</w:t>
      </w:r>
      <w:r>
        <w:rPr>
          <w:rFonts w:hint="eastAsia" w:ascii="Times New Roman" w:hAnsi="Times New Roman" w:eastAsia="黑体"/>
          <w:szCs w:val="21"/>
        </w:rPr>
        <w:t>2</w:t>
      </w:r>
      <w:r>
        <w:rPr>
          <w:rFonts w:ascii="Times New Roman" w:hAnsi="Times New Roman" w:eastAsia="黑体"/>
          <w:szCs w:val="21"/>
        </w:rPr>
        <w:t>学时）</w:t>
      </w:r>
    </w:p>
    <w:p>
      <w:pPr>
        <w:pStyle w:val="12"/>
        <w:spacing w:line="360" w:lineRule="auto"/>
        <w:ind w:left="426"/>
        <w:jc w:val="left"/>
        <w:rPr>
          <w:rFonts w:ascii="Times New Roman" w:hAnsi="Times New Roman"/>
          <w:szCs w:val="21"/>
        </w:rPr>
      </w:pPr>
      <w:r>
        <w:rPr>
          <w:rFonts w:ascii="Times New Roman" w:hAnsi="Times New Roman"/>
          <w:szCs w:val="21"/>
        </w:rPr>
        <w:t>3.1、弹性敏感元件的基本特性；</w:t>
      </w:r>
    </w:p>
    <w:p>
      <w:pPr>
        <w:pStyle w:val="12"/>
        <w:spacing w:line="360" w:lineRule="auto"/>
        <w:ind w:left="426"/>
        <w:jc w:val="left"/>
        <w:rPr>
          <w:rFonts w:ascii="Times New Roman" w:hAnsi="Times New Roman"/>
          <w:szCs w:val="21"/>
        </w:rPr>
      </w:pPr>
      <w:r>
        <w:rPr>
          <w:rFonts w:ascii="Times New Roman" w:hAnsi="Times New Roman"/>
          <w:szCs w:val="21"/>
        </w:rPr>
        <w:t>3.2、弹性敏感元件的材料；</w:t>
      </w:r>
    </w:p>
    <w:p>
      <w:pPr>
        <w:pStyle w:val="12"/>
        <w:spacing w:line="360" w:lineRule="auto"/>
        <w:ind w:left="426"/>
        <w:jc w:val="left"/>
        <w:rPr>
          <w:rFonts w:ascii="Times New Roman" w:hAnsi="Times New Roman"/>
          <w:szCs w:val="21"/>
        </w:rPr>
      </w:pPr>
      <w:r>
        <w:rPr>
          <w:rFonts w:ascii="Times New Roman" w:hAnsi="Times New Roman"/>
          <w:szCs w:val="21"/>
        </w:rPr>
        <w:t>3.3、弹性敏感元件的特性参数计算。（重点）</w:t>
      </w:r>
    </w:p>
    <w:p>
      <w:pPr>
        <w:widowControl/>
        <w:spacing w:line="360" w:lineRule="auto"/>
        <w:ind w:left="426"/>
        <w:jc w:val="left"/>
        <w:rPr>
          <w:szCs w:val="21"/>
        </w:rPr>
      </w:pPr>
      <w:r>
        <w:rPr>
          <w:rFonts w:cs="宋体"/>
          <w:bCs/>
          <w:snapToGrid w:val="0"/>
          <w:kern w:val="0"/>
          <w:szCs w:val="21"/>
        </w:rPr>
        <w:t>本章内容支撑课程目标</w:t>
      </w:r>
      <w:r>
        <w:rPr>
          <w:rFonts w:hint="eastAsia" w:cs="宋体"/>
          <w:bCs/>
          <w:snapToGrid w:val="0"/>
          <w:kern w:val="0"/>
          <w:szCs w:val="21"/>
        </w:rPr>
        <w:t>3</w:t>
      </w:r>
    </w:p>
    <w:p>
      <w:pPr>
        <w:tabs>
          <w:tab w:val="right" w:leader="dot" w:pos="8385"/>
        </w:tabs>
        <w:spacing w:line="360" w:lineRule="auto"/>
        <w:ind w:left="426"/>
        <w:jc w:val="left"/>
        <w:rPr>
          <w:szCs w:val="21"/>
        </w:rPr>
      </w:pPr>
      <w:r>
        <w:rPr>
          <w:rFonts w:eastAsia="黑体"/>
          <w:szCs w:val="21"/>
        </w:rPr>
        <w:t>4  电阻应变式传感器（4学时）</w:t>
      </w:r>
    </w:p>
    <w:p>
      <w:pPr>
        <w:pStyle w:val="12"/>
        <w:spacing w:line="360" w:lineRule="auto"/>
        <w:ind w:left="426"/>
        <w:jc w:val="left"/>
        <w:rPr>
          <w:rFonts w:ascii="Times New Roman" w:hAnsi="Times New Roman"/>
          <w:szCs w:val="21"/>
        </w:rPr>
      </w:pPr>
      <w:r>
        <w:rPr>
          <w:rFonts w:ascii="Times New Roman" w:hAnsi="Times New Roman"/>
          <w:szCs w:val="21"/>
        </w:rPr>
        <w:t>4.1、电阻应变片的工作原理（应变效应）</w:t>
      </w:r>
      <w:r>
        <w:rPr>
          <w:rFonts w:hint="eastAsia" w:ascii="Times New Roman" w:hAnsi="Times New Roman"/>
          <w:szCs w:val="21"/>
        </w:rPr>
        <w:t>；</w:t>
      </w:r>
      <w:r>
        <w:rPr>
          <w:rFonts w:ascii="Times New Roman" w:hAnsi="Times New Roman"/>
          <w:szCs w:val="21"/>
        </w:rPr>
        <w:t>（重点）</w:t>
      </w:r>
    </w:p>
    <w:p>
      <w:pPr>
        <w:pStyle w:val="12"/>
        <w:spacing w:line="360" w:lineRule="auto"/>
        <w:ind w:left="426"/>
        <w:jc w:val="left"/>
        <w:rPr>
          <w:rFonts w:ascii="Times New Roman" w:hAnsi="Times New Roman"/>
          <w:szCs w:val="21"/>
        </w:rPr>
      </w:pPr>
      <w:r>
        <w:rPr>
          <w:rFonts w:ascii="Times New Roman" w:hAnsi="Times New Roman"/>
          <w:szCs w:val="21"/>
        </w:rPr>
        <w:t>4.2、电阻应变片的结构、类型及参数；</w:t>
      </w:r>
    </w:p>
    <w:p>
      <w:pPr>
        <w:pStyle w:val="12"/>
        <w:spacing w:line="360" w:lineRule="auto"/>
        <w:ind w:left="426"/>
        <w:jc w:val="left"/>
        <w:rPr>
          <w:rFonts w:ascii="Times New Roman" w:hAnsi="Times New Roman"/>
          <w:szCs w:val="21"/>
        </w:rPr>
      </w:pPr>
      <w:r>
        <w:rPr>
          <w:rFonts w:ascii="Times New Roman" w:hAnsi="Times New Roman"/>
          <w:szCs w:val="21"/>
        </w:rPr>
        <w:t>4.3、应变片的动态响应特性；</w:t>
      </w:r>
    </w:p>
    <w:p>
      <w:pPr>
        <w:pStyle w:val="12"/>
        <w:spacing w:line="360" w:lineRule="auto"/>
        <w:ind w:left="426"/>
        <w:jc w:val="left"/>
        <w:rPr>
          <w:rFonts w:ascii="Times New Roman" w:hAnsi="Times New Roman"/>
          <w:szCs w:val="21"/>
        </w:rPr>
      </w:pPr>
      <w:r>
        <w:rPr>
          <w:rFonts w:ascii="Times New Roman" w:hAnsi="Times New Roman"/>
          <w:szCs w:val="21"/>
        </w:rPr>
        <w:t>4.4、学会测量电路（1/4桥、 1/2桥、全桥）；（重点）</w:t>
      </w:r>
    </w:p>
    <w:p>
      <w:pPr>
        <w:pStyle w:val="12"/>
        <w:spacing w:line="360" w:lineRule="auto"/>
        <w:ind w:left="426"/>
        <w:jc w:val="left"/>
        <w:rPr>
          <w:rFonts w:ascii="Times New Roman" w:hAnsi="Times New Roman"/>
          <w:szCs w:val="21"/>
        </w:rPr>
      </w:pPr>
      <w:r>
        <w:rPr>
          <w:rFonts w:ascii="Times New Roman" w:hAnsi="Times New Roman"/>
          <w:szCs w:val="21"/>
        </w:rPr>
        <w:t>4.5、应变式传感器的结构设计及应用。（难点）</w:t>
      </w:r>
    </w:p>
    <w:p>
      <w:pPr>
        <w:widowControl/>
        <w:spacing w:line="360" w:lineRule="auto"/>
        <w:ind w:left="426"/>
        <w:jc w:val="left"/>
        <w:rPr>
          <w:szCs w:val="21"/>
        </w:rPr>
      </w:pPr>
      <w:r>
        <w:rPr>
          <w:rFonts w:cs="宋体"/>
          <w:bCs/>
          <w:snapToGrid w:val="0"/>
          <w:kern w:val="0"/>
          <w:szCs w:val="21"/>
        </w:rPr>
        <w:t>本章内容支撑课程目标</w:t>
      </w:r>
      <w:r>
        <w:rPr>
          <w:rFonts w:hint="eastAsia" w:cs="宋体"/>
          <w:bCs/>
          <w:snapToGrid w:val="0"/>
          <w:kern w:val="0"/>
          <w:szCs w:val="21"/>
        </w:rPr>
        <w:t>1</w:t>
      </w:r>
    </w:p>
    <w:p>
      <w:pPr>
        <w:pStyle w:val="12"/>
        <w:spacing w:line="360" w:lineRule="auto"/>
        <w:ind w:left="426"/>
        <w:jc w:val="left"/>
        <w:rPr>
          <w:rFonts w:ascii="Times New Roman" w:hAnsi="Times New Roman"/>
          <w:szCs w:val="21"/>
        </w:rPr>
      </w:pPr>
      <w:r>
        <w:rPr>
          <w:rFonts w:ascii="Times New Roman" w:hAnsi="Times New Roman" w:eastAsia="黑体"/>
          <w:szCs w:val="21"/>
        </w:rPr>
        <w:t>5  电容式传感器（</w:t>
      </w:r>
      <w:r>
        <w:rPr>
          <w:rFonts w:hint="eastAsia" w:ascii="Times New Roman" w:hAnsi="Times New Roman" w:eastAsia="黑体"/>
          <w:szCs w:val="21"/>
        </w:rPr>
        <w:t>2</w:t>
      </w:r>
      <w:r>
        <w:rPr>
          <w:rFonts w:ascii="Times New Roman" w:hAnsi="Times New Roman" w:eastAsia="黑体"/>
          <w:szCs w:val="21"/>
        </w:rPr>
        <w:t>学时）</w:t>
      </w:r>
    </w:p>
    <w:p>
      <w:pPr>
        <w:pStyle w:val="12"/>
        <w:spacing w:line="360" w:lineRule="auto"/>
        <w:ind w:left="426"/>
        <w:jc w:val="left"/>
        <w:rPr>
          <w:rFonts w:ascii="Times New Roman" w:hAnsi="Times New Roman"/>
          <w:szCs w:val="21"/>
        </w:rPr>
      </w:pPr>
      <w:r>
        <w:rPr>
          <w:rFonts w:ascii="Times New Roman" w:hAnsi="Times New Roman"/>
          <w:szCs w:val="21"/>
        </w:rPr>
        <w:t>5.1、电容式传感器工作原理；（重点、难点）</w:t>
      </w:r>
    </w:p>
    <w:p>
      <w:pPr>
        <w:pStyle w:val="12"/>
        <w:spacing w:line="360" w:lineRule="auto"/>
        <w:ind w:left="426"/>
        <w:jc w:val="left"/>
        <w:rPr>
          <w:rFonts w:ascii="Times New Roman" w:hAnsi="Times New Roman"/>
          <w:szCs w:val="21"/>
        </w:rPr>
      </w:pPr>
      <w:r>
        <w:rPr>
          <w:rFonts w:ascii="Times New Roman" w:hAnsi="Times New Roman"/>
          <w:szCs w:val="21"/>
        </w:rPr>
        <w:t>5.2、电容式传感器的输出电路及等效电路；（重点）</w:t>
      </w:r>
    </w:p>
    <w:p>
      <w:pPr>
        <w:pStyle w:val="12"/>
        <w:spacing w:line="360" w:lineRule="auto"/>
        <w:ind w:left="426"/>
        <w:jc w:val="left"/>
        <w:rPr>
          <w:rFonts w:ascii="Times New Roman" w:hAnsi="Times New Roman"/>
          <w:szCs w:val="21"/>
        </w:rPr>
      </w:pPr>
      <w:r>
        <w:rPr>
          <w:rFonts w:ascii="Times New Roman" w:hAnsi="Times New Roman"/>
          <w:szCs w:val="21"/>
        </w:rPr>
        <w:t>5.3、影响电容传感器精度的因素及提高精度的措施；</w:t>
      </w:r>
    </w:p>
    <w:p>
      <w:pPr>
        <w:pStyle w:val="12"/>
        <w:spacing w:line="360" w:lineRule="auto"/>
        <w:ind w:left="426"/>
        <w:jc w:val="left"/>
        <w:rPr>
          <w:rFonts w:ascii="Times New Roman" w:hAnsi="Times New Roman"/>
          <w:szCs w:val="21"/>
        </w:rPr>
      </w:pPr>
      <w:r>
        <w:rPr>
          <w:rFonts w:ascii="Times New Roman" w:hAnsi="Times New Roman"/>
          <w:szCs w:val="21"/>
        </w:rPr>
        <w:t>5.4、电容式传感器的应用。</w:t>
      </w:r>
    </w:p>
    <w:p>
      <w:pPr>
        <w:widowControl/>
        <w:spacing w:line="360" w:lineRule="auto"/>
        <w:ind w:left="426"/>
        <w:jc w:val="left"/>
        <w:rPr>
          <w:szCs w:val="21"/>
        </w:rPr>
      </w:pPr>
      <w:r>
        <w:rPr>
          <w:rFonts w:cs="宋体"/>
          <w:bCs/>
          <w:snapToGrid w:val="0"/>
          <w:kern w:val="0"/>
          <w:szCs w:val="21"/>
        </w:rPr>
        <w:t>本章内容支撑课程目标</w:t>
      </w:r>
      <w:r>
        <w:rPr>
          <w:rFonts w:hint="eastAsia" w:cs="宋体"/>
          <w:bCs/>
          <w:snapToGrid w:val="0"/>
          <w:kern w:val="0"/>
          <w:szCs w:val="21"/>
        </w:rPr>
        <w:t>1、4</w:t>
      </w:r>
    </w:p>
    <w:p>
      <w:pPr>
        <w:pStyle w:val="12"/>
        <w:tabs>
          <w:tab w:val="right" w:leader="dot" w:pos="8385"/>
        </w:tabs>
        <w:spacing w:line="360" w:lineRule="auto"/>
        <w:ind w:left="426"/>
        <w:jc w:val="left"/>
        <w:rPr>
          <w:rFonts w:ascii="Times New Roman" w:hAnsi="Times New Roman" w:eastAsia="黑体"/>
          <w:szCs w:val="21"/>
        </w:rPr>
      </w:pPr>
      <w:r>
        <w:rPr>
          <w:rFonts w:ascii="Times New Roman" w:hAnsi="Times New Roman" w:eastAsia="黑体"/>
          <w:szCs w:val="21"/>
        </w:rPr>
        <w:t>6  压电式传感器（4学时）</w:t>
      </w:r>
    </w:p>
    <w:p>
      <w:pPr>
        <w:pStyle w:val="12"/>
        <w:tabs>
          <w:tab w:val="right" w:leader="dot" w:pos="8385"/>
        </w:tabs>
        <w:spacing w:line="360" w:lineRule="auto"/>
        <w:ind w:left="426"/>
        <w:jc w:val="left"/>
        <w:rPr>
          <w:rFonts w:ascii="Times New Roman" w:hAnsi="Times New Roman"/>
          <w:szCs w:val="21"/>
        </w:rPr>
      </w:pPr>
      <w:r>
        <w:rPr>
          <w:rFonts w:ascii="Times New Roman" w:hAnsi="Times New Roman"/>
          <w:szCs w:val="21"/>
        </w:rPr>
        <w:t>6.1、压电式传感器的工作原理；（重点）</w:t>
      </w:r>
    </w:p>
    <w:p>
      <w:pPr>
        <w:pStyle w:val="12"/>
        <w:tabs>
          <w:tab w:val="right" w:leader="dot" w:pos="8385"/>
        </w:tabs>
        <w:spacing w:line="360" w:lineRule="auto"/>
        <w:ind w:left="426"/>
        <w:jc w:val="left"/>
        <w:rPr>
          <w:rFonts w:ascii="Times New Roman" w:hAnsi="Times New Roman"/>
          <w:szCs w:val="21"/>
        </w:rPr>
      </w:pPr>
      <w:r>
        <w:rPr>
          <w:rFonts w:ascii="Times New Roman" w:hAnsi="Times New Roman"/>
          <w:szCs w:val="21"/>
        </w:rPr>
        <w:t>6.2、压电元件常用结构形式；</w:t>
      </w:r>
    </w:p>
    <w:p>
      <w:pPr>
        <w:pStyle w:val="12"/>
        <w:tabs>
          <w:tab w:val="right" w:leader="dot" w:pos="8385"/>
        </w:tabs>
        <w:spacing w:line="360" w:lineRule="auto"/>
        <w:ind w:left="426"/>
        <w:jc w:val="left"/>
        <w:rPr>
          <w:rFonts w:ascii="Times New Roman" w:hAnsi="Times New Roman"/>
          <w:szCs w:val="21"/>
        </w:rPr>
      </w:pPr>
      <w:r>
        <w:rPr>
          <w:rFonts w:ascii="Times New Roman" w:hAnsi="Times New Roman"/>
          <w:szCs w:val="21"/>
        </w:rPr>
        <w:t>6.3、压电元件的等效电路及测量电路；（难点）</w:t>
      </w:r>
    </w:p>
    <w:p>
      <w:pPr>
        <w:pStyle w:val="12"/>
        <w:tabs>
          <w:tab w:val="right" w:leader="dot" w:pos="8385"/>
        </w:tabs>
        <w:spacing w:line="360" w:lineRule="auto"/>
        <w:ind w:left="426"/>
        <w:jc w:val="left"/>
        <w:rPr>
          <w:rFonts w:ascii="Times New Roman" w:hAnsi="Times New Roman"/>
          <w:szCs w:val="21"/>
        </w:rPr>
      </w:pPr>
      <w:r>
        <w:rPr>
          <w:rFonts w:ascii="Times New Roman" w:hAnsi="Times New Roman"/>
          <w:szCs w:val="21"/>
        </w:rPr>
        <w:t>6.4、电式加速度传感器设计及应用；</w:t>
      </w:r>
    </w:p>
    <w:p>
      <w:pPr>
        <w:pStyle w:val="12"/>
        <w:spacing w:line="360" w:lineRule="auto"/>
        <w:ind w:left="426"/>
        <w:jc w:val="left"/>
        <w:rPr>
          <w:rFonts w:ascii="Times New Roman" w:hAnsi="Times New Roman"/>
          <w:szCs w:val="21"/>
        </w:rPr>
      </w:pPr>
      <w:r>
        <w:rPr>
          <w:rFonts w:ascii="Times New Roman" w:hAnsi="Times New Roman"/>
          <w:szCs w:val="21"/>
        </w:rPr>
        <w:t>6.5、压电式压力传感器设计及应用。</w:t>
      </w:r>
    </w:p>
    <w:p>
      <w:pPr>
        <w:widowControl/>
        <w:spacing w:line="360" w:lineRule="auto"/>
        <w:ind w:left="426"/>
        <w:jc w:val="left"/>
        <w:rPr>
          <w:szCs w:val="21"/>
        </w:rPr>
      </w:pPr>
      <w:r>
        <w:rPr>
          <w:rFonts w:cs="宋体"/>
          <w:bCs/>
          <w:snapToGrid w:val="0"/>
          <w:kern w:val="0"/>
          <w:szCs w:val="21"/>
        </w:rPr>
        <w:t>本章内容支撑课程目标</w:t>
      </w:r>
      <w:r>
        <w:rPr>
          <w:rFonts w:hint="eastAsia" w:cs="宋体"/>
          <w:bCs/>
          <w:snapToGrid w:val="0"/>
          <w:kern w:val="0"/>
          <w:szCs w:val="21"/>
        </w:rPr>
        <w:t>2</w:t>
      </w:r>
    </w:p>
    <w:p>
      <w:pPr>
        <w:pStyle w:val="12"/>
        <w:tabs>
          <w:tab w:val="right" w:leader="dot" w:pos="8385"/>
        </w:tabs>
        <w:spacing w:line="360" w:lineRule="auto"/>
        <w:ind w:left="426"/>
        <w:jc w:val="left"/>
        <w:rPr>
          <w:rFonts w:ascii="Times New Roman" w:hAnsi="Times New Roman"/>
          <w:szCs w:val="21"/>
        </w:rPr>
      </w:pPr>
      <w:r>
        <w:rPr>
          <w:rFonts w:ascii="Times New Roman" w:hAnsi="Times New Roman" w:eastAsia="黑体"/>
          <w:szCs w:val="21"/>
        </w:rPr>
        <w:t>7  电感式传感器（4学时）</w:t>
      </w:r>
    </w:p>
    <w:p>
      <w:pPr>
        <w:pStyle w:val="12"/>
        <w:tabs>
          <w:tab w:val="right" w:leader="dot" w:pos="8385"/>
        </w:tabs>
        <w:spacing w:line="360" w:lineRule="auto"/>
        <w:ind w:left="426"/>
        <w:jc w:val="left"/>
        <w:rPr>
          <w:rFonts w:ascii="Times New Roman" w:hAnsi="Times New Roman"/>
          <w:szCs w:val="21"/>
        </w:rPr>
      </w:pPr>
      <w:r>
        <w:rPr>
          <w:rFonts w:ascii="Times New Roman" w:hAnsi="Times New Roman"/>
          <w:szCs w:val="21"/>
        </w:rPr>
        <w:t>7.1、电感式传感器工作原理；（重点）</w:t>
      </w:r>
    </w:p>
    <w:p>
      <w:pPr>
        <w:pStyle w:val="12"/>
        <w:tabs>
          <w:tab w:val="right" w:leader="dot" w:pos="8385"/>
        </w:tabs>
        <w:spacing w:line="360" w:lineRule="auto"/>
        <w:ind w:left="426"/>
        <w:jc w:val="left"/>
        <w:rPr>
          <w:rFonts w:ascii="Times New Roman" w:hAnsi="Times New Roman"/>
          <w:szCs w:val="21"/>
        </w:rPr>
      </w:pPr>
      <w:r>
        <w:rPr>
          <w:rFonts w:ascii="Times New Roman" w:hAnsi="Times New Roman"/>
          <w:szCs w:val="21"/>
        </w:rPr>
        <w:t>7.2、差动变压器式电感传感器工作原理；（难点）</w:t>
      </w:r>
    </w:p>
    <w:p>
      <w:pPr>
        <w:pStyle w:val="12"/>
        <w:tabs>
          <w:tab w:val="right" w:leader="dot" w:pos="8385"/>
        </w:tabs>
        <w:spacing w:line="360" w:lineRule="auto"/>
        <w:ind w:left="426"/>
        <w:jc w:val="left"/>
        <w:rPr>
          <w:rFonts w:ascii="Times New Roman" w:hAnsi="Times New Roman"/>
          <w:szCs w:val="21"/>
        </w:rPr>
      </w:pPr>
      <w:r>
        <w:rPr>
          <w:rFonts w:ascii="Times New Roman" w:hAnsi="Times New Roman"/>
          <w:szCs w:val="21"/>
        </w:rPr>
        <w:t>7.3、电涡流式传感器工作原理；（难点）</w:t>
      </w:r>
    </w:p>
    <w:p>
      <w:pPr>
        <w:pStyle w:val="12"/>
        <w:spacing w:line="360" w:lineRule="auto"/>
        <w:ind w:left="426"/>
        <w:jc w:val="left"/>
        <w:rPr>
          <w:rFonts w:ascii="Times New Roman" w:hAnsi="Times New Roman"/>
          <w:szCs w:val="21"/>
        </w:rPr>
      </w:pPr>
      <w:r>
        <w:rPr>
          <w:rFonts w:ascii="Times New Roman" w:hAnsi="Times New Roman"/>
          <w:szCs w:val="21"/>
        </w:rPr>
        <w:t>7.4、电感式传感器的应用。</w:t>
      </w:r>
    </w:p>
    <w:p>
      <w:pPr>
        <w:widowControl/>
        <w:spacing w:line="360" w:lineRule="auto"/>
        <w:ind w:left="426"/>
        <w:jc w:val="left"/>
        <w:rPr>
          <w:szCs w:val="21"/>
        </w:rPr>
      </w:pPr>
      <w:r>
        <w:rPr>
          <w:rFonts w:cs="宋体"/>
          <w:bCs/>
          <w:snapToGrid w:val="0"/>
          <w:kern w:val="0"/>
          <w:szCs w:val="21"/>
        </w:rPr>
        <w:t>本章内容支撑课程目标</w:t>
      </w:r>
      <w:r>
        <w:rPr>
          <w:rFonts w:hint="eastAsia" w:cs="宋体"/>
          <w:bCs/>
          <w:snapToGrid w:val="0"/>
          <w:kern w:val="0"/>
          <w:szCs w:val="21"/>
        </w:rPr>
        <w:t>1、3</w:t>
      </w:r>
    </w:p>
    <w:p>
      <w:pPr>
        <w:pStyle w:val="12"/>
        <w:spacing w:line="360" w:lineRule="auto"/>
        <w:ind w:left="426"/>
        <w:jc w:val="left"/>
        <w:rPr>
          <w:rFonts w:ascii="Times New Roman" w:hAnsi="Times New Roman"/>
          <w:szCs w:val="21"/>
        </w:rPr>
      </w:pPr>
      <w:r>
        <w:rPr>
          <w:rFonts w:ascii="Times New Roman" w:hAnsi="Times New Roman" w:eastAsia="黑体"/>
          <w:szCs w:val="21"/>
        </w:rPr>
        <w:t>8  压阻式传感器（4学时）</w:t>
      </w:r>
    </w:p>
    <w:p>
      <w:pPr>
        <w:pStyle w:val="12"/>
        <w:tabs>
          <w:tab w:val="right" w:leader="dot" w:pos="8385"/>
        </w:tabs>
        <w:spacing w:line="360" w:lineRule="auto"/>
        <w:ind w:left="426"/>
        <w:jc w:val="left"/>
        <w:rPr>
          <w:rFonts w:ascii="Times New Roman" w:hAnsi="Times New Roman"/>
          <w:szCs w:val="21"/>
        </w:rPr>
      </w:pPr>
      <w:r>
        <w:rPr>
          <w:rFonts w:ascii="Times New Roman" w:hAnsi="Times New Roman"/>
          <w:szCs w:val="21"/>
        </w:rPr>
        <w:t>8.1、压阻式传感器的工作原理；（重点）</w:t>
      </w:r>
    </w:p>
    <w:p>
      <w:pPr>
        <w:pStyle w:val="12"/>
        <w:tabs>
          <w:tab w:val="right" w:leader="dot" w:pos="8385"/>
        </w:tabs>
        <w:spacing w:line="360" w:lineRule="auto"/>
        <w:ind w:left="426"/>
        <w:jc w:val="left"/>
        <w:rPr>
          <w:rFonts w:ascii="Times New Roman" w:hAnsi="Times New Roman"/>
          <w:szCs w:val="21"/>
        </w:rPr>
      </w:pPr>
      <w:r>
        <w:rPr>
          <w:rFonts w:ascii="Times New Roman" w:hAnsi="Times New Roman"/>
          <w:szCs w:val="21"/>
        </w:rPr>
        <w:t>8.2、晶向的表示方法；</w:t>
      </w:r>
    </w:p>
    <w:p>
      <w:pPr>
        <w:pStyle w:val="12"/>
        <w:tabs>
          <w:tab w:val="right" w:leader="dot" w:pos="8385"/>
        </w:tabs>
        <w:spacing w:line="360" w:lineRule="auto"/>
        <w:ind w:left="426"/>
        <w:jc w:val="left"/>
        <w:rPr>
          <w:rFonts w:ascii="Times New Roman" w:hAnsi="Times New Roman"/>
          <w:szCs w:val="21"/>
        </w:rPr>
      </w:pPr>
      <w:r>
        <w:rPr>
          <w:rFonts w:ascii="Times New Roman" w:hAnsi="Times New Roman"/>
          <w:szCs w:val="21"/>
        </w:rPr>
        <w:t>8.3、压阻系数；</w:t>
      </w:r>
    </w:p>
    <w:p>
      <w:pPr>
        <w:pStyle w:val="12"/>
        <w:tabs>
          <w:tab w:val="right" w:leader="dot" w:pos="8385"/>
        </w:tabs>
        <w:spacing w:line="360" w:lineRule="auto"/>
        <w:ind w:left="426"/>
        <w:jc w:val="left"/>
        <w:rPr>
          <w:rFonts w:ascii="Times New Roman" w:hAnsi="Times New Roman"/>
          <w:szCs w:val="21"/>
        </w:rPr>
      </w:pPr>
      <w:r>
        <w:rPr>
          <w:rFonts w:ascii="Times New Roman" w:hAnsi="Times New Roman"/>
          <w:szCs w:val="21"/>
        </w:rPr>
        <w:t>8.4、影响压阻系数的因素；</w:t>
      </w:r>
    </w:p>
    <w:p>
      <w:pPr>
        <w:pStyle w:val="12"/>
        <w:tabs>
          <w:tab w:val="right" w:leader="dot" w:pos="8385"/>
        </w:tabs>
        <w:spacing w:line="360" w:lineRule="auto"/>
        <w:ind w:left="426"/>
        <w:jc w:val="left"/>
        <w:rPr>
          <w:rFonts w:ascii="Times New Roman" w:hAnsi="Times New Roman"/>
          <w:szCs w:val="21"/>
        </w:rPr>
      </w:pPr>
      <w:r>
        <w:rPr>
          <w:rFonts w:ascii="Times New Roman" w:hAnsi="Times New Roman"/>
          <w:szCs w:val="21"/>
        </w:rPr>
        <w:t>8.5、压阻式传感器的结构与设计；（难点）</w:t>
      </w:r>
    </w:p>
    <w:p>
      <w:pPr>
        <w:pStyle w:val="12"/>
        <w:spacing w:line="360" w:lineRule="auto"/>
        <w:ind w:left="426"/>
        <w:jc w:val="left"/>
        <w:rPr>
          <w:rFonts w:ascii="Times New Roman" w:hAnsi="Times New Roman"/>
          <w:szCs w:val="21"/>
        </w:rPr>
      </w:pPr>
      <w:r>
        <w:rPr>
          <w:rFonts w:ascii="Times New Roman" w:hAnsi="Times New Roman"/>
          <w:szCs w:val="21"/>
        </w:rPr>
        <w:t>8.6、压阻式传感器的测量电路及补偿；</w:t>
      </w:r>
    </w:p>
    <w:p>
      <w:pPr>
        <w:pStyle w:val="12"/>
        <w:spacing w:line="360" w:lineRule="auto"/>
        <w:ind w:left="426"/>
        <w:jc w:val="left"/>
        <w:rPr>
          <w:rFonts w:ascii="Times New Roman" w:hAnsi="Times New Roman"/>
          <w:szCs w:val="21"/>
        </w:rPr>
      </w:pPr>
      <w:r>
        <w:rPr>
          <w:rFonts w:ascii="Times New Roman" w:hAnsi="Times New Roman"/>
          <w:szCs w:val="21"/>
        </w:rPr>
        <w:t>8.7、压阻式传感器的应用。</w:t>
      </w:r>
    </w:p>
    <w:p>
      <w:pPr>
        <w:widowControl/>
        <w:spacing w:line="360" w:lineRule="auto"/>
        <w:ind w:left="426"/>
        <w:jc w:val="left"/>
        <w:rPr>
          <w:szCs w:val="21"/>
        </w:rPr>
      </w:pPr>
      <w:r>
        <w:rPr>
          <w:rFonts w:cs="宋体"/>
          <w:bCs/>
          <w:snapToGrid w:val="0"/>
          <w:kern w:val="0"/>
          <w:szCs w:val="21"/>
        </w:rPr>
        <w:t>本章内容支撑课程目标</w:t>
      </w:r>
      <w:r>
        <w:rPr>
          <w:rFonts w:hint="eastAsia" w:cs="宋体"/>
          <w:bCs/>
          <w:snapToGrid w:val="0"/>
          <w:kern w:val="0"/>
          <w:szCs w:val="21"/>
        </w:rPr>
        <w:t>1、3</w:t>
      </w:r>
    </w:p>
    <w:p>
      <w:pPr>
        <w:pStyle w:val="12"/>
        <w:spacing w:line="360" w:lineRule="auto"/>
        <w:ind w:left="426"/>
        <w:jc w:val="left"/>
        <w:rPr>
          <w:szCs w:val="21"/>
        </w:rPr>
      </w:pPr>
      <w:r>
        <w:rPr>
          <w:rFonts w:eastAsia="黑体"/>
          <w:szCs w:val="21"/>
        </w:rPr>
        <w:t>9  热电式传感器（2学时）</w:t>
      </w:r>
    </w:p>
    <w:p>
      <w:pPr>
        <w:tabs>
          <w:tab w:val="right" w:leader="dot" w:pos="8385"/>
        </w:tabs>
        <w:spacing w:line="360" w:lineRule="auto"/>
        <w:ind w:left="426"/>
        <w:jc w:val="left"/>
        <w:rPr>
          <w:szCs w:val="21"/>
        </w:rPr>
      </w:pPr>
      <w:r>
        <w:rPr>
          <w:szCs w:val="21"/>
        </w:rPr>
        <w:t>9.1、热电偶原理及应用；（重点）</w:t>
      </w:r>
    </w:p>
    <w:p>
      <w:pPr>
        <w:tabs>
          <w:tab w:val="right" w:leader="dot" w:pos="8385"/>
        </w:tabs>
        <w:spacing w:line="360" w:lineRule="auto"/>
        <w:ind w:left="426"/>
        <w:jc w:val="left"/>
        <w:rPr>
          <w:szCs w:val="21"/>
        </w:rPr>
      </w:pPr>
      <w:r>
        <w:rPr>
          <w:szCs w:val="21"/>
        </w:rPr>
        <w:t>9.2、热电阻原理及应用；</w:t>
      </w:r>
    </w:p>
    <w:p>
      <w:pPr>
        <w:tabs>
          <w:tab w:val="right" w:leader="dot" w:pos="8385"/>
        </w:tabs>
        <w:spacing w:line="360" w:lineRule="auto"/>
        <w:ind w:left="426"/>
        <w:jc w:val="left"/>
        <w:rPr>
          <w:szCs w:val="21"/>
        </w:rPr>
      </w:pPr>
      <w:r>
        <w:rPr>
          <w:szCs w:val="21"/>
        </w:rPr>
        <w:t>9.3、热敏电阻原理及应用。</w:t>
      </w:r>
    </w:p>
    <w:p>
      <w:pPr>
        <w:widowControl/>
        <w:spacing w:line="360" w:lineRule="auto"/>
        <w:ind w:left="426"/>
        <w:jc w:val="left"/>
        <w:rPr>
          <w:szCs w:val="21"/>
        </w:rPr>
      </w:pPr>
      <w:r>
        <w:rPr>
          <w:rFonts w:cs="宋体"/>
          <w:bCs/>
          <w:snapToGrid w:val="0"/>
          <w:kern w:val="0"/>
          <w:szCs w:val="21"/>
        </w:rPr>
        <w:t>本章内容支撑课程目标</w:t>
      </w:r>
      <w:r>
        <w:rPr>
          <w:rFonts w:hint="eastAsia" w:cs="宋体"/>
          <w:bCs/>
          <w:snapToGrid w:val="0"/>
          <w:kern w:val="0"/>
          <w:szCs w:val="21"/>
        </w:rPr>
        <w:t>1</w:t>
      </w:r>
    </w:p>
    <w:p>
      <w:pPr>
        <w:pStyle w:val="12"/>
        <w:tabs>
          <w:tab w:val="right" w:leader="dot" w:pos="8385"/>
        </w:tabs>
        <w:spacing w:line="360" w:lineRule="auto"/>
        <w:ind w:left="426"/>
        <w:jc w:val="left"/>
        <w:rPr>
          <w:rFonts w:ascii="Times New Roman" w:hAnsi="Times New Roman"/>
          <w:szCs w:val="21"/>
        </w:rPr>
      </w:pPr>
      <w:r>
        <w:rPr>
          <w:rFonts w:ascii="Times New Roman" w:hAnsi="Times New Roman" w:eastAsia="黑体"/>
          <w:szCs w:val="21"/>
        </w:rPr>
        <w:t>10  光电式传感器（2学时）</w:t>
      </w:r>
    </w:p>
    <w:p>
      <w:pPr>
        <w:pStyle w:val="12"/>
        <w:tabs>
          <w:tab w:val="right" w:leader="dot" w:pos="8385"/>
        </w:tabs>
        <w:spacing w:line="360" w:lineRule="auto"/>
        <w:ind w:left="426"/>
        <w:jc w:val="left"/>
        <w:rPr>
          <w:rFonts w:ascii="Times New Roman" w:hAnsi="Times New Roman"/>
          <w:szCs w:val="21"/>
        </w:rPr>
      </w:pPr>
      <w:r>
        <w:rPr>
          <w:rFonts w:ascii="Times New Roman" w:hAnsi="Times New Roman"/>
          <w:szCs w:val="21"/>
        </w:rPr>
        <w:t>10.1、光电式传感器的工作原理及基本组成；（重点）</w:t>
      </w:r>
    </w:p>
    <w:p>
      <w:pPr>
        <w:pStyle w:val="12"/>
        <w:tabs>
          <w:tab w:val="right" w:leader="dot" w:pos="8385"/>
        </w:tabs>
        <w:spacing w:line="360" w:lineRule="auto"/>
        <w:ind w:left="426"/>
        <w:jc w:val="left"/>
        <w:rPr>
          <w:rFonts w:ascii="Times New Roman" w:hAnsi="Times New Roman"/>
          <w:szCs w:val="21"/>
        </w:rPr>
      </w:pPr>
      <w:r>
        <w:rPr>
          <w:rFonts w:ascii="Times New Roman" w:hAnsi="Times New Roman"/>
          <w:szCs w:val="21"/>
        </w:rPr>
        <w:t>10.2、光电式传感器中的敏感元件；</w:t>
      </w:r>
    </w:p>
    <w:p>
      <w:pPr>
        <w:tabs>
          <w:tab w:val="right" w:leader="dot" w:pos="8385"/>
        </w:tabs>
        <w:spacing w:line="360" w:lineRule="auto"/>
        <w:ind w:left="426"/>
        <w:jc w:val="left"/>
        <w:rPr>
          <w:szCs w:val="21"/>
        </w:rPr>
      </w:pPr>
      <w:r>
        <w:rPr>
          <w:szCs w:val="21"/>
        </w:rPr>
        <w:t>10.3、光电式传感器的类型及设计；</w:t>
      </w:r>
    </w:p>
    <w:p>
      <w:pPr>
        <w:tabs>
          <w:tab w:val="right" w:leader="dot" w:pos="8385"/>
        </w:tabs>
        <w:spacing w:line="360" w:lineRule="auto"/>
        <w:ind w:left="426"/>
        <w:jc w:val="left"/>
        <w:rPr>
          <w:szCs w:val="21"/>
        </w:rPr>
      </w:pPr>
      <w:r>
        <w:rPr>
          <w:szCs w:val="21"/>
        </w:rPr>
        <w:t>10.4、光电式传感器的应用。</w:t>
      </w:r>
    </w:p>
    <w:p>
      <w:pPr>
        <w:widowControl/>
        <w:spacing w:line="360" w:lineRule="auto"/>
        <w:ind w:left="426"/>
        <w:jc w:val="left"/>
        <w:rPr>
          <w:szCs w:val="21"/>
        </w:rPr>
      </w:pPr>
      <w:r>
        <w:rPr>
          <w:rFonts w:cs="宋体"/>
          <w:bCs/>
          <w:snapToGrid w:val="0"/>
          <w:kern w:val="0"/>
          <w:szCs w:val="21"/>
        </w:rPr>
        <w:t>本章内容支撑课程目标</w:t>
      </w:r>
      <w:r>
        <w:rPr>
          <w:rFonts w:hint="eastAsia" w:cs="宋体"/>
          <w:bCs/>
          <w:snapToGrid w:val="0"/>
          <w:kern w:val="0"/>
          <w:szCs w:val="21"/>
        </w:rPr>
        <w:t>1、4</w:t>
      </w:r>
    </w:p>
    <w:p>
      <w:pPr>
        <w:pStyle w:val="12"/>
        <w:tabs>
          <w:tab w:val="right" w:leader="dot" w:pos="8385"/>
        </w:tabs>
        <w:spacing w:line="360" w:lineRule="auto"/>
        <w:ind w:left="426"/>
        <w:jc w:val="left"/>
        <w:rPr>
          <w:rFonts w:ascii="Times New Roman" w:hAnsi="Times New Roman" w:eastAsia="黑体"/>
          <w:szCs w:val="21"/>
        </w:rPr>
      </w:pPr>
      <w:r>
        <w:rPr>
          <w:rFonts w:ascii="Times New Roman" w:hAnsi="Times New Roman" w:eastAsia="黑体"/>
          <w:szCs w:val="21"/>
        </w:rPr>
        <w:t>11  固态磁敏传感器（2学时）</w:t>
      </w:r>
    </w:p>
    <w:p>
      <w:pPr>
        <w:pStyle w:val="12"/>
        <w:tabs>
          <w:tab w:val="right" w:leader="dot" w:pos="8385"/>
        </w:tabs>
        <w:spacing w:line="360" w:lineRule="auto"/>
        <w:ind w:left="426"/>
        <w:jc w:val="left"/>
        <w:rPr>
          <w:rFonts w:ascii="Times New Roman" w:hAnsi="Times New Roman"/>
          <w:szCs w:val="21"/>
        </w:rPr>
      </w:pPr>
      <w:r>
        <w:rPr>
          <w:rFonts w:ascii="Times New Roman" w:hAnsi="Times New Roman"/>
          <w:szCs w:val="21"/>
        </w:rPr>
        <w:t>11.1、固态磁敏传感器；（重点）</w:t>
      </w:r>
    </w:p>
    <w:p>
      <w:pPr>
        <w:tabs>
          <w:tab w:val="right" w:leader="dot" w:pos="8385"/>
        </w:tabs>
        <w:spacing w:line="360" w:lineRule="auto"/>
        <w:ind w:left="426"/>
        <w:jc w:val="left"/>
        <w:rPr>
          <w:szCs w:val="21"/>
        </w:rPr>
      </w:pPr>
      <w:r>
        <w:rPr>
          <w:szCs w:val="21"/>
        </w:rPr>
        <w:t>11.2、磁敏二极管和磁敏三极管。</w:t>
      </w:r>
    </w:p>
    <w:p>
      <w:pPr>
        <w:widowControl/>
        <w:spacing w:line="360" w:lineRule="auto"/>
        <w:ind w:left="426"/>
        <w:jc w:val="left"/>
        <w:rPr>
          <w:szCs w:val="21"/>
        </w:rPr>
      </w:pPr>
      <w:r>
        <w:rPr>
          <w:rFonts w:cs="宋体"/>
          <w:bCs/>
          <w:snapToGrid w:val="0"/>
          <w:kern w:val="0"/>
          <w:szCs w:val="21"/>
        </w:rPr>
        <w:t>本章内容支撑课程目标</w:t>
      </w:r>
      <w:r>
        <w:rPr>
          <w:rFonts w:hint="eastAsia" w:cs="宋体"/>
          <w:bCs/>
          <w:snapToGrid w:val="0"/>
          <w:kern w:val="0"/>
          <w:szCs w:val="21"/>
        </w:rPr>
        <w:t>1</w:t>
      </w:r>
    </w:p>
    <w:p>
      <w:pPr>
        <w:pStyle w:val="12"/>
        <w:tabs>
          <w:tab w:val="right" w:leader="dot" w:pos="8385"/>
        </w:tabs>
        <w:spacing w:line="360" w:lineRule="auto"/>
        <w:ind w:left="426"/>
        <w:jc w:val="left"/>
        <w:rPr>
          <w:rFonts w:ascii="Times New Roman" w:hAnsi="Times New Roman"/>
        </w:rPr>
      </w:pPr>
      <w:r>
        <w:rPr>
          <w:rFonts w:ascii="Times New Roman" w:hAnsi="Times New Roman" w:eastAsia="黑体"/>
        </w:rPr>
        <w:t>12  光导纤维传感器</w:t>
      </w:r>
      <w:r>
        <w:rPr>
          <w:rFonts w:ascii="Times New Roman" w:hAnsi="Times New Roman" w:eastAsia="黑体"/>
          <w:szCs w:val="21"/>
        </w:rPr>
        <w:t>（2学时）</w:t>
      </w:r>
    </w:p>
    <w:p>
      <w:pPr>
        <w:pStyle w:val="12"/>
        <w:tabs>
          <w:tab w:val="right" w:leader="dot" w:pos="8385"/>
        </w:tabs>
        <w:spacing w:line="360" w:lineRule="auto"/>
        <w:ind w:left="426"/>
        <w:jc w:val="left"/>
        <w:rPr>
          <w:rFonts w:ascii="Times New Roman" w:hAnsi="Times New Roman"/>
          <w:szCs w:val="21"/>
        </w:rPr>
      </w:pPr>
      <w:r>
        <w:rPr>
          <w:rFonts w:ascii="Times New Roman" w:hAnsi="Times New Roman"/>
          <w:szCs w:val="21"/>
        </w:rPr>
        <w:t>12.1、光导纤维工作原理；（重点）</w:t>
      </w:r>
    </w:p>
    <w:p>
      <w:pPr>
        <w:pStyle w:val="12"/>
        <w:tabs>
          <w:tab w:val="right" w:leader="dot" w:pos="8385"/>
        </w:tabs>
        <w:spacing w:line="360" w:lineRule="auto"/>
        <w:ind w:left="426"/>
        <w:jc w:val="left"/>
        <w:rPr>
          <w:rFonts w:ascii="Times New Roman" w:hAnsi="Times New Roman"/>
          <w:szCs w:val="21"/>
        </w:rPr>
      </w:pPr>
      <w:r>
        <w:rPr>
          <w:rFonts w:ascii="Times New Roman" w:hAnsi="Times New Roman"/>
          <w:szCs w:val="21"/>
        </w:rPr>
        <w:t>12.2、反射式光纤传感器的应用。（难点）</w:t>
      </w:r>
    </w:p>
    <w:p>
      <w:pPr>
        <w:widowControl/>
        <w:spacing w:line="360" w:lineRule="auto"/>
        <w:ind w:left="426"/>
        <w:jc w:val="left"/>
        <w:rPr>
          <w:rFonts w:cs="宋体"/>
          <w:bCs/>
          <w:snapToGrid w:val="0"/>
          <w:kern w:val="0"/>
          <w:szCs w:val="21"/>
        </w:rPr>
      </w:pPr>
      <w:r>
        <w:rPr>
          <w:rFonts w:cs="宋体"/>
          <w:bCs/>
          <w:snapToGrid w:val="0"/>
          <w:kern w:val="0"/>
          <w:szCs w:val="21"/>
        </w:rPr>
        <w:t>本章内容支撑课程目标</w:t>
      </w:r>
      <w:r>
        <w:rPr>
          <w:rFonts w:hint="eastAsia" w:cs="宋体"/>
          <w:bCs/>
          <w:snapToGrid w:val="0"/>
          <w:kern w:val="0"/>
          <w:szCs w:val="21"/>
        </w:rPr>
        <w:t>1</w:t>
      </w:r>
    </w:p>
    <w:p>
      <w:pPr>
        <w:widowControl/>
        <w:spacing w:line="360" w:lineRule="auto"/>
        <w:ind w:left="426"/>
        <w:jc w:val="left"/>
        <w:rPr>
          <w:szCs w:val="21"/>
        </w:rPr>
      </w:pPr>
    </w:p>
    <w:p>
      <w:pPr>
        <w:tabs>
          <w:tab w:val="left" w:pos="420"/>
        </w:tabs>
        <w:adjustRightInd w:val="0"/>
        <w:snapToGrid w:val="0"/>
        <w:spacing w:line="360" w:lineRule="auto"/>
        <w:ind w:left="420" w:hanging="420"/>
        <w:rPr>
          <w:rFonts w:eastAsia="黑体"/>
          <w:szCs w:val="21"/>
        </w:rPr>
      </w:pPr>
      <w:r>
        <w:rPr>
          <w:rFonts w:eastAsia="黑体"/>
          <w:szCs w:val="21"/>
        </w:rPr>
        <w:t>五、实验内容</w:t>
      </w:r>
    </w:p>
    <w:p>
      <w:pPr>
        <w:pStyle w:val="12"/>
        <w:spacing w:line="360" w:lineRule="auto"/>
        <w:ind w:firstLine="420"/>
        <w:rPr>
          <w:rFonts w:ascii="Times New Roman" w:hAnsi="Times New Roman" w:eastAsia="黑体"/>
          <w:szCs w:val="21"/>
        </w:rPr>
      </w:pPr>
      <w:r>
        <w:rPr>
          <w:rFonts w:ascii="Times New Roman" w:hAnsi="Times New Roman" w:eastAsia="黑体"/>
          <w:szCs w:val="21"/>
        </w:rPr>
        <w:t>实验一应变式传感器静态特性试验（2学时）</w:t>
      </w:r>
    </w:p>
    <w:p>
      <w:pPr>
        <w:pStyle w:val="12"/>
        <w:spacing w:line="360" w:lineRule="auto"/>
        <w:ind w:firstLine="420"/>
        <w:rPr>
          <w:rFonts w:ascii="Times New Roman" w:hAnsi="Times New Roman"/>
          <w:szCs w:val="21"/>
        </w:rPr>
      </w:pPr>
      <w:r>
        <w:rPr>
          <w:rFonts w:ascii="Times New Roman" w:hAnsi="Times New Roman"/>
          <w:szCs w:val="21"/>
        </w:rPr>
        <w:t>1、应变式传感器原理应变效应；</w:t>
      </w:r>
    </w:p>
    <w:p>
      <w:pPr>
        <w:pStyle w:val="12"/>
        <w:spacing w:line="360" w:lineRule="auto"/>
        <w:ind w:firstLine="420" w:firstLineChars="200"/>
        <w:rPr>
          <w:rFonts w:ascii="Times New Roman" w:hAnsi="Times New Roman"/>
          <w:szCs w:val="21"/>
        </w:rPr>
      </w:pPr>
      <w:r>
        <w:rPr>
          <w:rFonts w:ascii="Times New Roman" w:hAnsi="Times New Roman"/>
          <w:szCs w:val="21"/>
        </w:rPr>
        <w:t>2、比较应变式传感器1/4</w:t>
      </w:r>
      <w:r>
        <w:rPr>
          <w:rFonts w:hint="eastAsia" w:ascii="Times New Roman" w:hAnsi="Times New Roman"/>
          <w:szCs w:val="21"/>
        </w:rPr>
        <w:t>桥</w:t>
      </w:r>
      <w:r>
        <w:rPr>
          <w:rFonts w:ascii="Times New Roman" w:hAnsi="Times New Roman"/>
          <w:szCs w:val="21"/>
        </w:rPr>
        <w:t>、1/2</w:t>
      </w:r>
      <w:r>
        <w:rPr>
          <w:rFonts w:hint="eastAsia" w:ascii="Times New Roman" w:hAnsi="Times New Roman"/>
          <w:szCs w:val="21"/>
        </w:rPr>
        <w:t>桥</w:t>
      </w:r>
      <w:r>
        <w:rPr>
          <w:rFonts w:ascii="Times New Roman" w:hAnsi="Times New Roman"/>
          <w:szCs w:val="21"/>
        </w:rPr>
        <w:t>、全桥输出特点；</w:t>
      </w:r>
    </w:p>
    <w:p>
      <w:pPr>
        <w:pStyle w:val="12"/>
        <w:spacing w:line="360" w:lineRule="auto"/>
        <w:ind w:firstLine="420"/>
        <w:rPr>
          <w:rFonts w:ascii="Times New Roman" w:hAnsi="Times New Roman"/>
          <w:szCs w:val="21"/>
        </w:rPr>
      </w:pPr>
      <w:r>
        <w:rPr>
          <w:rFonts w:ascii="Times New Roman" w:hAnsi="Times New Roman"/>
          <w:szCs w:val="21"/>
        </w:rPr>
        <w:t>3、学习应变式传感器静态特性。</w:t>
      </w:r>
    </w:p>
    <w:p>
      <w:pPr>
        <w:widowControl/>
        <w:spacing w:line="360" w:lineRule="auto"/>
        <w:ind w:left="426"/>
        <w:jc w:val="left"/>
        <w:rPr>
          <w:szCs w:val="21"/>
        </w:rPr>
      </w:pPr>
      <w:r>
        <w:rPr>
          <w:rFonts w:cs="宋体"/>
          <w:bCs/>
          <w:snapToGrid w:val="0"/>
          <w:kern w:val="0"/>
          <w:szCs w:val="21"/>
        </w:rPr>
        <w:t>本</w:t>
      </w:r>
      <w:r>
        <w:rPr>
          <w:rFonts w:hint="eastAsia" w:cs="宋体"/>
          <w:bCs/>
          <w:snapToGrid w:val="0"/>
          <w:kern w:val="0"/>
          <w:szCs w:val="21"/>
        </w:rPr>
        <w:t>实验</w:t>
      </w:r>
      <w:r>
        <w:rPr>
          <w:rFonts w:cs="宋体"/>
          <w:bCs/>
          <w:snapToGrid w:val="0"/>
          <w:kern w:val="0"/>
          <w:szCs w:val="21"/>
        </w:rPr>
        <w:t>内容支撑课程目标</w:t>
      </w:r>
      <w:r>
        <w:rPr>
          <w:rFonts w:hint="eastAsia" w:cs="宋体"/>
          <w:bCs/>
          <w:snapToGrid w:val="0"/>
          <w:kern w:val="0"/>
          <w:szCs w:val="21"/>
        </w:rPr>
        <w:t>1、4</w:t>
      </w:r>
    </w:p>
    <w:p>
      <w:pPr>
        <w:pStyle w:val="12"/>
        <w:spacing w:line="360" w:lineRule="auto"/>
        <w:ind w:firstLine="420"/>
        <w:rPr>
          <w:rFonts w:ascii="Times New Roman" w:hAnsi="Times New Roman" w:eastAsia="黑体"/>
          <w:szCs w:val="21"/>
        </w:rPr>
      </w:pPr>
      <w:r>
        <w:rPr>
          <w:rFonts w:ascii="Times New Roman" w:hAnsi="Times New Roman" w:eastAsia="黑体"/>
          <w:szCs w:val="21"/>
        </w:rPr>
        <w:t>实验二差动变压器式传感器试验（2学时）</w:t>
      </w:r>
    </w:p>
    <w:p>
      <w:pPr>
        <w:pStyle w:val="12"/>
        <w:spacing w:line="360" w:lineRule="auto"/>
        <w:ind w:firstLine="420"/>
        <w:rPr>
          <w:rFonts w:ascii="Times New Roman" w:hAnsi="Times New Roman"/>
          <w:szCs w:val="21"/>
        </w:rPr>
      </w:pPr>
      <w:r>
        <w:rPr>
          <w:rFonts w:ascii="Times New Roman" w:hAnsi="Times New Roman"/>
          <w:szCs w:val="21"/>
        </w:rPr>
        <w:t>1、差动变压器式传感器工作原理；</w:t>
      </w:r>
    </w:p>
    <w:p>
      <w:pPr>
        <w:pStyle w:val="12"/>
        <w:spacing w:line="360" w:lineRule="auto"/>
        <w:ind w:firstLine="420" w:firstLineChars="200"/>
        <w:rPr>
          <w:rFonts w:ascii="Times New Roman" w:hAnsi="Times New Roman"/>
          <w:szCs w:val="21"/>
        </w:rPr>
      </w:pPr>
      <w:r>
        <w:rPr>
          <w:rFonts w:ascii="Times New Roman" w:hAnsi="Times New Roman"/>
          <w:szCs w:val="21"/>
        </w:rPr>
        <w:t>2、通过静态位移量输入学会差动变压器式传感器静态特性的标定方法；</w:t>
      </w:r>
    </w:p>
    <w:p>
      <w:pPr>
        <w:pStyle w:val="12"/>
        <w:spacing w:line="360" w:lineRule="auto"/>
        <w:ind w:firstLine="420"/>
        <w:rPr>
          <w:rFonts w:ascii="Times New Roman" w:hAnsi="Times New Roman"/>
          <w:szCs w:val="21"/>
        </w:rPr>
      </w:pPr>
      <w:r>
        <w:rPr>
          <w:rFonts w:ascii="Times New Roman" w:hAnsi="Times New Roman"/>
          <w:szCs w:val="21"/>
        </w:rPr>
        <w:t>3、差动变压器式传感器用于动态振动测试的方法。</w:t>
      </w:r>
    </w:p>
    <w:p>
      <w:pPr>
        <w:widowControl/>
        <w:spacing w:line="360" w:lineRule="auto"/>
        <w:ind w:left="426"/>
        <w:jc w:val="left"/>
        <w:rPr>
          <w:szCs w:val="21"/>
        </w:rPr>
      </w:pPr>
      <w:r>
        <w:rPr>
          <w:rFonts w:cs="宋体"/>
          <w:bCs/>
          <w:snapToGrid w:val="0"/>
          <w:kern w:val="0"/>
          <w:szCs w:val="21"/>
        </w:rPr>
        <w:t>本</w:t>
      </w:r>
      <w:r>
        <w:rPr>
          <w:rFonts w:hint="eastAsia" w:cs="宋体"/>
          <w:bCs/>
          <w:snapToGrid w:val="0"/>
          <w:kern w:val="0"/>
          <w:szCs w:val="21"/>
        </w:rPr>
        <w:t>实验</w:t>
      </w:r>
      <w:r>
        <w:rPr>
          <w:rFonts w:cs="宋体"/>
          <w:bCs/>
          <w:snapToGrid w:val="0"/>
          <w:kern w:val="0"/>
          <w:szCs w:val="21"/>
        </w:rPr>
        <w:t>内容支撑课程目标</w:t>
      </w:r>
      <w:r>
        <w:rPr>
          <w:rFonts w:hint="eastAsia" w:cs="宋体"/>
          <w:bCs/>
          <w:snapToGrid w:val="0"/>
          <w:kern w:val="0"/>
          <w:szCs w:val="21"/>
        </w:rPr>
        <w:t>2、4</w:t>
      </w:r>
    </w:p>
    <w:p>
      <w:pPr>
        <w:pStyle w:val="12"/>
        <w:spacing w:line="360" w:lineRule="auto"/>
        <w:ind w:firstLine="420" w:firstLineChars="200"/>
        <w:rPr>
          <w:rFonts w:ascii="Times New Roman" w:hAnsi="Times New Roman" w:eastAsia="黑体"/>
          <w:szCs w:val="21"/>
        </w:rPr>
      </w:pPr>
      <w:r>
        <w:rPr>
          <w:rFonts w:ascii="Times New Roman" w:hAnsi="Times New Roman" w:eastAsia="黑体"/>
          <w:szCs w:val="21"/>
        </w:rPr>
        <w:t>实验三电涡流传感器标定与测位移试验（2学时）</w:t>
      </w:r>
    </w:p>
    <w:p>
      <w:pPr>
        <w:pStyle w:val="12"/>
        <w:spacing w:line="360" w:lineRule="auto"/>
        <w:ind w:firstLine="420" w:firstLineChars="200"/>
        <w:rPr>
          <w:rFonts w:ascii="Times New Roman" w:hAnsi="Times New Roman"/>
          <w:szCs w:val="21"/>
        </w:rPr>
      </w:pPr>
      <w:r>
        <w:rPr>
          <w:rFonts w:ascii="Times New Roman" w:hAnsi="Times New Roman"/>
          <w:szCs w:val="21"/>
        </w:rPr>
        <w:t>1、电涡流传感器工作原理；</w:t>
      </w:r>
    </w:p>
    <w:p>
      <w:pPr>
        <w:pStyle w:val="12"/>
        <w:spacing w:line="360" w:lineRule="auto"/>
        <w:ind w:firstLine="420" w:firstLineChars="200"/>
        <w:rPr>
          <w:rFonts w:ascii="Times New Roman" w:hAnsi="Times New Roman"/>
          <w:szCs w:val="21"/>
        </w:rPr>
      </w:pPr>
      <w:r>
        <w:rPr>
          <w:rFonts w:ascii="Times New Roman" w:hAnsi="Times New Roman"/>
          <w:szCs w:val="21"/>
        </w:rPr>
        <w:t>2、通过静态位移量输入学会电涡流传感器静态特性的标定方法；</w:t>
      </w:r>
    </w:p>
    <w:p>
      <w:pPr>
        <w:pStyle w:val="12"/>
        <w:spacing w:line="360" w:lineRule="auto"/>
        <w:ind w:firstLine="420" w:firstLineChars="200"/>
        <w:rPr>
          <w:rFonts w:ascii="Times New Roman" w:hAnsi="Times New Roman"/>
          <w:szCs w:val="21"/>
        </w:rPr>
      </w:pPr>
      <w:r>
        <w:rPr>
          <w:rFonts w:ascii="Times New Roman" w:hAnsi="Times New Roman"/>
          <w:szCs w:val="21"/>
        </w:rPr>
        <w:t>3、电涡流传感器用于动态振动测试的方法；</w:t>
      </w:r>
    </w:p>
    <w:p>
      <w:pPr>
        <w:pStyle w:val="12"/>
        <w:spacing w:line="360" w:lineRule="auto"/>
        <w:ind w:firstLine="420"/>
        <w:rPr>
          <w:rFonts w:ascii="Times New Roman" w:hAnsi="Times New Roman"/>
          <w:szCs w:val="21"/>
        </w:rPr>
      </w:pPr>
      <w:r>
        <w:rPr>
          <w:rFonts w:ascii="Times New Roman" w:hAnsi="Times New Roman"/>
          <w:szCs w:val="21"/>
        </w:rPr>
        <w:t>4、区分出电涡流传感器与差动变压器式传感器测振的不同点。</w:t>
      </w:r>
    </w:p>
    <w:p>
      <w:pPr>
        <w:widowControl/>
        <w:spacing w:line="360" w:lineRule="auto"/>
        <w:ind w:left="426"/>
        <w:jc w:val="left"/>
        <w:rPr>
          <w:szCs w:val="21"/>
        </w:rPr>
      </w:pPr>
      <w:r>
        <w:rPr>
          <w:rFonts w:cs="宋体"/>
          <w:bCs/>
          <w:snapToGrid w:val="0"/>
          <w:kern w:val="0"/>
          <w:szCs w:val="21"/>
        </w:rPr>
        <w:t>本</w:t>
      </w:r>
      <w:r>
        <w:rPr>
          <w:rFonts w:hint="eastAsia" w:cs="宋体"/>
          <w:bCs/>
          <w:snapToGrid w:val="0"/>
          <w:kern w:val="0"/>
          <w:szCs w:val="21"/>
        </w:rPr>
        <w:t>实验</w:t>
      </w:r>
      <w:r>
        <w:rPr>
          <w:rFonts w:cs="宋体"/>
          <w:bCs/>
          <w:snapToGrid w:val="0"/>
          <w:kern w:val="0"/>
          <w:szCs w:val="21"/>
        </w:rPr>
        <w:t>内容支撑课程目标</w:t>
      </w:r>
      <w:r>
        <w:rPr>
          <w:rFonts w:hint="eastAsia" w:cs="宋体"/>
          <w:bCs/>
          <w:snapToGrid w:val="0"/>
          <w:kern w:val="0"/>
          <w:szCs w:val="21"/>
        </w:rPr>
        <w:t>2、4</w:t>
      </w:r>
    </w:p>
    <w:p>
      <w:pPr>
        <w:pStyle w:val="12"/>
        <w:spacing w:line="360" w:lineRule="auto"/>
        <w:ind w:firstLine="420" w:firstLineChars="200"/>
        <w:rPr>
          <w:rFonts w:ascii="Times New Roman" w:hAnsi="Times New Roman" w:eastAsia="黑体"/>
          <w:szCs w:val="21"/>
        </w:rPr>
      </w:pPr>
      <w:r>
        <w:rPr>
          <w:rFonts w:ascii="Times New Roman" w:hAnsi="Times New Roman" w:eastAsia="黑体"/>
          <w:szCs w:val="21"/>
        </w:rPr>
        <w:t>实验四霍尔传感器特性标定试验（2学时）</w:t>
      </w:r>
    </w:p>
    <w:p>
      <w:pPr>
        <w:pStyle w:val="12"/>
        <w:spacing w:line="360" w:lineRule="auto"/>
        <w:ind w:firstLine="420" w:firstLineChars="200"/>
        <w:rPr>
          <w:rFonts w:ascii="Times New Roman" w:hAnsi="Times New Roman"/>
          <w:szCs w:val="21"/>
        </w:rPr>
      </w:pPr>
      <w:r>
        <w:rPr>
          <w:rFonts w:ascii="Times New Roman" w:hAnsi="Times New Roman"/>
          <w:szCs w:val="21"/>
        </w:rPr>
        <w:t>1、霍尔传感器工作原理霍尔效应；</w:t>
      </w:r>
    </w:p>
    <w:p>
      <w:pPr>
        <w:pStyle w:val="12"/>
        <w:spacing w:line="360" w:lineRule="auto"/>
        <w:ind w:firstLine="420"/>
        <w:rPr>
          <w:rFonts w:ascii="Times New Roman" w:hAnsi="Times New Roman"/>
          <w:szCs w:val="21"/>
        </w:rPr>
      </w:pPr>
      <w:r>
        <w:rPr>
          <w:rFonts w:ascii="Times New Roman" w:hAnsi="Times New Roman"/>
          <w:szCs w:val="21"/>
        </w:rPr>
        <w:t>2、通过静态位移量输入学习霍尔传感器工作特性；</w:t>
      </w:r>
    </w:p>
    <w:p>
      <w:pPr>
        <w:widowControl/>
        <w:spacing w:line="360" w:lineRule="auto"/>
        <w:ind w:left="426"/>
        <w:jc w:val="left"/>
        <w:rPr>
          <w:szCs w:val="21"/>
        </w:rPr>
      </w:pPr>
      <w:r>
        <w:rPr>
          <w:rFonts w:cs="宋体"/>
          <w:bCs/>
          <w:snapToGrid w:val="0"/>
          <w:kern w:val="0"/>
          <w:szCs w:val="21"/>
        </w:rPr>
        <w:t>本</w:t>
      </w:r>
      <w:r>
        <w:rPr>
          <w:rFonts w:hint="eastAsia" w:cs="宋体"/>
          <w:bCs/>
          <w:snapToGrid w:val="0"/>
          <w:kern w:val="0"/>
          <w:szCs w:val="21"/>
        </w:rPr>
        <w:t>实验</w:t>
      </w:r>
      <w:r>
        <w:rPr>
          <w:rFonts w:cs="宋体"/>
          <w:bCs/>
          <w:snapToGrid w:val="0"/>
          <w:kern w:val="0"/>
          <w:szCs w:val="21"/>
        </w:rPr>
        <w:t>内容支撑课程目标</w:t>
      </w:r>
      <w:r>
        <w:rPr>
          <w:rFonts w:hint="eastAsia" w:cs="宋体"/>
          <w:bCs/>
          <w:snapToGrid w:val="0"/>
          <w:kern w:val="0"/>
          <w:szCs w:val="21"/>
        </w:rPr>
        <w:t>1、4</w:t>
      </w:r>
    </w:p>
    <w:p>
      <w:pPr>
        <w:pStyle w:val="12"/>
        <w:spacing w:line="360" w:lineRule="auto"/>
        <w:ind w:firstLine="420" w:firstLineChars="200"/>
        <w:rPr>
          <w:rFonts w:ascii="Times New Roman" w:hAnsi="Times New Roman" w:eastAsia="黑体"/>
          <w:szCs w:val="21"/>
        </w:rPr>
      </w:pPr>
      <w:r>
        <w:rPr>
          <w:rFonts w:ascii="Times New Roman" w:hAnsi="Times New Roman" w:eastAsia="黑体"/>
          <w:szCs w:val="21"/>
        </w:rPr>
        <w:t>实验五反射光纤位移传感器特性实验试验（2学时）</w:t>
      </w:r>
    </w:p>
    <w:p>
      <w:pPr>
        <w:pStyle w:val="12"/>
        <w:spacing w:line="360" w:lineRule="auto"/>
        <w:ind w:firstLine="420" w:firstLineChars="200"/>
        <w:rPr>
          <w:rFonts w:ascii="Times New Roman" w:hAnsi="Times New Roman"/>
          <w:szCs w:val="21"/>
        </w:rPr>
      </w:pPr>
      <w:r>
        <w:rPr>
          <w:rFonts w:ascii="Times New Roman" w:hAnsi="Times New Roman"/>
          <w:szCs w:val="21"/>
        </w:rPr>
        <w:t>1、反射光纤位移传感器工作原理；</w:t>
      </w:r>
    </w:p>
    <w:p>
      <w:pPr>
        <w:pStyle w:val="12"/>
        <w:spacing w:line="360" w:lineRule="auto"/>
        <w:ind w:firstLine="420" w:firstLineChars="200"/>
        <w:rPr>
          <w:rFonts w:ascii="Times New Roman" w:hAnsi="Times New Roman"/>
          <w:szCs w:val="21"/>
        </w:rPr>
      </w:pPr>
      <w:r>
        <w:rPr>
          <w:rFonts w:ascii="Times New Roman" w:hAnsi="Times New Roman"/>
          <w:szCs w:val="21"/>
        </w:rPr>
        <w:t>2、通过静态位移量输入学会反射光纤位移传感器静态特性的标定方法；</w:t>
      </w:r>
    </w:p>
    <w:p>
      <w:pPr>
        <w:pStyle w:val="12"/>
        <w:spacing w:line="360" w:lineRule="auto"/>
        <w:ind w:firstLine="420" w:firstLineChars="200"/>
        <w:rPr>
          <w:rFonts w:ascii="Times New Roman" w:hAnsi="Times New Roman"/>
          <w:szCs w:val="21"/>
        </w:rPr>
      </w:pPr>
      <w:r>
        <w:rPr>
          <w:rFonts w:ascii="Times New Roman" w:hAnsi="Times New Roman"/>
          <w:szCs w:val="21"/>
        </w:rPr>
        <w:t>3、反射光纤位移传感器用于动态振动测试的方法。</w:t>
      </w:r>
    </w:p>
    <w:p>
      <w:pPr>
        <w:widowControl/>
        <w:spacing w:line="360" w:lineRule="auto"/>
        <w:ind w:left="426"/>
        <w:jc w:val="left"/>
        <w:rPr>
          <w:rFonts w:cs="宋体"/>
          <w:bCs/>
          <w:snapToGrid w:val="0"/>
          <w:kern w:val="0"/>
          <w:szCs w:val="21"/>
        </w:rPr>
      </w:pPr>
      <w:r>
        <w:rPr>
          <w:rFonts w:cs="宋体"/>
          <w:bCs/>
          <w:snapToGrid w:val="0"/>
          <w:kern w:val="0"/>
          <w:szCs w:val="21"/>
        </w:rPr>
        <w:t>本</w:t>
      </w:r>
      <w:r>
        <w:rPr>
          <w:rFonts w:hint="eastAsia" w:cs="宋体"/>
          <w:bCs/>
          <w:snapToGrid w:val="0"/>
          <w:kern w:val="0"/>
          <w:szCs w:val="21"/>
        </w:rPr>
        <w:t>实验</w:t>
      </w:r>
      <w:r>
        <w:rPr>
          <w:rFonts w:cs="宋体"/>
          <w:bCs/>
          <w:snapToGrid w:val="0"/>
          <w:kern w:val="0"/>
          <w:szCs w:val="21"/>
        </w:rPr>
        <w:t>内容支撑课程目标</w:t>
      </w:r>
      <w:r>
        <w:rPr>
          <w:rFonts w:hint="eastAsia" w:cs="宋体"/>
          <w:bCs/>
          <w:snapToGrid w:val="0"/>
          <w:kern w:val="0"/>
          <w:szCs w:val="21"/>
        </w:rPr>
        <w:t>1、4</w:t>
      </w:r>
    </w:p>
    <w:p>
      <w:pPr>
        <w:widowControl/>
        <w:spacing w:line="360" w:lineRule="auto"/>
        <w:jc w:val="left"/>
        <w:rPr>
          <w:szCs w:val="21"/>
        </w:rPr>
      </w:pPr>
    </w:p>
    <w:p>
      <w:pPr>
        <w:tabs>
          <w:tab w:val="left" w:pos="420"/>
        </w:tabs>
        <w:adjustRightInd w:val="0"/>
        <w:snapToGrid w:val="0"/>
        <w:spacing w:line="360" w:lineRule="auto"/>
        <w:ind w:left="420" w:hanging="420"/>
        <w:rPr>
          <w:rFonts w:eastAsia="黑体"/>
          <w:szCs w:val="21"/>
        </w:rPr>
      </w:pPr>
      <w:r>
        <w:rPr>
          <w:rFonts w:eastAsia="黑体"/>
          <w:szCs w:val="21"/>
        </w:rPr>
        <w:t>六、学时分配</w:t>
      </w:r>
    </w:p>
    <w:tbl>
      <w:tblPr>
        <w:tblStyle w:val="19"/>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773"/>
        <w:gridCol w:w="1704"/>
        <w:gridCol w:w="1946"/>
        <w:gridCol w:w="110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212"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知识点及内容</w:t>
            </w:r>
          </w:p>
        </w:tc>
        <w:tc>
          <w:tcPr>
            <w:tcW w:w="999"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讲授（学时）</w:t>
            </w:r>
          </w:p>
        </w:tc>
        <w:tc>
          <w:tcPr>
            <w:tcW w:w="1141"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实验（学时）</w:t>
            </w:r>
          </w:p>
        </w:tc>
        <w:tc>
          <w:tcPr>
            <w:tcW w:w="648"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小计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212"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1 传感器概述</w:t>
            </w:r>
          </w:p>
        </w:tc>
        <w:tc>
          <w:tcPr>
            <w:tcW w:w="999"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2</w:t>
            </w:r>
          </w:p>
        </w:tc>
        <w:tc>
          <w:tcPr>
            <w:tcW w:w="1141" w:type="pct"/>
            <w:vAlign w:val="center"/>
          </w:tcPr>
          <w:p>
            <w:pPr>
              <w:pStyle w:val="12"/>
              <w:adjustRightInd w:val="0"/>
              <w:snapToGrid w:val="0"/>
              <w:jc w:val="center"/>
              <w:rPr>
                <w:rFonts w:ascii="Times New Roman" w:hAnsi="Times New Roman"/>
                <w:sz w:val="18"/>
                <w:szCs w:val="18"/>
              </w:rPr>
            </w:pPr>
            <w:r>
              <w:rPr>
                <w:rFonts w:hint="eastAsia" w:ascii="Times New Roman" w:hAnsi="Times New Roman"/>
                <w:sz w:val="18"/>
                <w:szCs w:val="18"/>
              </w:rPr>
              <w:t>0</w:t>
            </w:r>
          </w:p>
        </w:tc>
        <w:tc>
          <w:tcPr>
            <w:tcW w:w="648"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212"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2 传感器的特性及标定</w:t>
            </w:r>
          </w:p>
        </w:tc>
        <w:tc>
          <w:tcPr>
            <w:tcW w:w="999"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6</w:t>
            </w:r>
          </w:p>
        </w:tc>
        <w:tc>
          <w:tcPr>
            <w:tcW w:w="1141"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2</w:t>
            </w:r>
          </w:p>
        </w:tc>
        <w:tc>
          <w:tcPr>
            <w:tcW w:w="648"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212"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3 传感器中的弹性敏感元件设计</w:t>
            </w:r>
          </w:p>
        </w:tc>
        <w:tc>
          <w:tcPr>
            <w:tcW w:w="999"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3</w:t>
            </w:r>
          </w:p>
        </w:tc>
        <w:tc>
          <w:tcPr>
            <w:tcW w:w="1141" w:type="pct"/>
            <w:vAlign w:val="center"/>
          </w:tcPr>
          <w:p>
            <w:pPr>
              <w:pStyle w:val="12"/>
              <w:adjustRightInd w:val="0"/>
              <w:snapToGrid w:val="0"/>
              <w:jc w:val="center"/>
              <w:rPr>
                <w:rFonts w:ascii="Times New Roman" w:hAnsi="Times New Roman"/>
                <w:sz w:val="18"/>
                <w:szCs w:val="18"/>
              </w:rPr>
            </w:pPr>
            <w:r>
              <w:rPr>
                <w:rFonts w:hint="eastAsia" w:ascii="Times New Roman" w:hAnsi="Times New Roman"/>
                <w:sz w:val="18"/>
                <w:szCs w:val="18"/>
              </w:rPr>
              <w:t>0</w:t>
            </w:r>
          </w:p>
        </w:tc>
        <w:tc>
          <w:tcPr>
            <w:tcW w:w="648"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212"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4 电阻应变式传感器</w:t>
            </w:r>
          </w:p>
        </w:tc>
        <w:tc>
          <w:tcPr>
            <w:tcW w:w="999"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4</w:t>
            </w:r>
          </w:p>
        </w:tc>
        <w:tc>
          <w:tcPr>
            <w:tcW w:w="1141"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2</w:t>
            </w:r>
          </w:p>
        </w:tc>
        <w:tc>
          <w:tcPr>
            <w:tcW w:w="648"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212"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5 电容式传感器</w:t>
            </w:r>
          </w:p>
        </w:tc>
        <w:tc>
          <w:tcPr>
            <w:tcW w:w="999"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3</w:t>
            </w:r>
          </w:p>
        </w:tc>
        <w:tc>
          <w:tcPr>
            <w:tcW w:w="1141" w:type="pct"/>
            <w:vAlign w:val="center"/>
          </w:tcPr>
          <w:p>
            <w:pPr>
              <w:pStyle w:val="12"/>
              <w:adjustRightInd w:val="0"/>
              <w:snapToGrid w:val="0"/>
              <w:jc w:val="center"/>
              <w:rPr>
                <w:rFonts w:ascii="Times New Roman" w:hAnsi="Times New Roman"/>
                <w:sz w:val="18"/>
                <w:szCs w:val="18"/>
              </w:rPr>
            </w:pPr>
            <w:r>
              <w:rPr>
                <w:rFonts w:hint="eastAsia" w:ascii="Times New Roman" w:hAnsi="Times New Roman"/>
                <w:sz w:val="18"/>
                <w:szCs w:val="18"/>
              </w:rPr>
              <w:t>0</w:t>
            </w:r>
          </w:p>
        </w:tc>
        <w:tc>
          <w:tcPr>
            <w:tcW w:w="648"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212"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6 压电式传感器</w:t>
            </w:r>
          </w:p>
        </w:tc>
        <w:tc>
          <w:tcPr>
            <w:tcW w:w="999"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4</w:t>
            </w:r>
          </w:p>
        </w:tc>
        <w:tc>
          <w:tcPr>
            <w:tcW w:w="1141" w:type="pct"/>
            <w:vAlign w:val="center"/>
          </w:tcPr>
          <w:p>
            <w:pPr>
              <w:pStyle w:val="12"/>
              <w:adjustRightInd w:val="0"/>
              <w:snapToGrid w:val="0"/>
              <w:jc w:val="center"/>
              <w:rPr>
                <w:rFonts w:ascii="Times New Roman" w:hAnsi="Times New Roman"/>
                <w:sz w:val="18"/>
                <w:szCs w:val="18"/>
              </w:rPr>
            </w:pPr>
            <w:r>
              <w:rPr>
                <w:rFonts w:hint="eastAsia" w:ascii="Times New Roman" w:hAnsi="Times New Roman"/>
                <w:sz w:val="18"/>
                <w:szCs w:val="18"/>
              </w:rPr>
              <w:t>0</w:t>
            </w:r>
          </w:p>
        </w:tc>
        <w:tc>
          <w:tcPr>
            <w:tcW w:w="648"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212"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7 电感式传感器</w:t>
            </w:r>
          </w:p>
        </w:tc>
        <w:tc>
          <w:tcPr>
            <w:tcW w:w="999"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4</w:t>
            </w:r>
          </w:p>
        </w:tc>
        <w:tc>
          <w:tcPr>
            <w:tcW w:w="1141"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2</w:t>
            </w:r>
          </w:p>
        </w:tc>
        <w:tc>
          <w:tcPr>
            <w:tcW w:w="648"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212"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8 压阻式传感器</w:t>
            </w:r>
          </w:p>
        </w:tc>
        <w:tc>
          <w:tcPr>
            <w:tcW w:w="999"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4</w:t>
            </w:r>
          </w:p>
        </w:tc>
        <w:tc>
          <w:tcPr>
            <w:tcW w:w="1141" w:type="pct"/>
            <w:vAlign w:val="center"/>
          </w:tcPr>
          <w:p>
            <w:pPr>
              <w:pStyle w:val="12"/>
              <w:adjustRightInd w:val="0"/>
              <w:snapToGrid w:val="0"/>
              <w:jc w:val="center"/>
              <w:rPr>
                <w:rFonts w:ascii="Times New Roman" w:hAnsi="Times New Roman"/>
                <w:sz w:val="18"/>
                <w:szCs w:val="18"/>
              </w:rPr>
            </w:pPr>
            <w:r>
              <w:rPr>
                <w:rFonts w:hint="eastAsia" w:ascii="Times New Roman" w:hAnsi="Times New Roman"/>
                <w:sz w:val="18"/>
                <w:szCs w:val="18"/>
              </w:rPr>
              <w:t>0</w:t>
            </w:r>
          </w:p>
        </w:tc>
        <w:tc>
          <w:tcPr>
            <w:tcW w:w="648"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212"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9 热电式传感器</w:t>
            </w:r>
          </w:p>
        </w:tc>
        <w:tc>
          <w:tcPr>
            <w:tcW w:w="999"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2</w:t>
            </w:r>
          </w:p>
        </w:tc>
        <w:tc>
          <w:tcPr>
            <w:tcW w:w="1141" w:type="pct"/>
            <w:vAlign w:val="center"/>
          </w:tcPr>
          <w:p>
            <w:pPr>
              <w:pStyle w:val="12"/>
              <w:adjustRightInd w:val="0"/>
              <w:snapToGrid w:val="0"/>
              <w:jc w:val="center"/>
              <w:rPr>
                <w:rFonts w:ascii="Times New Roman" w:hAnsi="Times New Roman"/>
                <w:sz w:val="18"/>
                <w:szCs w:val="18"/>
              </w:rPr>
            </w:pPr>
            <w:r>
              <w:rPr>
                <w:rFonts w:hint="eastAsia" w:ascii="Times New Roman" w:hAnsi="Times New Roman"/>
                <w:sz w:val="18"/>
                <w:szCs w:val="18"/>
              </w:rPr>
              <w:t>0</w:t>
            </w:r>
          </w:p>
        </w:tc>
        <w:tc>
          <w:tcPr>
            <w:tcW w:w="648"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212"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10 光电式传感器</w:t>
            </w:r>
          </w:p>
        </w:tc>
        <w:tc>
          <w:tcPr>
            <w:tcW w:w="999"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2</w:t>
            </w:r>
          </w:p>
        </w:tc>
        <w:tc>
          <w:tcPr>
            <w:tcW w:w="1141" w:type="pct"/>
            <w:vAlign w:val="center"/>
          </w:tcPr>
          <w:p>
            <w:pPr>
              <w:pStyle w:val="12"/>
              <w:adjustRightInd w:val="0"/>
              <w:snapToGrid w:val="0"/>
              <w:jc w:val="center"/>
              <w:rPr>
                <w:rFonts w:ascii="Times New Roman" w:hAnsi="Times New Roman"/>
                <w:sz w:val="18"/>
                <w:szCs w:val="18"/>
              </w:rPr>
            </w:pPr>
            <w:r>
              <w:rPr>
                <w:rFonts w:hint="eastAsia" w:ascii="Times New Roman" w:hAnsi="Times New Roman"/>
                <w:sz w:val="18"/>
                <w:szCs w:val="18"/>
              </w:rPr>
              <w:t>0</w:t>
            </w:r>
          </w:p>
        </w:tc>
        <w:tc>
          <w:tcPr>
            <w:tcW w:w="648"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212"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11 固态磁敏传感器</w:t>
            </w:r>
          </w:p>
        </w:tc>
        <w:tc>
          <w:tcPr>
            <w:tcW w:w="999"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2</w:t>
            </w:r>
          </w:p>
        </w:tc>
        <w:tc>
          <w:tcPr>
            <w:tcW w:w="1141"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2</w:t>
            </w:r>
          </w:p>
        </w:tc>
        <w:tc>
          <w:tcPr>
            <w:tcW w:w="648"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212"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12 光导纤维传感器</w:t>
            </w:r>
          </w:p>
        </w:tc>
        <w:tc>
          <w:tcPr>
            <w:tcW w:w="999"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2</w:t>
            </w:r>
          </w:p>
        </w:tc>
        <w:tc>
          <w:tcPr>
            <w:tcW w:w="1141"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2</w:t>
            </w:r>
          </w:p>
        </w:tc>
        <w:tc>
          <w:tcPr>
            <w:tcW w:w="648"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2212"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合计</w:t>
            </w:r>
          </w:p>
        </w:tc>
        <w:tc>
          <w:tcPr>
            <w:tcW w:w="999"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38</w:t>
            </w:r>
          </w:p>
        </w:tc>
        <w:tc>
          <w:tcPr>
            <w:tcW w:w="1141"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10</w:t>
            </w:r>
          </w:p>
        </w:tc>
        <w:tc>
          <w:tcPr>
            <w:tcW w:w="648" w:type="pct"/>
            <w:vAlign w:val="center"/>
          </w:tcPr>
          <w:p>
            <w:pPr>
              <w:pStyle w:val="12"/>
              <w:adjustRightInd w:val="0"/>
              <w:snapToGrid w:val="0"/>
              <w:jc w:val="center"/>
              <w:rPr>
                <w:rFonts w:ascii="Times New Roman" w:hAnsi="Times New Roman"/>
                <w:sz w:val="18"/>
                <w:szCs w:val="18"/>
              </w:rPr>
            </w:pPr>
            <w:r>
              <w:rPr>
                <w:rFonts w:ascii="Times New Roman" w:hAnsi="Times New Roman"/>
                <w:sz w:val="18"/>
                <w:szCs w:val="18"/>
              </w:rPr>
              <w:t>48</w:t>
            </w:r>
          </w:p>
        </w:tc>
      </w:tr>
    </w:tbl>
    <w:p>
      <w:pPr>
        <w:widowControl/>
        <w:spacing w:line="360" w:lineRule="auto"/>
        <w:jc w:val="left"/>
        <w:rPr>
          <w:rFonts w:eastAsia="黑体"/>
        </w:rPr>
      </w:pPr>
    </w:p>
    <w:p>
      <w:pPr>
        <w:widowControl/>
        <w:spacing w:line="360" w:lineRule="auto"/>
        <w:jc w:val="left"/>
        <w:rPr>
          <w:rFonts w:eastAsia="黑体"/>
        </w:rPr>
      </w:pPr>
      <w:r>
        <w:rPr>
          <w:rFonts w:hint="eastAsia" w:eastAsia="黑体"/>
        </w:rPr>
        <w:t>七、</w:t>
      </w:r>
      <w:r>
        <w:rPr>
          <w:rFonts w:eastAsia="黑体"/>
        </w:rPr>
        <w:t>教材、补充教材及参考资料</w:t>
      </w:r>
    </w:p>
    <w:p>
      <w:pPr>
        <w:pStyle w:val="30"/>
        <w:shd w:val="clear" w:color="auto" w:fill="FFFFFF"/>
        <w:spacing w:before="0" w:beforeAutospacing="0" w:after="0" w:afterAutospacing="0" w:line="360" w:lineRule="auto"/>
        <w:ind w:firstLine="420" w:firstLineChars="200"/>
        <w:rPr>
          <w:rFonts w:ascii="Times New Roman" w:hAnsi="Times New Roman" w:cs="Times New Roman"/>
          <w:sz w:val="21"/>
          <w:szCs w:val="21"/>
        </w:rPr>
      </w:pPr>
      <w:r>
        <w:rPr>
          <w:rFonts w:ascii="Times New Roman" w:hAnsi="Times New Roman" w:cs="Times New Roman"/>
          <w:kern w:val="2"/>
          <w:sz w:val="21"/>
          <w:szCs w:val="21"/>
        </w:rPr>
        <w:t>1、</w:t>
      </w:r>
      <w:r>
        <w:rPr>
          <w:rFonts w:ascii="Times New Roman" w:hAnsi="Times New Roman" w:cs="Times New Roman"/>
          <w:sz w:val="21"/>
          <w:szCs w:val="21"/>
        </w:rPr>
        <w:t>孟立凡</w:t>
      </w:r>
      <w:r>
        <w:rPr>
          <w:rFonts w:hint="eastAsia" w:ascii="Times New Roman" w:hAnsi="Times New Roman" w:cs="Times New Roman"/>
          <w:sz w:val="21"/>
          <w:szCs w:val="21"/>
        </w:rPr>
        <w:t>，</w:t>
      </w:r>
      <w:r>
        <w:rPr>
          <w:rFonts w:ascii="Times New Roman" w:hAnsi="Times New Roman" w:cs="Times New Roman"/>
          <w:sz w:val="21"/>
          <w:szCs w:val="21"/>
        </w:rPr>
        <w:t>蓝金辉主编，《传感器原理与应用（第3版）》</w:t>
      </w:r>
      <w:r>
        <w:rPr>
          <w:rFonts w:ascii="Times New Roman" w:hAnsi="Times New Roman" w:cs="Times New Roman"/>
          <w:spacing w:val="-11"/>
          <w:sz w:val="21"/>
          <w:szCs w:val="21"/>
        </w:rPr>
        <w:t>，ISBN 9787121256875，</w:t>
      </w:r>
      <w:r>
        <w:rPr>
          <w:rFonts w:ascii="Times New Roman" w:hAnsi="Times New Roman" w:cs="Times New Roman"/>
          <w:sz w:val="21"/>
          <w:szCs w:val="21"/>
        </w:rPr>
        <w:t>电子工业出版社，</w:t>
      </w:r>
      <w:r>
        <w:rPr>
          <w:rFonts w:ascii="Times New Roman" w:hAnsi="Times New Roman" w:cs="Times New Roman"/>
          <w:kern w:val="2"/>
          <w:sz w:val="21"/>
          <w:szCs w:val="21"/>
        </w:rPr>
        <w:t>2015</w:t>
      </w:r>
      <w:r>
        <w:rPr>
          <w:rFonts w:ascii="Times New Roman" w:hAnsi="Times New Roman" w:cs="Times New Roman"/>
          <w:spacing w:val="-11"/>
          <w:sz w:val="21"/>
          <w:szCs w:val="21"/>
        </w:rPr>
        <w:t>。</w:t>
      </w:r>
    </w:p>
    <w:p>
      <w:pPr>
        <w:pStyle w:val="30"/>
        <w:shd w:val="clear" w:color="auto" w:fill="FFFFFF"/>
        <w:spacing w:before="0" w:beforeAutospacing="0" w:after="0" w:afterAutospacing="0" w:line="360" w:lineRule="auto"/>
        <w:ind w:firstLine="420" w:firstLineChars="200"/>
        <w:rPr>
          <w:rFonts w:ascii="Times New Roman" w:hAnsi="Times New Roman" w:cs="Times New Roman"/>
          <w:sz w:val="21"/>
          <w:szCs w:val="21"/>
        </w:rPr>
      </w:pPr>
      <w:r>
        <w:rPr>
          <w:rFonts w:ascii="Times New Roman" w:hAnsi="Times New Roman" w:cs="Times New Roman"/>
          <w:kern w:val="2"/>
          <w:sz w:val="21"/>
          <w:szCs w:val="21"/>
        </w:rPr>
        <w:t>2、</w:t>
      </w:r>
      <w:r>
        <w:rPr>
          <w:rFonts w:ascii="Times New Roman" w:hAnsi="Times New Roman" w:cs="Times New Roman"/>
          <w:sz w:val="21"/>
          <w:szCs w:val="21"/>
        </w:rPr>
        <w:t>李克杰等编著，《现代传感技术》，电子工业出版社，</w:t>
      </w:r>
      <w:r>
        <w:rPr>
          <w:rFonts w:ascii="Times New Roman" w:hAnsi="Times New Roman" w:cs="Times New Roman"/>
          <w:spacing w:val="-8"/>
          <w:sz w:val="21"/>
          <w:szCs w:val="21"/>
        </w:rPr>
        <w:t>2005。</w:t>
      </w:r>
    </w:p>
    <w:p>
      <w:pPr>
        <w:pStyle w:val="30"/>
        <w:shd w:val="clear" w:color="auto" w:fill="FFFFFF"/>
        <w:spacing w:before="0" w:beforeAutospacing="0" w:after="0" w:afterAutospacing="0" w:line="360" w:lineRule="auto"/>
        <w:ind w:firstLine="420" w:firstLineChars="200"/>
        <w:rPr>
          <w:rFonts w:ascii="Times New Roman" w:hAnsi="Times New Roman" w:cs="Times New Roman"/>
          <w:spacing w:val="-13"/>
          <w:sz w:val="21"/>
          <w:szCs w:val="21"/>
        </w:rPr>
      </w:pPr>
      <w:r>
        <w:rPr>
          <w:rFonts w:ascii="Times New Roman" w:hAnsi="Times New Roman" w:cs="Times New Roman"/>
          <w:kern w:val="2"/>
          <w:sz w:val="21"/>
          <w:szCs w:val="21"/>
        </w:rPr>
        <w:t>3、</w:t>
      </w:r>
      <w:r>
        <w:rPr>
          <w:rFonts w:ascii="Times New Roman" w:hAnsi="Times New Roman" w:cs="Times New Roman"/>
          <w:kern w:val="36"/>
          <w:sz w:val="21"/>
          <w:szCs w:val="21"/>
        </w:rPr>
        <w:t>刘迎春</w:t>
      </w:r>
      <w:r>
        <w:rPr>
          <w:rFonts w:ascii="Times New Roman" w:hAnsi="Times New Roman" w:cs="Times New Roman"/>
          <w:spacing w:val="-14"/>
          <w:sz w:val="21"/>
          <w:szCs w:val="21"/>
        </w:rPr>
        <w:t>等主编，</w:t>
      </w:r>
      <w:r>
        <w:rPr>
          <w:rFonts w:ascii="Times New Roman" w:hAnsi="Times New Roman" w:cs="Times New Roman"/>
          <w:sz w:val="21"/>
          <w:szCs w:val="21"/>
        </w:rPr>
        <w:t>《</w:t>
      </w:r>
      <w:r>
        <w:rPr>
          <w:rFonts w:ascii="Times New Roman" w:hAnsi="Times New Roman" w:cs="Times New Roman"/>
          <w:kern w:val="36"/>
          <w:sz w:val="21"/>
          <w:szCs w:val="21"/>
        </w:rPr>
        <w:t>传感器原理设计与应用（</w:t>
      </w:r>
      <w:r>
        <w:rPr>
          <w:rFonts w:ascii="Times New Roman" w:hAnsi="Times New Roman" w:cs="Times New Roman"/>
          <w:sz w:val="21"/>
          <w:szCs w:val="21"/>
        </w:rPr>
        <w:t>第4版）</w:t>
      </w:r>
      <w:r>
        <w:rPr>
          <w:rFonts w:ascii="Times New Roman" w:hAnsi="Times New Roman" w:cs="Times New Roman"/>
          <w:spacing w:val="-17"/>
          <w:sz w:val="21"/>
          <w:szCs w:val="21"/>
        </w:rPr>
        <w:t>》</w:t>
      </w:r>
      <w:r>
        <w:rPr>
          <w:rFonts w:ascii="Times New Roman" w:hAnsi="Times New Roman" w:cs="Times New Roman"/>
          <w:spacing w:val="-14"/>
          <w:sz w:val="21"/>
          <w:szCs w:val="21"/>
        </w:rPr>
        <w:t>，</w:t>
      </w:r>
      <w:r>
        <w:rPr>
          <w:rFonts w:ascii="Times New Roman" w:hAnsi="Times New Roman" w:cs="Times New Roman"/>
          <w:spacing w:val="-11"/>
          <w:sz w:val="21"/>
          <w:szCs w:val="21"/>
        </w:rPr>
        <w:t>ISBN 9787810240505，</w:t>
      </w:r>
      <w:r>
        <w:rPr>
          <w:rFonts w:ascii="Times New Roman" w:hAnsi="Times New Roman" w:cs="Times New Roman"/>
          <w:sz w:val="21"/>
          <w:szCs w:val="21"/>
        </w:rPr>
        <w:t>国防科技大学出版社，2006。</w:t>
      </w:r>
      <w:r>
        <w:rPr>
          <w:rFonts w:ascii="Times New Roman" w:hAnsi="Times New Roman" w:cs="Times New Roman"/>
          <w:spacing w:val="-13"/>
          <w:sz w:val="21"/>
          <w:szCs w:val="21"/>
        </w:rPr>
        <w:t> </w:t>
      </w:r>
    </w:p>
    <w:p>
      <w:pPr>
        <w:pStyle w:val="30"/>
        <w:shd w:val="clear" w:color="auto" w:fill="FFFFFF"/>
        <w:spacing w:before="0" w:beforeAutospacing="0" w:after="0" w:afterAutospacing="0" w:line="360" w:lineRule="auto"/>
        <w:ind w:firstLine="420" w:firstLineChars="200"/>
        <w:rPr>
          <w:rFonts w:ascii="Times New Roman" w:hAnsi="Times New Roman" w:eastAsia="黑体" w:cs="Times New Roman"/>
          <w:spacing w:val="-13"/>
          <w:sz w:val="21"/>
          <w:szCs w:val="21"/>
        </w:rPr>
      </w:pPr>
      <w:r>
        <w:rPr>
          <w:rFonts w:ascii="Times New Roman" w:hAnsi="Times New Roman" w:cs="Times New Roman"/>
          <w:kern w:val="2"/>
          <w:sz w:val="21"/>
          <w:szCs w:val="21"/>
        </w:rPr>
        <w:t>4、</w:t>
      </w:r>
      <w:r>
        <w:rPr>
          <w:rFonts w:ascii="Times New Roman" w:hAnsi="Times New Roman" w:cs="Times New Roman"/>
          <w:sz w:val="21"/>
          <w:szCs w:val="21"/>
        </w:rPr>
        <w:t>袁希光主编，《</w:t>
      </w:r>
      <w:r>
        <w:rPr>
          <w:rFonts w:ascii="Times New Roman" w:hAnsi="Times New Roman" w:cs="Times New Roman"/>
          <w:spacing w:val="-17"/>
          <w:sz w:val="21"/>
          <w:szCs w:val="21"/>
        </w:rPr>
        <w:t>传感器技术手册》</w:t>
      </w:r>
      <w:r>
        <w:rPr>
          <w:rFonts w:ascii="Times New Roman" w:hAnsi="Times New Roman" w:cs="Times New Roman"/>
          <w:spacing w:val="-14"/>
          <w:sz w:val="21"/>
          <w:szCs w:val="21"/>
        </w:rPr>
        <w:t>，</w:t>
      </w:r>
      <w:r>
        <w:rPr>
          <w:rFonts w:ascii="Times New Roman" w:hAnsi="Times New Roman" w:cs="Times New Roman"/>
          <w:spacing w:val="-11"/>
          <w:sz w:val="21"/>
          <w:szCs w:val="21"/>
        </w:rPr>
        <w:t>ISBN 9787118004991，</w:t>
      </w:r>
      <w:r>
        <w:rPr>
          <w:rFonts w:ascii="Times New Roman" w:hAnsi="Times New Roman" w:cs="Times New Roman"/>
          <w:sz w:val="21"/>
          <w:szCs w:val="21"/>
        </w:rPr>
        <w:t>国防工业出版社，1985</w:t>
      </w:r>
      <w:r>
        <w:rPr>
          <w:rFonts w:ascii="Times New Roman" w:hAnsi="Times New Roman" w:cs="Times New Roman"/>
          <w:spacing w:val="-13"/>
          <w:sz w:val="21"/>
          <w:szCs w:val="21"/>
        </w:rPr>
        <w:t>。</w:t>
      </w:r>
    </w:p>
    <w:p>
      <w:pPr>
        <w:widowControl/>
        <w:spacing w:line="360" w:lineRule="auto"/>
        <w:jc w:val="left"/>
        <w:rPr>
          <w:rFonts w:eastAsia="黑体"/>
        </w:rPr>
      </w:pPr>
    </w:p>
    <w:p>
      <w:pPr>
        <w:widowControl/>
        <w:spacing w:line="360" w:lineRule="auto"/>
        <w:jc w:val="left"/>
        <w:rPr>
          <w:rFonts w:eastAsia="黑体"/>
        </w:rPr>
      </w:pPr>
      <w:r>
        <w:rPr>
          <w:rFonts w:hint="eastAsia" w:eastAsia="黑体"/>
        </w:rPr>
        <w:t>八、</w:t>
      </w:r>
      <w:r>
        <w:rPr>
          <w:rFonts w:eastAsia="黑体"/>
        </w:rPr>
        <w:t>达成课程目标的途径和措施</w:t>
      </w:r>
    </w:p>
    <w:p>
      <w:pPr>
        <w:spacing w:line="360" w:lineRule="auto"/>
        <w:ind w:firstLine="420" w:firstLineChars="200"/>
        <w:rPr>
          <w:szCs w:val="21"/>
        </w:rPr>
      </w:pPr>
      <w:r>
        <w:rPr>
          <w:szCs w:val="21"/>
        </w:rPr>
        <w:t>1、考核目标：在考核学生学会传感器原理及设计教学大纲的基本概念基础上，重点考核学生对传感器原理、特性基本分析方法和主要特性参量的计算及对传感器应用的学会程度。</w:t>
      </w:r>
    </w:p>
    <w:p>
      <w:pPr>
        <w:spacing w:line="360" w:lineRule="auto"/>
        <w:ind w:firstLine="420" w:firstLineChars="200"/>
        <w:rPr>
          <w:szCs w:val="21"/>
        </w:rPr>
      </w:pPr>
      <w:r>
        <w:rPr>
          <w:szCs w:val="21"/>
        </w:rPr>
        <w:t>2、考核方式：以小组方式完成传感器应用检索、讨论大作业及应用报告，完成课堂讲评与答辩；实验、作业、课堂提问和随机抽查练习。</w:t>
      </w:r>
    </w:p>
    <w:p>
      <w:pPr>
        <w:pStyle w:val="26"/>
        <w:spacing w:line="360" w:lineRule="auto"/>
        <w:ind w:left="420" w:firstLine="0" w:firstLineChars="0"/>
        <w:rPr>
          <w:szCs w:val="21"/>
        </w:rPr>
      </w:pPr>
      <w:r>
        <w:rPr>
          <w:rFonts w:hint="eastAsia"/>
          <w:szCs w:val="21"/>
        </w:rPr>
        <w:t>3</w:t>
      </w:r>
      <w:r>
        <w:rPr>
          <w:szCs w:val="21"/>
        </w:rPr>
        <w:t>、</w:t>
      </w:r>
      <w:r>
        <w:rPr>
          <w:rFonts w:hint="eastAsia"/>
          <w:szCs w:val="21"/>
        </w:rPr>
        <w:t>评价环节对课程目标达成贡献率及支撑材料：</w:t>
      </w:r>
    </w:p>
    <w:tbl>
      <w:tblPr>
        <w:tblStyle w:val="19"/>
        <w:tblW w:w="5000" w:type="pct"/>
        <w:jc w:val="center"/>
        <w:tblLayout w:type="autofit"/>
        <w:tblCellMar>
          <w:top w:w="0" w:type="dxa"/>
          <w:left w:w="108" w:type="dxa"/>
          <w:bottom w:w="0" w:type="dxa"/>
          <w:right w:w="108" w:type="dxa"/>
        </w:tblCellMar>
      </w:tblPr>
      <w:tblGrid>
        <w:gridCol w:w="1535"/>
        <w:gridCol w:w="1750"/>
        <w:gridCol w:w="1818"/>
        <w:gridCol w:w="1951"/>
        <w:gridCol w:w="1474"/>
      </w:tblGrid>
      <w:tr>
        <w:tblPrEx>
          <w:tblCellMar>
            <w:top w:w="0" w:type="dxa"/>
            <w:left w:w="108" w:type="dxa"/>
            <w:bottom w:w="0" w:type="dxa"/>
            <w:right w:w="108" w:type="dxa"/>
          </w:tblCellMar>
        </w:tblPrEx>
        <w:trPr>
          <w:trHeight w:val="691" w:hRule="atLeast"/>
          <w:jc w:val="center"/>
        </w:trPr>
        <w:tc>
          <w:tcPr>
            <w:tcW w:w="900" w:type="pct"/>
            <w:tcBorders>
              <w:top w:val="single" w:color="auto" w:sz="4" w:space="0"/>
              <w:bottom w:val="single" w:color="auto" w:sz="4" w:space="0"/>
              <w:right w:val="single" w:color="auto" w:sz="4" w:space="0"/>
            </w:tcBorders>
            <w:vAlign w:val="center"/>
          </w:tcPr>
          <w:p>
            <w:pPr>
              <w:widowControl/>
              <w:jc w:val="center"/>
              <w:rPr>
                <w:kern w:val="0"/>
                <w:sz w:val="18"/>
              </w:rPr>
            </w:pPr>
            <w:r>
              <w:rPr>
                <w:kern w:val="0"/>
                <w:sz w:val="18"/>
              </w:rPr>
              <w:t>考察环节</w:t>
            </w:r>
          </w:p>
        </w:tc>
        <w:tc>
          <w:tcPr>
            <w:tcW w:w="1026"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8"/>
              </w:rPr>
            </w:pPr>
            <w:r>
              <w:rPr>
                <w:kern w:val="0"/>
                <w:sz w:val="18"/>
              </w:rPr>
              <w:t>课堂情况</w:t>
            </w:r>
          </w:p>
        </w:tc>
        <w:tc>
          <w:tcPr>
            <w:tcW w:w="1066"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8"/>
              </w:rPr>
            </w:pPr>
            <w:r>
              <w:rPr>
                <w:kern w:val="0"/>
                <w:sz w:val="18"/>
              </w:rPr>
              <w:t>作业</w:t>
            </w:r>
          </w:p>
        </w:tc>
        <w:tc>
          <w:tcPr>
            <w:tcW w:w="1144"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8"/>
              </w:rPr>
            </w:pPr>
            <w:r>
              <w:rPr>
                <w:kern w:val="0"/>
                <w:sz w:val="18"/>
              </w:rPr>
              <w:t>实验</w:t>
            </w:r>
          </w:p>
        </w:tc>
        <w:tc>
          <w:tcPr>
            <w:tcW w:w="864" w:type="pct"/>
            <w:tcBorders>
              <w:top w:val="single" w:color="auto" w:sz="4" w:space="0"/>
              <w:left w:val="single" w:color="auto" w:sz="4" w:space="0"/>
              <w:bottom w:val="single" w:color="auto" w:sz="4" w:space="0"/>
            </w:tcBorders>
            <w:vAlign w:val="center"/>
          </w:tcPr>
          <w:p>
            <w:pPr>
              <w:widowControl/>
              <w:jc w:val="center"/>
              <w:rPr>
                <w:kern w:val="0"/>
                <w:sz w:val="18"/>
              </w:rPr>
            </w:pPr>
            <w:r>
              <w:rPr>
                <w:kern w:val="0"/>
                <w:sz w:val="18"/>
              </w:rPr>
              <w:t>期末考试</w:t>
            </w:r>
          </w:p>
        </w:tc>
      </w:tr>
      <w:tr>
        <w:tblPrEx>
          <w:tblCellMar>
            <w:top w:w="0" w:type="dxa"/>
            <w:left w:w="108" w:type="dxa"/>
            <w:bottom w:w="0" w:type="dxa"/>
            <w:right w:w="108" w:type="dxa"/>
          </w:tblCellMar>
        </w:tblPrEx>
        <w:trPr>
          <w:trHeight w:val="590" w:hRule="atLeast"/>
          <w:jc w:val="center"/>
        </w:trPr>
        <w:tc>
          <w:tcPr>
            <w:tcW w:w="900" w:type="pct"/>
            <w:tcBorders>
              <w:top w:val="single" w:color="auto" w:sz="4" w:space="0"/>
              <w:bottom w:val="single" w:color="auto" w:sz="4" w:space="0"/>
              <w:right w:val="single" w:color="auto" w:sz="4" w:space="0"/>
            </w:tcBorders>
            <w:vAlign w:val="center"/>
          </w:tcPr>
          <w:p>
            <w:pPr>
              <w:widowControl/>
              <w:jc w:val="center"/>
              <w:rPr>
                <w:kern w:val="0"/>
                <w:sz w:val="18"/>
              </w:rPr>
            </w:pPr>
            <w:r>
              <w:rPr>
                <w:kern w:val="0"/>
                <w:sz w:val="18"/>
              </w:rPr>
              <w:t>课程目标达成</w:t>
            </w:r>
          </w:p>
          <w:p>
            <w:pPr>
              <w:widowControl/>
              <w:jc w:val="center"/>
              <w:rPr>
                <w:kern w:val="0"/>
                <w:sz w:val="18"/>
              </w:rPr>
            </w:pPr>
            <w:r>
              <w:rPr>
                <w:kern w:val="0"/>
                <w:sz w:val="18"/>
              </w:rPr>
              <w:t>的贡献率</w:t>
            </w:r>
          </w:p>
        </w:tc>
        <w:tc>
          <w:tcPr>
            <w:tcW w:w="102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066"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1144" w:type="pct"/>
            <w:tcBorders>
              <w:top w:val="single" w:color="auto" w:sz="4" w:space="0"/>
              <w:left w:val="nil"/>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0.1</w:t>
            </w:r>
          </w:p>
        </w:tc>
        <w:tc>
          <w:tcPr>
            <w:tcW w:w="864" w:type="pct"/>
            <w:tcBorders>
              <w:top w:val="single" w:color="auto" w:sz="4" w:space="0"/>
              <w:left w:val="nil"/>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0.70</w:t>
            </w:r>
          </w:p>
        </w:tc>
      </w:tr>
      <w:tr>
        <w:tblPrEx>
          <w:tblCellMar>
            <w:top w:w="0" w:type="dxa"/>
            <w:left w:w="108" w:type="dxa"/>
            <w:bottom w:w="0" w:type="dxa"/>
            <w:right w:w="108" w:type="dxa"/>
          </w:tblCellMar>
        </w:tblPrEx>
        <w:trPr>
          <w:trHeight w:val="712" w:hRule="atLeast"/>
          <w:jc w:val="center"/>
        </w:trPr>
        <w:tc>
          <w:tcPr>
            <w:tcW w:w="900" w:type="pct"/>
            <w:tcBorders>
              <w:top w:val="single" w:color="auto" w:sz="4" w:space="0"/>
              <w:bottom w:val="single" w:color="auto" w:sz="4" w:space="0"/>
              <w:right w:val="single" w:color="auto" w:sz="4" w:space="0"/>
            </w:tcBorders>
            <w:vAlign w:val="center"/>
          </w:tcPr>
          <w:p>
            <w:pPr>
              <w:widowControl/>
              <w:jc w:val="center"/>
              <w:rPr>
                <w:kern w:val="0"/>
                <w:sz w:val="18"/>
              </w:rPr>
            </w:pPr>
            <w:r>
              <w:rPr>
                <w:kern w:val="0"/>
                <w:sz w:val="18"/>
              </w:rPr>
              <w:t>支撑材料</w:t>
            </w:r>
          </w:p>
        </w:tc>
        <w:tc>
          <w:tcPr>
            <w:tcW w:w="1026"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8"/>
              </w:rPr>
            </w:pPr>
            <w:r>
              <w:rPr>
                <w:kern w:val="0"/>
                <w:sz w:val="18"/>
              </w:rPr>
              <w:t>课堂评价标准，课堂提问记录或随堂考试，结合出勤率等</w:t>
            </w:r>
          </w:p>
        </w:tc>
        <w:tc>
          <w:tcPr>
            <w:tcW w:w="1066"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8"/>
              </w:rPr>
            </w:pPr>
            <w:r>
              <w:rPr>
                <w:kern w:val="0"/>
                <w:sz w:val="18"/>
              </w:rPr>
              <w:t>作业评价标准，典型作业拍照，或电子版</w:t>
            </w:r>
          </w:p>
        </w:tc>
        <w:tc>
          <w:tcPr>
            <w:tcW w:w="1144"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8"/>
              </w:rPr>
            </w:pPr>
            <w:r>
              <w:rPr>
                <w:kern w:val="0"/>
                <w:sz w:val="18"/>
              </w:rPr>
              <w:t>课内实验评价标准，实验课堂记录记录，典型实验报告</w:t>
            </w:r>
          </w:p>
        </w:tc>
        <w:tc>
          <w:tcPr>
            <w:tcW w:w="864" w:type="pct"/>
            <w:tcBorders>
              <w:top w:val="single" w:color="auto" w:sz="4" w:space="0"/>
              <w:left w:val="single" w:color="auto" w:sz="4" w:space="0"/>
              <w:bottom w:val="single" w:color="auto" w:sz="4" w:space="0"/>
            </w:tcBorders>
            <w:vAlign w:val="center"/>
          </w:tcPr>
          <w:p>
            <w:pPr>
              <w:widowControl/>
              <w:jc w:val="center"/>
              <w:rPr>
                <w:kern w:val="0"/>
                <w:sz w:val="18"/>
              </w:rPr>
            </w:pPr>
            <w:r>
              <w:rPr>
                <w:kern w:val="0"/>
                <w:sz w:val="18"/>
              </w:rPr>
              <w:t>试题评分标准，试卷</w:t>
            </w:r>
          </w:p>
        </w:tc>
      </w:tr>
    </w:tbl>
    <w:p>
      <w:pPr>
        <w:spacing w:line="360" w:lineRule="auto"/>
        <w:ind w:firstLine="420" w:firstLineChars="200"/>
      </w:pPr>
      <w:r>
        <w:rPr>
          <w:rFonts w:hint="eastAsia"/>
        </w:rPr>
        <w:t>说明：</w:t>
      </w:r>
    </w:p>
    <w:p>
      <w:pPr>
        <w:pStyle w:val="26"/>
        <w:numPr>
          <w:ilvl w:val="0"/>
          <w:numId w:val="4"/>
        </w:numPr>
        <w:spacing w:line="360" w:lineRule="auto"/>
        <w:ind w:firstLine="420"/>
      </w:pPr>
      <w:r>
        <w:rPr>
          <w:rFonts w:hint="eastAsia"/>
        </w:rPr>
        <w:t>通过教学辅助软件记录课堂出勤率，提问记录等；</w:t>
      </w:r>
    </w:p>
    <w:p>
      <w:pPr>
        <w:pStyle w:val="26"/>
        <w:numPr>
          <w:ilvl w:val="0"/>
          <w:numId w:val="4"/>
        </w:numPr>
        <w:spacing w:line="360" w:lineRule="auto"/>
        <w:ind w:firstLine="420"/>
      </w:pPr>
      <w:r>
        <w:rPr>
          <w:rFonts w:hint="eastAsia"/>
        </w:rPr>
        <w:t>作业要有电子档和纸质两种，电子档用于存档；</w:t>
      </w:r>
    </w:p>
    <w:p>
      <w:pPr>
        <w:pStyle w:val="26"/>
        <w:numPr>
          <w:ilvl w:val="0"/>
          <w:numId w:val="4"/>
        </w:numPr>
        <w:spacing w:line="360" w:lineRule="auto"/>
        <w:ind w:firstLine="420"/>
      </w:pPr>
      <w:r>
        <w:rPr>
          <w:rFonts w:hint="eastAsia"/>
        </w:rPr>
        <w:t>实验报告，纸质的留档；</w:t>
      </w:r>
    </w:p>
    <w:p>
      <w:pPr>
        <w:pStyle w:val="26"/>
        <w:numPr>
          <w:ilvl w:val="0"/>
          <w:numId w:val="4"/>
        </w:numPr>
        <w:spacing w:line="360" w:lineRule="auto"/>
        <w:ind w:firstLine="420"/>
      </w:pPr>
      <w:r>
        <w:rPr>
          <w:rFonts w:hint="eastAsia"/>
        </w:rPr>
        <w:t>期末考试</w:t>
      </w:r>
      <w:r>
        <w:t>试题</w:t>
      </w:r>
      <w:r>
        <w:rPr>
          <w:rFonts w:hint="eastAsia"/>
        </w:rPr>
        <w:t>、</w:t>
      </w:r>
      <w:r>
        <w:t>评分标准</w:t>
      </w:r>
      <w:r>
        <w:rPr>
          <w:rFonts w:hint="eastAsia"/>
        </w:rPr>
        <w:t>、</w:t>
      </w:r>
      <w:r>
        <w:t>试卷</w:t>
      </w:r>
      <w:r>
        <w:rPr>
          <w:rFonts w:hint="eastAsia"/>
        </w:rPr>
        <w:t>留档。</w:t>
      </w:r>
    </w:p>
    <w:p>
      <w:pPr>
        <w:pStyle w:val="26"/>
        <w:adjustRightInd w:val="0"/>
        <w:snapToGrid w:val="0"/>
        <w:spacing w:line="360" w:lineRule="auto"/>
        <w:ind w:firstLine="0" w:firstLineChars="0"/>
        <w:rPr>
          <w:rFonts w:eastAsia="黑体"/>
          <w:szCs w:val="24"/>
        </w:rPr>
      </w:pPr>
    </w:p>
    <w:p>
      <w:pPr>
        <w:pStyle w:val="26"/>
        <w:adjustRightInd w:val="0"/>
        <w:snapToGrid w:val="0"/>
        <w:spacing w:line="360" w:lineRule="auto"/>
        <w:ind w:firstLine="0" w:firstLineChars="0"/>
        <w:rPr>
          <w:sz w:val="18"/>
          <w:szCs w:val="18"/>
        </w:rPr>
      </w:pPr>
      <w:r>
        <w:rPr>
          <w:rFonts w:hint="eastAsia" w:eastAsia="黑体"/>
          <w:szCs w:val="24"/>
        </w:rPr>
        <w:t>九、覆盖课程目标达成评价的知识点及权重</w:t>
      </w:r>
    </w:p>
    <w:tbl>
      <w:tblPr>
        <w:tblStyle w:val="19"/>
        <w:tblpPr w:leftFromText="180" w:rightFromText="180" w:vertAnchor="text" w:horzAnchor="page" w:tblpXSpec="center" w:tblpY="73"/>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463"/>
        <w:gridCol w:w="1185"/>
        <w:gridCol w:w="188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03" w:type="pct"/>
            <w:vAlign w:val="center"/>
          </w:tcPr>
          <w:p>
            <w:pPr>
              <w:rPr>
                <w:rFonts w:ascii="Calibri" w:hAnsi="Calibri"/>
                <w:sz w:val="18"/>
                <w:szCs w:val="18"/>
              </w:rPr>
            </w:pPr>
            <w:r>
              <w:rPr>
                <w:rFonts w:hint="eastAsia"/>
                <w:sz w:val="18"/>
                <w:szCs w:val="18"/>
              </w:rPr>
              <w:t>知识点</w:t>
            </w:r>
          </w:p>
        </w:tc>
        <w:tc>
          <w:tcPr>
            <w:tcW w:w="695" w:type="pct"/>
            <w:vAlign w:val="center"/>
          </w:tcPr>
          <w:p>
            <w:pPr>
              <w:jc w:val="center"/>
              <w:rPr>
                <w:rFonts w:ascii="Calibri" w:hAnsi="Calibri"/>
                <w:sz w:val="18"/>
                <w:szCs w:val="18"/>
              </w:rPr>
            </w:pPr>
            <w:r>
              <w:rPr>
                <w:rFonts w:hint="eastAsia"/>
                <w:sz w:val="18"/>
                <w:szCs w:val="18"/>
              </w:rPr>
              <w:t>权重</w:t>
            </w:r>
          </w:p>
        </w:tc>
        <w:tc>
          <w:tcPr>
            <w:tcW w:w="1102" w:type="pct"/>
            <w:vAlign w:val="center"/>
          </w:tcPr>
          <w:p>
            <w:pPr>
              <w:jc w:val="center"/>
              <w:rPr>
                <w:rFonts w:ascii="Calibri" w:hAnsi="Calibri"/>
                <w:sz w:val="18"/>
                <w:szCs w:val="18"/>
              </w:rPr>
            </w:pPr>
            <w:r>
              <w:rPr>
                <w:rFonts w:hint="eastAsia"/>
                <w:sz w:val="18"/>
                <w:szCs w:val="18"/>
              </w:rPr>
              <w:t>支撑课程目标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03" w:type="pct"/>
            <w:vAlign w:val="center"/>
          </w:tcPr>
          <w:p>
            <w:pPr>
              <w:rPr>
                <w:rFonts w:ascii="Calibri" w:hAnsi="Calibri"/>
                <w:sz w:val="18"/>
                <w:szCs w:val="18"/>
              </w:rPr>
            </w:pPr>
            <w:r>
              <w:rPr>
                <w:sz w:val="18"/>
                <w:szCs w:val="18"/>
              </w:rPr>
              <w:t>1</w:t>
            </w:r>
            <w:r>
              <w:rPr>
                <w:rFonts w:hint="eastAsia"/>
                <w:sz w:val="18"/>
                <w:szCs w:val="18"/>
              </w:rPr>
              <w:t>、传感器的定义、分类、作用、发展趋势</w:t>
            </w:r>
          </w:p>
        </w:tc>
        <w:tc>
          <w:tcPr>
            <w:tcW w:w="695" w:type="pct"/>
            <w:vAlign w:val="center"/>
          </w:tcPr>
          <w:p>
            <w:pPr>
              <w:jc w:val="center"/>
              <w:rPr>
                <w:sz w:val="18"/>
                <w:szCs w:val="18"/>
              </w:rPr>
            </w:pPr>
            <w:r>
              <w:rPr>
                <w:sz w:val="18"/>
                <w:szCs w:val="18"/>
              </w:rPr>
              <w:t>0.08</w:t>
            </w:r>
          </w:p>
        </w:tc>
        <w:tc>
          <w:tcPr>
            <w:tcW w:w="1102" w:type="pct"/>
            <w:vAlign w:val="center"/>
          </w:tcPr>
          <w:p>
            <w:pPr>
              <w:jc w:val="center"/>
              <w:rPr>
                <w:sz w:val="18"/>
                <w:szCs w:val="18"/>
              </w:rPr>
            </w:pPr>
            <w:r>
              <w:rPr>
                <w:sz w:val="18"/>
                <w:szCs w:val="18"/>
              </w:rPr>
              <w:t>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03" w:type="pct"/>
            <w:vAlign w:val="center"/>
          </w:tcPr>
          <w:p>
            <w:pPr>
              <w:rPr>
                <w:rFonts w:ascii="Calibri" w:hAnsi="Calibri"/>
                <w:sz w:val="18"/>
                <w:szCs w:val="18"/>
              </w:rPr>
            </w:pPr>
            <w:r>
              <w:rPr>
                <w:sz w:val="18"/>
                <w:szCs w:val="18"/>
              </w:rPr>
              <w:t>2</w:t>
            </w:r>
            <w:r>
              <w:rPr>
                <w:rFonts w:hint="eastAsia"/>
                <w:sz w:val="18"/>
                <w:szCs w:val="18"/>
              </w:rPr>
              <w:t>、传感器的动静态特性</w:t>
            </w:r>
            <w:r>
              <w:rPr>
                <w:sz w:val="18"/>
                <w:szCs w:val="18"/>
              </w:rPr>
              <w:tab/>
            </w:r>
            <w:r>
              <w:rPr>
                <w:rFonts w:hint="eastAsia"/>
                <w:sz w:val="18"/>
                <w:szCs w:val="18"/>
              </w:rPr>
              <w:t>分析与标定</w:t>
            </w:r>
          </w:p>
        </w:tc>
        <w:tc>
          <w:tcPr>
            <w:tcW w:w="695" w:type="pct"/>
            <w:vAlign w:val="center"/>
          </w:tcPr>
          <w:p>
            <w:pPr>
              <w:jc w:val="center"/>
              <w:rPr>
                <w:sz w:val="18"/>
                <w:szCs w:val="18"/>
              </w:rPr>
            </w:pPr>
            <w:r>
              <w:rPr>
                <w:sz w:val="18"/>
                <w:szCs w:val="18"/>
              </w:rPr>
              <w:t>0.12</w:t>
            </w:r>
          </w:p>
        </w:tc>
        <w:tc>
          <w:tcPr>
            <w:tcW w:w="1102" w:type="pct"/>
            <w:vAlign w:val="center"/>
          </w:tcPr>
          <w:p>
            <w:pPr>
              <w:jc w:val="center"/>
              <w:rPr>
                <w:sz w:val="18"/>
                <w:szCs w:val="18"/>
              </w:rPr>
            </w:pPr>
            <w:r>
              <w:rPr>
                <w:sz w:val="18"/>
                <w:szCs w:val="18"/>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03" w:type="pct"/>
            <w:vAlign w:val="center"/>
          </w:tcPr>
          <w:p>
            <w:pPr>
              <w:ind w:left="270" w:hanging="270" w:hangingChars="150"/>
              <w:rPr>
                <w:rFonts w:ascii="Calibri" w:hAnsi="Calibri"/>
                <w:sz w:val="18"/>
                <w:szCs w:val="18"/>
              </w:rPr>
            </w:pPr>
            <w:r>
              <w:rPr>
                <w:sz w:val="18"/>
                <w:szCs w:val="18"/>
              </w:rPr>
              <w:t>3</w:t>
            </w:r>
            <w:r>
              <w:rPr>
                <w:rFonts w:hint="eastAsia"/>
                <w:sz w:val="18"/>
                <w:szCs w:val="18"/>
              </w:rPr>
              <w:t>、弹性元件特性参数的计算：悬臂梁、平膜片、薄壁圆桶敏感元件设计</w:t>
            </w:r>
          </w:p>
        </w:tc>
        <w:tc>
          <w:tcPr>
            <w:tcW w:w="695" w:type="pct"/>
            <w:vAlign w:val="center"/>
          </w:tcPr>
          <w:p>
            <w:pPr>
              <w:jc w:val="center"/>
              <w:rPr>
                <w:sz w:val="18"/>
                <w:szCs w:val="18"/>
              </w:rPr>
            </w:pPr>
            <w:r>
              <w:rPr>
                <w:sz w:val="18"/>
                <w:szCs w:val="18"/>
              </w:rPr>
              <w:t>0.09</w:t>
            </w:r>
          </w:p>
        </w:tc>
        <w:tc>
          <w:tcPr>
            <w:tcW w:w="1102" w:type="pct"/>
            <w:vAlign w:val="center"/>
          </w:tcPr>
          <w:p>
            <w:pPr>
              <w:jc w:val="center"/>
              <w:rPr>
                <w:sz w:val="18"/>
                <w:szCs w:val="18"/>
              </w:rPr>
            </w:pPr>
            <w:r>
              <w:rPr>
                <w:sz w:val="18"/>
                <w:szCs w:val="18"/>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03" w:type="pct"/>
            <w:vAlign w:val="center"/>
          </w:tcPr>
          <w:p>
            <w:pPr>
              <w:rPr>
                <w:rFonts w:ascii="Calibri" w:hAnsi="Calibri"/>
                <w:sz w:val="18"/>
                <w:szCs w:val="18"/>
              </w:rPr>
            </w:pPr>
            <w:r>
              <w:rPr>
                <w:sz w:val="18"/>
                <w:szCs w:val="18"/>
              </w:rPr>
              <w:t>4</w:t>
            </w:r>
            <w:r>
              <w:rPr>
                <w:rFonts w:hint="eastAsia"/>
                <w:sz w:val="18"/>
                <w:szCs w:val="18"/>
              </w:rPr>
              <w:t>、应变效应、测量电路、温度误差分析及电阻应变式传感器应用差动电桥特性分析及温度误差的补偿</w:t>
            </w:r>
          </w:p>
        </w:tc>
        <w:tc>
          <w:tcPr>
            <w:tcW w:w="695" w:type="pct"/>
            <w:vAlign w:val="center"/>
          </w:tcPr>
          <w:p>
            <w:pPr>
              <w:jc w:val="center"/>
              <w:rPr>
                <w:sz w:val="18"/>
                <w:szCs w:val="18"/>
              </w:rPr>
            </w:pPr>
            <w:r>
              <w:rPr>
                <w:sz w:val="18"/>
                <w:szCs w:val="18"/>
              </w:rPr>
              <w:t>0.10</w:t>
            </w:r>
          </w:p>
        </w:tc>
        <w:tc>
          <w:tcPr>
            <w:tcW w:w="1102" w:type="pct"/>
            <w:vAlign w:val="center"/>
          </w:tcPr>
          <w:p>
            <w:pPr>
              <w:jc w:val="center"/>
              <w:rPr>
                <w:sz w:val="18"/>
                <w:szCs w:val="18"/>
              </w:rPr>
            </w:pPr>
            <w:r>
              <w:rPr>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03" w:type="pct"/>
            <w:vAlign w:val="center"/>
          </w:tcPr>
          <w:p>
            <w:pPr>
              <w:rPr>
                <w:rFonts w:ascii="Calibri" w:hAnsi="Calibri"/>
                <w:sz w:val="18"/>
                <w:szCs w:val="18"/>
              </w:rPr>
            </w:pPr>
            <w:r>
              <w:rPr>
                <w:sz w:val="18"/>
                <w:szCs w:val="18"/>
              </w:rPr>
              <w:t>5</w:t>
            </w:r>
            <w:r>
              <w:rPr>
                <w:rFonts w:hint="eastAsia"/>
                <w:sz w:val="18"/>
                <w:szCs w:val="18"/>
              </w:rPr>
              <w:t>、电容传感器工作原理及非线性误差分析方法及电容式传感器应用</w:t>
            </w:r>
          </w:p>
        </w:tc>
        <w:tc>
          <w:tcPr>
            <w:tcW w:w="695" w:type="pct"/>
            <w:vAlign w:val="center"/>
          </w:tcPr>
          <w:p>
            <w:pPr>
              <w:jc w:val="center"/>
              <w:rPr>
                <w:sz w:val="18"/>
                <w:szCs w:val="18"/>
              </w:rPr>
            </w:pPr>
            <w:r>
              <w:rPr>
                <w:sz w:val="18"/>
                <w:szCs w:val="18"/>
              </w:rPr>
              <w:t>0.08</w:t>
            </w:r>
          </w:p>
        </w:tc>
        <w:tc>
          <w:tcPr>
            <w:tcW w:w="1102" w:type="pct"/>
            <w:vAlign w:val="center"/>
          </w:tcPr>
          <w:p>
            <w:pPr>
              <w:jc w:val="center"/>
              <w:rPr>
                <w:sz w:val="18"/>
                <w:szCs w:val="18"/>
              </w:rPr>
            </w:pPr>
            <w:r>
              <w:rPr>
                <w:sz w:val="18"/>
                <w:szCs w:val="18"/>
              </w:rPr>
              <w:t>1、4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03" w:type="pct"/>
            <w:vAlign w:val="center"/>
          </w:tcPr>
          <w:p>
            <w:pPr>
              <w:rPr>
                <w:rFonts w:ascii="Calibri" w:hAnsi="Calibri"/>
                <w:sz w:val="18"/>
                <w:szCs w:val="18"/>
              </w:rPr>
            </w:pPr>
            <w:r>
              <w:rPr>
                <w:sz w:val="18"/>
                <w:szCs w:val="18"/>
              </w:rPr>
              <w:t>6</w:t>
            </w:r>
            <w:r>
              <w:rPr>
                <w:rFonts w:hint="eastAsia"/>
                <w:sz w:val="18"/>
                <w:szCs w:val="18"/>
              </w:rPr>
              <w:t>、自感式、差动变压器、电涡流传感原理，差动式非线性误差分析方法、误差的补偿及应用</w:t>
            </w:r>
          </w:p>
        </w:tc>
        <w:tc>
          <w:tcPr>
            <w:tcW w:w="695" w:type="pct"/>
            <w:vAlign w:val="center"/>
          </w:tcPr>
          <w:p>
            <w:pPr>
              <w:jc w:val="center"/>
              <w:rPr>
                <w:sz w:val="18"/>
                <w:szCs w:val="18"/>
              </w:rPr>
            </w:pPr>
            <w:r>
              <w:rPr>
                <w:sz w:val="18"/>
                <w:szCs w:val="18"/>
              </w:rPr>
              <w:t>0.08</w:t>
            </w:r>
          </w:p>
        </w:tc>
        <w:tc>
          <w:tcPr>
            <w:tcW w:w="1102" w:type="pct"/>
            <w:vAlign w:val="center"/>
          </w:tcPr>
          <w:p>
            <w:pPr>
              <w:jc w:val="center"/>
              <w:rPr>
                <w:sz w:val="18"/>
                <w:szCs w:val="18"/>
              </w:rPr>
            </w:pPr>
            <w:r>
              <w:rPr>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03" w:type="pct"/>
            <w:vAlign w:val="center"/>
          </w:tcPr>
          <w:p>
            <w:pPr>
              <w:rPr>
                <w:rFonts w:ascii="Calibri" w:hAnsi="Calibri"/>
                <w:sz w:val="18"/>
                <w:szCs w:val="18"/>
              </w:rPr>
            </w:pPr>
            <w:r>
              <w:rPr>
                <w:sz w:val="18"/>
                <w:szCs w:val="18"/>
              </w:rPr>
              <w:t>7</w:t>
            </w:r>
            <w:r>
              <w:rPr>
                <w:rFonts w:hint="eastAsia"/>
                <w:sz w:val="18"/>
                <w:szCs w:val="18"/>
              </w:rPr>
              <w:t>、纵向、横向压电效应及测量电路，电荷放大器与电压放大器特性分析，压电式传感器应用</w:t>
            </w:r>
            <w:r>
              <w:rPr>
                <w:sz w:val="18"/>
                <w:szCs w:val="18"/>
              </w:rPr>
              <w:tab/>
            </w:r>
          </w:p>
        </w:tc>
        <w:tc>
          <w:tcPr>
            <w:tcW w:w="695" w:type="pct"/>
            <w:vAlign w:val="center"/>
          </w:tcPr>
          <w:p>
            <w:pPr>
              <w:jc w:val="center"/>
              <w:rPr>
                <w:sz w:val="18"/>
                <w:szCs w:val="18"/>
              </w:rPr>
            </w:pPr>
            <w:r>
              <w:rPr>
                <w:sz w:val="18"/>
                <w:szCs w:val="18"/>
              </w:rPr>
              <w:t>0.09</w:t>
            </w:r>
          </w:p>
        </w:tc>
        <w:tc>
          <w:tcPr>
            <w:tcW w:w="1102" w:type="pct"/>
            <w:vAlign w:val="center"/>
          </w:tcPr>
          <w:p>
            <w:pPr>
              <w:jc w:val="center"/>
              <w:rPr>
                <w:sz w:val="18"/>
                <w:szCs w:val="18"/>
              </w:rPr>
            </w:pPr>
            <w:r>
              <w:rPr>
                <w:sz w:val="18"/>
                <w:szCs w:val="18"/>
              </w:rPr>
              <w:t>1、3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03" w:type="pct"/>
            <w:vAlign w:val="center"/>
          </w:tcPr>
          <w:p>
            <w:pPr>
              <w:rPr>
                <w:rFonts w:ascii="Calibri" w:hAnsi="Calibri"/>
                <w:sz w:val="18"/>
                <w:szCs w:val="18"/>
              </w:rPr>
            </w:pPr>
            <w:r>
              <w:rPr>
                <w:sz w:val="18"/>
                <w:szCs w:val="18"/>
              </w:rPr>
              <w:t>8</w:t>
            </w:r>
            <w:r>
              <w:rPr>
                <w:rFonts w:hint="eastAsia"/>
                <w:sz w:val="18"/>
                <w:szCs w:val="18"/>
              </w:rPr>
              <w:t>、压阻效应，平膜片压力传感器、悬臂梁加速度传感器设计</w:t>
            </w:r>
            <w:r>
              <w:rPr>
                <w:sz w:val="18"/>
                <w:szCs w:val="18"/>
              </w:rPr>
              <w:tab/>
            </w:r>
          </w:p>
        </w:tc>
        <w:tc>
          <w:tcPr>
            <w:tcW w:w="695" w:type="pct"/>
            <w:vAlign w:val="center"/>
          </w:tcPr>
          <w:p>
            <w:pPr>
              <w:jc w:val="center"/>
              <w:rPr>
                <w:sz w:val="18"/>
                <w:szCs w:val="18"/>
              </w:rPr>
            </w:pPr>
            <w:r>
              <w:rPr>
                <w:sz w:val="18"/>
                <w:szCs w:val="18"/>
              </w:rPr>
              <w:t>0.10</w:t>
            </w:r>
          </w:p>
        </w:tc>
        <w:tc>
          <w:tcPr>
            <w:tcW w:w="1102" w:type="pct"/>
            <w:vAlign w:val="center"/>
          </w:tcPr>
          <w:p>
            <w:pPr>
              <w:jc w:val="center"/>
              <w:rPr>
                <w:sz w:val="18"/>
                <w:szCs w:val="18"/>
              </w:rPr>
            </w:pPr>
            <w:r>
              <w:rPr>
                <w:sz w:val="18"/>
                <w:szCs w:val="18"/>
              </w:rPr>
              <w:t>1、3、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03" w:type="pct"/>
            <w:vAlign w:val="center"/>
          </w:tcPr>
          <w:p>
            <w:pPr>
              <w:rPr>
                <w:rFonts w:ascii="Calibri" w:hAnsi="Calibri"/>
                <w:sz w:val="18"/>
                <w:szCs w:val="18"/>
              </w:rPr>
            </w:pPr>
            <w:r>
              <w:rPr>
                <w:sz w:val="18"/>
                <w:szCs w:val="18"/>
              </w:rPr>
              <w:t>9</w:t>
            </w:r>
            <w:r>
              <w:rPr>
                <w:rFonts w:hint="eastAsia"/>
                <w:sz w:val="18"/>
                <w:szCs w:val="18"/>
              </w:rPr>
              <w:t>、热电效应、中间导体定律、冷端补偿及热电偶传感器应用</w:t>
            </w:r>
          </w:p>
        </w:tc>
        <w:tc>
          <w:tcPr>
            <w:tcW w:w="695" w:type="pct"/>
            <w:vAlign w:val="center"/>
          </w:tcPr>
          <w:p>
            <w:pPr>
              <w:jc w:val="center"/>
              <w:rPr>
                <w:sz w:val="18"/>
                <w:szCs w:val="18"/>
              </w:rPr>
            </w:pPr>
            <w:r>
              <w:rPr>
                <w:sz w:val="18"/>
                <w:szCs w:val="18"/>
              </w:rPr>
              <w:t>0.05</w:t>
            </w:r>
          </w:p>
        </w:tc>
        <w:tc>
          <w:tcPr>
            <w:tcW w:w="1102" w:type="pct"/>
            <w:vAlign w:val="center"/>
          </w:tcPr>
          <w:p>
            <w:pPr>
              <w:jc w:val="center"/>
              <w:rPr>
                <w:sz w:val="18"/>
                <w:szCs w:val="18"/>
              </w:rPr>
            </w:pPr>
            <w:r>
              <w:rPr>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03" w:type="pct"/>
            <w:vAlign w:val="center"/>
          </w:tcPr>
          <w:p>
            <w:pPr>
              <w:rPr>
                <w:rFonts w:ascii="Calibri" w:hAnsi="Calibri"/>
                <w:sz w:val="18"/>
                <w:szCs w:val="18"/>
              </w:rPr>
            </w:pPr>
            <w:r>
              <w:rPr>
                <w:sz w:val="18"/>
                <w:szCs w:val="18"/>
              </w:rPr>
              <w:t>10</w:t>
            </w:r>
            <w:r>
              <w:rPr>
                <w:rFonts w:hint="eastAsia"/>
                <w:sz w:val="18"/>
                <w:szCs w:val="18"/>
              </w:rPr>
              <w:t>、外光电效应、内光电效应及典型的内外光电效应的器件与应用，内光电效应的拓展应用</w:t>
            </w:r>
          </w:p>
        </w:tc>
        <w:tc>
          <w:tcPr>
            <w:tcW w:w="695" w:type="pct"/>
            <w:vAlign w:val="center"/>
          </w:tcPr>
          <w:p>
            <w:pPr>
              <w:jc w:val="center"/>
              <w:rPr>
                <w:sz w:val="18"/>
                <w:szCs w:val="18"/>
              </w:rPr>
            </w:pPr>
            <w:r>
              <w:rPr>
                <w:sz w:val="18"/>
                <w:szCs w:val="18"/>
              </w:rPr>
              <w:t>0.05</w:t>
            </w:r>
          </w:p>
        </w:tc>
        <w:tc>
          <w:tcPr>
            <w:tcW w:w="1102" w:type="pct"/>
            <w:vAlign w:val="center"/>
          </w:tcPr>
          <w:p>
            <w:pPr>
              <w:jc w:val="center"/>
              <w:rPr>
                <w:sz w:val="18"/>
                <w:szCs w:val="18"/>
              </w:rPr>
            </w:pPr>
            <w:r>
              <w:rPr>
                <w:sz w:val="18"/>
                <w:szCs w:val="18"/>
              </w:rPr>
              <w:t>1、4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03" w:type="pct"/>
            <w:vAlign w:val="center"/>
          </w:tcPr>
          <w:p>
            <w:pPr>
              <w:rPr>
                <w:rFonts w:ascii="Calibri" w:hAnsi="Calibri"/>
                <w:sz w:val="18"/>
                <w:szCs w:val="18"/>
              </w:rPr>
            </w:pPr>
            <w:r>
              <w:rPr>
                <w:sz w:val="18"/>
                <w:szCs w:val="18"/>
              </w:rPr>
              <w:t>11</w:t>
            </w:r>
            <w:r>
              <w:rPr>
                <w:rFonts w:hint="eastAsia"/>
                <w:sz w:val="18"/>
                <w:szCs w:val="18"/>
              </w:rPr>
              <w:t>、霍尔效应、结构、误差与补偿及传感器应用</w:t>
            </w:r>
          </w:p>
        </w:tc>
        <w:tc>
          <w:tcPr>
            <w:tcW w:w="695" w:type="pct"/>
            <w:vAlign w:val="center"/>
          </w:tcPr>
          <w:p>
            <w:pPr>
              <w:jc w:val="center"/>
              <w:rPr>
                <w:sz w:val="18"/>
                <w:szCs w:val="18"/>
              </w:rPr>
            </w:pPr>
            <w:r>
              <w:rPr>
                <w:sz w:val="18"/>
                <w:szCs w:val="18"/>
              </w:rPr>
              <w:t>0.06</w:t>
            </w:r>
          </w:p>
        </w:tc>
        <w:tc>
          <w:tcPr>
            <w:tcW w:w="1102" w:type="pct"/>
            <w:vAlign w:val="center"/>
          </w:tcPr>
          <w:p>
            <w:pPr>
              <w:jc w:val="center"/>
              <w:rPr>
                <w:sz w:val="18"/>
                <w:szCs w:val="18"/>
              </w:rPr>
            </w:pPr>
            <w:r>
              <w:rPr>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03" w:type="pct"/>
            <w:vAlign w:val="center"/>
          </w:tcPr>
          <w:p>
            <w:pPr>
              <w:rPr>
                <w:rFonts w:ascii="Calibri" w:hAnsi="Calibri"/>
                <w:sz w:val="18"/>
                <w:szCs w:val="18"/>
              </w:rPr>
            </w:pPr>
            <w:r>
              <w:rPr>
                <w:sz w:val="18"/>
                <w:szCs w:val="18"/>
              </w:rPr>
              <w:t>12</w:t>
            </w:r>
            <w:r>
              <w:rPr>
                <w:rFonts w:hint="eastAsia"/>
                <w:sz w:val="18"/>
                <w:szCs w:val="18"/>
              </w:rPr>
              <w:t>、反射位移光纤传感器的工作原理及反射光线位移的压力传感器和加速度传感器的结构设计、应用</w:t>
            </w:r>
          </w:p>
        </w:tc>
        <w:tc>
          <w:tcPr>
            <w:tcW w:w="695" w:type="pct"/>
            <w:vAlign w:val="center"/>
          </w:tcPr>
          <w:p>
            <w:pPr>
              <w:jc w:val="center"/>
              <w:rPr>
                <w:sz w:val="18"/>
                <w:szCs w:val="18"/>
              </w:rPr>
            </w:pPr>
            <w:r>
              <w:rPr>
                <w:sz w:val="18"/>
                <w:szCs w:val="18"/>
              </w:rPr>
              <w:t>0.09</w:t>
            </w:r>
          </w:p>
        </w:tc>
        <w:tc>
          <w:tcPr>
            <w:tcW w:w="1102" w:type="pct"/>
            <w:vAlign w:val="center"/>
          </w:tcPr>
          <w:p>
            <w:pPr>
              <w:jc w:val="center"/>
              <w:rPr>
                <w:sz w:val="18"/>
                <w:szCs w:val="18"/>
              </w:rPr>
            </w:pPr>
            <w:r>
              <w:rPr>
                <w:sz w:val="18"/>
                <w:szCs w:val="18"/>
              </w:rPr>
              <w:t>1</w:t>
            </w:r>
          </w:p>
        </w:tc>
      </w:tr>
    </w:tbl>
    <w:p>
      <w:pPr>
        <w:spacing w:line="360" w:lineRule="auto"/>
        <w:ind w:firstLine="630" w:firstLineChars="300"/>
        <w:rPr>
          <w:szCs w:val="21"/>
        </w:rPr>
      </w:pPr>
    </w:p>
    <w:p>
      <w:pPr>
        <w:spacing w:line="360" w:lineRule="auto"/>
        <w:ind w:firstLine="210" w:firstLineChars="100"/>
        <w:rPr>
          <w:rFonts w:eastAsia="黑体"/>
          <w:szCs w:val="24"/>
        </w:rPr>
        <w:sectPr>
          <w:pgSz w:w="11906" w:h="16838"/>
          <w:pgMar w:top="1440" w:right="1797" w:bottom="1440" w:left="1797" w:header="851" w:footer="992" w:gutter="0"/>
          <w:pgNumType w:fmt="decimal"/>
          <w:cols w:space="425" w:num="1"/>
          <w:docGrid w:linePitch="312" w:charSpace="0"/>
        </w:sectPr>
      </w:pPr>
      <w:r>
        <w:rPr>
          <w:rFonts w:hint="eastAsia"/>
          <w:szCs w:val="21"/>
        </w:rPr>
        <w:t>本课程不可以申请免修。</w:t>
      </w:r>
    </w:p>
    <w:p>
      <w:pPr>
        <w:widowControl/>
        <w:jc w:val="left"/>
        <w:rPr>
          <w:rFonts w:eastAsia="黑体"/>
          <w:szCs w:val="24"/>
        </w:rPr>
      </w:pPr>
      <w:r>
        <w:rPr>
          <w:rFonts w:hint="eastAsia" w:eastAsia="黑体"/>
          <w:szCs w:val="24"/>
        </w:rPr>
        <w:t>十、课程目标达成评价</w:t>
      </w:r>
    </w:p>
    <w:p>
      <w:pPr>
        <w:spacing w:line="360" w:lineRule="auto"/>
        <w:ind w:firstLine="420" w:firstLineChars="200"/>
        <w:jc w:val="center"/>
      </w:pPr>
    </w:p>
    <w:p>
      <w:pPr>
        <w:spacing w:line="360" w:lineRule="auto"/>
        <w:ind w:firstLine="420" w:firstLineChars="200"/>
        <w:jc w:val="center"/>
      </w:pPr>
      <w:r>
        <w:rPr>
          <w:rFonts w:hint="eastAsia"/>
        </w:rPr>
        <w:t>各环节对课程目标达成评价所使用到的权重占比分配及考核权重分配</w:t>
      </w:r>
    </w:p>
    <w:tbl>
      <w:tblPr>
        <w:tblStyle w:val="19"/>
        <w:tblW w:w="5000" w:type="pct"/>
        <w:jc w:val="center"/>
        <w:tblLayout w:type="autofit"/>
        <w:tblCellMar>
          <w:top w:w="0" w:type="dxa"/>
          <w:left w:w="108" w:type="dxa"/>
          <w:bottom w:w="0" w:type="dxa"/>
          <w:right w:w="108" w:type="dxa"/>
        </w:tblCellMar>
      </w:tblPr>
      <w:tblGrid>
        <w:gridCol w:w="861"/>
        <w:gridCol w:w="1494"/>
        <w:gridCol w:w="632"/>
        <w:gridCol w:w="918"/>
        <w:gridCol w:w="1313"/>
        <w:gridCol w:w="1369"/>
        <w:gridCol w:w="862"/>
        <w:gridCol w:w="918"/>
        <w:gridCol w:w="1049"/>
        <w:gridCol w:w="933"/>
        <w:gridCol w:w="720"/>
        <w:gridCol w:w="865"/>
        <w:gridCol w:w="1086"/>
        <w:gridCol w:w="1154"/>
      </w:tblGrid>
      <w:tr>
        <w:tblPrEx>
          <w:tblCellMar>
            <w:top w:w="0" w:type="dxa"/>
            <w:left w:w="108" w:type="dxa"/>
            <w:bottom w:w="0" w:type="dxa"/>
            <w:right w:w="108" w:type="dxa"/>
          </w:tblCellMar>
        </w:tblPrEx>
        <w:trPr>
          <w:trHeight w:val="1015" w:hRule="atLeast"/>
          <w:jc w:val="center"/>
        </w:trPr>
        <w:tc>
          <w:tcPr>
            <w:tcW w:w="30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课程目标</w:t>
            </w:r>
          </w:p>
        </w:tc>
        <w:tc>
          <w:tcPr>
            <w:tcW w:w="52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知识面比例</w:t>
            </w:r>
          </w:p>
          <w:p>
            <w:pPr>
              <w:widowControl/>
              <w:jc w:val="center"/>
              <w:rPr>
                <w:kern w:val="0"/>
                <w:sz w:val="18"/>
                <w:szCs w:val="18"/>
              </w:rPr>
            </w:pPr>
            <w:r>
              <w:rPr>
                <w:kern w:val="0"/>
                <w:sz w:val="18"/>
                <w:szCs w:val="18"/>
              </w:rPr>
              <w:t>（本列总和为1）</w:t>
            </w:r>
          </w:p>
          <w:p>
            <w:pPr>
              <w:widowControl/>
              <w:jc w:val="center"/>
              <w:rPr>
                <w:i/>
                <w:kern w:val="0"/>
                <w:sz w:val="18"/>
                <w:szCs w:val="18"/>
              </w:rPr>
            </w:pPr>
            <w:r>
              <w:rPr>
                <w:i/>
                <w:kern w:val="0"/>
                <w:sz w:val="18"/>
                <w:szCs w:val="18"/>
              </w:rPr>
              <w:t>P</w:t>
            </w:r>
            <w:r>
              <w:rPr>
                <w:i/>
                <w:kern w:val="0"/>
                <w:sz w:val="18"/>
                <w:szCs w:val="18"/>
                <w:vertAlign w:val="subscript"/>
              </w:rPr>
              <w:t>i</w:t>
            </w:r>
          </w:p>
        </w:tc>
        <w:tc>
          <w:tcPr>
            <w:tcW w:w="1492"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sz w:val="18"/>
                <w:szCs w:val="18"/>
              </w:rPr>
              <w:t>各环节评价比例分配</w:t>
            </w:r>
            <w:r>
              <w:rPr>
                <w:sz w:val="18"/>
                <w:szCs w:val="18"/>
              </w:rPr>
              <w:br w:type="textWrapping"/>
            </w:r>
            <w:r>
              <w:rPr>
                <w:sz w:val="18"/>
                <w:szCs w:val="18"/>
              </w:rPr>
              <w:t>（每行总和为1）</w:t>
            </w:r>
            <w:r>
              <w:rPr>
                <w:sz w:val="18"/>
                <w:szCs w:val="18"/>
              </w:rPr>
              <w:br w:type="textWrapping"/>
            </w:r>
            <w:r>
              <w:rPr>
                <w:i/>
                <w:sz w:val="18"/>
                <w:szCs w:val="18"/>
              </w:rPr>
              <w:t>W</w:t>
            </w:r>
            <w:r>
              <w:rPr>
                <w:i/>
                <w:sz w:val="18"/>
                <w:szCs w:val="18"/>
                <w:vertAlign w:val="subscript"/>
              </w:rPr>
              <w:t>ik</w:t>
            </w:r>
          </w:p>
        </w:tc>
        <w:tc>
          <w:tcPr>
            <w:tcW w:w="1327" w:type="pct"/>
            <w:gridSpan w:val="4"/>
            <w:tcBorders>
              <w:top w:val="single" w:color="auto" w:sz="4" w:space="0"/>
              <w:left w:val="nil"/>
              <w:bottom w:val="single" w:color="auto" w:sz="4" w:space="0"/>
              <w:right w:val="single" w:color="auto" w:sz="4" w:space="0"/>
            </w:tcBorders>
            <w:shd w:val="clear" w:color="auto" w:fill="auto"/>
            <w:vAlign w:val="center"/>
          </w:tcPr>
          <w:p>
            <w:pPr>
              <w:jc w:val="center"/>
              <w:rPr>
                <w:sz w:val="18"/>
                <w:szCs w:val="18"/>
              </w:rPr>
            </w:pPr>
            <w:r>
              <w:rPr>
                <w:sz w:val="18"/>
                <w:szCs w:val="18"/>
              </w:rPr>
              <w:t>各环节在课程达成中的占比</w:t>
            </w:r>
            <w:r>
              <w:rPr>
                <w:sz w:val="18"/>
                <w:szCs w:val="18"/>
              </w:rPr>
              <w:br w:type="textWrapping"/>
            </w:r>
            <w:r>
              <w:rPr>
                <w:sz w:val="18"/>
                <w:szCs w:val="18"/>
              </w:rPr>
              <w:t>（所有行列总和为1）</w:t>
            </w:r>
            <w:r>
              <w:rPr>
                <w:sz w:val="18"/>
                <w:szCs w:val="18"/>
              </w:rPr>
              <w:br w:type="textWrapping"/>
            </w:r>
            <w:r>
              <w:rPr>
                <w:i/>
                <w:sz w:val="18"/>
                <w:szCs w:val="18"/>
              </w:rPr>
              <w:t>S</w:t>
            </w:r>
            <w:r>
              <w:rPr>
                <w:i/>
                <w:sz w:val="18"/>
                <w:szCs w:val="18"/>
                <w:vertAlign w:val="subscript"/>
              </w:rPr>
              <w:t>ik</w:t>
            </w:r>
            <w:r>
              <w:rPr>
                <w:i/>
                <w:sz w:val="18"/>
                <w:szCs w:val="18"/>
              </w:rPr>
              <w:t>=P</w:t>
            </w:r>
            <w:r>
              <w:rPr>
                <w:i/>
                <w:sz w:val="18"/>
                <w:szCs w:val="18"/>
                <w:vertAlign w:val="subscript"/>
              </w:rPr>
              <w:t>i</w:t>
            </w:r>
            <w:r>
              <w:rPr>
                <w:i/>
                <w:sz w:val="18"/>
                <w:szCs w:val="18"/>
              </w:rPr>
              <w:t>*W</w:t>
            </w:r>
            <w:r>
              <w:rPr>
                <w:i/>
                <w:sz w:val="18"/>
                <w:szCs w:val="18"/>
                <w:vertAlign w:val="subscript"/>
              </w:rPr>
              <w:t>ik</w:t>
            </w:r>
          </w:p>
        </w:tc>
        <w:tc>
          <w:tcPr>
            <w:tcW w:w="1349"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各环节课程目标考核权重分布</w:t>
            </w:r>
          </w:p>
          <w:p>
            <w:pPr>
              <w:jc w:val="center"/>
              <w:rPr>
                <w:sz w:val="18"/>
                <w:szCs w:val="18"/>
              </w:rPr>
            </w:pPr>
            <w:r>
              <w:rPr>
                <w:sz w:val="18"/>
                <w:szCs w:val="18"/>
              </w:rPr>
              <w:t>（每一列总和为1）</w:t>
            </w:r>
          </w:p>
          <w:p>
            <w:pPr>
              <w:jc w:val="center"/>
              <w:rPr>
                <w:i/>
                <w:sz w:val="18"/>
                <w:szCs w:val="18"/>
              </w:rPr>
            </w:pPr>
            <w:r>
              <w:rPr>
                <w:i/>
                <w:sz w:val="18"/>
                <w:szCs w:val="18"/>
              </w:rPr>
              <w:t>E</w:t>
            </w:r>
            <w:r>
              <w:rPr>
                <w:i/>
                <w:sz w:val="18"/>
                <w:szCs w:val="18"/>
                <w:vertAlign w:val="subscript"/>
              </w:rPr>
              <w:t>ik</w:t>
            </w:r>
            <w:r>
              <w:rPr>
                <w:i/>
                <w:sz w:val="18"/>
                <w:szCs w:val="18"/>
              </w:rPr>
              <w:t>=S</w:t>
            </w:r>
            <w:r>
              <w:rPr>
                <w:i/>
                <w:sz w:val="18"/>
                <w:szCs w:val="18"/>
                <w:vertAlign w:val="subscript"/>
              </w:rPr>
              <w:t>ik</w:t>
            </w:r>
            <w:r>
              <w:rPr>
                <w:i/>
                <w:sz w:val="18"/>
                <w:szCs w:val="18"/>
              </w:rPr>
              <w:t>/M</w:t>
            </w:r>
            <w:r>
              <w:rPr>
                <w:i/>
                <w:sz w:val="18"/>
                <w:szCs w:val="18"/>
                <w:vertAlign w:val="subscript"/>
              </w:rPr>
              <w:t>ik</w:t>
            </w:r>
          </w:p>
        </w:tc>
      </w:tr>
      <w:tr>
        <w:tblPrEx>
          <w:tblCellMar>
            <w:top w:w="0" w:type="dxa"/>
            <w:left w:w="108" w:type="dxa"/>
            <w:bottom w:w="0" w:type="dxa"/>
            <w:right w:w="108" w:type="dxa"/>
          </w:tblCellMar>
        </w:tblPrEx>
        <w:trPr>
          <w:trHeight w:val="986" w:hRule="atLeast"/>
          <w:jc w:val="center"/>
        </w:trPr>
        <w:tc>
          <w:tcPr>
            <w:tcW w:w="30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18"/>
                <w:szCs w:val="18"/>
              </w:rPr>
            </w:pPr>
          </w:p>
        </w:tc>
        <w:tc>
          <w:tcPr>
            <w:tcW w:w="52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i/>
                <w:kern w:val="0"/>
                <w:sz w:val="18"/>
                <w:szCs w:val="18"/>
              </w:rPr>
            </w:pPr>
          </w:p>
        </w:tc>
        <w:tc>
          <w:tcPr>
            <w:tcW w:w="223"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课堂</w:t>
            </w:r>
          </w:p>
          <w:p>
            <w:pPr>
              <w:widowControl/>
              <w:jc w:val="center"/>
              <w:rPr>
                <w:kern w:val="0"/>
                <w:sz w:val="18"/>
                <w:szCs w:val="18"/>
              </w:rPr>
            </w:pPr>
            <w:r>
              <w:rPr>
                <w:kern w:val="0"/>
                <w:sz w:val="18"/>
                <w:szCs w:val="18"/>
              </w:rPr>
              <w:t>情况</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作业</w:t>
            </w:r>
          </w:p>
        </w:tc>
        <w:tc>
          <w:tcPr>
            <w:tcW w:w="463"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实验</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期末</w:t>
            </w:r>
          </w:p>
          <w:p>
            <w:pPr>
              <w:jc w:val="center"/>
              <w:rPr>
                <w:kern w:val="0"/>
                <w:sz w:val="18"/>
                <w:szCs w:val="18"/>
              </w:rPr>
            </w:pPr>
            <w:r>
              <w:rPr>
                <w:kern w:val="0"/>
                <w:sz w:val="18"/>
                <w:szCs w:val="18"/>
              </w:rPr>
              <w:t>考试</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课堂</w:t>
            </w:r>
          </w:p>
          <w:p>
            <w:pPr>
              <w:widowControl/>
              <w:jc w:val="center"/>
              <w:rPr>
                <w:kern w:val="0"/>
                <w:sz w:val="18"/>
                <w:szCs w:val="18"/>
              </w:rPr>
            </w:pPr>
            <w:r>
              <w:rPr>
                <w:kern w:val="0"/>
                <w:sz w:val="18"/>
                <w:szCs w:val="18"/>
              </w:rPr>
              <w:t>情况</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作业</w:t>
            </w:r>
          </w:p>
        </w:tc>
        <w:tc>
          <w:tcPr>
            <w:tcW w:w="370"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p>
          <w:p>
            <w:pPr>
              <w:widowControl/>
              <w:jc w:val="center"/>
              <w:rPr>
                <w:kern w:val="0"/>
                <w:sz w:val="18"/>
                <w:szCs w:val="18"/>
              </w:rPr>
            </w:pPr>
            <w:r>
              <w:rPr>
                <w:kern w:val="0"/>
                <w:sz w:val="18"/>
                <w:szCs w:val="18"/>
              </w:rPr>
              <w:t>实验</w:t>
            </w:r>
          </w:p>
        </w:tc>
        <w:tc>
          <w:tcPr>
            <w:tcW w:w="328"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期末</w:t>
            </w:r>
          </w:p>
          <w:p>
            <w:pPr>
              <w:jc w:val="center"/>
              <w:rPr>
                <w:kern w:val="0"/>
                <w:sz w:val="18"/>
                <w:szCs w:val="18"/>
              </w:rPr>
            </w:pPr>
            <w:r>
              <w:rPr>
                <w:kern w:val="0"/>
                <w:sz w:val="18"/>
                <w:szCs w:val="18"/>
              </w:rPr>
              <w:t>考试</w:t>
            </w:r>
          </w:p>
        </w:tc>
        <w:tc>
          <w:tcPr>
            <w:tcW w:w="2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课堂</w:t>
            </w:r>
          </w:p>
          <w:p>
            <w:pPr>
              <w:widowControl/>
              <w:jc w:val="center"/>
              <w:rPr>
                <w:kern w:val="0"/>
                <w:sz w:val="18"/>
                <w:szCs w:val="18"/>
              </w:rPr>
            </w:pPr>
            <w:r>
              <w:rPr>
                <w:kern w:val="0"/>
                <w:sz w:val="18"/>
                <w:szCs w:val="18"/>
              </w:rPr>
              <w:t>情况</w:t>
            </w:r>
          </w:p>
        </w:tc>
        <w:tc>
          <w:tcPr>
            <w:tcW w:w="3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作业</w:t>
            </w:r>
          </w:p>
        </w:tc>
        <w:tc>
          <w:tcPr>
            <w:tcW w:w="38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实验</w:t>
            </w:r>
          </w:p>
        </w:tc>
        <w:tc>
          <w:tcPr>
            <w:tcW w:w="4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期末</w:t>
            </w:r>
          </w:p>
          <w:p>
            <w:pPr>
              <w:jc w:val="center"/>
              <w:rPr>
                <w:kern w:val="0"/>
                <w:sz w:val="18"/>
                <w:szCs w:val="18"/>
              </w:rPr>
            </w:pPr>
            <w:r>
              <w:rPr>
                <w:kern w:val="0"/>
                <w:sz w:val="18"/>
                <w:szCs w:val="18"/>
              </w:rPr>
              <w:t>考试</w:t>
            </w:r>
          </w:p>
        </w:tc>
      </w:tr>
      <w:tr>
        <w:tblPrEx>
          <w:tblCellMar>
            <w:top w:w="0" w:type="dxa"/>
            <w:left w:w="108" w:type="dxa"/>
            <w:bottom w:w="0" w:type="dxa"/>
            <w:right w:w="108" w:type="dxa"/>
          </w:tblCellMar>
        </w:tblPrEx>
        <w:trPr>
          <w:trHeight w:val="668" w:hRule="atLeast"/>
          <w:jc w:val="center"/>
        </w:trPr>
        <w:tc>
          <w:tcPr>
            <w:tcW w:w="304" w:type="pct"/>
            <w:tcBorders>
              <w:top w:val="nil"/>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1</w:t>
            </w:r>
          </w:p>
        </w:tc>
        <w:tc>
          <w:tcPr>
            <w:tcW w:w="52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bCs/>
                <w:kern w:val="0"/>
                <w:sz w:val="18"/>
                <w:szCs w:val="18"/>
              </w:rPr>
            </w:pPr>
            <w:r>
              <w:rPr>
                <w:bCs/>
                <w:kern w:val="0"/>
                <w:sz w:val="18"/>
                <w:szCs w:val="18"/>
              </w:rPr>
              <w:t>0.55</w:t>
            </w:r>
          </w:p>
        </w:tc>
        <w:tc>
          <w:tcPr>
            <w:tcW w:w="22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bCs/>
                <w:kern w:val="0"/>
                <w:sz w:val="18"/>
                <w:szCs w:val="18"/>
              </w:rPr>
            </w:pPr>
            <w:r>
              <w:rPr>
                <w:bCs/>
                <w:kern w:val="0"/>
                <w:sz w:val="18"/>
                <w:szCs w:val="18"/>
              </w:rPr>
              <w:t>0.10</w:t>
            </w:r>
          </w:p>
        </w:tc>
        <w:tc>
          <w:tcPr>
            <w:tcW w:w="32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bCs/>
                <w:kern w:val="0"/>
                <w:sz w:val="18"/>
                <w:szCs w:val="18"/>
              </w:rPr>
            </w:pPr>
            <w:r>
              <w:rPr>
                <w:bCs/>
                <w:kern w:val="0"/>
                <w:sz w:val="18"/>
                <w:szCs w:val="18"/>
              </w:rPr>
              <w:t>0.20</w:t>
            </w:r>
          </w:p>
        </w:tc>
        <w:tc>
          <w:tcPr>
            <w:tcW w:w="46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bCs/>
                <w:kern w:val="0"/>
                <w:sz w:val="18"/>
                <w:szCs w:val="18"/>
              </w:rPr>
            </w:pPr>
            <w:r>
              <w:rPr>
                <w:bCs/>
                <w:kern w:val="0"/>
                <w:sz w:val="18"/>
                <w:szCs w:val="18"/>
              </w:rPr>
              <w:t>0.20</w:t>
            </w:r>
          </w:p>
        </w:tc>
        <w:tc>
          <w:tcPr>
            <w:tcW w:w="482" w:type="pct"/>
            <w:tcBorders>
              <w:top w:val="single" w:color="auto" w:sz="4" w:space="0"/>
              <w:left w:val="nil"/>
              <w:bottom w:val="single" w:color="auto" w:sz="4" w:space="0"/>
              <w:right w:val="single" w:color="auto" w:sz="4" w:space="0"/>
            </w:tcBorders>
            <w:shd w:val="clear" w:color="auto" w:fill="auto"/>
            <w:vAlign w:val="center"/>
          </w:tcPr>
          <w:p>
            <w:pPr>
              <w:widowControl/>
              <w:jc w:val="center"/>
              <w:rPr>
                <w:bCs/>
                <w:kern w:val="0"/>
                <w:sz w:val="18"/>
                <w:szCs w:val="18"/>
              </w:rPr>
            </w:pPr>
            <w:r>
              <w:rPr>
                <w:bCs/>
                <w:kern w:val="0"/>
                <w:sz w:val="18"/>
                <w:szCs w:val="18"/>
              </w:rPr>
              <w:t>0.50</w:t>
            </w:r>
          </w:p>
        </w:tc>
        <w:tc>
          <w:tcPr>
            <w:tcW w:w="30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bCs/>
                <w:kern w:val="0"/>
                <w:sz w:val="18"/>
                <w:szCs w:val="18"/>
              </w:rPr>
            </w:pPr>
            <w:r>
              <w:rPr>
                <w:bCs/>
                <w:kern w:val="0"/>
                <w:sz w:val="18"/>
                <w:szCs w:val="18"/>
              </w:rPr>
              <w:t>0.055</w:t>
            </w:r>
          </w:p>
        </w:tc>
        <w:tc>
          <w:tcPr>
            <w:tcW w:w="32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bCs/>
                <w:kern w:val="0"/>
                <w:sz w:val="18"/>
                <w:szCs w:val="18"/>
              </w:rPr>
            </w:pPr>
            <w:r>
              <w:rPr>
                <w:bCs/>
                <w:kern w:val="0"/>
                <w:sz w:val="18"/>
                <w:szCs w:val="18"/>
              </w:rPr>
              <w:t>0.050</w:t>
            </w:r>
          </w:p>
        </w:tc>
        <w:tc>
          <w:tcPr>
            <w:tcW w:w="37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bCs/>
                <w:kern w:val="0"/>
                <w:sz w:val="18"/>
                <w:szCs w:val="18"/>
              </w:rPr>
            </w:pPr>
            <w:r>
              <w:rPr>
                <w:bCs/>
                <w:kern w:val="0"/>
                <w:sz w:val="18"/>
                <w:szCs w:val="18"/>
              </w:rPr>
              <w:t>0.055</w:t>
            </w:r>
          </w:p>
        </w:tc>
        <w:tc>
          <w:tcPr>
            <w:tcW w:w="328" w:type="pct"/>
            <w:tcBorders>
              <w:top w:val="single" w:color="auto" w:sz="4" w:space="0"/>
              <w:left w:val="nil"/>
              <w:bottom w:val="single" w:color="auto" w:sz="4" w:space="0"/>
              <w:right w:val="single" w:color="auto" w:sz="4" w:space="0"/>
            </w:tcBorders>
            <w:shd w:val="clear" w:color="auto" w:fill="auto"/>
            <w:vAlign w:val="center"/>
          </w:tcPr>
          <w:p>
            <w:pPr>
              <w:jc w:val="center"/>
              <w:rPr>
                <w:bCs/>
                <w:kern w:val="0"/>
                <w:sz w:val="18"/>
                <w:szCs w:val="18"/>
              </w:rPr>
            </w:pPr>
            <w:r>
              <w:rPr>
                <w:bCs/>
                <w:kern w:val="0"/>
                <w:sz w:val="18"/>
                <w:szCs w:val="18"/>
              </w:rPr>
              <w:t>0.385</w:t>
            </w:r>
          </w:p>
        </w:tc>
        <w:tc>
          <w:tcPr>
            <w:tcW w:w="25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0.55</w:t>
            </w:r>
          </w:p>
        </w:tc>
        <w:tc>
          <w:tcPr>
            <w:tcW w:w="30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0.55</w:t>
            </w:r>
          </w:p>
        </w:tc>
        <w:tc>
          <w:tcPr>
            <w:tcW w:w="38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0.55</w:t>
            </w:r>
          </w:p>
        </w:tc>
        <w:tc>
          <w:tcPr>
            <w:tcW w:w="40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0.55</w:t>
            </w:r>
          </w:p>
        </w:tc>
      </w:tr>
      <w:tr>
        <w:tblPrEx>
          <w:tblCellMar>
            <w:top w:w="0" w:type="dxa"/>
            <w:left w:w="108" w:type="dxa"/>
            <w:bottom w:w="0" w:type="dxa"/>
            <w:right w:w="108" w:type="dxa"/>
          </w:tblCellMar>
        </w:tblPrEx>
        <w:trPr>
          <w:trHeight w:val="694" w:hRule="atLeast"/>
          <w:jc w:val="center"/>
        </w:trPr>
        <w:tc>
          <w:tcPr>
            <w:tcW w:w="304" w:type="pct"/>
            <w:tcBorders>
              <w:top w:val="nil"/>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2</w:t>
            </w:r>
          </w:p>
        </w:tc>
        <w:tc>
          <w:tcPr>
            <w:tcW w:w="52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bCs/>
                <w:kern w:val="0"/>
                <w:sz w:val="18"/>
                <w:szCs w:val="18"/>
              </w:rPr>
            </w:pPr>
            <w:r>
              <w:rPr>
                <w:bCs/>
                <w:kern w:val="0"/>
                <w:sz w:val="18"/>
                <w:szCs w:val="18"/>
              </w:rPr>
              <w:t>0.15</w:t>
            </w:r>
          </w:p>
        </w:tc>
        <w:tc>
          <w:tcPr>
            <w:tcW w:w="223" w:type="pct"/>
            <w:tcBorders>
              <w:top w:val="nil"/>
              <w:left w:val="nil"/>
              <w:bottom w:val="single" w:color="auto" w:sz="4" w:space="0"/>
              <w:right w:val="single" w:color="auto" w:sz="4" w:space="0"/>
            </w:tcBorders>
            <w:shd w:val="clear" w:color="auto" w:fill="auto"/>
            <w:noWrap/>
            <w:vAlign w:val="center"/>
          </w:tcPr>
          <w:p>
            <w:pPr>
              <w:widowControl/>
              <w:jc w:val="center"/>
              <w:rPr>
                <w:bCs/>
                <w:kern w:val="0"/>
                <w:sz w:val="18"/>
                <w:szCs w:val="18"/>
              </w:rPr>
            </w:pPr>
            <w:r>
              <w:rPr>
                <w:bCs/>
                <w:kern w:val="0"/>
                <w:sz w:val="18"/>
                <w:szCs w:val="18"/>
              </w:rPr>
              <w:t>0.10</w:t>
            </w:r>
          </w:p>
        </w:tc>
        <w:tc>
          <w:tcPr>
            <w:tcW w:w="324" w:type="pct"/>
            <w:tcBorders>
              <w:top w:val="nil"/>
              <w:left w:val="nil"/>
              <w:bottom w:val="single" w:color="auto" w:sz="4" w:space="0"/>
              <w:right w:val="single" w:color="auto" w:sz="4" w:space="0"/>
            </w:tcBorders>
            <w:shd w:val="clear" w:color="auto" w:fill="auto"/>
            <w:noWrap/>
            <w:vAlign w:val="center"/>
          </w:tcPr>
          <w:p>
            <w:pPr>
              <w:widowControl/>
              <w:jc w:val="center"/>
              <w:rPr>
                <w:bCs/>
                <w:kern w:val="0"/>
                <w:sz w:val="18"/>
                <w:szCs w:val="18"/>
              </w:rPr>
            </w:pPr>
            <w:r>
              <w:rPr>
                <w:bCs/>
                <w:kern w:val="0"/>
                <w:sz w:val="18"/>
                <w:szCs w:val="18"/>
              </w:rPr>
              <w:t>0.10</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bCs/>
                <w:kern w:val="0"/>
                <w:sz w:val="18"/>
                <w:szCs w:val="18"/>
              </w:rPr>
            </w:pPr>
            <w:r>
              <w:rPr>
                <w:bCs/>
                <w:kern w:val="0"/>
                <w:sz w:val="18"/>
                <w:szCs w:val="18"/>
              </w:rPr>
              <w:t>0.10</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bCs/>
                <w:kern w:val="0"/>
                <w:sz w:val="18"/>
                <w:szCs w:val="18"/>
              </w:rPr>
            </w:pPr>
            <w:r>
              <w:rPr>
                <w:bCs/>
                <w:kern w:val="0"/>
                <w:sz w:val="18"/>
                <w:szCs w:val="18"/>
              </w:rPr>
              <w:t>0.70</w:t>
            </w:r>
          </w:p>
        </w:tc>
        <w:tc>
          <w:tcPr>
            <w:tcW w:w="304" w:type="pct"/>
            <w:tcBorders>
              <w:top w:val="nil"/>
              <w:left w:val="nil"/>
              <w:bottom w:val="single" w:color="auto" w:sz="4" w:space="0"/>
              <w:right w:val="single" w:color="auto" w:sz="4" w:space="0"/>
            </w:tcBorders>
            <w:shd w:val="clear" w:color="auto" w:fill="auto"/>
            <w:noWrap/>
            <w:vAlign w:val="center"/>
          </w:tcPr>
          <w:p>
            <w:pPr>
              <w:widowControl/>
              <w:jc w:val="center"/>
              <w:rPr>
                <w:bCs/>
                <w:kern w:val="0"/>
                <w:sz w:val="18"/>
                <w:szCs w:val="18"/>
              </w:rPr>
            </w:pPr>
            <w:r>
              <w:rPr>
                <w:bCs/>
                <w:kern w:val="0"/>
                <w:sz w:val="18"/>
                <w:szCs w:val="18"/>
              </w:rPr>
              <w:t>0.015</w:t>
            </w:r>
          </w:p>
        </w:tc>
        <w:tc>
          <w:tcPr>
            <w:tcW w:w="324" w:type="pct"/>
            <w:tcBorders>
              <w:top w:val="nil"/>
              <w:left w:val="nil"/>
              <w:bottom w:val="single" w:color="auto" w:sz="4" w:space="0"/>
              <w:right w:val="single" w:color="auto" w:sz="4" w:space="0"/>
            </w:tcBorders>
            <w:shd w:val="clear" w:color="auto" w:fill="auto"/>
            <w:noWrap/>
            <w:vAlign w:val="center"/>
          </w:tcPr>
          <w:p>
            <w:pPr>
              <w:widowControl/>
              <w:jc w:val="center"/>
              <w:rPr>
                <w:bCs/>
                <w:kern w:val="0"/>
                <w:sz w:val="18"/>
                <w:szCs w:val="18"/>
              </w:rPr>
            </w:pPr>
            <w:r>
              <w:rPr>
                <w:bCs/>
                <w:kern w:val="0"/>
                <w:sz w:val="18"/>
                <w:szCs w:val="18"/>
              </w:rPr>
              <w:t>0.010</w:t>
            </w:r>
          </w:p>
        </w:tc>
        <w:tc>
          <w:tcPr>
            <w:tcW w:w="370" w:type="pct"/>
            <w:tcBorders>
              <w:top w:val="nil"/>
              <w:left w:val="nil"/>
              <w:bottom w:val="single" w:color="auto" w:sz="4" w:space="0"/>
              <w:right w:val="single" w:color="auto" w:sz="4" w:space="0"/>
            </w:tcBorders>
            <w:shd w:val="clear" w:color="auto" w:fill="auto"/>
            <w:noWrap/>
            <w:vAlign w:val="center"/>
          </w:tcPr>
          <w:p>
            <w:pPr>
              <w:widowControl/>
              <w:jc w:val="center"/>
              <w:rPr>
                <w:bCs/>
                <w:kern w:val="0"/>
                <w:sz w:val="18"/>
                <w:szCs w:val="18"/>
              </w:rPr>
            </w:pPr>
            <w:r>
              <w:rPr>
                <w:bCs/>
                <w:kern w:val="0"/>
                <w:sz w:val="18"/>
                <w:szCs w:val="18"/>
              </w:rPr>
              <w:t>0.015</w:t>
            </w:r>
          </w:p>
        </w:tc>
        <w:tc>
          <w:tcPr>
            <w:tcW w:w="328" w:type="pct"/>
            <w:tcBorders>
              <w:top w:val="nil"/>
              <w:left w:val="nil"/>
              <w:bottom w:val="single" w:color="auto" w:sz="4" w:space="0"/>
              <w:right w:val="single" w:color="auto" w:sz="4" w:space="0"/>
            </w:tcBorders>
            <w:shd w:val="clear" w:color="auto" w:fill="auto"/>
            <w:vAlign w:val="center"/>
          </w:tcPr>
          <w:p>
            <w:pPr>
              <w:widowControl/>
              <w:jc w:val="center"/>
              <w:rPr>
                <w:bCs/>
                <w:kern w:val="0"/>
                <w:sz w:val="18"/>
                <w:szCs w:val="18"/>
              </w:rPr>
            </w:pPr>
            <w:r>
              <w:rPr>
                <w:bCs/>
                <w:kern w:val="0"/>
                <w:sz w:val="18"/>
                <w:szCs w:val="18"/>
              </w:rPr>
              <w:t>0.105</w:t>
            </w:r>
          </w:p>
        </w:tc>
        <w:tc>
          <w:tcPr>
            <w:tcW w:w="25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0.15</w:t>
            </w:r>
          </w:p>
        </w:tc>
        <w:tc>
          <w:tcPr>
            <w:tcW w:w="30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0.15</w:t>
            </w:r>
          </w:p>
        </w:tc>
        <w:tc>
          <w:tcPr>
            <w:tcW w:w="38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0.15</w:t>
            </w:r>
          </w:p>
        </w:tc>
        <w:tc>
          <w:tcPr>
            <w:tcW w:w="40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0.15</w:t>
            </w:r>
          </w:p>
        </w:tc>
      </w:tr>
      <w:tr>
        <w:tblPrEx>
          <w:tblCellMar>
            <w:top w:w="0" w:type="dxa"/>
            <w:left w:w="108" w:type="dxa"/>
            <w:bottom w:w="0" w:type="dxa"/>
            <w:right w:w="108" w:type="dxa"/>
          </w:tblCellMar>
        </w:tblPrEx>
        <w:trPr>
          <w:trHeight w:val="690" w:hRule="atLeast"/>
          <w:jc w:val="center"/>
        </w:trPr>
        <w:tc>
          <w:tcPr>
            <w:tcW w:w="304" w:type="pct"/>
            <w:tcBorders>
              <w:top w:val="nil"/>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3</w:t>
            </w:r>
          </w:p>
        </w:tc>
        <w:tc>
          <w:tcPr>
            <w:tcW w:w="52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bCs/>
                <w:kern w:val="0"/>
                <w:sz w:val="18"/>
                <w:szCs w:val="18"/>
              </w:rPr>
            </w:pPr>
            <w:r>
              <w:rPr>
                <w:bCs/>
                <w:kern w:val="0"/>
                <w:sz w:val="18"/>
                <w:szCs w:val="18"/>
              </w:rPr>
              <w:t>0.15</w:t>
            </w:r>
          </w:p>
        </w:tc>
        <w:tc>
          <w:tcPr>
            <w:tcW w:w="223" w:type="pct"/>
            <w:tcBorders>
              <w:top w:val="nil"/>
              <w:left w:val="nil"/>
              <w:bottom w:val="single" w:color="auto" w:sz="4" w:space="0"/>
              <w:right w:val="single" w:color="auto" w:sz="4" w:space="0"/>
            </w:tcBorders>
            <w:shd w:val="clear" w:color="auto" w:fill="auto"/>
            <w:noWrap/>
            <w:vAlign w:val="center"/>
          </w:tcPr>
          <w:p>
            <w:pPr>
              <w:widowControl/>
              <w:jc w:val="center"/>
              <w:rPr>
                <w:bCs/>
                <w:kern w:val="0"/>
                <w:sz w:val="18"/>
                <w:szCs w:val="18"/>
              </w:rPr>
            </w:pPr>
            <w:r>
              <w:rPr>
                <w:bCs/>
                <w:kern w:val="0"/>
                <w:sz w:val="18"/>
                <w:szCs w:val="18"/>
              </w:rPr>
              <w:t>0.10</w:t>
            </w:r>
          </w:p>
        </w:tc>
        <w:tc>
          <w:tcPr>
            <w:tcW w:w="324" w:type="pct"/>
            <w:tcBorders>
              <w:top w:val="nil"/>
              <w:left w:val="nil"/>
              <w:bottom w:val="single" w:color="auto" w:sz="4" w:space="0"/>
              <w:right w:val="single" w:color="auto" w:sz="4" w:space="0"/>
            </w:tcBorders>
            <w:shd w:val="clear" w:color="auto" w:fill="auto"/>
            <w:noWrap/>
            <w:vAlign w:val="center"/>
          </w:tcPr>
          <w:p>
            <w:pPr>
              <w:widowControl/>
              <w:jc w:val="center"/>
              <w:rPr>
                <w:bCs/>
                <w:kern w:val="0"/>
                <w:sz w:val="18"/>
                <w:szCs w:val="18"/>
              </w:rPr>
            </w:pPr>
            <w:r>
              <w:rPr>
                <w:bCs/>
                <w:kern w:val="0"/>
                <w:sz w:val="18"/>
                <w:szCs w:val="18"/>
              </w:rPr>
              <w:t>0.10</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bCs/>
                <w:kern w:val="0"/>
                <w:sz w:val="18"/>
                <w:szCs w:val="18"/>
              </w:rPr>
            </w:pPr>
            <w:r>
              <w:rPr>
                <w:bCs/>
                <w:kern w:val="0"/>
                <w:sz w:val="18"/>
                <w:szCs w:val="18"/>
              </w:rPr>
              <w:t>0.20</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bCs/>
                <w:kern w:val="0"/>
                <w:sz w:val="18"/>
                <w:szCs w:val="18"/>
              </w:rPr>
            </w:pPr>
            <w:r>
              <w:rPr>
                <w:bCs/>
                <w:kern w:val="0"/>
                <w:sz w:val="18"/>
                <w:szCs w:val="18"/>
              </w:rPr>
              <w:t>0.60</w:t>
            </w:r>
          </w:p>
        </w:tc>
        <w:tc>
          <w:tcPr>
            <w:tcW w:w="304" w:type="pct"/>
            <w:tcBorders>
              <w:top w:val="nil"/>
              <w:left w:val="nil"/>
              <w:bottom w:val="single" w:color="auto" w:sz="4" w:space="0"/>
              <w:right w:val="single" w:color="auto" w:sz="4" w:space="0"/>
            </w:tcBorders>
            <w:shd w:val="clear" w:color="auto" w:fill="auto"/>
            <w:noWrap/>
            <w:vAlign w:val="center"/>
          </w:tcPr>
          <w:p>
            <w:pPr>
              <w:widowControl/>
              <w:jc w:val="center"/>
              <w:rPr>
                <w:bCs/>
                <w:kern w:val="0"/>
                <w:sz w:val="18"/>
                <w:szCs w:val="18"/>
              </w:rPr>
            </w:pPr>
            <w:r>
              <w:rPr>
                <w:bCs/>
                <w:kern w:val="0"/>
                <w:sz w:val="18"/>
                <w:szCs w:val="18"/>
              </w:rPr>
              <w:t>0.015</w:t>
            </w:r>
          </w:p>
        </w:tc>
        <w:tc>
          <w:tcPr>
            <w:tcW w:w="324" w:type="pct"/>
            <w:tcBorders>
              <w:top w:val="nil"/>
              <w:left w:val="nil"/>
              <w:bottom w:val="single" w:color="auto" w:sz="4" w:space="0"/>
              <w:right w:val="single" w:color="auto" w:sz="4" w:space="0"/>
            </w:tcBorders>
            <w:shd w:val="clear" w:color="auto" w:fill="auto"/>
            <w:noWrap/>
            <w:vAlign w:val="center"/>
          </w:tcPr>
          <w:p>
            <w:pPr>
              <w:widowControl/>
              <w:jc w:val="center"/>
              <w:rPr>
                <w:bCs/>
                <w:kern w:val="0"/>
                <w:sz w:val="18"/>
                <w:szCs w:val="18"/>
              </w:rPr>
            </w:pPr>
            <w:r>
              <w:rPr>
                <w:bCs/>
                <w:kern w:val="0"/>
                <w:sz w:val="18"/>
                <w:szCs w:val="18"/>
              </w:rPr>
              <w:t>0.020</w:t>
            </w:r>
          </w:p>
        </w:tc>
        <w:tc>
          <w:tcPr>
            <w:tcW w:w="370" w:type="pct"/>
            <w:tcBorders>
              <w:top w:val="nil"/>
              <w:left w:val="nil"/>
              <w:bottom w:val="single" w:color="auto" w:sz="4" w:space="0"/>
              <w:right w:val="single" w:color="auto" w:sz="4" w:space="0"/>
            </w:tcBorders>
            <w:shd w:val="clear" w:color="auto" w:fill="auto"/>
            <w:noWrap/>
            <w:vAlign w:val="center"/>
          </w:tcPr>
          <w:p>
            <w:pPr>
              <w:widowControl/>
              <w:jc w:val="center"/>
              <w:rPr>
                <w:bCs/>
                <w:kern w:val="0"/>
                <w:sz w:val="18"/>
                <w:szCs w:val="18"/>
              </w:rPr>
            </w:pPr>
            <w:r>
              <w:rPr>
                <w:bCs/>
                <w:kern w:val="0"/>
                <w:sz w:val="18"/>
                <w:szCs w:val="18"/>
              </w:rPr>
              <w:t>0.015</w:t>
            </w:r>
          </w:p>
        </w:tc>
        <w:tc>
          <w:tcPr>
            <w:tcW w:w="328" w:type="pct"/>
            <w:tcBorders>
              <w:top w:val="nil"/>
              <w:left w:val="nil"/>
              <w:bottom w:val="single" w:color="auto" w:sz="4" w:space="0"/>
              <w:right w:val="single" w:color="auto" w:sz="4" w:space="0"/>
            </w:tcBorders>
            <w:shd w:val="clear" w:color="auto" w:fill="auto"/>
            <w:vAlign w:val="center"/>
          </w:tcPr>
          <w:p>
            <w:pPr>
              <w:widowControl/>
              <w:jc w:val="center"/>
              <w:rPr>
                <w:bCs/>
                <w:kern w:val="0"/>
                <w:sz w:val="18"/>
                <w:szCs w:val="18"/>
              </w:rPr>
            </w:pPr>
            <w:r>
              <w:rPr>
                <w:bCs/>
                <w:kern w:val="0"/>
                <w:sz w:val="18"/>
                <w:szCs w:val="18"/>
              </w:rPr>
              <w:t>0.105</w:t>
            </w:r>
          </w:p>
        </w:tc>
        <w:tc>
          <w:tcPr>
            <w:tcW w:w="25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0.15</w:t>
            </w:r>
          </w:p>
        </w:tc>
        <w:tc>
          <w:tcPr>
            <w:tcW w:w="30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0.15</w:t>
            </w:r>
          </w:p>
        </w:tc>
        <w:tc>
          <w:tcPr>
            <w:tcW w:w="38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0.15</w:t>
            </w:r>
          </w:p>
        </w:tc>
        <w:tc>
          <w:tcPr>
            <w:tcW w:w="40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0.15</w:t>
            </w:r>
          </w:p>
        </w:tc>
      </w:tr>
      <w:tr>
        <w:tblPrEx>
          <w:tblCellMar>
            <w:top w:w="0" w:type="dxa"/>
            <w:left w:w="108" w:type="dxa"/>
            <w:bottom w:w="0" w:type="dxa"/>
            <w:right w:w="108" w:type="dxa"/>
          </w:tblCellMar>
        </w:tblPrEx>
        <w:trPr>
          <w:trHeight w:val="1092" w:hRule="atLeast"/>
          <w:jc w:val="center"/>
        </w:trPr>
        <w:tc>
          <w:tcPr>
            <w:tcW w:w="304" w:type="pct"/>
            <w:tcBorders>
              <w:top w:val="nil"/>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4</w:t>
            </w:r>
          </w:p>
        </w:tc>
        <w:tc>
          <w:tcPr>
            <w:tcW w:w="52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bCs/>
                <w:kern w:val="0"/>
                <w:sz w:val="18"/>
                <w:szCs w:val="18"/>
              </w:rPr>
            </w:pPr>
            <w:r>
              <w:rPr>
                <w:bCs/>
                <w:kern w:val="0"/>
                <w:sz w:val="18"/>
                <w:szCs w:val="18"/>
              </w:rPr>
              <w:t>0.15</w:t>
            </w:r>
          </w:p>
        </w:tc>
        <w:tc>
          <w:tcPr>
            <w:tcW w:w="223" w:type="pct"/>
            <w:tcBorders>
              <w:top w:val="nil"/>
              <w:left w:val="nil"/>
              <w:bottom w:val="single" w:color="auto" w:sz="4" w:space="0"/>
              <w:right w:val="single" w:color="auto" w:sz="4" w:space="0"/>
            </w:tcBorders>
            <w:shd w:val="clear" w:color="auto" w:fill="auto"/>
            <w:noWrap/>
            <w:vAlign w:val="center"/>
          </w:tcPr>
          <w:p>
            <w:pPr>
              <w:widowControl/>
              <w:jc w:val="center"/>
              <w:rPr>
                <w:bCs/>
                <w:kern w:val="0"/>
                <w:sz w:val="18"/>
                <w:szCs w:val="18"/>
              </w:rPr>
            </w:pPr>
            <w:r>
              <w:rPr>
                <w:bCs/>
                <w:kern w:val="0"/>
                <w:sz w:val="18"/>
                <w:szCs w:val="18"/>
              </w:rPr>
              <w:t>0.10</w:t>
            </w:r>
          </w:p>
        </w:tc>
        <w:tc>
          <w:tcPr>
            <w:tcW w:w="324" w:type="pct"/>
            <w:tcBorders>
              <w:top w:val="nil"/>
              <w:left w:val="nil"/>
              <w:bottom w:val="single" w:color="auto" w:sz="4" w:space="0"/>
              <w:right w:val="single" w:color="auto" w:sz="4" w:space="0"/>
            </w:tcBorders>
            <w:shd w:val="clear" w:color="auto" w:fill="auto"/>
            <w:noWrap/>
            <w:vAlign w:val="center"/>
          </w:tcPr>
          <w:p>
            <w:pPr>
              <w:widowControl/>
              <w:jc w:val="center"/>
              <w:rPr>
                <w:bCs/>
                <w:kern w:val="0"/>
                <w:sz w:val="18"/>
                <w:szCs w:val="18"/>
              </w:rPr>
            </w:pPr>
            <w:r>
              <w:rPr>
                <w:bCs/>
                <w:kern w:val="0"/>
                <w:sz w:val="18"/>
                <w:szCs w:val="18"/>
              </w:rPr>
              <w:t>0.10</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bCs/>
                <w:kern w:val="0"/>
                <w:sz w:val="18"/>
                <w:szCs w:val="18"/>
              </w:rPr>
            </w:pPr>
            <w:r>
              <w:rPr>
                <w:bCs/>
                <w:kern w:val="0"/>
                <w:sz w:val="18"/>
                <w:szCs w:val="18"/>
              </w:rPr>
              <w:t>0.50</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bCs/>
                <w:kern w:val="0"/>
                <w:sz w:val="18"/>
                <w:szCs w:val="18"/>
              </w:rPr>
            </w:pPr>
            <w:r>
              <w:rPr>
                <w:bCs/>
                <w:kern w:val="0"/>
                <w:sz w:val="18"/>
                <w:szCs w:val="18"/>
              </w:rPr>
              <w:t>0.30</w:t>
            </w:r>
          </w:p>
        </w:tc>
        <w:tc>
          <w:tcPr>
            <w:tcW w:w="304" w:type="pct"/>
            <w:tcBorders>
              <w:top w:val="nil"/>
              <w:left w:val="nil"/>
              <w:bottom w:val="single" w:color="auto" w:sz="4" w:space="0"/>
              <w:right w:val="single" w:color="auto" w:sz="4" w:space="0"/>
            </w:tcBorders>
            <w:shd w:val="clear" w:color="auto" w:fill="auto"/>
            <w:noWrap/>
            <w:vAlign w:val="center"/>
          </w:tcPr>
          <w:p>
            <w:pPr>
              <w:widowControl/>
              <w:jc w:val="center"/>
              <w:rPr>
                <w:bCs/>
                <w:kern w:val="0"/>
                <w:sz w:val="18"/>
                <w:szCs w:val="18"/>
              </w:rPr>
            </w:pPr>
            <w:r>
              <w:rPr>
                <w:bCs/>
                <w:kern w:val="0"/>
                <w:sz w:val="18"/>
                <w:szCs w:val="18"/>
              </w:rPr>
              <w:t>0.015</w:t>
            </w:r>
          </w:p>
        </w:tc>
        <w:tc>
          <w:tcPr>
            <w:tcW w:w="324" w:type="pct"/>
            <w:tcBorders>
              <w:top w:val="nil"/>
              <w:left w:val="nil"/>
              <w:bottom w:val="single" w:color="auto" w:sz="4" w:space="0"/>
              <w:right w:val="single" w:color="auto" w:sz="4" w:space="0"/>
            </w:tcBorders>
            <w:shd w:val="clear" w:color="auto" w:fill="auto"/>
            <w:noWrap/>
            <w:vAlign w:val="center"/>
          </w:tcPr>
          <w:p>
            <w:pPr>
              <w:widowControl/>
              <w:jc w:val="center"/>
              <w:rPr>
                <w:bCs/>
                <w:kern w:val="0"/>
                <w:sz w:val="18"/>
                <w:szCs w:val="18"/>
              </w:rPr>
            </w:pPr>
            <w:r>
              <w:rPr>
                <w:bCs/>
                <w:kern w:val="0"/>
                <w:sz w:val="18"/>
                <w:szCs w:val="18"/>
              </w:rPr>
              <w:t>0.010</w:t>
            </w:r>
          </w:p>
        </w:tc>
        <w:tc>
          <w:tcPr>
            <w:tcW w:w="370" w:type="pct"/>
            <w:tcBorders>
              <w:top w:val="nil"/>
              <w:left w:val="nil"/>
              <w:bottom w:val="single" w:color="auto" w:sz="4" w:space="0"/>
              <w:right w:val="single" w:color="auto" w:sz="4" w:space="0"/>
            </w:tcBorders>
            <w:shd w:val="clear" w:color="auto" w:fill="auto"/>
            <w:noWrap/>
            <w:vAlign w:val="center"/>
          </w:tcPr>
          <w:p>
            <w:pPr>
              <w:widowControl/>
              <w:jc w:val="center"/>
              <w:rPr>
                <w:bCs/>
                <w:kern w:val="0"/>
                <w:sz w:val="18"/>
                <w:szCs w:val="18"/>
              </w:rPr>
            </w:pPr>
            <w:r>
              <w:rPr>
                <w:bCs/>
                <w:kern w:val="0"/>
                <w:sz w:val="18"/>
                <w:szCs w:val="18"/>
              </w:rPr>
              <w:t>0.015</w:t>
            </w:r>
          </w:p>
        </w:tc>
        <w:tc>
          <w:tcPr>
            <w:tcW w:w="328" w:type="pct"/>
            <w:tcBorders>
              <w:top w:val="nil"/>
              <w:left w:val="nil"/>
              <w:bottom w:val="single" w:color="auto" w:sz="4" w:space="0"/>
              <w:right w:val="single" w:color="auto" w:sz="4" w:space="0"/>
            </w:tcBorders>
            <w:shd w:val="clear" w:color="auto" w:fill="auto"/>
            <w:vAlign w:val="center"/>
          </w:tcPr>
          <w:p>
            <w:pPr>
              <w:widowControl/>
              <w:jc w:val="center"/>
              <w:rPr>
                <w:bCs/>
                <w:kern w:val="0"/>
                <w:sz w:val="18"/>
                <w:szCs w:val="18"/>
              </w:rPr>
            </w:pPr>
            <w:r>
              <w:rPr>
                <w:bCs/>
                <w:kern w:val="0"/>
                <w:sz w:val="18"/>
                <w:szCs w:val="18"/>
              </w:rPr>
              <w:t>0.105</w:t>
            </w:r>
          </w:p>
        </w:tc>
        <w:tc>
          <w:tcPr>
            <w:tcW w:w="25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0.15</w:t>
            </w:r>
          </w:p>
        </w:tc>
        <w:tc>
          <w:tcPr>
            <w:tcW w:w="30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0.15</w:t>
            </w:r>
          </w:p>
        </w:tc>
        <w:tc>
          <w:tcPr>
            <w:tcW w:w="38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0.15</w:t>
            </w:r>
          </w:p>
        </w:tc>
        <w:tc>
          <w:tcPr>
            <w:tcW w:w="40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0.15</w:t>
            </w:r>
          </w:p>
        </w:tc>
      </w:tr>
      <w:tr>
        <w:tblPrEx>
          <w:tblCellMar>
            <w:top w:w="0" w:type="dxa"/>
            <w:left w:w="108" w:type="dxa"/>
            <w:bottom w:w="0" w:type="dxa"/>
            <w:right w:w="108" w:type="dxa"/>
          </w:tblCellMar>
        </w:tblPrEx>
        <w:trPr>
          <w:trHeight w:val="1026" w:hRule="atLeast"/>
          <w:jc w:val="center"/>
        </w:trPr>
        <w:tc>
          <w:tcPr>
            <w:tcW w:w="2324" w:type="pct"/>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kern w:val="0"/>
                <w:sz w:val="18"/>
                <w:szCs w:val="18"/>
              </w:rPr>
            </w:pPr>
            <w:r>
              <w:rPr>
                <w:kern w:val="0"/>
                <w:sz w:val="18"/>
                <w:szCs w:val="18"/>
              </w:rPr>
              <w:t>各环节对课程目标达成的贡献率（</w:t>
            </w:r>
            <w:r>
              <w:rPr>
                <w:i/>
                <w:kern w:val="0"/>
                <w:sz w:val="18"/>
                <w:szCs w:val="18"/>
              </w:rPr>
              <w:t>M</w:t>
            </w:r>
            <w:r>
              <w:rPr>
                <w:i/>
                <w:kern w:val="0"/>
                <w:sz w:val="18"/>
                <w:szCs w:val="18"/>
                <w:vertAlign w:val="subscript"/>
              </w:rPr>
              <w:t>k</w:t>
            </w:r>
            <w:r>
              <w:rPr>
                <w:kern w:val="0"/>
                <w:sz w:val="18"/>
                <w:szCs w:val="18"/>
              </w:rPr>
              <w:t>）</w:t>
            </w:r>
          </w:p>
        </w:tc>
        <w:tc>
          <w:tcPr>
            <w:tcW w:w="30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Cs/>
                <w:sz w:val="18"/>
                <w:szCs w:val="18"/>
              </w:rPr>
            </w:pPr>
            <w:r>
              <w:rPr>
                <w:bCs/>
                <w:sz w:val="18"/>
                <w:szCs w:val="18"/>
              </w:rPr>
              <w:t>0.10</w:t>
            </w:r>
          </w:p>
        </w:tc>
        <w:tc>
          <w:tcPr>
            <w:tcW w:w="324"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0.10</w:t>
            </w:r>
          </w:p>
        </w:tc>
        <w:tc>
          <w:tcPr>
            <w:tcW w:w="370"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0.10</w:t>
            </w:r>
          </w:p>
        </w:tc>
        <w:tc>
          <w:tcPr>
            <w:tcW w:w="328" w:type="pct"/>
            <w:tcBorders>
              <w:top w:val="single" w:color="auto" w:sz="4" w:space="0"/>
              <w:left w:val="nil"/>
              <w:bottom w:val="single" w:color="auto" w:sz="4" w:space="0"/>
              <w:right w:val="single" w:color="auto" w:sz="4" w:space="0"/>
            </w:tcBorders>
            <w:shd w:val="clear" w:color="auto" w:fill="auto"/>
            <w:vAlign w:val="center"/>
          </w:tcPr>
          <w:p>
            <w:pPr>
              <w:jc w:val="center"/>
              <w:rPr>
                <w:bCs/>
                <w:sz w:val="18"/>
                <w:szCs w:val="18"/>
              </w:rPr>
            </w:pPr>
            <w:r>
              <w:rPr>
                <w:bCs/>
                <w:sz w:val="18"/>
                <w:szCs w:val="18"/>
              </w:rPr>
              <w:t>0.70</w:t>
            </w:r>
          </w:p>
        </w:tc>
        <w:tc>
          <w:tcPr>
            <w:tcW w:w="1349"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教师出题或布置作业时</w:t>
            </w:r>
          </w:p>
          <w:p>
            <w:pPr>
              <w:widowControl/>
              <w:jc w:val="center"/>
              <w:rPr>
                <w:kern w:val="0"/>
                <w:sz w:val="18"/>
                <w:szCs w:val="18"/>
              </w:rPr>
            </w:pPr>
            <w:r>
              <w:rPr>
                <w:sz w:val="18"/>
                <w:szCs w:val="18"/>
              </w:rPr>
              <w:t>要尽量做到按照以上比例布局</w:t>
            </w:r>
          </w:p>
        </w:tc>
      </w:tr>
    </w:tbl>
    <w:p>
      <w:pPr>
        <w:spacing w:line="360" w:lineRule="auto"/>
        <w:jc w:val="left"/>
      </w:pPr>
    </w:p>
    <w:p>
      <w:pPr>
        <w:spacing w:line="360" w:lineRule="auto"/>
        <w:sectPr>
          <w:pgSz w:w="16838" w:h="11906" w:orient="landscape"/>
          <w:pgMar w:top="1797" w:right="1440" w:bottom="1797" w:left="1440" w:header="851" w:footer="992" w:gutter="0"/>
          <w:pgNumType w:fmt="decimal"/>
          <w:cols w:space="425" w:num="1"/>
          <w:docGrid w:linePitch="312" w:charSpace="0"/>
        </w:sectPr>
      </w:pPr>
    </w:p>
    <w:p>
      <w:pPr>
        <w:adjustRightInd w:val="0"/>
        <w:snapToGrid w:val="0"/>
        <w:spacing w:line="360" w:lineRule="auto"/>
        <w:ind w:firstLine="420" w:firstLineChars="200"/>
        <w:rPr>
          <w:szCs w:val="21"/>
        </w:rPr>
      </w:pPr>
      <w:r>
        <w:rPr>
          <w:rFonts w:hint="eastAsia"/>
          <w:szCs w:val="21"/>
        </w:rPr>
        <w:t>采用达成值计算法，辅以对学生的问卷调查法。</w:t>
      </w:r>
    </w:p>
    <w:p>
      <w:pPr>
        <w:adjustRightInd w:val="0"/>
        <w:snapToGrid w:val="0"/>
        <w:spacing w:line="360" w:lineRule="auto"/>
        <w:ind w:firstLine="422" w:firstLineChars="200"/>
        <w:rPr>
          <w:b/>
          <w:bCs/>
          <w:szCs w:val="21"/>
        </w:rPr>
      </w:pPr>
      <w:r>
        <w:rPr>
          <w:rFonts w:hint="eastAsia"/>
          <w:b/>
          <w:bCs/>
          <w:szCs w:val="21"/>
        </w:rPr>
        <w:t>课程目标定量评价：</w:t>
      </w:r>
    </w:p>
    <w:p>
      <w:pPr>
        <w:adjustRightInd w:val="0"/>
        <w:snapToGrid w:val="0"/>
        <w:spacing w:line="360" w:lineRule="auto"/>
        <w:ind w:firstLine="420" w:firstLineChars="200"/>
        <w:rPr>
          <w:szCs w:val="21"/>
        </w:rPr>
      </w:pPr>
      <w:r>
        <w:rPr>
          <w:szCs w:val="21"/>
        </w:rPr>
        <w:t>达成值计算法结合上表权重分配，采用</w:t>
      </w:r>
      <w:r>
        <w:rPr>
          <w:rFonts w:hint="eastAsia"/>
          <w:szCs w:val="21"/>
        </w:rPr>
        <w:t>下表进行计算。</w:t>
      </w:r>
    </w:p>
    <w:p>
      <w:pPr>
        <w:adjustRightInd w:val="0"/>
        <w:snapToGrid w:val="0"/>
        <w:spacing w:line="360" w:lineRule="auto"/>
        <w:ind w:firstLine="420" w:firstLineChars="200"/>
        <w:rPr>
          <w:szCs w:val="21"/>
        </w:rPr>
      </w:pPr>
      <w:r>
        <w:rPr>
          <w:szCs w:val="21"/>
        </w:rPr>
        <w:t>单一课程目标达成度评价采用下式：</w:t>
      </w:r>
    </w:p>
    <w:p>
      <w:pPr>
        <w:adjustRightInd w:val="0"/>
        <w:snapToGrid w:val="0"/>
        <w:spacing w:line="360" w:lineRule="auto"/>
        <w:ind w:firstLine="420" w:firstLineChars="200"/>
        <w:rPr>
          <w:szCs w:val="21"/>
        </w:rPr>
      </w:pPr>
      <w:r>
        <w:rPr>
          <w:position w:val="-30"/>
          <w:szCs w:val="21"/>
        </w:rPr>
        <w:object>
          <v:shape id="_x0000_i1055" o:spt="75" type="#_x0000_t75" style="height:36pt;width:165.5pt;" o:ole="t" filled="f" o:preferrelative="t" stroked="f" coordsize="21600,21600">
            <v:path/>
            <v:fill on="f" focussize="0,0"/>
            <v:stroke on="f" joinstyle="miter"/>
            <v:imagedata r:id="rId145" o:title=""/>
            <o:lock v:ext="edit" aspectratio="t"/>
            <w10:wrap type="none"/>
            <w10:anchorlock/>
          </v:shape>
          <o:OLEObject Type="Embed" ProgID="Equation.3" ShapeID="_x0000_i1055" DrawAspect="Content" ObjectID="_1468075755" r:id="rId186">
            <o:LockedField>false</o:LockedField>
          </o:OLEObject>
        </w:object>
      </w:r>
    </w:p>
    <w:p>
      <w:pPr>
        <w:adjustRightInd w:val="0"/>
        <w:snapToGrid w:val="0"/>
        <w:spacing w:line="360" w:lineRule="auto"/>
        <w:ind w:firstLine="420" w:firstLineChars="200"/>
        <w:rPr>
          <w:szCs w:val="21"/>
        </w:rPr>
      </w:pPr>
      <w:r>
        <w:rPr>
          <w:szCs w:val="21"/>
        </w:rPr>
        <w:t>总的课程目标达成度评价采用下式：</w:t>
      </w:r>
    </w:p>
    <w:p>
      <w:pPr>
        <w:adjustRightInd w:val="0"/>
        <w:snapToGrid w:val="0"/>
        <w:spacing w:line="360" w:lineRule="auto"/>
        <w:ind w:firstLine="420" w:firstLineChars="200"/>
        <w:rPr>
          <w:szCs w:val="21"/>
        </w:rPr>
      </w:pPr>
      <w:r>
        <w:rPr>
          <w:position w:val="-30"/>
          <w:szCs w:val="21"/>
        </w:rPr>
        <w:object>
          <v:shape id="_x0000_i1056" o:spt="75" type="#_x0000_t75" style="height:36pt;width:150pt;" o:ole="t" filled="f" o:preferrelative="t" stroked="f" coordsize="21600,21600">
            <v:path/>
            <v:fill on="f" focussize="0,0"/>
            <v:stroke on="f" joinstyle="miter"/>
            <v:imagedata r:id="rId147" o:title=""/>
            <o:lock v:ext="edit" aspectratio="t"/>
            <w10:wrap type="none"/>
            <w10:anchorlock/>
          </v:shape>
          <o:OLEObject Type="Embed" ProgID="Equation.3" ShapeID="_x0000_i1056" DrawAspect="Content" ObjectID="_1468075756" r:id="rId187">
            <o:LockedField>false</o:LockedField>
          </o:OLEObject>
        </w:object>
      </w:r>
    </w:p>
    <w:p>
      <w:pPr>
        <w:adjustRightInd w:val="0"/>
        <w:snapToGrid w:val="0"/>
        <w:spacing w:line="360" w:lineRule="auto"/>
        <w:ind w:firstLine="420" w:firstLineChars="200"/>
        <w:rPr>
          <w:szCs w:val="21"/>
        </w:rPr>
      </w:pPr>
      <w:r>
        <w:rPr>
          <w:szCs w:val="21"/>
        </w:rPr>
        <w:t>以上公式中：</w:t>
      </w:r>
    </w:p>
    <w:p>
      <w:pPr>
        <w:adjustRightInd w:val="0"/>
        <w:snapToGrid w:val="0"/>
        <w:spacing w:line="360" w:lineRule="auto"/>
        <w:ind w:firstLine="420" w:firstLineChars="200"/>
        <w:rPr>
          <w:szCs w:val="21"/>
        </w:rPr>
      </w:pPr>
      <w:r>
        <w:rPr>
          <w:i/>
          <w:szCs w:val="21"/>
        </w:rPr>
        <w:t>k</w:t>
      </w:r>
      <w:r>
        <w:rPr>
          <w:szCs w:val="21"/>
        </w:rPr>
        <w:t>表示不同的评价方式，</w:t>
      </w:r>
      <w:r>
        <w:rPr>
          <w:i/>
          <w:szCs w:val="21"/>
        </w:rPr>
        <w:t>i</w:t>
      </w:r>
      <w:r>
        <w:rPr>
          <w:szCs w:val="21"/>
        </w:rPr>
        <w:t>表示不同的课程目标。</w:t>
      </w:r>
    </w:p>
    <w:p>
      <w:pPr>
        <w:adjustRightInd w:val="0"/>
        <w:snapToGrid w:val="0"/>
        <w:spacing w:line="360" w:lineRule="auto"/>
        <w:ind w:firstLine="420" w:firstLineChars="200"/>
      </w:pPr>
      <w:r>
        <w:rPr>
          <w:position w:val="-10"/>
        </w:rPr>
        <w:object>
          <v:shape id="_x0000_i1057" o:spt="75" type="#_x0000_t75" style="height:17.5pt;width:14.5pt;" o:ole="t" filled="f" o:preferrelative="t" stroked="f" coordsize="21600,21600">
            <v:path/>
            <v:fill on="f" focussize="0,0"/>
            <v:stroke on="f" joinstyle="miter"/>
            <v:imagedata r:id="rId149" o:title=""/>
            <o:lock v:ext="edit" aspectratio="t"/>
            <w10:wrap type="none"/>
            <w10:anchorlock/>
          </v:shape>
          <o:OLEObject Type="Embed" ProgID="Equation.3" ShapeID="_x0000_i1057" DrawAspect="Content" ObjectID="_1468075757" r:id="rId188">
            <o:LockedField>false</o:LockedField>
          </o:OLEObject>
        </w:object>
      </w:r>
      <w:r>
        <w:t xml:space="preserve"> 表示第</w:t>
      </w:r>
      <w:r>
        <w:rPr>
          <w:i/>
        </w:rPr>
        <w:t>k</w:t>
      </w:r>
      <w:r>
        <w:t>种评价方式期末评价成绩平均分，均为百分制；</w:t>
      </w:r>
    </w:p>
    <w:p>
      <w:pPr>
        <w:adjustRightInd w:val="0"/>
        <w:snapToGrid w:val="0"/>
        <w:spacing w:line="360" w:lineRule="auto"/>
        <w:ind w:firstLine="420" w:firstLineChars="200"/>
      </w:pPr>
      <w:r>
        <w:rPr>
          <w:position w:val="-10"/>
        </w:rPr>
        <w:object>
          <v:shape id="_x0000_i1058" o:spt="75" type="#_x0000_t75" style="height:17.5pt;width:74.5pt;" o:ole="t" filled="f" o:preferrelative="t" stroked="f" coordsize="21600,21600">
            <v:path/>
            <v:fill on="f" focussize="0,0"/>
            <v:stroke on="f" joinstyle="miter"/>
            <v:imagedata r:id="rId151" o:title=""/>
            <o:lock v:ext="edit" aspectratio="t"/>
            <w10:wrap type="none"/>
            <w10:anchorlock/>
          </v:shape>
          <o:OLEObject Type="Embed" ProgID="Equation.3" ShapeID="_x0000_i1058" DrawAspect="Content" ObjectID="_1468075758" r:id="rId189">
            <o:LockedField>false</o:LockedField>
          </o:OLEObject>
        </w:object>
      </w:r>
      <w:r>
        <w:t xml:space="preserve">  是第</w:t>
      </w:r>
      <w:r>
        <w:rPr>
          <w:i/>
        </w:rPr>
        <w:t>k</w:t>
      </w:r>
      <w:r>
        <w:t>种评价方式通过第</w:t>
      </w:r>
      <w:r>
        <w:rPr>
          <w:i/>
        </w:rPr>
        <w:t>i</w:t>
      </w:r>
      <w:r>
        <w:t>个课程目标反映在总的课程目标评分占比；</w:t>
      </w:r>
    </w:p>
    <w:p>
      <w:pPr>
        <w:adjustRightInd w:val="0"/>
        <w:snapToGrid w:val="0"/>
        <w:spacing w:line="360" w:lineRule="auto"/>
        <w:ind w:firstLine="420" w:firstLineChars="200"/>
        <w:rPr>
          <w:szCs w:val="21"/>
        </w:rPr>
      </w:pPr>
      <w:r>
        <w:rPr>
          <w:position w:val="-10"/>
        </w:rPr>
        <w:object>
          <v:shape id="_x0000_i1059" o:spt="75" type="#_x0000_t75" style="height:17.5pt;width:17.5pt;" o:ole="t" filled="f" o:preferrelative="t" stroked="f" coordsize="21600,21600">
            <v:path/>
            <v:fill on="f" focussize="0,0"/>
            <v:stroke on="f" joinstyle="miter"/>
            <v:imagedata r:id="rId153" o:title=""/>
            <o:lock v:ext="edit" aspectratio="t"/>
            <w10:wrap type="none"/>
            <w10:anchorlock/>
          </v:shape>
          <o:OLEObject Type="Embed" ProgID="Equation.3" ShapeID="_x0000_i1059" DrawAspect="Content" ObjectID="_1468075759" r:id="rId190">
            <o:LockedField>false</o:LockedField>
          </o:OLEObject>
        </w:object>
      </w:r>
      <w:r>
        <w:t xml:space="preserve"> 表示第</w:t>
      </w:r>
      <w:r>
        <w:rPr>
          <w:i/>
        </w:rPr>
        <w:t>k</w:t>
      </w:r>
      <w:r>
        <w:t>种评价方式对第</w:t>
      </w:r>
      <w:r>
        <w:rPr>
          <w:i/>
        </w:rPr>
        <w:t>i</w:t>
      </w:r>
      <w:r>
        <w:t>个课程目标百分占比；</w:t>
      </w:r>
    </w:p>
    <w:p>
      <w:pPr>
        <w:adjustRightInd w:val="0"/>
        <w:snapToGrid w:val="0"/>
        <w:spacing w:line="360" w:lineRule="auto"/>
        <w:ind w:firstLine="420" w:firstLineChars="200"/>
      </w:pPr>
      <w:r>
        <w:rPr>
          <w:position w:val="-10"/>
        </w:rPr>
        <w:object>
          <v:shape id="_x0000_i1060" o:spt="75" type="#_x0000_t75" style="height:17.5pt;width:13pt;" o:ole="t" filled="f" o:preferrelative="t" stroked="f" coordsize="21600,21600">
            <v:path/>
            <v:fill on="f" focussize="0,0"/>
            <v:stroke on="f" joinstyle="miter"/>
            <v:imagedata r:id="rId155" o:title=""/>
            <o:lock v:ext="edit" aspectratio="t"/>
            <w10:wrap type="none"/>
            <w10:anchorlock/>
          </v:shape>
          <o:OLEObject Type="Embed" ProgID="Equation.3" ShapeID="_x0000_i1060" DrawAspect="Content" ObjectID="_1468075760" r:id="rId191">
            <o:LockedField>false</o:LockedField>
          </o:OLEObject>
        </w:object>
      </w:r>
      <w:r>
        <w:t xml:space="preserve"> 表示第</w:t>
      </w:r>
      <w:r>
        <w:rPr>
          <w:i/>
        </w:rPr>
        <w:t>i</w:t>
      </w:r>
      <w:r>
        <w:t>个课程目标在课程总评价中的占比；</w:t>
      </w:r>
    </w:p>
    <w:p>
      <w:pPr>
        <w:adjustRightInd w:val="0"/>
        <w:snapToGrid w:val="0"/>
        <w:spacing w:line="360" w:lineRule="auto"/>
        <w:ind w:firstLine="422" w:firstLineChars="200"/>
        <w:rPr>
          <w:b/>
          <w:bCs/>
          <w:position w:val="-10"/>
          <w:szCs w:val="22"/>
        </w:rPr>
      </w:pPr>
      <w:r>
        <w:rPr>
          <w:rFonts w:hint="eastAsia"/>
          <w:b/>
          <w:bCs/>
          <w:position w:val="-10"/>
          <w:szCs w:val="22"/>
        </w:rPr>
        <w:t>课程目标定性评价：</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针对每门课的课程目标，直接设计问题，并要求学生明确给出目标能力达到的程度“很好（0.95）、较好（0.75）、中（0.60）、较差（0.45）、很差（0.25）”，根据各区段统计比例与括号中的目标分值加权后求和得出定性评价的结果。</w:t>
      </w:r>
    </w:p>
    <w:p>
      <w:pPr>
        <w:adjustRightInd w:val="0"/>
        <w:snapToGrid w:val="0"/>
        <w:spacing w:line="360" w:lineRule="auto"/>
        <w:ind w:firstLine="422" w:firstLineChars="200"/>
        <w:rPr>
          <w:b/>
          <w:bCs/>
          <w:position w:val="-10"/>
          <w:szCs w:val="22"/>
        </w:rPr>
      </w:pPr>
      <w:r>
        <w:rPr>
          <w:rFonts w:hint="eastAsia"/>
          <w:b/>
          <w:bCs/>
          <w:position w:val="-10"/>
          <w:szCs w:val="22"/>
        </w:rPr>
        <w:t>课程目标达成结果：</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同一课程目标的评价，取定性评价和定量评价的平均值，作为最终评价结果。</w:t>
      </w:r>
    </w:p>
    <w:p>
      <w:pPr>
        <w:adjustRightInd w:val="0"/>
        <w:snapToGrid w:val="0"/>
        <w:spacing w:line="360" w:lineRule="auto"/>
        <w:ind w:firstLine="420" w:firstLineChars="200"/>
        <w:rPr>
          <w:position w:val="-10"/>
          <w:szCs w:val="22"/>
        </w:rPr>
      </w:pPr>
      <w:r>
        <w:rPr>
          <w:rFonts w:hint="eastAsia"/>
          <w:position w:val="-10"/>
          <w:szCs w:val="22"/>
        </w:rPr>
        <w:t>课程目标达成度大于等于0.71为一级达成，大于等于0.65为二级达成。</w:t>
      </w:r>
    </w:p>
    <w:p>
      <w:pPr>
        <w:widowControl/>
        <w:adjustRightInd w:val="0"/>
        <w:snapToGrid w:val="0"/>
        <w:jc w:val="left"/>
        <w:rPr>
          <w:rFonts w:eastAsia="黑体"/>
          <w:szCs w:val="24"/>
        </w:rPr>
      </w:pPr>
    </w:p>
    <w:p>
      <w:pPr>
        <w:tabs>
          <w:tab w:val="left" w:pos="420"/>
        </w:tabs>
        <w:adjustRightInd w:val="0"/>
        <w:snapToGrid w:val="0"/>
        <w:spacing w:line="360" w:lineRule="auto"/>
        <w:ind w:left="420" w:hanging="420"/>
        <w:rPr>
          <w:rFonts w:eastAsia="黑体"/>
          <w:szCs w:val="24"/>
        </w:rPr>
      </w:pPr>
      <w:r>
        <w:rPr>
          <w:rFonts w:hint="eastAsia" w:eastAsia="黑体"/>
          <w:szCs w:val="24"/>
        </w:rPr>
        <w:t>十一、各环节评价标准</w:t>
      </w:r>
    </w:p>
    <w:p>
      <w:pPr>
        <w:adjustRightInd w:val="0"/>
        <w:snapToGrid w:val="0"/>
        <w:spacing w:line="360" w:lineRule="auto"/>
        <w:ind w:firstLine="420" w:firstLineChars="200"/>
        <w:rPr>
          <w:szCs w:val="21"/>
        </w:rPr>
      </w:pPr>
      <w:r>
        <w:rPr>
          <w:rFonts w:hint="eastAsia"/>
          <w:szCs w:val="21"/>
        </w:rPr>
        <w:t>本课程允许教师在各评价环节根据具体情况采取多样化、个性化的考核手段，其评价标准应当在《</w:t>
      </w:r>
      <w:r>
        <w:rPr>
          <w:rFonts w:hint="eastAsia" w:ascii="宋体" w:hAnsi="宋体"/>
          <w:szCs w:val="21"/>
        </w:rPr>
        <w:t>SIE-CT-01：</w:t>
      </w:r>
      <w:r>
        <w:rPr>
          <w:rFonts w:hint="eastAsia"/>
          <w:szCs w:val="21"/>
        </w:rPr>
        <w:t>授课计划》中明确并向学生公布，教学过程中的考核评价应当严格按照标准完成。</w:t>
      </w:r>
    </w:p>
    <w:p>
      <w:pPr>
        <w:tabs>
          <w:tab w:val="left" w:pos="420"/>
        </w:tabs>
        <w:adjustRightInd w:val="0"/>
        <w:snapToGrid w:val="0"/>
        <w:spacing w:line="360" w:lineRule="auto"/>
        <w:ind w:left="420" w:hanging="420"/>
        <w:rPr>
          <w:color w:val="0000FF"/>
        </w:rPr>
      </w:pPr>
    </w:p>
    <w:p>
      <w:pPr>
        <w:tabs>
          <w:tab w:val="left" w:pos="420"/>
        </w:tabs>
        <w:adjustRightInd w:val="0"/>
        <w:snapToGrid w:val="0"/>
        <w:spacing w:line="360" w:lineRule="auto"/>
        <w:ind w:left="420" w:hanging="420"/>
        <w:rPr>
          <w:rFonts w:eastAsia="黑体"/>
          <w:szCs w:val="24"/>
        </w:rPr>
      </w:pPr>
      <w:r>
        <w:rPr>
          <w:rFonts w:hint="eastAsia" w:eastAsia="黑体"/>
          <w:szCs w:val="24"/>
        </w:rPr>
        <w:t>十二、课程目标达成评价结果用于持续改进</w:t>
      </w:r>
    </w:p>
    <w:p>
      <w:pPr>
        <w:adjustRightInd w:val="0"/>
        <w:snapToGrid w:val="0"/>
        <w:spacing w:line="360" w:lineRule="auto"/>
        <w:ind w:firstLine="420" w:firstLineChars="200"/>
        <w:rPr>
          <w:szCs w:val="21"/>
        </w:rPr>
      </w:pPr>
      <w:r>
        <w:rPr>
          <w:rFonts w:hint="eastAsia"/>
          <w:szCs w:val="21"/>
        </w:rPr>
        <w:t>课程目标达成评价结果将用于后续教学过程的持续改进。</w:t>
      </w:r>
    </w:p>
    <w:p>
      <w:pPr>
        <w:adjustRightInd w:val="0"/>
        <w:snapToGrid w:val="0"/>
        <w:spacing w:line="360" w:lineRule="auto"/>
        <w:ind w:firstLine="420" w:firstLineChars="200"/>
        <w:rPr>
          <w:szCs w:val="21"/>
        </w:rPr>
        <w:sectPr>
          <w:headerReference r:id="rId38" w:type="first"/>
          <w:footerReference r:id="rId41" w:type="first"/>
          <w:headerReference r:id="rId36" w:type="default"/>
          <w:footerReference r:id="rId39" w:type="default"/>
          <w:headerReference r:id="rId37" w:type="even"/>
          <w:footerReference r:id="rId40" w:type="even"/>
          <w:pgSz w:w="11906" w:h="16838"/>
          <w:pgMar w:top="1440" w:right="1797" w:bottom="1440" w:left="1797" w:header="851" w:footer="992" w:gutter="0"/>
          <w:pgNumType w:fmt="decimal"/>
          <w:cols w:space="425" w:num="1"/>
          <w:docGrid w:type="lines" w:linePitch="312" w:charSpace="0"/>
        </w:sectPr>
      </w:pPr>
      <w:r>
        <w:rPr>
          <w:rFonts w:hint="eastAsia"/>
          <w:szCs w:val="21"/>
        </w:rPr>
        <w:t>针对课程目标达成评价中发现的问题与不足，重点是达成值相对较低的项，在本次授课总结中应由授课教师分析具体原因，并给出改进建议。后续任课教师应当针对以前的问题和建议，在授课计划中做好落实改进计划，并在授课过程中予以落实。</w:t>
      </w:r>
    </w:p>
    <w:p>
      <w:pPr>
        <w:pStyle w:val="18"/>
        <w:spacing w:before="312" w:after="468"/>
      </w:pPr>
      <w:bookmarkStart w:id="9" w:name="_Toc24631"/>
      <w:r>
        <w:rPr>
          <w:rFonts w:hint="eastAsia"/>
        </w:rPr>
        <w:t>《可编程逻辑器件应用》教学大纲</w:t>
      </w:r>
      <w:bookmarkEnd w:id="9"/>
    </w:p>
    <w:p>
      <w:pPr>
        <w:adjustRightInd w:val="0"/>
        <w:snapToGrid w:val="0"/>
        <w:spacing w:line="360" w:lineRule="auto"/>
        <w:rPr>
          <w:rFonts w:eastAsia="黑体"/>
        </w:rPr>
      </w:pPr>
      <w:r>
        <w:rPr>
          <w:rFonts w:hint="eastAsia" w:eastAsia="黑体"/>
        </w:rPr>
        <w:t>课程编号：</w:t>
      </w:r>
      <w:r>
        <w:rPr>
          <w:rFonts w:eastAsia="黑体"/>
        </w:rPr>
        <w:t>Y03060024</w:t>
      </w:r>
    </w:p>
    <w:p>
      <w:pPr>
        <w:adjustRightInd w:val="0"/>
        <w:snapToGrid w:val="0"/>
        <w:spacing w:line="360" w:lineRule="auto"/>
        <w:rPr>
          <w:rFonts w:cs="宋体"/>
          <w:snapToGrid w:val="0"/>
          <w:kern w:val="0"/>
          <w:szCs w:val="21"/>
        </w:rPr>
      </w:pPr>
      <w:r>
        <w:rPr>
          <w:rFonts w:hint="eastAsia" w:eastAsia="黑体"/>
        </w:rPr>
        <w:t>课程名称：</w:t>
      </w:r>
      <w:r>
        <w:rPr>
          <w:rFonts w:hint="eastAsia"/>
        </w:rPr>
        <w:t>可编程逻辑器件应用</w:t>
      </w:r>
      <w:r>
        <w:rPr>
          <w:rFonts w:hint="eastAsia" w:eastAsia="黑体"/>
        </w:rPr>
        <w:t>开课单位：</w:t>
      </w:r>
      <w:r>
        <w:rPr>
          <w:rFonts w:hint="eastAsia"/>
        </w:rPr>
        <w:t>仪器与电子学院</w:t>
      </w:r>
    </w:p>
    <w:p>
      <w:pPr>
        <w:tabs>
          <w:tab w:val="left" w:pos="4536"/>
        </w:tabs>
        <w:adjustRightInd w:val="0"/>
        <w:snapToGrid w:val="0"/>
        <w:spacing w:line="360" w:lineRule="auto"/>
        <w:rPr>
          <w:rFonts w:eastAsia="黑体"/>
        </w:rPr>
      </w:pPr>
      <w:r>
        <w:rPr>
          <w:rFonts w:hint="eastAsia" w:eastAsia="黑体"/>
        </w:rPr>
        <w:t>总学时：</w:t>
      </w:r>
      <w:r>
        <w:rPr>
          <w:rFonts w:hint="eastAsia"/>
        </w:rPr>
        <w:t xml:space="preserve">48(实验16学时)                   </w:t>
      </w:r>
      <w:r>
        <w:rPr>
          <w:rFonts w:hint="eastAsia" w:eastAsia="黑体"/>
        </w:rPr>
        <w:t>学分：3</w:t>
      </w:r>
    </w:p>
    <w:p>
      <w:pPr>
        <w:adjustRightInd w:val="0"/>
        <w:snapToGrid w:val="0"/>
        <w:spacing w:line="360" w:lineRule="auto"/>
        <w:rPr>
          <w:rFonts w:eastAsia="黑体"/>
        </w:rPr>
      </w:pPr>
      <w:r>
        <w:rPr>
          <w:rFonts w:hint="eastAsia" w:eastAsia="黑体"/>
        </w:rPr>
        <w:t>适用专业：</w:t>
      </w:r>
      <w:r>
        <w:rPr>
          <w:rFonts w:hint="eastAsia"/>
        </w:rPr>
        <w:t>电子科学与技术专业、</w:t>
      </w:r>
      <w:r>
        <w:rPr>
          <w:rFonts w:hint="eastAsia"/>
          <w:lang w:eastAsia="zh-CN"/>
        </w:rPr>
        <w:t>智能感知工程</w:t>
      </w:r>
      <w:r>
        <w:rPr>
          <w:rFonts w:hint="eastAsia"/>
        </w:rPr>
        <w:t>专业、测控技术与仪器专业</w:t>
      </w:r>
    </w:p>
    <w:p>
      <w:pPr>
        <w:adjustRightInd w:val="0"/>
        <w:snapToGrid w:val="0"/>
        <w:spacing w:line="360" w:lineRule="auto"/>
      </w:pPr>
      <w:r>
        <w:rPr>
          <w:rFonts w:hint="eastAsia" w:eastAsia="黑体"/>
        </w:rPr>
        <w:t>先修课程：</w:t>
      </w:r>
      <w:r>
        <w:rPr>
          <w:rFonts w:hint="eastAsia"/>
        </w:rPr>
        <w:t>数字电子技术</w:t>
      </w:r>
    </w:p>
    <w:p>
      <w:pPr>
        <w:adjustRightInd w:val="0"/>
        <w:snapToGrid w:val="0"/>
        <w:spacing w:line="360" w:lineRule="auto"/>
      </w:pPr>
      <w:r>
        <w:rPr>
          <w:rFonts w:hint="eastAsia" w:eastAsia="黑体"/>
        </w:rPr>
        <w:t>大纲撰写人：</w:t>
      </w:r>
      <w:r>
        <w:rPr>
          <w:rFonts w:hint="eastAsia"/>
        </w:rPr>
        <w:t>王红亮</w:t>
      </w:r>
    </w:p>
    <w:p>
      <w:pPr>
        <w:adjustRightInd w:val="0"/>
        <w:snapToGrid w:val="0"/>
        <w:spacing w:line="360" w:lineRule="auto"/>
      </w:pPr>
      <w:r>
        <w:rPr>
          <w:rFonts w:hint="eastAsia" w:eastAsia="黑体"/>
        </w:rPr>
        <w:t>大纲编写（修订）时间：</w:t>
      </w:r>
      <w:r>
        <w:rPr>
          <w:rFonts w:hint="eastAsia"/>
        </w:rPr>
        <w:t>2019年5月</w:t>
      </w:r>
    </w:p>
    <w:p>
      <w:pPr>
        <w:adjustRightInd w:val="0"/>
        <w:snapToGrid w:val="0"/>
        <w:spacing w:line="360" w:lineRule="auto"/>
        <w:rPr>
          <w:rFonts w:eastAsia="黑体"/>
        </w:rPr>
      </w:pPr>
    </w:p>
    <w:p>
      <w:pPr>
        <w:tabs>
          <w:tab w:val="left" w:pos="420"/>
        </w:tabs>
        <w:adjustRightInd w:val="0"/>
        <w:snapToGrid w:val="0"/>
        <w:spacing w:line="360" w:lineRule="auto"/>
        <w:rPr>
          <w:rFonts w:eastAsia="黑体"/>
        </w:rPr>
      </w:pPr>
      <w:r>
        <w:rPr>
          <w:rFonts w:hint="eastAsia" w:eastAsia="黑体"/>
        </w:rPr>
        <w:t>一、课程在教学计划中的地位、作用</w:t>
      </w:r>
    </w:p>
    <w:p>
      <w:pPr>
        <w:adjustRightInd w:val="0"/>
        <w:snapToGrid w:val="0"/>
        <w:spacing w:line="360" w:lineRule="auto"/>
        <w:ind w:firstLine="420" w:firstLineChars="200"/>
        <w:rPr>
          <w:szCs w:val="21"/>
        </w:rPr>
      </w:pPr>
      <w:r>
        <w:rPr>
          <w:rFonts w:hint="eastAsia"/>
          <w:szCs w:val="21"/>
        </w:rPr>
        <w:t>本课程是一门属于硬件设计类的专业教育课程，是电路与系统方向的核心课程。可编程逻辑器件是目前数字系统设计的主要硬件基础，硬件描述语言是数字电路设计者与电子设计自动化工具之间的接口语言，是现代电子设计的基础语言，是电子设计工程师必须掌握的工具。该课程以提高学生实际工程设计能力为目的，其主要任务是讲授基于可编程逻辑器件和硬件描述语言的数字系统的设计方法和典型应用问题。通过该课程的学习使学生掌握现代电子系统设计中可编程逻辑器件和硬件描述语言的应用，使学生能够应用可编程逻辑器件和硬件描述语言来进行数字系统的设计。</w:t>
      </w:r>
    </w:p>
    <w:p>
      <w:pPr>
        <w:adjustRightInd w:val="0"/>
        <w:snapToGrid w:val="0"/>
        <w:spacing w:line="360" w:lineRule="auto"/>
        <w:ind w:firstLine="420" w:firstLineChars="200"/>
        <w:rPr>
          <w:szCs w:val="21"/>
        </w:rPr>
      </w:pPr>
    </w:p>
    <w:p>
      <w:pPr>
        <w:tabs>
          <w:tab w:val="left" w:pos="420"/>
        </w:tabs>
        <w:adjustRightInd w:val="0"/>
        <w:snapToGrid w:val="0"/>
        <w:spacing w:line="360" w:lineRule="auto"/>
        <w:ind w:left="420" w:hanging="420"/>
        <w:rPr>
          <w:rFonts w:eastAsia="黑体"/>
          <w:szCs w:val="24"/>
        </w:rPr>
      </w:pPr>
      <w:r>
        <w:rPr>
          <w:rFonts w:hint="eastAsia" w:eastAsia="黑体"/>
          <w:szCs w:val="24"/>
        </w:rPr>
        <w:t>二、课程目标</w:t>
      </w:r>
    </w:p>
    <w:p>
      <w:pPr>
        <w:tabs>
          <w:tab w:val="left" w:pos="420"/>
        </w:tabs>
        <w:adjustRightInd w:val="0"/>
        <w:snapToGrid w:val="0"/>
        <w:spacing w:line="360" w:lineRule="auto"/>
        <w:ind w:left="420" w:hanging="420"/>
        <w:jc w:val="left"/>
        <w:rPr>
          <w:rFonts w:eastAsia="黑体"/>
          <w:szCs w:val="24"/>
        </w:rPr>
      </w:pPr>
      <w:r>
        <w:rPr>
          <w:rFonts w:hint="eastAsia" w:ascii="宋体" w:hAnsi="宋体" w:cs="宋体"/>
          <w:bCs/>
          <w:kern w:val="0"/>
          <w:szCs w:val="21"/>
        </w:rPr>
        <w:t>电子科学与技术专业：</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68"/>
        <w:gridCol w:w="4070"/>
        <w:gridCol w:w="379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spacing w:line="360" w:lineRule="auto"/>
              <w:jc w:val="center"/>
              <w:rPr>
                <w:sz w:val="18"/>
                <w:szCs w:val="18"/>
              </w:rPr>
            </w:pPr>
            <w:r>
              <w:rPr>
                <w:sz w:val="18"/>
                <w:szCs w:val="18"/>
              </w:rPr>
              <w:t>序号</w:t>
            </w:r>
          </w:p>
        </w:tc>
        <w:tc>
          <w:tcPr>
            <w:tcW w:w="2386" w:type="pct"/>
            <w:vAlign w:val="center"/>
          </w:tcPr>
          <w:p>
            <w:pPr>
              <w:spacing w:line="360" w:lineRule="auto"/>
              <w:jc w:val="center"/>
              <w:rPr>
                <w:sz w:val="18"/>
                <w:szCs w:val="18"/>
              </w:rPr>
            </w:pPr>
            <w:r>
              <w:rPr>
                <w:sz w:val="18"/>
                <w:szCs w:val="18"/>
              </w:rPr>
              <w:t>课程目标</w:t>
            </w:r>
          </w:p>
        </w:tc>
        <w:tc>
          <w:tcPr>
            <w:tcW w:w="2222" w:type="pct"/>
            <w:vAlign w:val="center"/>
          </w:tcPr>
          <w:p>
            <w:pPr>
              <w:spacing w:line="360" w:lineRule="auto"/>
              <w:jc w:val="center"/>
              <w:rPr>
                <w:sz w:val="18"/>
                <w:szCs w:val="18"/>
              </w:rPr>
            </w:pPr>
            <w:r>
              <w:rPr>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spacing w:line="360" w:lineRule="auto"/>
              <w:jc w:val="center"/>
              <w:rPr>
                <w:sz w:val="18"/>
                <w:szCs w:val="18"/>
              </w:rPr>
            </w:pPr>
            <w:r>
              <w:rPr>
                <w:rFonts w:hint="eastAsia"/>
                <w:sz w:val="18"/>
                <w:szCs w:val="18"/>
              </w:rPr>
              <w:t>1</w:t>
            </w:r>
          </w:p>
        </w:tc>
        <w:tc>
          <w:tcPr>
            <w:tcW w:w="2386" w:type="pct"/>
          </w:tcPr>
          <w:p>
            <w:pPr>
              <w:spacing w:line="360" w:lineRule="auto"/>
              <w:rPr>
                <w:sz w:val="18"/>
                <w:szCs w:val="18"/>
              </w:rPr>
            </w:pPr>
            <w:r>
              <w:rPr>
                <w:rFonts w:hint="eastAsia"/>
                <w:sz w:val="18"/>
                <w:szCs w:val="18"/>
              </w:rPr>
              <w:t>能够通过分析将数字逻辑电路相关工程问题转化为技术问题，并能够采用硬件描述语言和可编程逻辑器件进行相应的数字电路系统设计。</w:t>
            </w:r>
          </w:p>
        </w:tc>
        <w:tc>
          <w:tcPr>
            <w:tcW w:w="2222" w:type="pct"/>
          </w:tcPr>
          <w:p>
            <w:pPr>
              <w:spacing w:line="360" w:lineRule="auto"/>
              <w:rPr>
                <w:sz w:val="18"/>
                <w:szCs w:val="18"/>
              </w:rPr>
            </w:pPr>
            <w:r>
              <w:rPr>
                <w:rFonts w:hint="eastAsia"/>
                <w:b/>
                <w:sz w:val="18"/>
                <w:szCs w:val="18"/>
              </w:rPr>
              <w:t>指标点3-1 按需设计</w:t>
            </w:r>
            <w:r>
              <w:rPr>
                <w:rFonts w:hint="eastAsia"/>
                <w:sz w:val="18"/>
                <w:szCs w:val="18"/>
              </w:rPr>
              <w:t>：</w:t>
            </w:r>
            <w:r>
              <w:rPr>
                <w:rFonts w:hint="eastAsia" w:ascii="宋体" w:hAnsi="宋体"/>
                <w:kern w:val="0"/>
                <w:sz w:val="18"/>
                <w:szCs w:val="18"/>
              </w:rPr>
              <w:t>能够根据用户特定需求设计复杂工程问题的解决方案，设计相关的电路系统及工艺流程，并能够针对方案进行优化选择。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spacing w:line="360" w:lineRule="auto"/>
              <w:jc w:val="center"/>
              <w:rPr>
                <w:sz w:val="18"/>
                <w:szCs w:val="18"/>
              </w:rPr>
            </w:pPr>
            <w:r>
              <w:rPr>
                <w:rFonts w:hint="eastAsia"/>
                <w:sz w:val="18"/>
                <w:szCs w:val="18"/>
              </w:rPr>
              <w:t>2</w:t>
            </w:r>
          </w:p>
        </w:tc>
        <w:tc>
          <w:tcPr>
            <w:tcW w:w="2386" w:type="pct"/>
          </w:tcPr>
          <w:p>
            <w:pPr>
              <w:spacing w:line="360" w:lineRule="auto"/>
              <w:rPr>
                <w:sz w:val="18"/>
                <w:szCs w:val="18"/>
              </w:rPr>
            </w:pPr>
            <w:r>
              <w:rPr>
                <w:rFonts w:hint="eastAsia"/>
                <w:sz w:val="18"/>
                <w:szCs w:val="18"/>
              </w:rPr>
              <w:t>了解业界主流可编程逻辑器件及其开发环境的性能特点，能够根据项目要求合理选择可编程逻辑器件厂家、型号，并合理选择其开发环境。</w:t>
            </w:r>
          </w:p>
        </w:tc>
        <w:tc>
          <w:tcPr>
            <w:tcW w:w="2222" w:type="pct"/>
          </w:tcPr>
          <w:p>
            <w:pPr>
              <w:spacing w:line="360" w:lineRule="auto"/>
              <w:rPr>
                <w:sz w:val="18"/>
                <w:szCs w:val="18"/>
              </w:rPr>
            </w:pPr>
            <w:r>
              <w:rPr>
                <w:rFonts w:hint="eastAsia"/>
                <w:b/>
                <w:sz w:val="18"/>
                <w:szCs w:val="18"/>
              </w:rPr>
              <w:t>指标点5-1 工具选择与开发</w:t>
            </w:r>
            <w:r>
              <w:rPr>
                <w:rFonts w:hint="eastAsia"/>
                <w:sz w:val="18"/>
                <w:szCs w:val="18"/>
              </w:rPr>
              <w:t>：了解当前主流工具的优点与不足，能针对复杂工程问题特性与需求做出对比选择，并能够开发一定的辅助工具用于解决问题。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spacing w:line="360" w:lineRule="auto"/>
              <w:jc w:val="center"/>
              <w:rPr>
                <w:sz w:val="18"/>
                <w:szCs w:val="18"/>
              </w:rPr>
            </w:pPr>
            <w:r>
              <w:rPr>
                <w:rFonts w:hint="eastAsia"/>
                <w:sz w:val="18"/>
                <w:szCs w:val="18"/>
              </w:rPr>
              <w:t>3</w:t>
            </w:r>
          </w:p>
        </w:tc>
        <w:tc>
          <w:tcPr>
            <w:tcW w:w="2386" w:type="pct"/>
          </w:tcPr>
          <w:p>
            <w:pPr>
              <w:spacing w:line="360" w:lineRule="auto"/>
              <w:rPr>
                <w:sz w:val="18"/>
                <w:szCs w:val="18"/>
              </w:rPr>
            </w:pPr>
            <w:r>
              <w:rPr>
                <w:rFonts w:hint="eastAsia"/>
                <w:sz w:val="18"/>
                <w:szCs w:val="18"/>
              </w:rPr>
              <w:t>能够熟练使用VHDL或Verilog HDL等硬件描述语言，并能够熟练使用</w:t>
            </w:r>
            <w:r>
              <w:rPr>
                <w:sz w:val="18"/>
                <w:szCs w:val="18"/>
              </w:rPr>
              <w:t>Quartus II</w:t>
            </w:r>
            <w:r>
              <w:rPr>
                <w:rFonts w:hint="eastAsia"/>
                <w:sz w:val="18"/>
                <w:szCs w:val="18"/>
              </w:rPr>
              <w:t>或ISE等可编程逻辑器件集成开发环境进行设计。</w:t>
            </w:r>
          </w:p>
        </w:tc>
        <w:tc>
          <w:tcPr>
            <w:tcW w:w="2222" w:type="pct"/>
          </w:tcPr>
          <w:p>
            <w:pPr>
              <w:spacing w:line="360" w:lineRule="auto"/>
              <w:rPr>
                <w:sz w:val="18"/>
                <w:szCs w:val="18"/>
              </w:rPr>
            </w:pPr>
            <w:r>
              <w:rPr>
                <w:rFonts w:hint="eastAsia"/>
                <w:b/>
                <w:sz w:val="18"/>
                <w:szCs w:val="18"/>
              </w:rPr>
              <w:t>指标点5-2 专业工具使用</w:t>
            </w:r>
            <w:r>
              <w:rPr>
                <w:rFonts w:hint="eastAsia"/>
                <w:sz w:val="18"/>
                <w:szCs w:val="18"/>
              </w:rPr>
              <w:t>：能使用工具对电路系统、协议等进行设计和仿真，确定功能和相关设计参数。</w:t>
            </w:r>
          </w:p>
        </w:tc>
      </w:tr>
    </w:tbl>
    <w:p>
      <w:pPr>
        <w:tabs>
          <w:tab w:val="left" w:pos="420"/>
        </w:tabs>
        <w:adjustRightInd w:val="0"/>
        <w:snapToGrid w:val="0"/>
        <w:spacing w:line="360" w:lineRule="auto"/>
        <w:ind w:left="420" w:hanging="420"/>
        <w:jc w:val="left"/>
        <w:rPr>
          <w:rFonts w:ascii="宋体" w:hAnsi="宋体" w:cs="宋体"/>
          <w:bCs/>
          <w:kern w:val="0"/>
          <w:szCs w:val="21"/>
        </w:rPr>
      </w:pPr>
    </w:p>
    <w:p>
      <w:pPr>
        <w:tabs>
          <w:tab w:val="left" w:pos="420"/>
        </w:tabs>
        <w:adjustRightInd w:val="0"/>
        <w:snapToGrid w:val="0"/>
        <w:spacing w:line="360" w:lineRule="auto"/>
        <w:ind w:left="420" w:hanging="420"/>
        <w:jc w:val="left"/>
        <w:rPr>
          <w:rFonts w:eastAsia="黑体"/>
          <w:szCs w:val="24"/>
        </w:rPr>
      </w:pPr>
      <w:r>
        <w:rPr>
          <w:rFonts w:hint="eastAsia" w:ascii="宋体" w:hAnsi="宋体" w:cs="宋体"/>
          <w:bCs/>
          <w:kern w:val="0"/>
          <w:szCs w:val="21"/>
          <w:lang w:eastAsia="zh-CN"/>
        </w:rPr>
        <w:t>智能感知工程</w:t>
      </w:r>
      <w:r>
        <w:rPr>
          <w:rFonts w:hint="eastAsia" w:ascii="宋体" w:hAnsi="宋体" w:cs="宋体"/>
          <w:bCs/>
          <w:kern w:val="0"/>
          <w:szCs w:val="21"/>
        </w:rPr>
        <w:t>专业：</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68"/>
        <w:gridCol w:w="4070"/>
        <w:gridCol w:w="379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spacing w:line="360" w:lineRule="auto"/>
              <w:jc w:val="center"/>
              <w:rPr>
                <w:sz w:val="18"/>
                <w:szCs w:val="18"/>
              </w:rPr>
            </w:pPr>
            <w:r>
              <w:rPr>
                <w:sz w:val="18"/>
                <w:szCs w:val="18"/>
              </w:rPr>
              <w:t>序号</w:t>
            </w:r>
          </w:p>
        </w:tc>
        <w:tc>
          <w:tcPr>
            <w:tcW w:w="2386" w:type="pct"/>
            <w:vAlign w:val="center"/>
          </w:tcPr>
          <w:p>
            <w:pPr>
              <w:spacing w:line="360" w:lineRule="auto"/>
              <w:jc w:val="center"/>
              <w:rPr>
                <w:sz w:val="18"/>
                <w:szCs w:val="18"/>
              </w:rPr>
            </w:pPr>
            <w:r>
              <w:rPr>
                <w:sz w:val="18"/>
                <w:szCs w:val="18"/>
              </w:rPr>
              <w:t>课程目标</w:t>
            </w:r>
          </w:p>
        </w:tc>
        <w:tc>
          <w:tcPr>
            <w:tcW w:w="2222" w:type="pct"/>
            <w:vAlign w:val="center"/>
          </w:tcPr>
          <w:p>
            <w:pPr>
              <w:spacing w:line="360" w:lineRule="auto"/>
              <w:jc w:val="center"/>
              <w:rPr>
                <w:sz w:val="18"/>
                <w:szCs w:val="18"/>
              </w:rPr>
            </w:pPr>
            <w:r>
              <w:rPr>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spacing w:line="360" w:lineRule="auto"/>
              <w:jc w:val="center"/>
              <w:rPr>
                <w:sz w:val="18"/>
                <w:szCs w:val="18"/>
              </w:rPr>
            </w:pPr>
            <w:r>
              <w:rPr>
                <w:rFonts w:hint="eastAsia"/>
                <w:sz w:val="18"/>
                <w:szCs w:val="18"/>
              </w:rPr>
              <w:t>1</w:t>
            </w:r>
          </w:p>
        </w:tc>
        <w:tc>
          <w:tcPr>
            <w:tcW w:w="2386" w:type="pct"/>
          </w:tcPr>
          <w:p>
            <w:pPr>
              <w:spacing w:line="360" w:lineRule="auto"/>
              <w:rPr>
                <w:sz w:val="18"/>
                <w:szCs w:val="18"/>
              </w:rPr>
            </w:pPr>
            <w:r>
              <w:rPr>
                <w:rFonts w:hint="eastAsia"/>
                <w:sz w:val="18"/>
                <w:szCs w:val="18"/>
              </w:rPr>
              <w:t>能够通过分析将数字逻辑电路相关工程问题转化为技术问题，并能够采用硬件描述语言和可编程逻辑器件进行相应的数字电路系统设计。</w:t>
            </w:r>
          </w:p>
        </w:tc>
        <w:tc>
          <w:tcPr>
            <w:tcW w:w="2222" w:type="pct"/>
          </w:tcPr>
          <w:p>
            <w:pPr>
              <w:spacing w:line="360" w:lineRule="auto"/>
              <w:rPr>
                <w:sz w:val="18"/>
                <w:szCs w:val="18"/>
              </w:rPr>
            </w:pPr>
            <w:r>
              <w:rPr>
                <w:b/>
                <w:kern w:val="0"/>
                <w:sz w:val="18"/>
                <w:szCs w:val="18"/>
              </w:rPr>
              <w:t>指标点3-1 按需设计</w:t>
            </w:r>
            <w:r>
              <w:rPr>
                <w:kern w:val="0"/>
                <w:sz w:val="18"/>
                <w:szCs w:val="18"/>
              </w:rPr>
              <w:t>：</w:t>
            </w:r>
            <w:r>
              <w:rPr>
                <w:bCs/>
                <w:sz w:val="18"/>
                <w:szCs w:val="18"/>
              </w:rPr>
              <w:t>能够根据用户特定需求设计复杂工程问题的解决方案，设计相关的信息处理系统、智能控制系统以及工艺流程，并能够针对方案进行优化选择。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spacing w:line="360" w:lineRule="auto"/>
              <w:jc w:val="center"/>
              <w:rPr>
                <w:sz w:val="18"/>
                <w:szCs w:val="18"/>
              </w:rPr>
            </w:pPr>
            <w:r>
              <w:rPr>
                <w:rFonts w:hint="eastAsia"/>
                <w:sz w:val="18"/>
                <w:szCs w:val="18"/>
              </w:rPr>
              <w:t>2</w:t>
            </w:r>
          </w:p>
        </w:tc>
        <w:tc>
          <w:tcPr>
            <w:tcW w:w="2386" w:type="pct"/>
          </w:tcPr>
          <w:p>
            <w:pPr>
              <w:spacing w:line="360" w:lineRule="auto"/>
              <w:rPr>
                <w:sz w:val="18"/>
                <w:szCs w:val="18"/>
              </w:rPr>
            </w:pPr>
            <w:r>
              <w:rPr>
                <w:rFonts w:hint="eastAsia"/>
                <w:sz w:val="18"/>
                <w:szCs w:val="18"/>
              </w:rPr>
              <w:t>了解业界主流可编程逻辑器件及其开发环境的性能特点，能够根据项目要求合理选择可编程逻辑器件厂家、型号，并合理选择其开发环境。</w:t>
            </w:r>
          </w:p>
        </w:tc>
        <w:tc>
          <w:tcPr>
            <w:tcW w:w="2222" w:type="pct"/>
          </w:tcPr>
          <w:p>
            <w:pPr>
              <w:spacing w:line="360" w:lineRule="auto"/>
              <w:rPr>
                <w:sz w:val="18"/>
                <w:szCs w:val="18"/>
              </w:rPr>
            </w:pPr>
            <w:r>
              <w:rPr>
                <w:rFonts w:hAnsi="宋体"/>
                <w:b/>
                <w:kern w:val="0"/>
                <w:sz w:val="18"/>
                <w:szCs w:val="18"/>
              </w:rPr>
              <w:t>指标点</w:t>
            </w:r>
            <w:r>
              <w:rPr>
                <w:b/>
                <w:kern w:val="0"/>
                <w:sz w:val="18"/>
                <w:szCs w:val="18"/>
              </w:rPr>
              <w:t xml:space="preserve">5-1 </w:t>
            </w:r>
            <w:r>
              <w:rPr>
                <w:rFonts w:hAnsi="宋体"/>
                <w:b/>
                <w:kern w:val="0"/>
                <w:sz w:val="18"/>
                <w:szCs w:val="18"/>
              </w:rPr>
              <w:t>工具选择与开发</w:t>
            </w:r>
            <w:r>
              <w:rPr>
                <w:rFonts w:hAnsi="宋体"/>
                <w:kern w:val="0"/>
                <w:sz w:val="18"/>
                <w:szCs w:val="18"/>
              </w:rPr>
              <w:t>：</w:t>
            </w:r>
            <w:r>
              <w:rPr>
                <w:bCs/>
                <w:sz w:val="18"/>
                <w:szCs w:val="18"/>
              </w:rPr>
              <w:t>了解当前主流工具的优点与不足，能针对复杂工程问题特性与需求做出对比选择，并能够开发一定的辅助工具用于解决问题。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spacing w:line="360" w:lineRule="auto"/>
              <w:jc w:val="center"/>
              <w:rPr>
                <w:sz w:val="18"/>
                <w:szCs w:val="18"/>
              </w:rPr>
            </w:pPr>
            <w:r>
              <w:rPr>
                <w:rFonts w:hint="eastAsia"/>
                <w:sz w:val="18"/>
                <w:szCs w:val="18"/>
              </w:rPr>
              <w:t>3</w:t>
            </w:r>
          </w:p>
        </w:tc>
        <w:tc>
          <w:tcPr>
            <w:tcW w:w="2386" w:type="pct"/>
          </w:tcPr>
          <w:p>
            <w:pPr>
              <w:spacing w:line="360" w:lineRule="auto"/>
              <w:rPr>
                <w:sz w:val="18"/>
                <w:szCs w:val="18"/>
              </w:rPr>
            </w:pPr>
            <w:r>
              <w:rPr>
                <w:rFonts w:hint="eastAsia"/>
                <w:sz w:val="18"/>
                <w:szCs w:val="18"/>
              </w:rPr>
              <w:t>能够熟练使用VHDL或Verilog HDL等硬件描述语言，并能够熟练使用</w:t>
            </w:r>
            <w:r>
              <w:rPr>
                <w:sz w:val="18"/>
                <w:szCs w:val="18"/>
              </w:rPr>
              <w:t>Quartus II</w:t>
            </w:r>
            <w:r>
              <w:rPr>
                <w:rFonts w:hint="eastAsia"/>
                <w:sz w:val="18"/>
                <w:szCs w:val="18"/>
              </w:rPr>
              <w:t>或ISE等可编程逻辑器件集成开发环境进行设计。</w:t>
            </w:r>
          </w:p>
        </w:tc>
        <w:tc>
          <w:tcPr>
            <w:tcW w:w="2222" w:type="pct"/>
          </w:tcPr>
          <w:p>
            <w:pPr>
              <w:spacing w:line="360" w:lineRule="auto"/>
              <w:rPr>
                <w:sz w:val="18"/>
                <w:szCs w:val="18"/>
              </w:rPr>
            </w:pPr>
            <w:r>
              <w:rPr>
                <w:b/>
                <w:sz w:val="18"/>
                <w:szCs w:val="18"/>
              </w:rPr>
              <w:t>指标点5-2 专业工具使用：</w:t>
            </w:r>
            <w:r>
              <w:rPr>
                <w:bCs/>
                <w:sz w:val="18"/>
                <w:szCs w:val="18"/>
              </w:rPr>
              <w:t>能使用工具对智能信息处理或控制系统进行设计和仿真，确定功能和相关设计参数。</w:t>
            </w:r>
          </w:p>
        </w:tc>
      </w:tr>
    </w:tbl>
    <w:p>
      <w:pPr>
        <w:tabs>
          <w:tab w:val="left" w:pos="420"/>
        </w:tabs>
        <w:adjustRightInd w:val="0"/>
        <w:snapToGrid w:val="0"/>
        <w:spacing w:line="360" w:lineRule="auto"/>
        <w:ind w:left="420" w:hanging="420"/>
        <w:rPr>
          <w:rFonts w:ascii="宋体" w:hAnsi="宋体" w:cs="宋体"/>
          <w:bCs/>
          <w:kern w:val="0"/>
          <w:szCs w:val="21"/>
        </w:rPr>
      </w:pPr>
    </w:p>
    <w:p>
      <w:pPr>
        <w:tabs>
          <w:tab w:val="left" w:pos="420"/>
        </w:tabs>
        <w:adjustRightInd w:val="0"/>
        <w:snapToGrid w:val="0"/>
        <w:spacing w:line="360" w:lineRule="auto"/>
        <w:ind w:left="420" w:hanging="420"/>
        <w:jc w:val="left"/>
        <w:rPr>
          <w:rFonts w:eastAsia="黑体"/>
          <w:szCs w:val="24"/>
        </w:rPr>
      </w:pPr>
      <w:r>
        <w:rPr>
          <w:rFonts w:hint="eastAsia"/>
        </w:rPr>
        <w:t>测控技术与仪器</w:t>
      </w:r>
      <w:r>
        <w:rPr>
          <w:rFonts w:hint="eastAsia" w:ascii="宋体" w:hAnsi="宋体" w:cs="宋体"/>
          <w:bCs/>
          <w:kern w:val="0"/>
          <w:szCs w:val="21"/>
        </w:rPr>
        <w:t>专业：</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68"/>
        <w:gridCol w:w="4070"/>
        <w:gridCol w:w="379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spacing w:line="360" w:lineRule="auto"/>
              <w:jc w:val="center"/>
              <w:rPr>
                <w:sz w:val="18"/>
                <w:szCs w:val="18"/>
              </w:rPr>
            </w:pPr>
            <w:r>
              <w:rPr>
                <w:sz w:val="18"/>
                <w:szCs w:val="18"/>
              </w:rPr>
              <w:t>序号</w:t>
            </w:r>
          </w:p>
        </w:tc>
        <w:tc>
          <w:tcPr>
            <w:tcW w:w="2386" w:type="pct"/>
            <w:vAlign w:val="center"/>
          </w:tcPr>
          <w:p>
            <w:pPr>
              <w:spacing w:line="360" w:lineRule="auto"/>
              <w:jc w:val="center"/>
              <w:rPr>
                <w:sz w:val="18"/>
                <w:szCs w:val="18"/>
              </w:rPr>
            </w:pPr>
            <w:r>
              <w:rPr>
                <w:sz w:val="18"/>
                <w:szCs w:val="18"/>
              </w:rPr>
              <w:t>课程目标</w:t>
            </w:r>
          </w:p>
        </w:tc>
        <w:tc>
          <w:tcPr>
            <w:tcW w:w="2222" w:type="pct"/>
            <w:vAlign w:val="center"/>
          </w:tcPr>
          <w:p>
            <w:pPr>
              <w:spacing w:line="360" w:lineRule="auto"/>
              <w:jc w:val="center"/>
              <w:rPr>
                <w:sz w:val="18"/>
                <w:szCs w:val="18"/>
              </w:rPr>
            </w:pPr>
            <w:r>
              <w:rPr>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spacing w:line="360" w:lineRule="auto"/>
              <w:jc w:val="center"/>
              <w:rPr>
                <w:sz w:val="18"/>
                <w:szCs w:val="18"/>
              </w:rPr>
            </w:pPr>
            <w:r>
              <w:rPr>
                <w:rFonts w:hint="eastAsia"/>
                <w:sz w:val="18"/>
                <w:szCs w:val="18"/>
              </w:rPr>
              <w:t>1</w:t>
            </w:r>
          </w:p>
        </w:tc>
        <w:tc>
          <w:tcPr>
            <w:tcW w:w="2386" w:type="pct"/>
          </w:tcPr>
          <w:p>
            <w:pPr>
              <w:spacing w:line="360" w:lineRule="auto"/>
              <w:rPr>
                <w:sz w:val="18"/>
                <w:szCs w:val="18"/>
              </w:rPr>
            </w:pPr>
            <w:r>
              <w:rPr>
                <w:rFonts w:hint="eastAsia"/>
                <w:sz w:val="18"/>
                <w:szCs w:val="18"/>
              </w:rPr>
              <w:t>能够通过分析将数字逻辑电路相关工程问题转化为技术问题，并能够采用硬件描述语言和可编程逻辑器件进行相应的数字电路系统设计。</w:t>
            </w:r>
          </w:p>
        </w:tc>
        <w:tc>
          <w:tcPr>
            <w:tcW w:w="2222" w:type="pct"/>
          </w:tcPr>
          <w:p>
            <w:pPr>
              <w:spacing w:line="360" w:lineRule="auto"/>
              <w:rPr>
                <w:sz w:val="18"/>
                <w:szCs w:val="18"/>
              </w:rPr>
            </w:pPr>
            <w:r>
              <w:rPr>
                <w:rFonts w:hAnsi="宋体"/>
                <w:b/>
                <w:sz w:val="18"/>
                <w:szCs w:val="18"/>
              </w:rPr>
              <w:t>指标点</w:t>
            </w:r>
            <w:r>
              <w:rPr>
                <w:b/>
                <w:sz w:val="18"/>
                <w:szCs w:val="18"/>
              </w:rPr>
              <w:t xml:space="preserve">3-1 </w:t>
            </w:r>
            <w:r>
              <w:rPr>
                <w:rFonts w:hAnsi="宋体"/>
                <w:b/>
                <w:sz w:val="18"/>
                <w:szCs w:val="18"/>
              </w:rPr>
              <w:t>按需设计：</w:t>
            </w:r>
            <w:r>
              <w:rPr>
                <w:rFonts w:hAnsi="宋体"/>
                <w:sz w:val="18"/>
                <w:szCs w:val="18"/>
              </w:rPr>
              <w:t>能够根据用户特定需求设计复杂工程问题的解决方案，设计相关的传感器、测控系统以及工艺流程，并能够针对方案进行优化选择。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spacing w:line="360" w:lineRule="auto"/>
              <w:jc w:val="center"/>
              <w:rPr>
                <w:sz w:val="18"/>
                <w:szCs w:val="18"/>
              </w:rPr>
            </w:pPr>
            <w:r>
              <w:rPr>
                <w:rFonts w:hint="eastAsia"/>
                <w:sz w:val="18"/>
                <w:szCs w:val="18"/>
              </w:rPr>
              <w:t>2</w:t>
            </w:r>
          </w:p>
        </w:tc>
        <w:tc>
          <w:tcPr>
            <w:tcW w:w="2386" w:type="pct"/>
          </w:tcPr>
          <w:p>
            <w:pPr>
              <w:spacing w:line="360" w:lineRule="auto"/>
              <w:rPr>
                <w:sz w:val="18"/>
                <w:szCs w:val="18"/>
              </w:rPr>
            </w:pPr>
            <w:r>
              <w:rPr>
                <w:rFonts w:hint="eastAsia"/>
                <w:sz w:val="18"/>
                <w:szCs w:val="18"/>
              </w:rPr>
              <w:t>了解业界主流可编程逻辑器件及其开发环境的性能特点，能够根据项目要求合理选择可编程逻辑器件厂家、型号，并合理选择其开发环境。</w:t>
            </w:r>
          </w:p>
        </w:tc>
        <w:tc>
          <w:tcPr>
            <w:tcW w:w="2222" w:type="pct"/>
          </w:tcPr>
          <w:p>
            <w:pPr>
              <w:spacing w:line="360" w:lineRule="auto"/>
              <w:rPr>
                <w:sz w:val="18"/>
                <w:szCs w:val="18"/>
              </w:rPr>
            </w:pPr>
            <w:r>
              <w:rPr>
                <w:rFonts w:hAnsi="宋体"/>
                <w:b/>
                <w:sz w:val="18"/>
                <w:szCs w:val="18"/>
              </w:rPr>
              <w:t>指标点</w:t>
            </w:r>
            <w:r>
              <w:rPr>
                <w:b/>
                <w:sz w:val="18"/>
                <w:szCs w:val="18"/>
              </w:rPr>
              <w:t xml:space="preserve">5-1 </w:t>
            </w:r>
            <w:r>
              <w:rPr>
                <w:rFonts w:hAnsi="宋体"/>
                <w:b/>
                <w:sz w:val="18"/>
                <w:szCs w:val="18"/>
              </w:rPr>
              <w:t>工具选择与开发</w:t>
            </w:r>
            <w:r>
              <w:rPr>
                <w:rFonts w:hAnsi="宋体"/>
                <w:sz w:val="18"/>
                <w:szCs w:val="18"/>
              </w:rPr>
              <w:t>：了解当前主流工具的优点与不足，能针对复杂工程问题特性与需求做出对比选择，并能够开发一定的辅助工具用于解决问题。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spacing w:line="360" w:lineRule="auto"/>
              <w:jc w:val="center"/>
              <w:rPr>
                <w:sz w:val="18"/>
                <w:szCs w:val="18"/>
              </w:rPr>
            </w:pPr>
            <w:r>
              <w:rPr>
                <w:rFonts w:hint="eastAsia"/>
                <w:sz w:val="18"/>
                <w:szCs w:val="18"/>
              </w:rPr>
              <w:t>3</w:t>
            </w:r>
          </w:p>
        </w:tc>
        <w:tc>
          <w:tcPr>
            <w:tcW w:w="2386" w:type="pct"/>
          </w:tcPr>
          <w:p>
            <w:pPr>
              <w:spacing w:line="360" w:lineRule="auto"/>
              <w:rPr>
                <w:sz w:val="18"/>
                <w:szCs w:val="18"/>
              </w:rPr>
            </w:pPr>
            <w:r>
              <w:rPr>
                <w:rFonts w:hint="eastAsia"/>
                <w:sz w:val="18"/>
                <w:szCs w:val="18"/>
              </w:rPr>
              <w:t>能够熟练使用VHDL或Verilog HDL等硬件描述语言，并能够熟练使用</w:t>
            </w:r>
            <w:r>
              <w:rPr>
                <w:sz w:val="18"/>
                <w:szCs w:val="18"/>
              </w:rPr>
              <w:t>Quartus II</w:t>
            </w:r>
            <w:r>
              <w:rPr>
                <w:rFonts w:hint="eastAsia"/>
                <w:sz w:val="18"/>
                <w:szCs w:val="18"/>
              </w:rPr>
              <w:t>或ISE等可编程逻辑器件集成开发环境进行设计。</w:t>
            </w:r>
          </w:p>
        </w:tc>
        <w:tc>
          <w:tcPr>
            <w:tcW w:w="2222" w:type="pct"/>
          </w:tcPr>
          <w:p>
            <w:pPr>
              <w:spacing w:line="360" w:lineRule="auto"/>
              <w:rPr>
                <w:sz w:val="18"/>
                <w:szCs w:val="18"/>
              </w:rPr>
            </w:pPr>
            <w:r>
              <w:rPr>
                <w:rFonts w:hAnsi="宋体"/>
                <w:b/>
                <w:sz w:val="18"/>
                <w:szCs w:val="18"/>
              </w:rPr>
              <w:t>指标点</w:t>
            </w:r>
            <w:r>
              <w:rPr>
                <w:b/>
                <w:sz w:val="18"/>
                <w:szCs w:val="18"/>
              </w:rPr>
              <w:t>5-2</w:t>
            </w:r>
            <w:r>
              <w:rPr>
                <w:rFonts w:hAnsi="宋体"/>
                <w:b/>
                <w:sz w:val="18"/>
                <w:szCs w:val="18"/>
              </w:rPr>
              <w:t>专业工具使用</w:t>
            </w:r>
            <w:r>
              <w:rPr>
                <w:rFonts w:hAnsi="宋体"/>
                <w:sz w:val="18"/>
                <w:szCs w:val="18"/>
              </w:rPr>
              <w:t>：能使用工具对测控电路或系统进行设计和仿真，确定功能和相关设计参数。</w:t>
            </w:r>
          </w:p>
        </w:tc>
      </w:tr>
    </w:tbl>
    <w:p>
      <w:pPr>
        <w:adjustRightInd w:val="0"/>
        <w:snapToGrid w:val="0"/>
        <w:spacing w:line="360" w:lineRule="auto"/>
        <w:ind w:firstLine="420" w:firstLineChars="200"/>
        <w:rPr>
          <w:szCs w:val="21"/>
        </w:rPr>
      </w:pPr>
    </w:p>
    <w:p>
      <w:pPr>
        <w:tabs>
          <w:tab w:val="left" w:pos="420"/>
        </w:tabs>
        <w:adjustRightInd w:val="0"/>
        <w:snapToGrid w:val="0"/>
        <w:spacing w:line="360" w:lineRule="auto"/>
        <w:ind w:left="420" w:hanging="420"/>
        <w:rPr>
          <w:rFonts w:eastAsia="黑体"/>
          <w:szCs w:val="24"/>
        </w:rPr>
      </w:pPr>
      <w:r>
        <w:rPr>
          <w:rFonts w:hint="eastAsia" w:eastAsia="黑体"/>
          <w:szCs w:val="24"/>
        </w:rPr>
        <w:t>三、基本要求</w:t>
      </w:r>
    </w:p>
    <w:p>
      <w:pPr>
        <w:adjustRightInd w:val="0"/>
        <w:snapToGrid w:val="0"/>
        <w:spacing w:line="360" w:lineRule="auto"/>
        <w:ind w:firstLine="420" w:firstLineChars="200"/>
        <w:rPr>
          <w:szCs w:val="21"/>
        </w:rPr>
      </w:pPr>
      <w:r>
        <w:rPr>
          <w:rFonts w:hint="eastAsia"/>
          <w:szCs w:val="21"/>
        </w:rPr>
        <w:t>1、本课程为专业课，要求先修数字电子技术课程，在教学中应注重基础知识、基本概念和思维方法的传授，同时运用类比式和启发式教学，使学生掌握最重要的“并行”执行的程序设计概念，掌握相关设计方法与手段，以培养逻辑分析和设计能力。</w:t>
      </w:r>
    </w:p>
    <w:p>
      <w:pPr>
        <w:adjustRightInd w:val="0"/>
        <w:snapToGrid w:val="0"/>
        <w:spacing w:line="360" w:lineRule="auto"/>
        <w:ind w:firstLine="420" w:firstLineChars="200"/>
        <w:rPr>
          <w:szCs w:val="21"/>
        </w:rPr>
      </w:pPr>
      <w:r>
        <w:rPr>
          <w:rFonts w:hint="eastAsia"/>
          <w:szCs w:val="21"/>
        </w:rPr>
        <w:t>2、教师通过EDA软件语言的教学，结合经典的实例，提高学生编程设计能力。</w:t>
      </w:r>
    </w:p>
    <w:p>
      <w:pPr>
        <w:adjustRightInd w:val="0"/>
        <w:snapToGrid w:val="0"/>
        <w:spacing w:line="360" w:lineRule="auto"/>
        <w:ind w:firstLine="420" w:firstLineChars="200"/>
        <w:rPr>
          <w:szCs w:val="21"/>
        </w:rPr>
      </w:pPr>
      <w:r>
        <w:rPr>
          <w:rFonts w:hint="eastAsia"/>
          <w:szCs w:val="21"/>
        </w:rPr>
        <w:t>3、学生通过上机操作，掌握至少1种可编程逻辑器件集成开发软件的使用方法，会选择、运用EDA软件工具来设计实际电子电路</w:t>
      </w:r>
      <w:r>
        <w:rPr>
          <w:szCs w:val="21"/>
        </w:rPr>
        <w:t>，经过课后适当的实用锻炼</w:t>
      </w:r>
      <w:r>
        <w:rPr>
          <w:rFonts w:hint="eastAsia"/>
          <w:szCs w:val="21"/>
        </w:rPr>
        <w:t>，掌握电子电路自动化设计技巧。</w:t>
      </w:r>
    </w:p>
    <w:p>
      <w:pPr>
        <w:adjustRightInd w:val="0"/>
        <w:snapToGrid w:val="0"/>
        <w:spacing w:line="360" w:lineRule="auto"/>
        <w:ind w:firstLine="420" w:firstLineChars="200"/>
        <w:rPr>
          <w:szCs w:val="21"/>
        </w:rPr>
      </w:pPr>
      <w:r>
        <w:rPr>
          <w:rFonts w:hint="eastAsia"/>
          <w:szCs w:val="21"/>
        </w:rPr>
        <w:t>4、利用软件手段来设计硬件电路，许多软件逻辑的设计与实际物理电路密切相关，因此应重点培养学生实际操作、灵活运用知识的能力，把理论知识运用到实际设计中去的技能。</w:t>
      </w:r>
    </w:p>
    <w:p>
      <w:pPr>
        <w:adjustRightInd w:val="0"/>
        <w:snapToGrid w:val="0"/>
        <w:spacing w:line="360" w:lineRule="auto"/>
        <w:ind w:firstLine="420" w:firstLineChars="200"/>
        <w:rPr>
          <w:szCs w:val="21"/>
        </w:rPr>
      </w:pPr>
      <w:r>
        <w:rPr>
          <w:rFonts w:hint="eastAsia"/>
          <w:szCs w:val="21"/>
        </w:rPr>
        <w:t>5、本课程是一门实践性很强的课程，要求学生通过实验环节把所学的内容巩固和掌握，要求在CAI教室进行授课，并且教学和实验交替进行。</w:t>
      </w:r>
    </w:p>
    <w:p>
      <w:pPr>
        <w:adjustRightInd w:val="0"/>
        <w:snapToGrid w:val="0"/>
        <w:spacing w:line="360" w:lineRule="auto"/>
        <w:ind w:firstLine="420" w:firstLineChars="200"/>
        <w:rPr>
          <w:szCs w:val="21"/>
        </w:rPr>
      </w:pPr>
      <w:r>
        <w:rPr>
          <w:rFonts w:hint="eastAsia"/>
          <w:szCs w:val="21"/>
        </w:rPr>
        <w:t>6、深度和广度说明：对高密度常用可编程逻辑器件的使用要深入讲解，对低密度可编程逻辑器件只做简单介绍，对各公司的产品介绍应涵盖广些；可编程逻辑器件的原理与内部结构了解即可，硬件描述语言的掌握和使用是重点。</w:t>
      </w:r>
    </w:p>
    <w:p>
      <w:pPr>
        <w:adjustRightInd w:val="0"/>
        <w:snapToGrid w:val="0"/>
        <w:spacing w:line="360" w:lineRule="auto"/>
        <w:ind w:firstLine="420" w:firstLineChars="200"/>
        <w:rPr>
          <w:szCs w:val="21"/>
        </w:rPr>
      </w:pPr>
      <w:r>
        <w:rPr>
          <w:szCs w:val="21"/>
        </w:rPr>
        <w:t>7、偏差说明：为了鼓励教师引入个人授课风格或者适应技术发展的紧迫性，本课程允许教师授课内容做适当调整，最大正偏差为</w:t>
      </w:r>
      <w:r>
        <w:rPr>
          <w:rFonts w:hint="eastAsia"/>
          <w:szCs w:val="21"/>
        </w:rPr>
        <w:t>10%，不允许负偏差。正偏差通过压缩同等内容的学时数来完成。特殊情况，最大正偏差和置换偏差累计可达到20%，但在开课前要申请专业责任人批准。（正偏差指大纲知识点不变，新增知识点；负偏差是大纲知识点减少；置换偏差是指大纲中部分知识点被其它类似知识点替换）。</w:t>
      </w:r>
    </w:p>
    <w:p>
      <w:pPr>
        <w:adjustRightInd w:val="0"/>
        <w:snapToGrid w:val="0"/>
        <w:spacing w:line="360" w:lineRule="auto"/>
        <w:ind w:firstLine="420" w:firstLineChars="200"/>
        <w:rPr>
          <w:szCs w:val="21"/>
        </w:rPr>
      </w:pPr>
    </w:p>
    <w:p>
      <w:pPr>
        <w:tabs>
          <w:tab w:val="left" w:pos="420"/>
        </w:tabs>
        <w:adjustRightInd w:val="0"/>
        <w:snapToGrid w:val="0"/>
        <w:spacing w:line="360" w:lineRule="auto"/>
        <w:ind w:left="420" w:hanging="420"/>
        <w:rPr>
          <w:rFonts w:eastAsia="黑体"/>
          <w:szCs w:val="24"/>
        </w:rPr>
      </w:pPr>
      <w:r>
        <w:rPr>
          <w:rFonts w:hint="eastAsia" w:eastAsia="黑体"/>
          <w:szCs w:val="24"/>
        </w:rPr>
        <w:t>四、教学内容和教学方法</w:t>
      </w:r>
    </w:p>
    <w:p>
      <w:pPr>
        <w:widowControl/>
        <w:adjustRightInd w:val="0"/>
        <w:snapToGrid w:val="0"/>
        <w:spacing w:line="360" w:lineRule="auto"/>
        <w:ind w:firstLine="420" w:firstLineChars="200"/>
        <w:jc w:val="left"/>
      </w:pPr>
      <w:r>
        <w:rPr>
          <w:rFonts w:hint="eastAsia"/>
        </w:rPr>
        <w:t>本课程重点讲授的内容包括：现代EDA技术及其设计方法、可编程器件的基本原理及其分类与选用原则、相关电路设计方法、集成开发环境使用方法、至少1种硬件描述语言的语法规则及编程方法、时序仿真方法；典型逻辑电路的设计包括：组合逻辑电路、时序逻辑电路、等间隔状态控制、状态机以及较为复杂的时序逻辑控制设计等。</w:t>
      </w:r>
    </w:p>
    <w:p>
      <w:pPr>
        <w:widowControl/>
        <w:adjustRightInd w:val="0"/>
        <w:snapToGrid w:val="0"/>
        <w:spacing w:line="360" w:lineRule="auto"/>
        <w:ind w:firstLine="420" w:firstLineChars="200"/>
        <w:jc w:val="left"/>
      </w:pPr>
      <w:r>
        <w:rPr>
          <w:rFonts w:hint="eastAsia"/>
        </w:rPr>
        <w:t>本课程在教学方法上，充分利用各种媒体教学手段，采取课堂教学、多媒体课件、验证性实验、课外分组实验方式有机结合，提高教学效率。</w:t>
      </w:r>
    </w:p>
    <w:p>
      <w:pPr>
        <w:widowControl/>
        <w:adjustRightInd w:val="0"/>
        <w:snapToGrid w:val="0"/>
        <w:spacing w:line="360" w:lineRule="auto"/>
        <w:ind w:firstLine="420" w:firstLineChars="200"/>
        <w:jc w:val="left"/>
        <w:rPr>
          <w:rFonts w:cs="宋体"/>
          <w:snapToGrid w:val="0"/>
          <w:kern w:val="0"/>
          <w:szCs w:val="21"/>
        </w:rPr>
      </w:pPr>
      <w:r>
        <w:rPr>
          <w:rFonts w:hint="eastAsia" w:cs="宋体"/>
          <w:snapToGrid w:val="0"/>
          <w:kern w:val="0"/>
          <w:szCs w:val="21"/>
        </w:rPr>
        <w:t>硬件描述语言（VHDL）在数字逻辑系统设计、集成电路设计中占有非常重要的地位，因此教师要重点讲授以使学生完全掌握。</w:t>
      </w:r>
    </w:p>
    <w:p>
      <w:pPr>
        <w:widowControl/>
        <w:adjustRightInd w:val="0"/>
        <w:snapToGrid w:val="0"/>
        <w:spacing w:line="360" w:lineRule="auto"/>
        <w:ind w:firstLine="420" w:firstLineChars="200"/>
        <w:jc w:val="left"/>
        <w:rPr>
          <w:rFonts w:cs="宋体"/>
          <w:snapToGrid w:val="0"/>
          <w:kern w:val="0"/>
          <w:szCs w:val="21"/>
        </w:rPr>
      </w:pPr>
      <w:r>
        <w:rPr>
          <w:rFonts w:hint="eastAsia" w:cs="宋体"/>
          <w:snapToGrid w:val="0"/>
          <w:kern w:val="0"/>
          <w:szCs w:val="21"/>
        </w:rPr>
        <w:t>为了提高学生的学习兴趣，并取得良好的教学效果，教师在知识讲解的过程中要充分利用问题引导、案例分析等多种教学方法，以进一步提高教学质量。</w:t>
      </w:r>
    </w:p>
    <w:p>
      <w:pPr>
        <w:widowControl/>
        <w:adjustRightInd w:val="0"/>
        <w:snapToGrid w:val="0"/>
        <w:spacing w:line="360" w:lineRule="auto"/>
        <w:ind w:left="426"/>
        <w:jc w:val="left"/>
        <w:rPr>
          <w:rFonts w:eastAsia="黑体" w:cs="宋体"/>
          <w:kern w:val="0"/>
          <w:szCs w:val="21"/>
        </w:rPr>
      </w:pPr>
      <w:r>
        <w:rPr>
          <w:rFonts w:hint="eastAsia" w:eastAsia="黑体" w:cs="宋体"/>
          <w:snapToGrid w:val="0"/>
          <w:kern w:val="0"/>
          <w:szCs w:val="21"/>
        </w:rPr>
        <w:t>1 绪论（1学时）</w:t>
      </w:r>
    </w:p>
    <w:p>
      <w:pPr>
        <w:widowControl/>
        <w:adjustRightInd w:val="0"/>
        <w:snapToGrid w:val="0"/>
        <w:spacing w:line="360" w:lineRule="auto"/>
        <w:ind w:left="426"/>
        <w:jc w:val="left"/>
        <w:rPr>
          <w:rFonts w:cs="宋体"/>
          <w:snapToGrid w:val="0"/>
          <w:kern w:val="0"/>
          <w:szCs w:val="21"/>
        </w:rPr>
      </w:pPr>
      <w:r>
        <w:rPr>
          <w:rFonts w:hint="eastAsia" w:cs="宋体"/>
          <w:snapToGrid w:val="0"/>
          <w:kern w:val="0"/>
          <w:szCs w:val="21"/>
        </w:rPr>
        <w:t>1.1、本课程在专业课程体系中的地位和作用介绍；</w:t>
      </w:r>
    </w:p>
    <w:p>
      <w:pPr>
        <w:widowControl/>
        <w:adjustRightInd w:val="0"/>
        <w:snapToGrid w:val="0"/>
        <w:spacing w:line="360" w:lineRule="auto"/>
        <w:ind w:left="426"/>
        <w:jc w:val="left"/>
        <w:rPr>
          <w:rFonts w:cs="宋体"/>
          <w:snapToGrid w:val="0"/>
          <w:kern w:val="0"/>
          <w:szCs w:val="21"/>
        </w:rPr>
      </w:pPr>
      <w:r>
        <w:rPr>
          <w:rFonts w:hint="eastAsia" w:cs="宋体"/>
          <w:snapToGrid w:val="0"/>
          <w:kern w:val="0"/>
          <w:szCs w:val="21"/>
        </w:rPr>
        <w:t>1.2、课程内容、学习方法、讲授方式、评价方式介绍；</w:t>
      </w:r>
    </w:p>
    <w:p>
      <w:pPr>
        <w:widowControl/>
        <w:adjustRightInd w:val="0"/>
        <w:snapToGrid w:val="0"/>
        <w:spacing w:line="360" w:lineRule="auto"/>
        <w:ind w:left="426"/>
        <w:jc w:val="left"/>
        <w:rPr>
          <w:rFonts w:cs="宋体"/>
          <w:snapToGrid w:val="0"/>
          <w:kern w:val="0"/>
          <w:szCs w:val="21"/>
        </w:rPr>
      </w:pPr>
      <w:r>
        <w:rPr>
          <w:rFonts w:hint="eastAsia" w:cs="宋体"/>
          <w:snapToGrid w:val="0"/>
          <w:kern w:val="0"/>
          <w:szCs w:val="21"/>
        </w:rPr>
        <w:t>1.3、</w:t>
      </w:r>
      <w:r>
        <w:rPr>
          <w:rFonts w:hint="eastAsia"/>
          <w:snapToGrid w:val="0"/>
          <w:kern w:val="0"/>
          <w:szCs w:val="21"/>
        </w:rPr>
        <w:t>能够阐述</w:t>
      </w:r>
      <w:r>
        <w:rPr>
          <w:rFonts w:hint="eastAsia"/>
          <w:bCs/>
          <w:snapToGrid w:val="0"/>
          <w:kern w:val="0"/>
          <w:szCs w:val="21"/>
        </w:rPr>
        <w:t>硬件描述语言和</w:t>
      </w:r>
      <w:r>
        <w:rPr>
          <w:rFonts w:hint="eastAsia" w:cs="宋体"/>
          <w:bCs/>
          <w:snapToGrid w:val="0"/>
          <w:kern w:val="0"/>
          <w:szCs w:val="21"/>
        </w:rPr>
        <w:t>可编程逻辑器件的发展历程</w:t>
      </w:r>
      <w:r>
        <w:rPr>
          <w:rFonts w:hint="eastAsia" w:cs="宋体"/>
          <w:snapToGrid w:val="0"/>
          <w:kern w:val="0"/>
          <w:szCs w:val="21"/>
        </w:rPr>
        <w:t>、</w:t>
      </w:r>
      <w:r>
        <w:rPr>
          <w:rFonts w:hint="eastAsia" w:cs="宋体"/>
          <w:bCs/>
          <w:snapToGrid w:val="0"/>
          <w:kern w:val="0"/>
          <w:szCs w:val="21"/>
        </w:rPr>
        <w:t>发展现状及</w:t>
      </w:r>
      <w:r>
        <w:rPr>
          <w:rFonts w:hint="eastAsia" w:cs="宋体"/>
          <w:snapToGrid w:val="0"/>
          <w:kern w:val="0"/>
          <w:szCs w:val="21"/>
        </w:rPr>
        <w:t>发展方向。</w:t>
      </w:r>
    </w:p>
    <w:p>
      <w:pPr>
        <w:widowControl/>
        <w:adjustRightInd w:val="0"/>
        <w:snapToGrid w:val="0"/>
        <w:spacing w:line="360" w:lineRule="auto"/>
        <w:ind w:firstLine="420" w:firstLineChars="200"/>
        <w:jc w:val="left"/>
        <w:rPr>
          <w:rFonts w:cs="宋体"/>
          <w:snapToGrid w:val="0"/>
          <w:kern w:val="0"/>
          <w:szCs w:val="21"/>
        </w:rPr>
      </w:pPr>
      <w:r>
        <w:rPr>
          <w:rFonts w:hint="eastAsia" w:cs="宋体"/>
          <w:snapToGrid w:val="0"/>
          <w:kern w:val="0"/>
          <w:szCs w:val="21"/>
        </w:rPr>
        <w:t>通过对比分析国内外发展现状，激发学生的使命感和责任感。通过阐述相关应用需求和背景，提高学生学习的积极性和主动性。</w:t>
      </w:r>
    </w:p>
    <w:p>
      <w:pPr>
        <w:widowControl/>
        <w:adjustRightInd w:val="0"/>
        <w:snapToGrid w:val="0"/>
        <w:spacing w:line="360" w:lineRule="auto"/>
        <w:ind w:left="426"/>
        <w:jc w:val="left"/>
        <w:rPr>
          <w:rFonts w:cs="宋体"/>
          <w:snapToGrid w:val="0"/>
          <w:kern w:val="0"/>
          <w:szCs w:val="21"/>
        </w:rPr>
      </w:pPr>
      <w:r>
        <w:rPr>
          <w:rFonts w:cs="宋体"/>
          <w:bCs/>
          <w:snapToGrid w:val="0"/>
          <w:kern w:val="0"/>
          <w:szCs w:val="21"/>
        </w:rPr>
        <w:t>本章内容支撑课程目标</w:t>
      </w:r>
      <w:r>
        <w:rPr>
          <w:rFonts w:hint="eastAsia" w:cs="宋体"/>
          <w:bCs/>
          <w:snapToGrid w:val="0"/>
          <w:kern w:val="0"/>
          <w:szCs w:val="21"/>
        </w:rPr>
        <w:t>2。</w:t>
      </w:r>
    </w:p>
    <w:p>
      <w:pPr>
        <w:widowControl/>
        <w:adjustRightInd w:val="0"/>
        <w:snapToGrid w:val="0"/>
        <w:spacing w:line="360" w:lineRule="auto"/>
        <w:ind w:left="426"/>
        <w:jc w:val="left"/>
        <w:rPr>
          <w:rFonts w:eastAsia="黑体" w:cs="宋体"/>
          <w:kern w:val="0"/>
          <w:szCs w:val="21"/>
        </w:rPr>
      </w:pPr>
      <w:r>
        <w:rPr>
          <w:rFonts w:hint="eastAsia" w:eastAsia="黑体" w:cs="宋体"/>
          <w:snapToGrid w:val="0"/>
          <w:kern w:val="0"/>
          <w:szCs w:val="21"/>
        </w:rPr>
        <w:t xml:space="preserve">2 </w:t>
      </w:r>
      <w:r>
        <w:rPr>
          <w:rFonts w:hint="eastAsia" w:eastAsia="黑体" w:cs="宋体"/>
          <w:bCs/>
          <w:snapToGrid w:val="0"/>
          <w:kern w:val="0"/>
          <w:szCs w:val="21"/>
        </w:rPr>
        <w:t>可编程逻辑器件的原理与结构</w:t>
      </w:r>
      <w:r>
        <w:rPr>
          <w:rFonts w:hint="eastAsia" w:eastAsia="黑体" w:cs="宋体"/>
          <w:snapToGrid w:val="0"/>
          <w:kern w:val="0"/>
          <w:szCs w:val="21"/>
        </w:rPr>
        <w:t>（3学时）</w:t>
      </w:r>
    </w:p>
    <w:p>
      <w:pPr>
        <w:widowControl/>
        <w:adjustRightInd w:val="0"/>
        <w:snapToGrid w:val="0"/>
        <w:spacing w:line="360" w:lineRule="auto"/>
        <w:ind w:left="426"/>
        <w:jc w:val="left"/>
        <w:rPr>
          <w:rFonts w:cs="宋体"/>
          <w:snapToGrid w:val="0"/>
          <w:kern w:val="0"/>
          <w:szCs w:val="21"/>
        </w:rPr>
      </w:pPr>
      <w:r>
        <w:rPr>
          <w:rFonts w:hint="eastAsia" w:cs="宋体"/>
          <w:snapToGrid w:val="0"/>
          <w:kern w:val="0"/>
          <w:szCs w:val="21"/>
        </w:rPr>
        <w:t>2.1、</w:t>
      </w:r>
      <w:r>
        <w:rPr>
          <w:rFonts w:hint="eastAsia"/>
          <w:snapToGrid w:val="0"/>
          <w:kern w:val="0"/>
          <w:szCs w:val="21"/>
        </w:rPr>
        <w:t>能够阐述</w:t>
      </w:r>
      <w:r>
        <w:rPr>
          <w:rFonts w:hint="eastAsia" w:cs="宋体"/>
          <w:snapToGrid w:val="0"/>
          <w:kern w:val="0"/>
          <w:szCs w:val="21"/>
        </w:rPr>
        <w:t>可编程逻辑器件的概念、特点、分类和用途；</w:t>
      </w:r>
    </w:p>
    <w:p>
      <w:pPr>
        <w:widowControl/>
        <w:adjustRightInd w:val="0"/>
        <w:snapToGrid w:val="0"/>
        <w:spacing w:line="360" w:lineRule="auto"/>
        <w:ind w:left="426"/>
        <w:jc w:val="left"/>
        <w:rPr>
          <w:rFonts w:cs="宋体"/>
          <w:kern w:val="0"/>
          <w:szCs w:val="21"/>
        </w:rPr>
      </w:pPr>
      <w:r>
        <w:rPr>
          <w:rFonts w:hint="eastAsia" w:cs="宋体"/>
          <w:snapToGrid w:val="0"/>
          <w:kern w:val="0"/>
          <w:szCs w:val="21"/>
        </w:rPr>
        <w:t>2.2、</w:t>
      </w:r>
      <w:r>
        <w:rPr>
          <w:rFonts w:hint="eastAsia"/>
          <w:snapToGrid w:val="0"/>
          <w:kern w:val="0"/>
          <w:szCs w:val="21"/>
        </w:rPr>
        <w:t>能够阐述</w:t>
      </w:r>
      <w:r>
        <w:rPr>
          <w:rFonts w:hint="eastAsia" w:cs="宋体"/>
          <w:snapToGrid w:val="0"/>
          <w:kern w:val="0"/>
          <w:szCs w:val="21"/>
        </w:rPr>
        <w:t>可编程逻辑器件的基本结构和原理；</w:t>
      </w:r>
    </w:p>
    <w:p>
      <w:pPr>
        <w:adjustRightInd w:val="0"/>
        <w:snapToGrid w:val="0"/>
        <w:spacing w:line="360" w:lineRule="auto"/>
        <w:ind w:left="426"/>
        <w:rPr>
          <w:rFonts w:cs="宋体"/>
          <w:snapToGrid w:val="0"/>
          <w:kern w:val="0"/>
          <w:szCs w:val="21"/>
        </w:rPr>
      </w:pPr>
      <w:r>
        <w:rPr>
          <w:rFonts w:hint="eastAsia" w:cs="宋体"/>
          <w:snapToGrid w:val="0"/>
          <w:kern w:val="0"/>
          <w:szCs w:val="21"/>
        </w:rPr>
        <w:t>2.3、常见的可编程逻辑器件的优缺点及其选用原则；（重点）</w:t>
      </w:r>
    </w:p>
    <w:p>
      <w:pPr>
        <w:adjustRightInd w:val="0"/>
        <w:snapToGrid w:val="0"/>
        <w:spacing w:line="360" w:lineRule="auto"/>
        <w:ind w:left="426"/>
        <w:rPr>
          <w:rFonts w:cs="宋体"/>
          <w:snapToGrid w:val="0"/>
          <w:kern w:val="0"/>
          <w:szCs w:val="21"/>
        </w:rPr>
      </w:pPr>
      <w:r>
        <w:rPr>
          <w:rFonts w:hint="eastAsia" w:cs="宋体"/>
          <w:snapToGrid w:val="0"/>
          <w:kern w:val="0"/>
          <w:szCs w:val="21"/>
        </w:rPr>
        <w:t>2.4、</w:t>
      </w:r>
      <w:r>
        <w:rPr>
          <w:rFonts w:hint="eastAsia"/>
          <w:snapToGrid w:val="0"/>
          <w:kern w:val="0"/>
          <w:szCs w:val="21"/>
        </w:rPr>
        <w:t>能够阐述</w:t>
      </w:r>
      <w:r>
        <w:rPr>
          <w:rFonts w:hint="eastAsia" w:cs="宋体"/>
          <w:snapToGrid w:val="0"/>
          <w:kern w:val="0"/>
          <w:szCs w:val="21"/>
        </w:rPr>
        <w:t>常用CPLD和FPGA的基本电路设计方法；（重点）</w:t>
      </w:r>
    </w:p>
    <w:p>
      <w:pPr>
        <w:adjustRightInd w:val="0"/>
        <w:snapToGrid w:val="0"/>
        <w:spacing w:line="360" w:lineRule="auto"/>
        <w:ind w:left="426"/>
        <w:rPr>
          <w:rFonts w:cs="宋体"/>
          <w:snapToGrid w:val="0"/>
          <w:kern w:val="0"/>
          <w:szCs w:val="21"/>
        </w:rPr>
      </w:pPr>
      <w:r>
        <w:rPr>
          <w:rFonts w:hint="eastAsia" w:cs="宋体"/>
          <w:snapToGrid w:val="0"/>
          <w:kern w:val="0"/>
          <w:szCs w:val="21"/>
        </w:rPr>
        <w:t>2.5、</w:t>
      </w:r>
      <w:r>
        <w:rPr>
          <w:rFonts w:hint="eastAsia"/>
          <w:snapToGrid w:val="0"/>
          <w:kern w:val="0"/>
          <w:szCs w:val="21"/>
        </w:rPr>
        <w:t>能够对比</w:t>
      </w:r>
      <w:r>
        <w:rPr>
          <w:rFonts w:hint="eastAsia" w:cs="宋体"/>
          <w:snapToGrid w:val="0"/>
          <w:kern w:val="0"/>
          <w:szCs w:val="21"/>
        </w:rPr>
        <w:t>原理图输入法、元件映射法、功能描述法等多种逻辑设计方法；（难点）</w:t>
      </w:r>
    </w:p>
    <w:p>
      <w:pPr>
        <w:adjustRightInd w:val="0"/>
        <w:snapToGrid w:val="0"/>
        <w:spacing w:line="360" w:lineRule="auto"/>
        <w:ind w:left="426"/>
        <w:rPr>
          <w:rFonts w:cs="宋体"/>
          <w:snapToGrid w:val="0"/>
          <w:kern w:val="0"/>
          <w:szCs w:val="21"/>
        </w:rPr>
      </w:pPr>
      <w:r>
        <w:rPr>
          <w:rFonts w:hint="eastAsia" w:cs="宋体"/>
          <w:snapToGrid w:val="0"/>
          <w:kern w:val="0"/>
          <w:szCs w:val="21"/>
        </w:rPr>
        <w:t>2.6、</w:t>
      </w:r>
      <w:r>
        <w:rPr>
          <w:rFonts w:hint="eastAsia"/>
          <w:snapToGrid w:val="0"/>
          <w:kern w:val="0"/>
          <w:szCs w:val="21"/>
        </w:rPr>
        <w:t>能够使用</w:t>
      </w:r>
      <w:r>
        <w:rPr>
          <w:snapToGrid w:val="0"/>
          <w:kern w:val="0"/>
          <w:szCs w:val="21"/>
        </w:rPr>
        <w:t>集成开发环境</w:t>
      </w:r>
      <w:r>
        <w:rPr>
          <w:rFonts w:hint="eastAsia"/>
          <w:snapToGrid w:val="0"/>
          <w:kern w:val="0"/>
          <w:szCs w:val="21"/>
        </w:rPr>
        <w:t>进行设计</w:t>
      </w:r>
      <w:r>
        <w:rPr>
          <w:rFonts w:hint="eastAsia" w:cs="宋体"/>
          <w:snapToGrid w:val="0"/>
          <w:kern w:val="0"/>
          <w:szCs w:val="21"/>
        </w:rPr>
        <w:t>。（重点）</w:t>
      </w:r>
    </w:p>
    <w:p>
      <w:pPr>
        <w:adjustRightInd w:val="0"/>
        <w:snapToGrid w:val="0"/>
        <w:spacing w:line="360" w:lineRule="auto"/>
        <w:ind w:left="426"/>
        <w:rPr>
          <w:rFonts w:eastAsia="黑体"/>
        </w:rPr>
      </w:pPr>
      <w:r>
        <w:rPr>
          <w:rFonts w:cs="宋体"/>
          <w:bCs/>
          <w:snapToGrid w:val="0"/>
          <w:kern w:val="0"/>
          <w:szCs w:val="21"/>
        </w:rPr>
        <w:t>本章内容支撑课程目标</w:t>
      </w:r>
      <w:r>
        <w:rPr>
          <w:rFonts w:hint="eastAsia" w:cs="宋体"/>
          <w:bCs/>
          <w:snapToGrid w:val="0"/>
          <w:kern w:val="0"/>
          <w:szCs w:val="21"/>
        </w:rPr>
        <w:t>1、2、</w:t>
      </w:r>
      <w:r>
        <w:rPr>
          <w:rFonts w:cs="宋体"/>
          <w:bCs/>
          <w:snapToGrid w:val="0"/>
          <w:kern w:val="0"/>
          <w:szCs w:val="21"/>
        </w:rPr>
        <w:t>3</w:t>
      </w:r>
      <w:r>
        <w:rPr>
          <w:rFonts w:hint="eastAsia" w:cs="宋体"/>
          <w:bCs/>
          <w:snapToGrid w:val="0"/>
          <w:kern w:val="0"/>
          <w:szCs w:val="21"/>
        </w:rPr>
        <w:t>。</w:t>
      </w:r>
    </w:p>
    <w:p>
      <w:pPr>
        <w:adjustRightInd w:val="0"/>
        <w:snapToGrid w:val="0"/>
        <w:spacing w:line="360" w:lineRule="auto"/>
        <w:ind w:left="426"/>
      </w:pPr>
      <w:r>
        <w:rPr>
          <w:rFonts w:hint="eastAsia" w:eastAsia="黑体"/>
        </w:rPr>
        <w:t>3</w:t>
      </w:r>
      <w:r>
        <w:rPr>
          <w:rFonts w:hint="eastAsia" w:eastAsia="黑体" w:cs="宋体"/>
          <w:snapToGrid w:val="0"/>
          <w:kern w:val="0"/>
          <w:szCs w:val="21"/>
        </w:rPr>
        <w:t>硬件描述语言的基本结构、数据类型和运算操作符（6学时）</w:t>
      </w:r>
    </w:p>
    <w:p>
      <w:pPr>
        <w:adjustRightInd w:val="0"/>
        <w:snapToGrid w:val="0"/>
        <w:spacing w:line="360" w:lineRule="auto"/>
        <w:ind w:left="426"/>
        <w:rPr>
          <w:rFonts w:cs="宋体"/>
          <w:snapToGrid w:val="0"/>
          <w:kern w:val="0"/>
          <w:szCs w:val="21"/>
        </w:rPr>
      </w:pPr>
      <w:r>
        <w:rPr>
          <w:rFonts w:hint="eastAsia" w:cs="宋体"/>
          <w:snapToGrid w:val="0"/>
          <w:kern w:val="0"/>
          <w:szCs w:val="21"/>
        </w:rPr>
        <w:t>3.1、硬件描述语言的基本框架结构；（重点）</w:t>
      </w:r>
    </w:p>
    <w:p>
      <w:pPr>
        <w:adjustRightInd w:val="0"/>
        <w:snapToGrid w:val="0"/>
        <w:spacing w:line="360" w:lineRule="auto"/>
        <w:ind w:left="426"/>
      </w:pPr>
      <w:r>
        <w:rPr>
          <w:rFonts w:hint="eastAsia"/>
        </w:rPr>
        <w:t>3.2、</w:t>
      </w:r>
      <w:r>
        <w:rPr>
          <w:rFonts w:hint="eastAsia" w:cs="宋体"/>
          <w:snapToGrid w:val="0"/>
          <w:kern w:val="0"/>
          <w:szCs w:val="21"/>
        </w:rPr>
        <w:t>硬件描述</w:t>
      </w:r>
      <w:r>
        <w:rPr>
          <w:rFonts w:hint="eastAsia" w:cs="宋体"/>
          <w:bCs/>
          <w:snapToGrid w:val="0"/>
          <w:kern w:val="0"/>
          <w:szCs w:val="21"/>
        </w:rPr>
        <w:t>语言</w:t>
      </w:r>
      <w:r>
        <w:rPr>
          <w:rFonts w:hint="eastAsia" w:cs="宋体"/>
          <w:snapToGrid w:val="0"/>
          <w:kern w:val="0"/>
          <w:szCs w:val="21"/>
        </w:rPr>
        <w:t>的库、程序包和配置；</w:t>
      </w:r>
    </w:p>
    <w:p>
      <w:pPr>
        <w:adjustRightInd w:val="0"/>
        <w:snapToGrid w:val="0"/>
        <w:spacing w:line="360" w:lineRule="auto"/>
        <w:ind w:left="426"/>
      </w:pPr>
      <w:r>
        <w:rPr>
          <w:rFonts w:hint="eastAsia"/>
        </w:rPr>
        <w:t>3.3、能够熟练定义和使用</w:t>
      </w:r>
      <w:r>
        <w:rPr>
          <w:rFonts w:hint="eastAsia" w:cs="宋体"/>
          <w:snapToGrid w:val="0"/>
          <w:kern w:val="0"/>
          <w:szCs w:val="21"/>
        </w:rPr>
        <w:t>硬件描述</w:t>
      </w:r>
      <w:r>
        <w:rPr>
          <w:rFonts w:hint="eastAsia" w:cs="宋体"/>
          <w:bCs/>
          <w:snapToGrid w:val="0"/>
          <w:kern w:val="0"/>
          <w:szCs w:val="21"/>
        </w:rPr>
        <w:t>语言的基本数据类型和基本数据对象；</w:t>
      </w:r>
      <w:r>
        <w:rPr>
          <w:rFonts w:hint="eastAsia" w:cs="宋体"/>
          <w:snapToGrid w:val="0"/>
          <w:kern w:val="0"/>
          <w:szCs w:val="21"/>
        </w:rPr>
        <w:t>（重点）</w:t>
      </w:r>
    </w:p>
    <w:p>
      <w:pPr>
        <w:adjustRightInd w:val="0"/>
        <w:snapToGrid w:val="0"/>
        <w:spacing w:line="360" w:lineRule="auto"/>
        <w:ind w:left="426"/>
        <w:rPr>
          <w:rFonts w:cs="宋体"/>
          <w:bCs/>
          <w:snapToGrid w:val="0"/>
          <w:kern w:val="0"/>
          <w:szCs w:val="21"/>
        </w:rPr>
      </w:pPr>
      <w:r>
        <w:rPr>
          <w:rFonts w:hint="eastAsia"/>
        </w:rPr>
        <w:t>3.4、能够熟练使用</w:t>
      </w:r>
      <w:r>
        <w:rPr>
          <w:rFonts w:hint="eastAsia" w:cs="宋体"/>
          <w:snapToGrid w:val="0"/>
          <w:kern w:val="0"/>
          <w:szCs w:val="21"/>
        </w:rPr>
        <w:t>硬件描述</w:t>
      </w:r>
      <w:r>
        <w:rPr>
          <w:rFonts w:hint="eastAsia" w:cs="宋体"/>
          <w:bCs/>
          <w:snapToGrid w:val="0"/>
          <w:kern w:val="0"/>
          <w:szCs w:val="21"/>
        </w:rPr>
        <w:t>语言的基本</w:t>
      </w:r>
      <w:r>
        <w:rPr>
          <w:rFonts w:hint="eastAsia" w:cs="宋体"/>
          <w:snapToGrid w:val="0"/>
          <w:kern w:val="0"/>
          <w:szCs w:val="21"/>
        </w:rPr>
        <w:t>运算操作符</w:t>
      </w:r>
      <w:r>
        <w:rPr>
          <w:rFonts w:hint="eastAsia" w:cs="宋体"/>
          <w:bCs/>
          <w:snapToGrid w:val="0"/>
          <w:kern w:val="0"/>
          <w:szCs w:val="21"/>
        </w:rPr>
        <w:t>。</w:t>
      </w:r>
    </w:p>
    <w:p>
      <w:pPr>
        <w:adjustRightInd w:val="0"/>
        <w:snapToGrid w:val="0"/>
        <w:spacing w:line="360" w:lineRule="auto"/>
        <w:ind w:left="426"/>
        <w:rPr>
          <w:rFonts w:cs="宋体"/>
          <w:bCs/>
          <w:snapToGrid w:val="0"/>
          <w:kern w:val="0"/>
          <w:szCs w:val="21"/>
        </w:rPr>
      </w:pPr>
      <w:r>
        <w:rPr>
          <w:rFonts w:cs="宋体"/>
          <w:bCs/>
          <w:snapToGrid w:val="0"/>
          <w:kern w:val="0"/>
          <w:szCs w:val="21"/>
        </w:rPr>
        <w:t>本章内容支撑课程目标</w:t>
      </w:r>
      <w:r>
        <w:rPr>
          <w:rFonts w:hint="eastAsia" w:cs="宋体"/>
          <w:bCs/>
          <w:snapToGrid w:val="0"/>
          <w:kern w:val="0"/>
          <w:szCs w:val="21"/>
        </w:rPr>
        <w:t>1、3。</w:t>
      </w:r>
    </w:p>
    <w:p>
      <w:pPr>
        <w:tabs>
          <w:tab w:val="left" w:pos="1260"/>
        </w:tabs>
        <w:adjustRightInd w:val="0"/>
        <w:snapToGrid w:val="0"/>
        <w:spacing w:line="360" w:lineRule="auto"/>
        <w:ind w:left="426"/>
      </w:pPr>
      <w:r>
        <w:rPr>
          <w:rFonts w:hint="eastAsia" w:eastAsia="黑体"/>
        </w:rPr>
        <w:t xml:space="preserve">4 </w:t>
      </w:r>
      <w:r>
        <w:rPr>
          <w:rFonts w:hint="eastAsia" w:eastAsia="黑体" w:cs="宋体"/>
          <w:snapToGrid w:val="0"/>
          <w:kern w:val="0"/>
          <w:szCs w:val="21"/>
        </w:rPr>
        <w:t>硬件描述</w:t>
      </w:r>
      <w:r>
        <w:rPr>
          <w:rFonts w:hint="eastAsia" w:eastAsia="黑体" w:cs="宋体"/>
          <w:bCs/>
          <w:snapToGrid w:val="0"/>
          <w:kern w:val="0"/>
          <w:szCs w:val="21"/>
        </w:rPr>
        <w:t>语</w:t>
      </w:r>
      <w:r>
        <w:rPr>
          <w:rFonts w:hint="eastAsia" w:eastAsia="黑体"/>
          <w:snapToGrid w:val="0"/>
          <w:kern w:val="0"/>
          <w:szCs w:val="21"/>
        </w:rPr>
        <w:t>言的主要描述语句</w:t>
      </w:r>
      <w:r>
        <w:rPr>
          <w:rFonts w:hint="eastAsia" w:eastAsia="黑体" w:cs="宋体"/>
          <w:snapToGrid w:val="0"/>
          <w:kern w:val="0"/>
          <w:szCs w:val="21"/>
        </w:rPr>
        <w:t>（6学时）</w:t>
      </w:r>
    </w:p>
    <w:p>
      <w:pPr>
        <w:widowControl/>
        <w:tabs>
          <w:tab w:val="left" w:pos="900"/>
        </w:tabs>
        <w:adjustRightInd w:val="0"/>
        <w:snapToGrid w:val="0"/>
        <w:spacing w:line="360" w:lineRule="auto"/>
        <w:ind w:left="426"/>
        <w:jc w:val="left"/>
        <w:rPr>
          <w:rFonts w:cs="宋体"/>
          <w:bCs/>
          <w:snapToGrid w:val="0"/>
          <w:kern w:val="0"/>
          <w:szCs w:val="21"/>
        </w:rPr>
      </w:pPr>
      <w:r>
        <w:rPr>
          <w:rFonts w:hint="eastAsia" w:cs="宋体"/>
          <w:bCs/>
          <w:snapToGrid w:val="0"/>
          <w:kern w:val="0"/>
          <w:szCs w:val="21"/>
        </w:rPr>
        <w:t>4.1、并行语句和顺序语句的概念、思想及其本质区别；</w:t>
      </w:r>
      <w:r>
        <w:rPr>
          <w:rFonts w:hint="eastAsia" w:cs="宋体"/>
          <w:snapToGrid w:val="0"/>
          <w:kern w:val="0"/>
          <w:szCs w:val="21"/>
        </w:rPr>
        <w:t>（重点）</w:t>
      </w:r>
    </w:p>
    <w:p>
      <w:pPr>
        <w:widowControl/>
        <w:tabs>
          <w:tab w:val="left" w:pos="900"/>
        </w:tabs>
        <w:adjustRightInd w:val="0"/>
        <w:snapToGrid w:val="0"/>
        <w:spacing w:line="360" w:lineRule="auto"/>
        <w:ind w:left="426"/>
        <w:jc w:val="left"/>
        <w:rPr>
          <w:rFonts w:cs="宋体"/>
          <w:bCs/>
          <w:snapToGrid w:val="0"/>
          <w:kern w:val="0"/>
          <w:szCs w:val="21"/>
        </w:rPr>
      </w:pPr>
      <w:r>
        <w:rPr>
          <w:rFonts w:hint="eastAsia" w:cs="宋体"/>
          <w:bCs/>
          <w:snapToGrid w:val="0"/>
          <w:kern w:val="0"/>
          <w:szCs w:val="21"/>
        </w:rPr>
        <w:t>4.2、</w:t>
      </w:r>
      <w:r>
        <w:rPr>
          <w:rFonts w:hint="eastAsia"/>
          <w:bCs/>
          <w:snapToGrid w:val="0"/>
          <w:kern w:val="0"/>
          <w:szCs w:val="21"/>
        </w:rPr>
        <w:t>能够熟练使用</w:t>
      </w:r>
      <w:r>
        <w:rPr>
          <w:rFonts w:hint="eastAsia" w:cs="宋体"/>
          <w:bCs/>
          <w:snapToGrid w:val="0"/>
          <w:kern w:val="0"/>
          <w:szCs w:val="21"/>
        </w:rPr>
        <w:t>信号代入语句；</w:t>
      </w:r>
    </w:p>
    <w:p>
      <w:pPr>
        <w:widowControl/>
        <w:tabs>
          <w:tab w:val="left" w:pos="900"/>
        </w:tabs>
        <w:adjustRightInd w:val="0"/>
        <w:snapToGrid w:val="0"/>
        <w:spacing w:line="360" w:lineRule="auto"/>
        <w:ind w:left="426"/>
        <w:jc w:val="left"/>
        <w:rPr>
          <w:rFonts w:cs="宋体"/>
          <w:bCs/>
          <w:snapToGrid w:val="0"/>
          <w:kern w:val="0"/>
          <w:szCs w:val="21"/>
        </w:rPr>
      </w:pPr>
      <w:r>
        <w:rPr>
          <w:rFonts w:hint="eastAsia" w:cs="宋体"/>
          <w:bCs/>
          <w:snapToGrid w:val="0"/>
          <w:kern w:val="0"/>
          <w:szCs w:val="21"/>
        </w:rPr>
        <w:t>4.3、</w:t>
      </w:r>
      <w:r>
        <w:rPr>
          <w:rFonts w:hint="eastAsia"/>
          <w:bCs/>
          <w:snapToGrid w:val="0"/>
          <w:kern w:val="0"/>
          <w:szCs w:val="21"/>
        </w:rPr>
        <w:t>能够熟练使用</w:t>
      </w:r>
      <w:r>
        <w:rPr>
          <w:rFonts w:hint="eastAsia" w:cs="宋体"/>
          <w:bCs/>
          <w:snapToGrid w:val="0"/>
          <w:kern w:val="0"/>
          <w:szCs w:val="21"/>
        </w:rPr>
        <w:t>进程语句、if语句、case语句等结构化语句；</w:t>
      </w:r>
      <w:r>
        <w:rPr>
          <w:rFonts w:hint="eastAsia" w:cs="宋体"/>
          <w:snapToGrid w:val="0"/>
          <w:kern w:val="0"/>
          <w:szCs w:val="21"/>
        </w:rPr>
        <w:t>（重点）</w:t>
      </w:r>
    </w:p>
    <w:p>
      <w:pPr>
        <w:widowControl/>
        <w:tabs>
          <w:tab w:val="left" w:pos="900"/>
        </w:tabs>
        <w:adjustRightInd w:val="0"/>
        <w:snapToGrid w:val="0"/>
        <w:spacing w:line="360" w:lineRule="auto"/>
        <w:ind w:left="426"/>
        <w:jc w:val="left"/>
        <w:rPr>
          <w:rFonts w:cs="宋体"/>
          <w:bCs/>
          <w:snapToGrid w:val="0"/>
          <w:kern w:val="0"/>
          <w:szCs w:val="21"/>
        </w:rPr>
      </w:pPr>
      <w:r>
        <w:rPr>
          <w:rFonts w:hint="eastAsia" w:cs="宋体"/>
          <w:bCs/>
          <w:snapToGrid w:val="0"/>
          <w:kern w:val="0"/>
          <w:szCs w:val="21"/>
        </w:rPr>
        <w:t>4.4、</w:t>
      </w:r>
      <w:r>
        <w:rPr>
          <w:rFonts w:hint="eastAsia"/>
          <w:bCs/>
          <w:snapToGrid w:val="0"/>
          <w:kern w:val="0"/>
          <w:szCs w:val="21"/>
        </w:rPr>
        <w:t>能够熟练使用</w:t>
      </w:r>
      <w:r>
        <w:rPr>
          <w:rFonts w:hint="eastAsia" w:cs="宋体"/>
          <w:bCs/>
          <w:snapToGrid w:val="0"/>
          <w:kern w:val="0"/>
          <w:szCs w:val="21"/>
        </w:rPr>
        <w:t>元器件例化语句；</w:t>
      </w:r>
      <w:r>
        <w:rPr>
          <w:rFonts w:hint="eastAsia" w:cs="宋体"/>
          <w:snapToGrid w:val="0"/>
          <w:kern w:val="0"/>
          <w:szCs w:val="21"/>
        </w:rPr>
        <w:t>（重点）</w:t>
      </w:r>
    </w:p>
    <w:p>
      <w:pPr>
        <w:widowControl/>
        <w:tabs>
          <w:tab w:val="left" w:pos="900"/>
        </w:tabs>
        <w:adjustRightInd w:val="0"/>
        <w:snapToGrid w:val="0"/>
        <w:spacing w:line="360" w:lineRule="auto"/>
        <w:ind w:left="426"/>
        <w:jc w:val="left"/>
        <w:rPr>
          <w:rFonts w:cs="宋体"/>
          <w:bCs/>
          <w:snapToGrid w:val="0"/>
          <w:kern w:val="0"/>
          <w:szCs w:val="21"/>
        </w:rPr>
      </w:pPr>
      <w:r>
        <w:rPr>
          <w:rFonts w:hint="eastAsia" w:cs="宋体"/>
          <w:bCs/>
          <w:snapToGrid w:val="0"/>
          <w:kern w:val="0"/>
          <w:szCs w:val="21"/>
        </w:rPr>
        <w:t>4.5、</w:t>
      </w:r>
      <w:r>
        <w:rPr>
          <w:rFonts w:hint="eastAsia"/>
          <w:bCs/>
          <w:snapToGrid w:val="0"/>
          <w:kern w:val="0"/>
          <w:szCs w:val="21"/>
        </w:rPr>
        <w:t>能够使用</w:t>
      </w:r>
      <w:r>
        <w:rPr>
          <w:rFonts w:hint="eastAsia" w:cs="宋体"/>
          <w:bCs/>
          <w:snapToGrid w:val="0"/>
          <w:kern w:val="0"/>
          <w:szCs w:val="21"/>
        </w:rPr>
        <w:t>等待语句（wait语句）、循环语句（loop语句）等；</w:t>
      </w:r>
    </w:p>
    <w:p>
      <w:pPr>
        <w:widowControl/>
        <w:tabs>
          <w:tab w:val="left" w:pos="900"/>
        </w:tabs>
        <w:adjustRightInd w:val="0"/>
        <w:snapToGrid w:val="0"/>
        <w:spacing w:line="360" w:lineRule="auto"/>
        <w:ind w:left="426"/>
        <w:jc w:val="left"/>
        <w:rPr>
          <w:rFonts w:cs="宋体"/>
          <w:snapToGrid w:val="0"/>
          <w:kern w:val="0"/>
          <w:szCs w:val="21"/>
        </w:rPr>
      </w:pPr>
      <w:r>
        <w:rPr>
          <w:rFonts w:hint="eastAsia" w:cs="宋体"/>
          <w:bCs/>
          <w:snapToGrid w:val="0"/>
          <w:kern w:val="0"/>
          <w:szCs w:val="21"/>
        </w:rPr>
        <w:t>4.6、</w:t>
      </w:r>
      <w:r>
        <w:rPr>
          <w:rFonts w:hint="eastAsia"/>
          <w:bCs/>
          <w:snapToGrid w:val="0"/>
          <w:kern w:val="0"/>
          <w:szCs w:val="21"/>
        </w:rPr>
        <w:t>能够使用</w:t>
      </w:r>
      <w:r>
        <w:rPr>
          <w:rFonts w:hint="eastAsia" w:cs="宋体"/>
          <w:bCs/>
          <w:snapToGrid w:val="0"/>
          <w:kern w:val="0"/>
          <w:szCs w:val="21"/>
        </w:rPr>
        <w:t>硬件描述语言进行基本的数字模块的设计。</w:t>
      </w:r>
      <w:r>
        <w:rPr>
          <w:rFonts w:hint="eastAsia" w:cs="宋体"/>
          <w:snapToGrid w:val="0"/>
          <w:kern w:val="0"/>
          <w:szCs w:val="21"/>
        </w:rPr>
        <w:t>（难点）</w:t>
      </w:r>
    </w:p>
    <w:p>
      <w:pPr>
        <w:widowControl/>
        <w:tabs>
          <w:tab w:val="left" w:pos="900"/>
        </w:tabs>
        <w:adjustRightInd w:val="0"/>
        <w:snapToGrid w:val="0"/>
        <w:spacing w:line="360" w:lineRule="auto"/>
        <w:ind w:left="426"/>
        <w:jc w:val="left"/>
        <w:rPr>
          <w:rFonts w:cs="宋体"/>
          <w:bCs/>
          <w:snapToGrid w:val="0"/>
          <w:kern w:val="0"/>
          <w:szCs w:val="21"/>
        </w:rPr>
      </w:pPr>
      <w:r>
        <w:rPr>
          <w:rFonts w:cs="宋体"/>
          <w:bCs/>
          <w:snapToGrid w:val="0"/>
          <w:kern w:val="0"/>
          <w:szCs w:val="21"/>
        </w:rPr>
        <w:t>本章内容支撑课程目标</w:t>
      </w:r>
      <w:r>
        <w:rPr>
          <w:rFonts w:hint="eastAsia" w:cs="宋体"/>
          <w:bCs/>
          <w:snapToGrid w:val="0"/>
          <w:kern w:val="0"/>
          <w:szCs w:val="21"/>
        </w:rPr>
        <w:t>1、3。</w:t>
      </w:r>
    </w:p>
    <w:p>
      <w:pPr>
        <w:widowControl/>
        <w:adjustRightInd w:val="0"/>
        <w:snapToGrid w:val="0"/>
        <w:spacing w:line="360" w:lineRule="auto"/>
        <w:ind w:left="426"/>
        <w:jc w:val="left"/>
        <w:rPr>
          <w:rFonts w:eastAsia="黑体"/>
          <w:snapToGrid w:val="0"/>
          <w:kern w:val="0"/>
          <w:szCs w:val="21"/>
        </w:rPr>
      </w:pPr>
      <w:r>
        <w:rPr>
          <w:rFonts w:hint="eastAsia" w:eastAsia="黑体"/>
          <w:snapToGrid w:val="0"/>
          <w:kern w:val="0"/>
          <w:szCs w:val="21"/>
        </w:rPr>
        <w:t>5 基本逻辑设计</w:t>
      </w:r>
      <w:r>
        <w:rPr>
          <w:rFonts w:hint="eastAsia" w:eastAsia="黑体" w:cs="宋体"/>
          <w:snapToGrid w:val="0"/>
          <w:kern w:val="0"/>
          <w:szCs w:val="21"/>
        </w:rPr>
        <w:t>（6学时）</w:t>
      </w:r>
    </w:p>
    <w:p>
      <w:pPr>
        <w:widowControl/>
        <w:tabs>
          <w:tab w:val="left" w:pos="900"/>
        </w:tabs>
        <w:adjustRightInd w:val="0"/>
        <w:snapToGrid w:val="0"/>
        <w:spacing w:line="360" w:lineRule="auto"/>
        <w:ind w:left="426"/>
        <w:jc w:val="left"/>
        <w:rPr>
          <w:rFonts w:cs="宋体"/>
          <w:bCs/>
          <w:snapToGrid w:val="0"/>
          <w:kern w:val="0"/>
          <w:szCs w:val="21"/>
        </w:rPr>
      </w:pPr>
      <w:r>
        <w:rPr>
          <w:rFonts w:hint="eastAsia" w:cs="宋体"/>
          <w:bCs/>
          <w:snapToGrid w:val="0"/>
          <w:kern w:val="0"/>
          <w:szCs w:val="21"/>
        </w:rPr>
        <w:t>5.1、</w:t>
      </w:r>
      <w:r>
        <w:rPr>
          <w:rFonts w:hint="eastAsia"/>
          <w:bCs/>
          <w:snapToGrid w:val="0"/>
          <w:kern w:val="0"/>
          <w:szCs w:val="21"/>
        </w:rPr>
        <w:t>能够熟练区分</w:t>
      </w:r>
      <w:r>
        <w:rPr>
          <w:rFonts w:hint="eastAsia" w:cs="宋体"/>
          <w:bCs/>
          <w:snapToGrid w:val="0"/>
          <w:kern w:val="0"/>
          <w:szCs w:val="21"/>
        </w:rPr>
        <w:t>组合逻辑与时序逻辑；</w:t>
      </w:r>
    </w:p>
    <w:p>
      <w:pPr>
        <w:widowControl/>
        <w:tabs>
          <w:tab w:val="left" w:pos="900"/>
        </w:tabs>
        <w:adjustRightInd w:val="0"/>
        <w:snapToGrid w:val="0"/>
        <w:spacing w:line="360" w:lineRule="auto"/>
        <w:ind w:left="426"/>
        <w:jc w:val="left"/>
        <w:rPr>
          <w:rFonts w:cs="宋体"/>
          <w:bCs/>
          <w:snapToGrid w:val="0"/>
          <w:kern w:val="0"/>
          <w:szCs w:val="21"/>
        </w:rPr>
      </w:pPr>
      <w:r>
        <w:rPr>
          <w:rFonts w:hint="eastAsia" w:cs="宋体"/>
          <w:bCs/>
          <w:snapToGrid w:val="0"/>
          <w:kern w:val="0"/>
          <w:szCs w:val="21"/>
        </w:rPr>
        <w:t>5.2、</w:t>
      </w:r>
      <w:r>
        <w:rPr>
          <w:rFonts w:hint="eastAsia"/>
          <w:bCs/>
          <w:snapToGrid w:val="0"/>
          <w:kern w:val="0"/>
          <w:szCs w:val="21"/>
        </w:rPr>
        <w:t>能够</w:t>
      </w:r>
      <w:r>
        <w:rPr>
          <w:rFonts w:hint="eastAsia" w:cs="宋体"/>
          <w:bCs/>
          <w:snapToGrid w:val="0"/>
          <w:kern w:val="0"/>
          <w:szCs w:val="21"/>
        </w:rPr>
        <w:t>掌握使用硬件描述语言进行组合逻辑设计的方法；</w:t>
      </w:r>
      <w:r>
        <w:rPr>
          <w:rFonts w:hint="eastAsia" w:cs="宋体"/>
          <w:snapToGrid w:val="0"/>
          <w:kern w:val="0"/>
          <w:szCs w:val="21"/>
        </w:rPr>
        <w:t>（重点）</w:t>
      </w:r>
    </w:p>
    <w:p>
      <w:pPr>
        <w:widowControl/>
        <w:tabs>
          <w:tab w:val="left" w:pos="900"/>
        </w:tabs>
        <w:adjustRightInd w:val="0"/>
        <w:snapToGrid w:val="0"/>
        <w:spacing w:line="360" w:lineRule="auto"/>
        <w:ind w:left="426"/>
        <w:jc w:val="left"/>
        <w:rPr>
          <w:rFonts w:cs="宋体"/>
          <w:bCs/>
          <w:snapToGrid w:val="0"/>
          <w:kern w:val="0"/>
          <w:szCs w:val="21"/>
        </w:rPr>
      </w:pPr>
      <w:r>
        <w:rPr>
          <w:rFonts w:hint="eastAsia" w:cs="宋体"/>
          <w:bCs/>
          <w:snapToGrid w:val="0"/>
          <w:kern w:val="0"/>
          <w:szCs w:val="21"/>
        </w:rPr>
        <w:t>5.3、</w:t>
      </w:r>
      <w:bookmarkStart w:id="10" w:name="OLE_LINK23"/>
      <w:r>
        <w:rPr>
          <w:rFonts w:hint="eastAsia"/>
          <w:bCs/>
          <w:snapToGrid w:val="0"/>
          <w:kern w:val="0"/>
          <w:szCs w:val="21"/>
        </w:rPr>
        <w:t>能够熟练设计</w:t>
      </w:r>
      <w:bookmarkEnd w:id="10"/>
      <w:r>
        <w:rPr>
          <w:rFonts w:hint="eastAsia" w:cs="宋体"/>
          <w:bCs/>
          <w:snapToGrid w:val="0"/>
          <w:kern w:val="0"/>
          <w:szCs w:val="21"/>
        </w:rPr>
        <w:t>常用组合逻辑元件设计；</w:t>
      </w:r>
      <w:r>
        <w:rPr>
          <w:rFonts w:hint="eastAsia" w:cs="宋体"/>
          <w:snapToGrid w:val="0"/>
          <w:kern w:val="0"/>
          <w:szCs w:val="21"/>
        </w:rPr>
        <w:t>（重点）</w:t>
      </w:r>
    </w:p>
    <w:p>
      <w:pPr>
        <w:widowControl/>
        <w:tabs>
          <w:tab w:val="left" w:pos="900"/>
        </w:tabs>
        <w:adjustRightInd w:val="0"/>
        <w:snapToGrid w:val="0"/>
        <w:spacing w:line="360" w:lineRule="auto"/>
        <w:ind w:left="426"/>
        <w:jc w:val="left"/>
        <w:rPr>
          <w:rFonts w:cs="宋体"/>
          <w:bCs/>
          <w:snapToGrid w:val="0"/>
          <w:kern w:val="0"/>
          <w:szCs w:val="21"/>
        </w:rPr>
      </w:pPr>
      <w:r>
        <w:rPr>
          <w:rFonts w:hint="eastAsia" w:cs="宋体"/>
          <w:bCs/>
          <w:snapToGrid w:val="0"/>
          <w:kern w:val="0"/>
          <w:szCs w:val="21"/>
        </w:rPr>
        <w:t>5.4、</w:t>
      </w:r>
      <w:r>
        <w:rPr>
          <w:rFonts w:hint="eastAsia"/>
          <w:bCs/>
          <w:snapToGrid w:val="0"/>
          <w:kern w:val="0"/>
          <w:szCs w:val="21"/>
        </w:rPr>
        <w:t>能够熟练设计</w:t>
      </w:r>
      <w:r>
        <w:rPr>
          <w:rFonts w:hint="eastAsia" w:cs="宋体"/>
          <w:bCs/>
          <w:snapToGrid w:val="0"/>
          <w:kern w:val="0"/>
          <w:szCs w:val="21"/>
        </w:rPr>
        <w:t>常用时序逻辑元件设计；</w:t>
      </w:r>
      <w:r>
        <w:rPr>
          <w:rFonts w:hint="eastAsia" w:cs="宋体"/>
          <w:snapToGrid w:val="0"/>
          <w:kern w:val="0"/>
          <w:szCs w:val="21"/>
        </w:rPr>
        <w:t>（重点）</w:t>
      </w:r>
    </w:p>
    <w:p>
      <w:pPr>
        <w:widowControl/>
        <w:tabs>
          <w:tab w:val="left" w:pos="900"/>
        </w:tabs>
        <w:adjustRightInd w:val="0"/>
        <w:snapToGrid w:val="0"/>
        <w:spacing w:line="360" w:lineRule="auto"/>
        <w:ind w:left="426"/>
        <w:jc w:val="left"/>
        <w:rPr>
          <w:rFonts w:cs="宋体"/>
          <w:snapToGrid w:val="0"/>
          <w:kern w:val="0"/>
          <w:szCs w:val="21"/>
        </w:rPr>
      </w:pPr>
      <w:r>
        <w:rPr>
          <w:rFonts w:hint="eastAsia" w:cs="宋体"/>
          <w:bCs/>
          <w:snapToGrid w:val="0"/>
          <w:kern w:val="0"/>
          <w:szCs w:val="21"/>
        </w:rPr>
        <w:t>5.5、</w:t>
      </w:r>
      <w:r>
        <w:rPr>
          <w:rFonts w:hint="eastAsia"/>
          <w:bCs/>
          <w:snapToGrid w:val="0"/>
          <w:kern w:val="0"/>
          <w:szCs w:val="21"/>
        </w:rPr>
        <w:t>能够</w:t>
      </w:r>
      <w:r>
        <w:rPr>
          <w:bCs/>
          <w:snapToGrid w:val="0"/>
          <w:kern w:val="0"/>
          <w:szCs w:val="21"/>
        </w:rPr>
        <w:t>使用</w:t>
      </w:r>
      <w:r>
        <w:rPr>
          <w:rFonts w:hint="eastAsia" w:cs="宋体"/>
          <w:bCs/>
          <w:snapToGrid w:val="0"/>
          <w:kern w:val="0"/>
          <w:szCs w:val="21"/>
        </w:rPr>
        <w:t>计数器实现固定周期的时序设计。</w:t>
      </w:r>
      <w:r>
        <w:rPr>
          <w:rFonts w:hint="eastAsia" w:cs="宋体"/>
          <w:snapToGrid w:val="0"/>
          <w:kern w:val="0"/>
          <w:szCs w:val="21"/>
        </w:rPr>
        <w:t>（重点，难点）</w:t>
      </w:r>
    </w:p>
    <w:p>
      <w:pPr>
        <w:widowControl/>
        <w:tabs>
          <w:tab w:val="left" w:pos="900"/>
        </w:tabs>
        <w:adjustRightInd w:val="0"/>
        <w:snapToGrid w:val="0"/>
        <w:spacing w:line="360" w:lineRule="auto"/>
        <w:ind w:left="426"/>
        <w:jc w:val="left"/>
        <w:rPr>
          <w:rFonts w:cs="宋体"/>
          <w:bCs/>
          <w:snapToGrid w:val="0"/>
          <w:kern w:val="0"/>
          <w:szCs w:val="21"/>
        </w:rPr>
      </w:pPr>
      <w:r>
        <w:rPr>
          <w:rFonts w:cs="宋体"/>
          <w:bCs/>
          <w:snapToGrid w:val="0"/>
          <w:kern w:val="0"/>
          <w:szCs w:val="21"/>
        </w:rPr>
        <w:t>本章内容支撑课程目标</w:t>
      </w:r>
      <w:r>
        <w:rPr>
          <w:rFonts w:hint="eastAsia" w:cs="宋体"/>
          <w:bCs/>
          <w:snapToGrid w:val="0"/>
          <w:kern w:val="0"/>
          <w:szCs w:val="21"/>
        </w:rPr>
        <w:t>1、3。</w:t>
      </w:r>
    </w:p>
    <w:p>
      <w:pPr>
        <w:widowControl/>
        <w:adjustRightInd w:val="0"/>
        <w:snapToGrid w:val="0"/>
        <w:spacing w:line="360" w:lineRule="auto"/>
        <w:ind w:left="426"/>
        <w:jc w:val="left"/>
        <w:rPr>
          <w:rFonts w:eastAsia="黑体"/>
          <w:snapToGrid w:val="0"/>
          <w:kern w:val="0"/>
          <w:szCs w:val="21"/>
        </w:rPr>
      </w:pPr>
      <w:r>
        <w:rPr>
          <w:rFonts w:hint="eastAsia" w:eastAsia="黑体"/>
          <w:snapToGrid w:val="0"/>
          <w:kern w:val="0"/>
          <w:szCs w:val="21"/>
        </w:rPr>
        <w:t>6</w:t>
      </w:r>
      <w:r>
        <w:rPr>
          <w:rFonts w:hint="eastAsia" w:eastAsia="黑体" w:cs="宋体"/>
          <w:snapToGrid w:val="0"/>
          <w:kern w:val="0"/>
          <w:szCs w:val="21"/>
        </w:rPr>
        <w:t>状态机设计（4学时）</w:t>
      </w:r>
    </w:p>
    <w:p>
      <w:pPr>
        <w:widowControl/>
        <w:tabs>
          <w:tab w:val="left" w:pos="900"/>
        </w:tabs>
        <w:adjustRightInd w:val="0"/>
        <w:snapToGrid w:val="0"/>
        <w:spacing w:line="360" w:lineRule="auto"/>
        <w:ind w:left="426"/>
        <w:jc w:val="left"/>
        <w:rPr>
          <w:rFonts w:cs="宋体"/>
          <w:bCs/>
          <w:snapToGrid w:val="0"/>
          <w:kern w:val="0"/>
          <w:szCs w:val="21"/>
        </w:rPr>
      </w:pPr>
      <w:r>
        <w:rPr>
          <w:rFonts w:hint="eastAsia" w:cs="宋体"/>
          <w:bCs/>
          <w:snapToGrid w:val="0"/>
          <w:kern w:val="0"/>
          <w:szCs w:val="21"/>
        </w:rPr>
        <w:t>6.1、状态机的基本概念、基本结构、表示方法和设计步骤；</w:t>
      </w:r>
      <w:r>
        <w:rPr>
          <w:rFonts w:hint="eastAsia" w:cs="宋体"/>
          <w:snapToGrid w:val="0"/>
          <w:kern w:val="0"/>
          <w:szCs w:val="21"/>
        </w:rPr>
        <w:t>（重点）</w:t>
      </w:r>
    </w:p>
    <w:p>
      <w:pPr>
        <w:widowControl/>
        <w:tabs>
          <w:tab w:val="left" w:pos="900"/>
        </w:tabs>
        <w:adjustRightInd w:val="0"/>
        <w:snapToGrid w:val="0"/>
        <w:spacing w:line="360" w:lineRule="auto"/>
        <w:ind w:left="426"/>
        <w:jc w:val="left"/>
        <w:rPr>
          <w:rFonts w:cs="宋体"/>
          <w:bCs/>
          <w:snapToGrid w:val="0"/>
          <w:kern w:val="0"/>
          <w:szCs w:val="21"/>
        </w:rPr>
      </w:pPr>
      <w:r>
        <w:rPr>
          <w:rFonts w:hint="eastAsia" w:cs="宋体"/>
          <w:bCs/>
          <w:snapToGrid w:val="0"/>
          <w:kern w:val="0"/>
          <w:szCs w:val="21"/>
        </w:rPr>
        <w:t>6.2、</w:t>
      </w:r>
      <w:r>
        <w:rPr>
          <w:rFonts w:hint="eastAsia"/>
          <w:bCs/>
          <w:snapToGrid w:val="0"/>
          <w:kern w:val="0"/>
          <w:szCs w:val="21"/>
        </w:rPr>
        <w:t>能够熟练使用</w:t>
      </w:r>
      <w:r>
        <w:rPr>
          <w:bCs/>
          <w:snapToGrid w:val="0"/>
          <w:kern w:val="0"/>
          <w:szCs w:val="21"/>
        </w:rPr>
        <w:t>单进程状态机设计</w:t>
      </w:r>
      <w:r>
        <w:rPr>
          <w:rFonts w:hint="eastAsia"/>
          <w:bCs/>
          <w:snapToGrid w:val="0"/>
          <w:kern w:val="0"/>
          <w:szCs w:val="21"/>
        </w:rPr>
        <w:t>时序</w:t>
      </w:r>
      <w:r>
        <w:rPr>
          <w:rFonts w:hint="eastAsia" w:cs="宋体"/>
          <w:bCs/>
          <w:snapToGrid w:val="0"/>
          <w:kern w:val="0"/>
          <w:szCs w:val="21"/>
        </w:rPr>
        <w:t>；</w:t>
      </w:r>
      <w:r>
        <w:rPr>
          <w:rFonts w:hint="eastAsia" w:cs="宋体"/>
          <w:snapToGrid w:val="0"/>
          <w:kern w:val="0"/>
          <w:szCs w:val="21"/>
        </w:rPr>
        <w:t>（重点，难点）</w:t>
      </w:r>
    </w:p>
    <w:p>
      <w:pPr>
        <w:widowControl/>
        <w:tabs>
          <w:tab w:val="left" w:pos="900"/>
        </w:tabs>
        <w:adjustRightInd w:val="0"/>
        <w:snapToGrid w:val="0"/>
        <w:spacing w:line="360" w:lineRule="auto"/>
        <w:ind w:left="426"/>
        <w:jc w:val="left"/>
        <w:rPr>
          <w:rFonts w:cs="宋体"/>
          <w:bCs/>
          <w:snapToGrid w:val="0"/>
          <w:kern w:val="0"/>
          <w:szCs w:val="21"/>
        </w:rPr>
      </w:pPr>
      <w:r>
        <w:rPr>
          <w:rFonts w:hint="eastAsia" w:cs="宋体"/>
          <w:bCs/>
          <w:snapToGrid w:val="0"/>
          <w:kern w:val="0"/>
          <w:szCs w:val="21"/>
        </w:rPr>
        <w:t>6.3、状态机的复位和信号输出方式。</w:t>
      </w:r>
    </w:p>
    <w:p>
      <w:pPr>
        <w:widowControl/>
        <w:tabs>
          <w:tab w:val="left" w:pos="900"/>
        </w:tabs>
        <w:adjustRightInd w:val="0"/>
        <w:snapToGrid w:val="0"/>
        <w:spacing w:line="360" w:lineRule="auto"/>
        <w:ind w:left="426"/>
        <w:jc w:val="left"/>
        <w:rPr>
          <w:rFonts w:cs="宋体"/>
          <w:bCs/>
          <w:snapToGrid w:val="0"/>
          <w:kern w:val="0"/>
          <w:szCs w:val="21"/>
        </w:rPr>
      </w:pPr>
      <w:r>
        <w:rPr>
          <w:rFonts w:cs="宋体"/>
          <w:bCs/>
          <w:snapToGrid w:val="0"/>
          <w:kern w:val="0"/>
          <w:szCs w:val="21"/>
        </w:rPr>
        <w:t>本章内容支撑课程目标</w:t>
      </w:r>
      <w:r>
        <w:rPr>
          <w:rFonts w:hint="eastAsia" w:cs="宋体"/>
          <w:bCs/>
          <w:snapToGrid w:val="0"/>
          <w:kern w:val="0"/>
          <w:szCs w:val="21"/>
        </w:rPr>
        <w:t>1、3。</w:t>
      </w:r>
    </w:p>
    <w:p>
      <w:pPr>
        <w:widowControl/>
        <w:adjustRightInd w:val="0"/>
        <w:snapToGrid w:val="0"/>
        <w:spacing w:line="360" w:lineRule="auto"/>
        <w:ind w:left="426"/>
        <w:jc w:val="left"/>
        <w:rPr>
          <w:rFonts w:cs="宋体"/>
          <w:bCs/>
          <w:snapToGrid w:val="0"/>
          <w:kern w:val="0"/>
          <w:szCs w:val="21"/>
        </w:rPr>
      </w:pPr>
      <w:r>
        <w:rPr>
          <w:rFonts w:hint="eastAsia" w:eastAsia="黑体"/>
          <w:snapToGrid w:val="0"/>
          <w:kern w:val="0"/>
          <w:szCs w:val="21"/>
        </w:rPr>
        <w:t>7综合性设计</w:t>
      </w:r>
      <w:r>
        <w:rPr>
          <w:rFonts w:hint="eastAsia" w:eastAsia="黑体" w:cs="宋体"/>
          <w:snapToGrid w:val="0"/>
          <w:kern w:val="0"/>
          <w:szCs w:val="21"/>
        </w:rPr>
        <w:t>（6学时）</w:t>
      </w:r>
    </w:p>
    <w:p>
      <w:pPr>
        <w:widowControl/>
        <w:tabs>
          <w:tab w:val="left" w:pos="900"/>
        </w:tabs>
        <w:adjustRightInd w:val="0"/>
        <w:snapToGrid w:val="0"/>
        <w:spacing w:line="360" w:lineRule="auto"/>
        <w:ind w:left="426"/>
        <w:jc w:val="left"/>
        <w:rPr>
          <w:rFonts w:cs="宋体"/>
          <w:bCs/>
          <w:snapToGrid w:val="0"/>
          <w:kern w:val="0"/>
          <w:szCs w:val="21"/>
        </w:rPr>
      </w:pPr>
      <w:r>
        <w:rPr>
          <w:rFonts w:hint="eastAsia" w:cs="宋体"/>
          <w:bCs/>
          <w:snapToGrid w:val="0"/>
          <w:kern w:val="0"/>
          <w:szCs w:val="21"/>
        </w:rPr>
        <w:t>7.1、时序逻辑电路设计中的同步控制设计思路；</w:t>
      </w:r>
    </w:p>
    <w:p>
      <w:pPr>
        <w:widowControl/>
        <w:tabs>
          <w:tab w:val="left" w:pos="900"/>
        </w:tabs>
        <w:adjustRightInd w:val="0"/>
        <w:snapToGrid w:val="0"/>
        <w:spacing w:line="360" w:lineRule="auto"/>
        <w:ind w:left="426"/>
        <w:jc w:val="left"/>
        <w:rPr>
          <w:rFonts w:cs="宋体"/>
          <w:bCs/>
          <w:snapToGrid w:val="0"/>
          <w:kern w:val="0"/>
          <w:szCs w:val="21"/>
        </w:rPr>
      </w:pPr>
      <w:r>
        <w:rPr>
          <w:rFonts w:hint="eastAsia" w:cs="宋体"/>
          <w:bCs/>
          <w:snapToGrid w:val="0"/>
          <w:kern w:val="0"/>
          <w:szCs w:val="21"/>
        </w:rPr>
        <w:t>7.2、初步了解使用可编程逻辑器件对工程性问题的顶层开发原理和思路；</w:t>
      </w:r>
    </w:p>
    <w:p>
      <w:pPr>
        <w:widowControl/>
        <w:tabs>
          <w:tab w:val="left" w:pos="900"/>
        </w:tabs>
        <w:adjustRightInd w:val="0"/>
        <w:snapToGrid w:val="0"/>
        <w:spacing w:line="360" w:lineRule="auto"/>
        <w:ind w:left="426"/>
        <w:jc w:val="left"/>
        <w:rPr>
          <w:rFonts w:cs="宋体"/>
          <w:bCs/>
          <w:snapToGrid w:val="0"/>
          <w:kern w:val="0"/>
          <w:szCs w:val="21"/>
        </w:rPr>
      </w:pPr>
      <w:r>
        <w:rPr>
          <w:rFonts w:hint="eastAsia" w:cs="宋体"/>
          <w:bCs/>
          <w:snapToGrid w:val="0"/>
          <w:kern w:val="0"/>
          <w:szCs w:val="21"/>
        </w:rPr>
        <w:t>7.3、</w:t>
      </w:r>
      <w:r>
        <w:rPr>
          <w:rFonts w:hint="eastAsia"/>
          <w:bCs/>
          <w:snapToGrid w:val="0"/>
          <w:kern w:val="0"/>
          <w:szCs w:val="21"/>
        </w:rPr>
        <w:t>能够分析常用</w:t>
      </w:r>
      <w:r>
        <w:rPr>
          <w:bCs/>
          <w:snapToGrid w:val="0"/>
          <w:kern w:val="0"/>
          <w:szCs w:val="21"/>
        </w:rPr>
        <w:t>综合性实例</w:t>
      </w:r>
      <w:r>
        <w:rPr>
          <w:rFonts w:hint="eastAsia" w:cs="宋体"/>
          <w:bCs/>
          <w:snapToGrid w:val="0"/>
          <w:kern w:val="0"/>
          <w:szCs w:val="21"/>
        </w:rPr>
        <w:t>。</w:t>
      </w:r>
    </w:p>
    <w:p>
      <w:pPr>
        <w:adjustRightInd w:val="0"/>
        <w:snapToGrid w:val="0"/>
        <w:spacing w:line="360" w:lineRule="auto"/>
        <w:ind w:firstLine="420" w:firstLineChars="200"/>
        <w:rPr>
          <w:rFonts w:cs="宋体"/>
          <w:bCs/>
          <w:snapToGrid w:val="0"/>
          <w:kern w:val="0"/>
          <w:szCs w:val="21"/>
        </w:rPr>
      </w:pPr>
      <w:r>
        <w:rPr>
          <w:rFonts w:cs="宋体"/>
          <w:bCs/>
          <w:snapToGrid w:val="0"/>
          <w:kern w:val="0"/>
          <w:szCs w:val="21"/>
        </w:rPr>
        <w:t>本章内容支撑课程目标</w:t>
      </w:r>
      <w:r>
        <w:rPr>
          <w:rFonts w:hint="eastAsia" w:cs="宋体"/>
          <w:bCs/>
          <w:snapToGrid w:val="0"/>
          <w:kern w:val="0"/>
          <w:szCs w:val="21"/>
        </w:rPr>
        <w:t>1、3。</w:t>
      </w:r>
    </w:p>
    <w:p>
      <w:pPr>
        <w:adjustRightInd w:val="0"/>
        <w:snapToGrid w:val="0"/>
        <w:spacing w:line="360" w:lineRule="auto"/>
        <w:rPr>
          <w:b/>
          <w:sz w:val="24"/>
          <w:szCs w:val="24"/>
        </w:rPr>
      </w:pPr>
    </w:p>
    <w:p>
      <w:pPr>
        <w:tabs>
          <w:tab w:val="left" w:pos="420"/>
        </w:tabs>
        <w:adjustRightInd w:val="0"/>
        <w:snapToGrid w:val="0"/>
        <w:spacing w:line="360" w:lineRule="auto"/>
        <w:ind w:left="420" w:hanging="420"/>
        <w:rPr>
          <w:rFonts w:eastAsia="黑体"/>
          <w:szCs w:val="24"/>
        </w:rPr>
      </w:pPr>
      <w:r>
        <w:rPr>
          <w:rFonts w:hint="eastAsia" w:eastAsia="黑体"/>
          <w:szCs w:val="24"/>
        </w:rPr>
        <w:t>五、实验内容</w:t>
      </w:r>
    </w:p>
    <w:p>
      <w:pPr>
        <w:adjustRightInd w:val="0"/>
        <w:snapToGrid w:val="0"/>
        <w:spacing w:line="360" w:lineRule="auto"/>
        <w:ind w:firstLine="420" w:firstLineChars="200"/>
        <w:rPr>
          <w:rFonts w:cs="宋体"/>
          <w:kern w:val="0"/>
          <w:szCs w:val="21"/>
        </w:rPr>
      </w:pPr>
      <w:r>
        <w:rPr>
          <w:rFonts w:hint="eastAsia" w:cs="宋体"/>
          <w:kern w:val="0"/>
          <w:szCs w:val="21"/>
        </w:rPr>
        <w:t>实验环节主要是上机操作，要求保证上机条件，即具备常用的EDA软件工具；要求学生熟炼掌握至少1种常用EDA软件的使用方法；掌握在集成开发环境下排查常见语法错误和编译错误的方法；掌握使用实验箱验证逻辑设计的方法；亲自动手实现有代表性的组合逻辑元件和时序逻辑元件；预习并上机实现周期性时序控制和一般状态机时序控制。</w:t>
      </w:r>
    </w:p>
    <w:p>
      <w:pPr>
        <w:adjustRightInd w:val="0"/>
        <w:snapToGrid w:val="0"/>
        <w:spacing w:line="360" w:lineRule="auto"/>
        <w:ind w:firstLine="420" w:firstLineChars="200"/>
        <w:rPr>
          <w:rFonts w:cs="宋体"/>
          <w:kern w:val="0"/>
          <w:szCs w:val="21"/>
        </w:rPr>
      </w:pPr>
      <w:r>
        <w:rPr>
          <w:rFonts w:hint="eastAsia" w:cs="宋体"/>
          <w:kern w:val="0"/>
          <w:szCs w:val="21"/>
        </w:rPr>
        <w:t>16个学时共完成7个实验，前6个为正常课内实验，最后1个实验为分组实验，需要学生在课外补充一些时间来完成。分配2学时用来讲解分组实验要求并进行指导，学生课外完成后，再分配2学时组织讨论与检查。</w:t>
      </w:r>
    </w:p>
    <w:p>
      <w:pPr>
        <w:adjustRightInd w:val="0"/>
        <w:snapToGrid w:val="0"/>
        <w:spacing w:line="360" w:lineRule="auto"/>
        <w:ind w:firstLine="420" w:firstLineChars="200"/>
        <w:rPr>
          <w:rFonts w:cs="宋体"/>
          <w:kern w:val="0"/>
          <w:szCs w:val="21"/>
        </w:rPr>
      </w:pPr>
      <w:r>
        <w:rPr>
          <w:rFonts w:hint="eastAsia" w:cs="宋体"/>
          <w:kern w:val="0"/>
          <w:szCs w:val="21"/>
        </w:rPr>
        <w:t>在实验过程中要注重培养学生的诚信意识、创新意识和坚持精神等，通过实验使学生能够理论联系实际，灵活运用所学知识，严谨认真，精益求精，养成良好的设计习惯。</w:t>
      </w:r>
    </w:p>
    <w:p>
      <w:pPr>
        <w:widowControl/>
        <w:adjustRightInd w:val="0"/>
        <w:snapToGrid w:val="0"/>
        <w:spacing w:line="360" w:lineRule="auto"/>
        <w:ind w:firstLine="420" w:firstLineChars="200"/>
        <w:jc w:val="left"/>
        <w:rPr>
          <w:rFonts w:cs="宋体"/>
          <w:kern w:val="0"/>
          <w:szCs w:val="21"/>
        </w:rPr>
      </w:pPr>
      <w:r>
        <w:rPr>
          <w:rFonts w:hint="eastAsia" w:eastAsia="黑体" w:cs="宋体"/>
          <w:snapToGrid w:val="0"/>
          <w:kern w:val="0"/>
          <w:szCs w:val="21"/>
        </w:rPr>
        <w:t>实验一用</w:t>
      </w:r>
      <w:r>
        <w:rPr>
          <w:rFonts w:hint="eastAsia" w:eastAsia="黑体"/>
          <w:szCs w:val="21"/>
        </w:rPr>
        <w:t>硬件描述语言</w:t>
      </w:r>
      <w:r>
        <w:rPr>
          <w:rFonts w:hint="eastAsia" w:eastAsia="黑体" w:cs="宋体"/>
          <w:kern w:val="0"/>
          <w:szCs w:val="21"/>
        </w:rPr>
        <w:t>的</w:t>
      </w:r>
      <w:r>
        <w:rPr>
          <w:rFonts w:hint="eastAsia" w:eastAsia="黑体" w:cs="宋体"/>
          <w:snapToGrid w:val="0"/>
          <w:kern w:val="0"/>
          <w:szCs w:val="21"/>
        </w:rPr>
        <w:t>方法</w:t>
      </w:r>
      <w:r>
        <w:rPr>
          <w:rFonts w:hint="eastAsia" w:eastAsia="黑体"/>
          <w:szCs w:val="21"/>
        </w:rPr>
        <w:t>设计一个三-八译码器（2学时）</w:t>
      </w:r>
    </w:p>
    <w:p>
      <w:pPr>
        <w:widowControl/>
        <w:adjustRightInd w:val="0"/>
        <w:snapToGrid w:val="0"/>
        <w:spacing w:line="360" w:lineRule="auto"/>
        <w:ind w:firstLine="420" w:firstLineChars="200"/>
        <w:rPr>
          <w:szCs w:val="21"/>
        </w:rPr>
      </w:pPr>
      <w:r>
        <w:rPr>
          <w:rFonts w:hint="eastAsia" w:cs="宋体"/>
          <w:kern w:val="0"/>
          <w:szCs w:val="21"/>
        </w:rPr>
        <w:t>内容：</w:t>
      </w:r>
      <w:r>
        <w:rPr>
          <w:rFonts w:hint="eastAsia" w:cs="宋体"/>
          <w:snapToGrid w:val="0"/>
          <w:kern w:val="0"/>
          <w:szCs w:val="21"/>
        </w:rPr>
        <w:t>通过</w:t>
      </w:r>
      <w:r>
        <w:rPr>
          <w:rFonts w:hint="eastAsia"/>
          <w:szCs w:val="21"/>
        </w:rPr>
        <w:t>三-八译码器</w:t>
      </w:r>
      <w:r>
        <w:rPr>
          <w:rFonts w:hint="eastAsia" w:cs="宋体"/>
          <w:snapToGrid w:val="0"/>
          <w:kern w:val="0"/>
          <w:szCs w:val="21"/>
        </w:rPr>
        <w:t>的设计熟悉可编程逻辑器件开发软件的开发环境，掌握用</w:t>
      </w:r>
      <w:r>
        <w:rPr>
          <w:rFonts w:hint="eastAsia"/>
          <w:szCs w:val="21"/>
        </w:rPr>
        <w:t>硬件描述语言进行逻辑电路</w:t>
      </w:r>
      <w:r>
        <w:rPr>
          <w:rFonts w:hint="eastAsia" w:cs="宋体"/>
          <w:snapToGrid w:val="0"/>
          <w:kern w:val="0"/>
          <w:szCs w:val="21"/>
        </w:rPr>
        <w:t>设计的操作流程，熟悉</w:t>
      </w:r>
      <w:r>
        <w:rPr>
          <w:rFonts w:hint="eastAsia"/>
          <w:szCs w:val="21"/>
        </w:rPr>
        <w:t xml:space="preserve">Quartus </w:t>
      </w:r>
      <w:r>
        <w:rPr>
          <w:rFonts w:hint="eastAsia" w:cs="宋体"/>
          <w:snapToGrid w:val="0"/>
          <w:kern w:val="0"/>
          <w:szCs w:val="21"/>
        </w:rPr>
        <w:t>II或ISE软件基本操作方法，掌握程序仿真操作流程。</w:t>
      </w:r>
      <w:r>
        <w:rPr>
          <w:rFonts w:hint="eastAsia"/>
          <w:szCs w:val="21"/>
        </w:rPr>
        <w:t>了解三-八译码器的功能，设计三-八译码器实现代码，通过软件进行电路的仿真和下载，最后在实验箱上实现设计的功能。</w:t>
      </w:r>
    </w:p>
    <w:p>
      <w:pPr>
        <w:widowControl/>
        <w:adjustRightInd w:val="0"/>
        <w:snapToGrid w:val="0"/>
        <w:spacing w:line="360" w:lineRule="auto"/>
        <w:ind w:firstLine="420" w:firstLineChars="200"/>
        <w:jc w:val="left"/>
        <w:rPr>
          <w:rFonts w:cs="宋体"/>
          <w:kern w:val="0"/>
          <w:szCs w:val="21"/>
        </w:rPr>
      </w:pPr>
      <w:r>
        <w:rPr>
          <w:rFonts w:hint="eastAsia" w:cs="宋体"/>
          <w:kern w:val="0"/>
          <w:szCs w:val="21"/>
        </w:rPr>
        <w:t>基本要求：</w:t>
      </w:r>
    </w:p>
    <w:p>
      <w:pPr>
        <w:widowControl/>
        <w:adjustRightInd w:val="0"/>
        <w:snapToGrid w:val="0"/>
        <w:spacing w:line="360" w:lineRule="auto"/>
        <w:ind w:firstLine="420" w:firstLineChars="200"/>
        <w:jc w:val="left"/>
        <w:rPr>
          <w:rFonts w:cs="宋体"/>
          <w:kern w:val="0"/>
          <w:szCs w:val="21"/>
        </w:rPr>
      </w:pPr>
      <w:r>
        <w:rPr>
          <w:rFonts w:hint="eastAsia"/>
          <w:szCs w:val="21"/>
        </w:rPr>
        <w:t>1、</w:t>
      </w:r>
      <w:r>
        <w:rPr>
          <w:rFonts w:hint="eastAsia" w:cs="宋体"/>
          <w:kern w:val="0"/>
          <w:szCs w:val="21"/>
        </w:rPr>
        <w:t>掌握</w:t>
      </w:r>
      <w:r>
        <w:rPr>
          <w:rFonts w:hint="eastAsia"/>
          <w:szCs w:val="21"/>
        </w:rPr>
        <w:t xml:space="preserve">Quartus </w:t>
      </w:r>
      <w:r>
        <w:rPr>
          <w:rFonts w:hint="eastAsia" w:cs="宋体"/>
          <w:snapToGrid w:val="0"/>
          <w:kern w:val="0"/>
          <w:szCs w:val="21"/>
        </w:rPr>
        <w:t>II或ISE</w:t>
      </w:r>
      <w:r>
        <w:rPr>
          <w:rFonts w:hint="eastAsia"/>
          <w:szCs w:val="21"/>
        </w:rPr>
        <w:t>软件的基本操作与应用；</w:t>
      </w:r>
    </w:p>
    <w:p>
      <w:pPr>
        <w:widowControl/>
        <w:adjustRightInd w:val="0"/>
        <w:snapToGrid w:val="0"/>
        <w:spacing w:line="360" w:lineRule="auto"/>
        <w:ind w:firstLine="420" w:firstLineChars="200"/>
        <w:jc w:val="left"/>
        <w:rPr>
          <w:rFonts w:cs="宋体"/>
          <w:kern w:val="0"/>
          <w:szCs w:val="21"/>
        </w:rPr>
      </w:pPr>
      <w:r>
        <w:rPr>
          <w:rFonts w:hint="eastAsia" w:cs="宋体"/>
          <w:kern w:val="0"/>
          <w:szCs w:val="21"/>
        </w:rPr>
        <w:t>2、掌握</w:t>
      </w:r>
      <w:r>
        <w:rPr>
          <w:rFonts w:hint="eastAsia"/>
          <w:szCs w:val="21"/>
        </w:rPr>
        <w:t>三-八译码器</w:t>
      </w:r>
      <w:r>
        <w:rPr>
          <w:rFonts w:hint="eastAsia" w:cs="宋体"/>
          <w:kern w:val="0"/>
          <w:szCs w:val="21"/>
        </w:rPr>
        <w:t>的功能；</w:t>
      </w:r>
    </w:p>
    <w:p>
      <w:pPr>
        <w:widowControl/>
        <w:adjustRightInd w:val="0"/>
        <w:snapToGrid w:val="0"/>
        <w:spacing w:line="360" w:lineRule="auto"/>
        <w:ind w:firstLine="420" w:firstLineChars="200"/>
        <w:jc w:val="left"/>
        <w:rPr>
          <w:rFonts w:cs="宋体"/>
          <w:kern w:val="0"/>
          <w:szCs w:val="21"/>
        </w:rPr>
      </w:pPr>
      <w:r>
        <w:rPr>
          <w:rFonts w:hint="eastAsia" w:cs="宋体"/>
          <w:kern w:val="0"/>
          <w:szCs w:val="21"/>
        </w:rPr>
        <w:t>3、掌握设计组合逻辑电路——</w:t>
      </w:r>
      <w:r>
        <w:rPr>
          <w:rFonts w:hint="eastAsia"/>
          <w:szCs w:val="21"/>
        </w:rPr>
        <w:t>三-八译码器的方法</w:t>
      </w:r>
      <w:r>
        <w:rPr>
          <w:rFonts w:hint="eastAsia" w:cs="宋体"/>
          <w:kern w:val="0"/>
          <w:szCs w:val="21"/>
        </w:rPr>
        <w:t>，并进行</w:t>
      </w:r>
      <w:r>
        <w:rPr>
          <w:rFonts w:hint="eastAsia"/>
          <w:szCs w:val="21"/>
        </w:rPr>
        <w:t>电路的仿真和下载，最后在实验箱上实现三-八译码器</w:t>
      </w:r>
      <w:r>
        <w:rPr>
          <w:rFonts w:hint="eastAsia" w:cs="宋体"/>
          <w:kern w:val="0"/>
          <w:szCs w:val="21"/>
        </w:rPr>
        <w:t>的功能。</w:t>
      </w:r>
    </w:p>
    <w:p>
      <w:pPr>
        <w:widowControl/>
        <w:adjustRightInd w:val="0"/>
        <w:snapToGrid w:val="0"/>
        <w:spacing w:line="360" w:lineRule="auto"/>
        <w:ind w:firstLine="420" w:firstLineChars="200"/>
        <w:jc w:val="left"/>
        <w:rPr>
          <w:rFonts w:cs="宋体"/>
          <w:kern w:val="0"/>
          <w:szCs w:val="21"/>
        </w:rPr>
      </w:pPr>
      <w:r>
        <w:rPr>
          <w:rFonts w:cs="宋体"/>
          <w:bCs/>
          <w:snapToGrid w:val="0"/>
          <w:kern w:val="0"/>
          <w:szCs w:val="21"/>
        </w:rPr>
        <w:t>本实验支撑课程目标</w:t>
      </w:r>
      <w:r>
        <w:rPr>
          <w:rFonts w:hint="eastAsia" w:cs="宋体"/>
          <w:bCs/>
          <w:snapToGrid w:val="0"/>
          <w:kern w:val="0"/>
          <w:szCs w:val="21"/>
        </w:rPr>
        <w:t>1</w:t>
      </w:r>
      <w:r>
        <w:rPr>
          <w:rFonts w:cs="宋体"/>
          <w:bCs/>
          <w:snapToGrid w:val="0"/>
          <w:kern w:val="0"/>
          <w:szCs w:val="21"/>
        </w:rPr>
        <w:t>、</w:t>
      </w:r>
      <w:r>
        <w:rPr>
          <w:rFonts w:hint="eastAsia" w:cs="宋体"/>
          <w:bCs/>
          <w:snapToGrid w:val="0"/>
          <w:kern w:val="0"/>
          <w:szCs w:val="21"/>
        </w:rPr>
        <w:t>3。</w:t>
      </w:r>
    </w:p>
    <w:p>
      <w:pPr>
        <w:widowControl/>
        <w:adjustRightInd w:val="0"/>
        <w:snapToGrid w:val="0"/>
        <w:spacing w:line="360" w:lineRule="auto"/>
        <w:ind w:firstLine="420" w:firstLineChars="200"/>
        <w:jc w:val="left"/>
        <w:rPr>
          <w:rFonts w:eastAsia="黑体" w:cs="宋体"/>
          <w:kern w:val="0"/>
          <w:szCs w:val="21"/>
        </w:rPr>
      </w:pPr>
      <w:r>
        <w:rPr>
          <w:rFonts w:hint="eastAsia" w:eastAsia="黑体" w:cs="宋体"/>
          <w:kern w:val="0"/>
          <w:szCs w:val="21"/>
        </w:rPr>
        <w:t>实验二</w:t>
      </w:r>
      <w:r>
        <w:rPr>
          <w:rFonts w:hint="eastAsia" w:eastAsia="黑体" w:cs="宋体"/>
          <w:snapToGrid w:val="0"/>
          <w:kern w:val="0"/>
          <w:szCs w:val="21"/>
        </w:rPr>
        <w:t>用</w:t>
      </w:r>
      <w:r>
        <w:rPr>
          <w:rFonts w:hint="eastAsia" w:eastAsia="黑体"/>
          <w:szCs w:val="21"/>
        </w:rPr>
        <w:t>硬件描述语言</w:t>
      </w:r>
      <w:r>
        <w:rPr>
          <w:rFonts w:hint="eastAsia" w:eastAsia="黑体" w:cs="宋体"/>
          <w:kern w:val="0"/>
          <w:szCs w:val="21"/>
        </w:rPr>
        <w:t>的</w:t>
      </w:r>
      <w:r>
        <w:rPr>
          <w:rFonts w:hint="eastAsia" w:eastAsia="黑体" w:cs="宋体"/>
          <w:snapToGrid w:val="0"/>
          <w:kern w:val="0"/>
          <w:szCs w:val="21"/>
        </w:rPr>
        <w:t>方法设计一个计数器</w:t>
      </w:r>
      <w:r>
        <w:rPr>
          <w:rFonts w:hint="eastAsia" w:eastAsia="黑体"/>
          <w:szCs w:val="21"/>
        </w:rPr>
        <w:t>（2学时）</w:t>
      </w:r>
    </w:p>
    <w:p>
      <w:pPr>
        <w:widowControl/>
        <w:adjustRightInd w:val="0"/>
        <w:snapToGrid w:val="0"/>
        <w:spacing w:line="360" w:lineRule="auto"/>
        <w:ind w:firstLine="420" w:firstLineChars="200"/>
        <w:jc w:val="left"/>
        <w:rPr>
          <w:szCs w:val="21"/>
        </w:rPr>
      </w:pPr>
      <w:r>
        <w:rPr>
          <w:rFonts w:hint="eastAsia" w:cs="宋体"/>
          <w:kern w:val="0"/>
          <w:szCs w:val="21"/>
        </w:rPr>
        <w:t>内容：</w:t>
      </w:r>
      <w:r>
        <w:rPr>
          <w:rFonts w:hint="eastAsia"/>
          <w:szCs w:val="21"/>
        </w:rPr>
        <w:t>了解</w:t>
      </w:r>
      <w:r>
        <w:rPr>
          <w:rFonts w:hint="eastAsia" w:cs="宋体"/>
          <w:kern w:val="0"/>
          <w:szCs w:val="21"/>
        </w:rPr>
        <w:t>计数器</w:t>
      </w:r>
      <w:r>
        <w:rPr>
          <w:rFonts w:hint="eastAsia"/>
          <w:szCs w:val="21"/>
        </w:rPr>
        <w:t>的功能，</w:t>
      </w:r>
      <w:r>
        <w:rPr>
          <w:rFonts w:hint="eastAsia" w:cs="宋体"/>
          <w:snapToGrid w:val="0"/>
          <w:kern w:val="0"/>
          <w:szCs w:val="21"/>
        </w:rPr>
        <w:t>掌握计数器在数字系统中的作用，掌握用</w:t>
      </w:r>
      <w:r>
        <w:rPr>
          <w:rFonts w:hint="eastAsia"/>
          <w:szCs w:val="21"/>
        </w:rPr>
        <w:t>硬件描述语言</w:t>
      </w:r>
      <w:r>
        <w:rPr>
          <w:rFonts w:hint="eastAsia" w:cs="宋体"/>
          <w:kern w:val="0"/>
          <w:szCs w:val="21"/>
        </w:rPr>
        <w:t>设计时序逻辑电路——</w:t>
      </w:r>
      <w:r>
        <w:rPr>
          <w:rFonts w:hint="eastAsia" w:cs="宋体"/>
          <w:snapToGrid w:val="0"/>
          <w:kern w:val="0"/>
          <w:szCs w:val="21"/>
        </w:rPr>
        <w:t>计数器的</w:t>
      </w:r>
      <w:r>
        <w:rPr>
          <w:rFonts w:hint="eastAsia" w:cs="宋体"/>
          <w:kern w:val="0"/>
          <w:szCs w:val="21"/>
        </w:rPr>
        <w:t>思路与方法</w:t>
      </w:r>
      <w:r>
        <w:rPr>
          <w:rFonts w:hint="eastAsia"/>
          <w:szCs w:val="21"/>
        </w:rPr>
        <w:t>，通过软件进行电路的仿真和下载，最后在实验箱上实现设计的功能。</w:t>
      </w:r>
    </w:p>
    <w:p>
      <w:pPr>
        <w:widowControl/>
        <w:adjustRightInd w:val="0"/>
        <w:snapToGrid w:val="0"/>
        <w:spacing w:line="360" w:lineRule="auto"/>
        <w:ind w:firstLine="420" w:firstLineChars="200"/>
        <w:jc w:val="left"/>
        <w:rPr>
          <w:rFonts w:cs="宋体"/>
          <w:kern w:val="0"/>
          <w:szCs w:val="21"/>
        </w:rPr>
      </w:pPr>
      <w:r>
        <w:rPr>
          <w:rFonts w:hint="eastAsia" w:cs="宋体"/>
          <w:kern w:val="0"/>
          <w:szCs w:val="21"/>
        </w:rPr>
        <w:t>基本要求：</w:t>
      </w:r>
    </w:p>
    <w:p>
      <w:pPr>
        <w:widowControl/>
        <w:adjustRightInd w:val="0"/>
        <w:snapToGrid w:val="0"/>
        <w:spacing w:line="360" w:lineRule="auto"/>
        <w:ind w:firstLine="420" w:firstLineChars="200"/>
        <w:jc w:val="left"/>
        <w:rPr>
          <w:rFonts w:cs="宋体"/>
          <w:kern w:val="0"/>
          <w:szCs w:val="21"/>
        </w:rPr>
      </w:pPr>
      <w:r>
        <w:rPr>
          <w:rFonts w:hint="eastAsia" w:cs="宋体"/>
          <w:kern w:val="0"/>
          <w:szCs w:val="21"/>
        </w:rPr>
        <w:t>1、掌握计数器的功能和设计方法；</w:t>
      </w:r>
    </w:p>
    <w:p>
      <w:pPr>
        <w:widowControl/>
        <w:adjustRightInd w:val="0"/>
        <w:snapToGrid w:val="0"/>
        <w:spacing w:line="360" w:lineRule="auto"/>
        <w:ind w:firstLine="420" w:firstLineChars="200"/>
        <w:jc w:val="left"/>
        <w:rPr>
          <w:rFonts w:cs="宋体"/>
          <w:kern w:val="0"/>
          <w:szCs w:val="21"/>
        </w:rPr>
      </w:pPr>
      <w:r>
        <w:rPr>
          <w:rFonts w:hint="eastAsia" w:cs="宋体"/>
          <w:kern w:val="0"/>
          <w:szCs w:val="21"/>
        </w:rPr>
        <w:t>2、掌握同步复位和异步复位的实现方法；</w:t>
      </w:r>
    </w:p>
    <w:p>
      <w:pPr>
        <w:widowControl/>
        <w:adjustRightInd w:val="0"/>
        <w:snapToGrid w:val="0"/>
        <w:spacing w:line="360" w:lineRule="auto"/>
        <w:ind w:firstLine="420" w:firstLineChars="200"/>
        <w:jc w:val="left"/>
        <w:rPr>
          <w:rFonts w:cs="宋体"/>
          <w:kern w:val="0"/>
          <w:szCs w:val="21"/>
        </w:rPr>
      </w:pPr>
      <w:r>
        <w:rPr>
          <w:rFonts w:hint="eastAsia" w:cs="宋体"/>
          <w:kern w:val="0"/>
          <w:szCs w:val="21"/>
        </w:rPr>
        <w:t>3、掌握设计时序逻辑电路——计数器</w:t>
      </w:r>
      <w:r>
        <w:rPr>
          <w:rFonts w:hint="eastAsia"/>
          <w:szCs w:val="21"/>
        </w:rPr>
        <w:t>的方法</w:t>
      </w:r>
      <w:r>
        <w:rPr>
          <w:rFonts w:hint="eastAsia" w:cs="宋体"/>
          <w:kern w:val="0"/>
          <w:szCs w:val="21"/>
        </w:rPr>
        <w:t>，并进行</w:t>
      </w:r>
      <w:r>
        <w:rPr>
          <w:rFonts w:hint="eastAsia"/>
          <w:szCs w:val="21"/>
        </w:rPr>
        <w:t>电路的仿真和下载，最后在实验箱上实现</w:t>
      </w:r>
      <w:r>
        <w:rPr>
          <w:rFonts w:hint="eastAsia" w:cs="宋体"/>
          <w:kern w:val="0"/>
          <w:szCs w:val="21"/>
        </w:rPr>
        <w:t>计数器的功能。</w:t>
      </w:r>
    </w:p>
    <w:p>
      <w:pPr>
        <w:widowControl/>
        <w:adjustRightInd w:val="0"/>
        <w:snapToGrid w:val="0"/>
        <w:spacing w:line="360" w:lineRule="auto"/>
        <w:ind w:firstLine="420" w:firstLineChars="200"/>
        <w:jc w:val="left"/>
        <w:rPr>
          <w:rFonts w:cs="宋体"/>
          <w:kern w:val="0"/>
          <w:szCs w:val="21"/>
        </w:rPr>
      </w:pPr>
      <w:r>
        <w:rPr>
          <w:rFonts w:cs="宋体"/>
          <w:bCs/>
          <w:snapToGrid w:val="0"/>
          <w:kern w:val="0"/>
          <w:szCs w:val="21"/>
        </w:rPr>
        <w:t>本实验支撑课程目标</w:t>
      </w:r>
      <w:r>
        <w:rPr>
          <w:rFonts w:hint="eastAsia" w:cs="宋体"/>
          <w:bCs/>
          <w:snapToGrid w:val="0"/>
          <w:kern w:val="0"/>
          <w:szCs w:val="21"/>
        </w:rPr>
        <w:t>1</w:t>
      </w:r>
      <w:r>
        <w:rPr>
          <w:rFonts w:cs="宋体"/>
          <w:bCs/>
          <w:snapToGrid w:val="0"/>
          <w:kern w:val="0"/>
          <w:szCs w:val="21"/>
        </w:rPr>
        <w:t>、</w:t>
      </w:r>
      <w:r>
        <w:rPr>
          <w:rFonts w:hint="eastAsia" w:cs="宋体"/>
          <w:bCs/>
          <w:snapToGrid w:val="0"/>
          <w:kern w:val="0"/>
          <w:szCs w:val="21"/>
        </w:rPr>
        <w:t>3。</w:t>
      </w:r>
    </w:p>
    <w:p>
      <w:pPr>
        <w:widowControl/>
        <w:adjustRightInd w:val="0"/>
        <w:snapToGrid w:val="0"/>
        <w:spacing w:line="360" w:lineRule="auto"/>
        <w:ind w:firstLine="420" w:firstLineChars="200"/>
        <w:jc w:val="left"/>
        <w:rPr>
          <w:rFonts w:eastAsia="黑体"/>
          <w:szCs w:val="21"/>
        </w:rPr>
      </w:pPr>
      <w:r>
        <w:rPr>
          <w:rFonts w:hint="eastAsia" w:eastAsia="黑体" w:cs="宋体"/>
          <w:snapToGrid w:val="0"/>
          <w:kern w:val="0"/>
          <w:szCs w:val="21"/>
        </w:rPr>
        <w:t>实验三用</w:t>
      </w:r>
      <w:r>
        <w:rPr>
          <w:rFonts w:hint="eastAsia" w:eastAsia="黑体"/>
          <w:szCs w:val="21"/>
        </w:rPr>
        <w:t>硬件描述语言</w:t>
      </w:r>
      <w:r>
        <w:rPr>
          <w:rFonts w:hint="eastAsia" w:eastAsia="黑体" w:cs="宋体"/>
          <w:kern w:val="0"/>
          <w:szCs w:val="21"/>
        </w:rPr>
        <w:t>的</w:t>
      </w:r>
      <w:r>
        <w:rPr>
          <w:rFonts w:hint="eastAsia" w:eastAsia="黑体" w:cs="宋体"/>
          <w:snapToGrid w:val="0"/>
          <w:kern w:val="0"/>
          <w:szCs w:val="21"/>
        </w:rPr>
        <w:t>方法</w:t>
      </w:r>
      <w:r>
        <w:rPr>
          <w:rFonts w:hint="eastAsia" w:eastAsia="黑体"/>
          <w:szCs w:val="21"/>
        </w:rPr>
        <w:t>设计一个分频器</w:t>
      </w:r>
      <w:r>
        <w:rPr>
          <w:rFonts w:hint="eastAsia" w:eastAsia="黑体" w:cs="宋体"/>
          <w:snapToGrid w:val="0"/>
          <w:kern w:val="0"/>
          <w:szCs w:val="21"/>
        </w:rPr>
        <w:t>（2学时）</w:t>
      </w:r>
    </w:p>
    <w:p>
      <w:pPr>
        <w:widowControl/>
        <w:adjustRightInd w:val="0"/>
        <w:snapToGrid w:val="0"/>
        <w:spacing w:line="360" w:lineRule="auto"/>
        <w:ind w:firstLine="420" w:firstLineChars="200"/>
        <w:jc w:val="left"/>
        <w:rPr>
          <w:szCs w:val="21"/>
        </w:rPr>
      </w:pPr>
      <w:r>
        <w:rPr>
          <w:rFonts w:hint="eastAsia" w:cs="宋体"/>
          <w:kern w:val="0"/>
          <w:szCs w:val="21"/>
        </w:rPr>
        <w:t>内容：</w:t>
      </w:r>
      <w:r>
        <w:rPr>
          <w:rFonts w:hint="eastAsia"/>
          <w:szCs w:val="21"/>
        </w:rPr>
        <w:t>了解</w:t>
      </w:r>
      <w:r>
        <w:rPr>
          <w:rFonts w:hint="eastAsia" w:cs="宋体"/>
          <w:snapToGrid w:val="0"/>
          <w:kern w:val="0"/>
          <w:szCs w:val="21"/>
        </w:rPr>
        <w:t>分频器</w:t>
      </w:r>
      <w:r>
        <w:rPr>
          <w:rFonts w:hint="eastAsia"/>
          <w:szCs w:val="21"/>
        </w:rPr>
        <w:t>的功能，</w:t>
      </w:r>
      <w:r>
        <w:rPr>
          <w:rFonts w:hint="eastAsia" w:cs="宋体"/>
          <w:snapToGrid w:val="0"/>
          <w:kern w:val="0"/>
          <w:szCs w:val="21"/>
        </w:rPr>
        <w:t>掌握分频器在数字系统中的作用，掌握用</w:t>
      </w:r>
      <w:r>
        <w:rPr>
          <w:rFonts w:hint="eastAsia"/>
          <w:szCs w:val="21"/>
        </w:rPr>
        <w:t>硬件描述语言</w:t>
      </w:r>
      <w:r>
        <w:rPr>
          <w:rFonts w:hint="eastAsia" w:cs="宋体"/>
          <w:kern w:val="0"/>
          <w:szCs w:val="21"/>
        </w:rPr>
        <w:t>设计时序逻辑电路——</w:t>
      </w:r>
      <w:r>
        <w:rPr>
          <w:rFonts w:hint="eastAsia" w:cs="宋体"/>
          <w:snapToGrid w:val="0"/>
          <w:kern w:val="0"/>
          <w:szCs w:val="21"/>
        </w:rPr>
        <w:t>分频器的</w:t>
      </w:r>
      <w:r>
        <w:rPr>
          <w:rFonts w:hint="eastAsia" w:cs="宋体"/>
          <w:kern w:val="0"/>
          <w:szCs w:val="21"/>
        </w:rPr>
        <w:t>思路与方法</w:t>
      </w:r>
      <w:r>
        <w:rPr>
          <w:rFonts w:hint="eastAsia"/>
          <w:szCs w:val="21"/>
        </w:rPr>
        <w:t>，通过软件进行电路的仿真和下载，最后在实验箱上实现设计的功能。</w:t>
      </w:r>
    </w:p>
    <w:p>
      <w:pPr>
        <w:adjustRightInd w:val="0"/>
        <w:snapToGrid w:val="0"/>
        <w:spacing w:line="360" w:lineRule="auto"/>
        <w:ind w:firstLine="420" w:firstLineChars="200"/>
        <w:rPr>
          <w:rFonts w:cs="宋体"/>
          <w:kern w:val="0"/>
          <w:szCs w:val="21"/>
        </w:rPr>
      </w:pPr>
      <w:r>
        <w:rPr>
          <w:rFonts w:hint="eastAsia" w:cs="宋体"/>
          <w:kern w:val="0"/>
          <w:szCs w:val="21"/>
        </w:rPr>
        <w:t>基本要求：</w:t>
      </w:r>
    </w:p>
    <w:p>
      <w:pPr>
        <w:widowControl/>
        <w:adjustRightInd w:val="0"/>
        <w:snapToGrid w:val="0"/>
        <w:spacing w:line="360" w:lineRule="auto"/>
        <w:ind w:firstLine="420" w:firstLineChars="200"/>
        <w:jc w:val="left"/>
        <w:rPr>
          <w:rFonts w:cs="宋体"/>
          <w:snapToGrid w:val="0"/>
          <w:kern w:val="0"/>
          <w:szCs w:val="21"/>
        </w:rPr>
      </w:pPr>
      <w:r>
        <w:rPr>
          <w:rFonts w:hint="eastAsia" w:cs="宋体"/>
          <w:kern w:val="0"/>
          <w:szCs w:val="21"/>
        </w:rPr>
        <w:t>1、掌握</w:t>
      </w:r>
      <w:r>
        <w:rPr>
          <w:rFonts w:hint="eastAsia" w:cs="宋体"/>
          <w:snapToGrid w:val="0"/>
          <w:kern w:val="0"/>
          <w:szCs w:val="21"/>
        </w:rPr>
        <w:t>分频器的基本概念和在数字系统中所起的作用；</w:t>
      </w:r>
    </w:p>
    <w:p>
      <w:pPr>
        <w:widowControl/>
        <w:adjustRightInd w:val="0"/>
        <w:snapToGrid w:val="0"/>
        <w:spacing w:line="360" w:lineRule="auto"/>
        <w:ind w:firstLine="420" w:firstLineChars="200"/>
        <w:jc w:val="left"/>
        <w:rPr>
          <w:rFonts w:cs="宋体"/>
          <w:kern w:val="0"/>
          <w:szCs w:val="21"/>
        </w:rPr>
      </w:pPr>
      <w:r>
        <w:rPr>
          <w:rFonts w:hint="eastAsia" w:cs="宋体"/>
          <w:kern w:val="0"/>
          <w:szCs w:val="21"/>
        </w:rPr>
        <w:t>2、掌握</w:t>
      </w:r>
      <w:r>
        <w:rPr>
          <w:rFonts w:hint="eastAsia" w:cs="宋体"/>
          <w:snapToGrid w:val="0"/>
          <w:kern w:val="0"/>
          <w:szCs w:val="21"/>
        </w:rPr>
        <w:t>偶数分频器、奇数分频器</w:t>
      </w:r>
      <w:r>
        <w:rPr>
          <w:rFonts w:hint="eastAsia" w:cs="宋体"/>
          <w:kern w:val="0"/>
          <w:szCs w:val="21"/>
        </w:rPr>
        <w:t>的功能和设计方法；</w:t>
      </w:r>
    </w:p>
    <w:p>
      <w:pPr>
        <w:widowControl/>
        <w:adjustRightInd w:val="0"/>
        <w:snapToGrid w:val="0"/>
        <w:spacing w:line="360" w:lineRule="auto"/>
        <w:ind w:firstLine="420" w:firstLineChars="200"/>
        <w:jc w:val="left"/>
        <w:rPr>
          <w:rFonts w:cs="宋体"/>
          <w:kern w:val="0"/>
          <w:szCs w:val="21"/>
        </w:rPr>
      </w:pPr>
      <w:r>
        <w:rPr>
          <w:rFonts w:hint="eastAsia" w:cs="宋体"/>
          <w:kern w:val="0"/>
          <w:szCs w:val="21"/>
        </w:rPr>
        <w:t>3、</w:t>
      </w:r>
      <w:r>
        <w:rPr>
          <w:rFonts w:hint="eastAsia" w:cs="宋体"/>
          <w:snapToGrid w:val="0"/>
          <w:kern w:val="0"/>
          <w:szCs w:val="21"/>
        </w:rPr>
        <w:t>用</w:t>
      </w:r>
      <w:r>
        <w:rPr>
          <w:rFonts w:hint="eastAsia"/>
          <w:szCs w:val="21"/>
        </w:rPr>
        <w:t>硬件描述语言</w:t>
      </w:r>
      <w:r>
        <w:rPr>
          <w:rFonts w:hint="eastAsia" w:cs="宋体"/>
          <w:kern w:val="0"/>
          <w:szCs w:val="21"/>
        </w:rPr>
        <w:t>的设计方法设计分频器——</w:t>
      </w:r>
      <w:r>
        <w:rPr>
          <w:rFonts w:hint="eastAsia" w:cs="宋体"/>
          <w:snapToGrid w:val="0"/>
          <w:kern w:val="0"/>
          <w:szCs w:val="21"/>
        </w:rPr>
        <w:t>偶数分频器和奇数分频器；</w:t>
      </w:r>
    </w:p>
    <w:p>
      <w:pPr>
        <w:widowControl/>
        <w:tabs>
          <w:tab w:val="left" w:pos="720"/>
        </w:tabs>
        <w:adjustRightInd w:val="0"/>
        <w:snapToGrid w:val="0"/>
        <w:spacing w:line="360" w:lineRule="auto"/>
        <w:ind w:firstLine="420" w:firstLineChars="200"/>
        <w:jc w:val="left"/>
        <w:rPr>
          <w:rFonts w:cs="宋体"/>
          <w:snapToGrid w:val="0"/>
          <w:kern w:val="0"/>
          <w:szCs w:val="21"/>
        </w:rPr>
      </w:pPr>
      <w:r>
        <w:rPr>
          <w:rFonts w:hint="eastAsia" w:cs="宋体"/>
          <w:kern w:val="0"/>
          <w:szCs w:val="21"/>
        </w:rPr>
        <w:t>4、</w:t>
      </w:r>
      <w:r>
        <w:rPr>
          <w:rFonts w:hint="eastAsia" w:cs="宋体"/>
          <w:snapToGrid w:val="0"/>
          <w:kern w:val="0"/>
          <w:szCs w:val="21"/>
        </w:rPr>
        <w:t>将编写好的</w:t>
      </w:r>
      <w:r>
        <w:rPr>
          <w:rFonts w:hint="eastAsia"/>
          <w:szCs w:val="21"/>
        </w:rPr>
        <w:t>硬件描述语言</w:t>
      </w:r>
      <w:r>
        <w:rPr>
          <w:rFonts w:hint="eastAsia" w:cs="宋体"/>
          <w:snapToGrid w:val="0"/>
          <w:kern w:val="0"/>
          <w:szCs w:val="21"/>
        </w:rPr>
        <w:t>程序进行仿真。</w:t>
      </w:r>
    </w:p>
    <w:p>
      <w:pPr>
        <w:widowControl/>
        <w:tabs>
          <w:tab w:val="left" w:pos="720"/>
        </w:tabs>
        <w:adjustRightInd w:val="0"/>
        <w:snapToGrid w:val="0"/>
        <w:spacing w:line="360" w:lineRule="auto"/>
        <w:ind w:firstLine="420" w:firstLineChars="200"/>
        <w:jc w:val="left"/>
        <w:rPr>
          <w:rFonts w:cs="宋体"/>
          <w:kern w:val="0"/>
          <w:szCs w:val="21"/>
        </w:rPr>
      </w:pPr>
      <w:r>
        <w:rPr>
          <w:rFonts w:cs="宋体"/>
          <w:bCs/>
          <w:snapToGrid w:val="0"/>
          <w:kern w:val="0"/>
          <w:szCs w:val="21"/>
        </w:rPr>
        <w:t>本实验支撑课程目标</w:t>
      </w:r>
      <w:r>
        <w:rPr>
          <w:rFonts w:hint="eastAsia" w:cs="宋体"/>
          <w:bCs/>
          <w:snapToGrid w:val="0"/>
          <w:kern w:val="0"/>
          <w:szCs w:val="21"/>
        </w:rPr>
        <w:t>1</w:t>
      </w:r>
      <w:r>
        <w:rPr>
          <w:rFonts w:cs="宋体"/>
          <w:bCs/>
          <w:snapToGrid w:val="0"/>
          <w:kern w:val="0"/>
          <w:szCs w:val="21"/>
        </w:rPr>
        <w:t>、</w:t>
      </w:r>
      <w:r>
        <w:rPr>
          <w:rFonts w:hint="eastAsia" w:cs="宋体"/>
          <w:bCs/>
          <w:snapToGrid w:val="0"/>
          <w:kern w:val="0"/>
          <w:szCs w:val="21"/>
        </w:rPr>
        <w:t>3。</w:t>
      </w:r>
    </w:p>
    <w:p>
      <w:pPr>
        <w:widowControl/>
        <w:adjustRightInd w:val="0"/>
        <w:snapToGrid w:val="0"/>
        <w:spacing w:line="360" w:lineRule="auto"/>
        <w:ind w:firstLine="420" w:firstLineChars="200"/>
        <w:jc w:val="left"/>
        <w:rPr>
          <w:rFonts w:cs="宋体"/>
          <w:kern w:val="0"/>
          <w:szCs w:val="21"/>
        </w:rPr>
      </w:pPr>
      <w:r>
        <w:rPr>
          <w:rFonts w:hint="eastAsia" w:eastAsia="黑体" w:cs="宋体"/>
          <w:snapToGrid w:val="0"/>
          <w:kern w:val="0"/>
          <w:szCs w:val="21"/>
        </w:rPr>
        <w:t>实验四用</w:t>
      </w:r>
      <w:r>
        <w:rPr>
          <w:rFonts w:hint="eastAsia" w:eastAsia="黑体"/>
          <w:szCs w:val="21"/>
        </w:rPr>
        <w:t>硬件描述语言</w:t>
      </w:r>
      <w:r>
        <w:rPr>
          <w:rFonts w:hint="eastAsia" w:eastAsia="黑体" w:cs="宋体"/>
          <w:kern w:val="0"/>
          <w:szCs w:val="21"/>
        </w:rPr>
        <w:t>的</w:t>
      </w:r>
      <w:r>
        <w:rPr>
          <w:rFonts w:hint="eastAsia" w:eastAsia="黑体" w:cs="宋体"/>
          <w:snapToGrid w:val="0"/>
          <w:kern w:val="0"/>
          <w:szCs w:val="21"/>
        </w:rPr>
        <w:t>方法</w:t>
      </w:r>
      <w:r>
        <w:rPr>
          <w:rFonts w:hint="eastAsia" w:eastAsia="黑体"/>
          <w:szCs w:val="21"/>
        </w:rPr>
        <w:t>设计一个状态机（2学时）</w:t>
      </w:r>
    </w:p>
    <w:p>
      <w:pPr>
        <w:widowControl/>
        <w:adjustRightInd w:val="0"/>
        <w:snapToGrid w:val="0"/>
        <w:spacing w:line="360" w:lineRule="auto"/>
        <w:ind w:firstLine="420" w:firstLineChars="200"/>
        <w:rPr>
          <w:szCs w:val="21"/>
        </w:rPr>
      </w:pPr>
      <w:r>
        <w:rPr>
          <w:rFonts w:hint="eastAsia" w:cs="宋体"/>
          <w:kern w:val="0"/>
          <w:szCs w:val="21"/>
        </w:rPr>
        <w:t>内容：</w:t>
      </w:r>
      <w:r>
        <w:rPr>
          <w:rFonts w:hint="eastAsia"/>
          <w:szCs w:val="21"/>
        </w:rPr>
        <w:t>理解并</w:t>
      </w:r>
      <w:r>
        <w:rPr>
          <w:rFonts w:hint="eastAsia" w:cs="宋体"/>
          <w:snapToGrid w:val="0"/>
          <w:kern w:val="0"/>
          <w:szCs w:val="21"/>
        </w:rPr>
        <w:t>掌握状态机</w:t>
      </w:r>
      <w:r>
        <w:rPr>
          <w:rFonts w:hint="eastAsia"/>
          <w:szCs w:val="21"/>
        </w:rPr>
        <w:t>的功能和特点，</w:t>
      </w:r>
      <w:r>
        <w:rPr>
          <w:rFonts w:hint="eastAsia" w:cs="宋体"/>
          <w:snapToGrid w:val="0"/>
          <w:kern w:val="0"/>
          <w:szCs w:val="21"/>
        </w:rPr>
        <w:t>掌握用</w:t>
      </w:r>
      <w:r>
        <w:rPr>
          <w:rFonts w:hint="eastAsia"/>
          <w:szCs w:val="21"/>
        </w:rPr>
        <w:t>硬件描述语言</w:t>
      </w:r>
      <w:r>
        <w:rPr>
          <w:rFonts w:hint="eastAsia" w:cs="宋体"/>
          <w:kern w:val="0"/>
          <w:szCs w:val="21"/>
        </w:rPr>
        <w:t>设计</w:t>
      </w:r>
      <w:r>
        <w:rPr>
          <w:rFonts w:hint="eastAsia" w:cs="宋体"/>
          <w:snapToGrid w:val="0"/>
          <w:kern w:val="0"/>
          <w:szCs w:val="21"/>
        </w:rPr>
        <w:t>状态机的</w:t>
      </w:r>
      <w:r>
        <w:rPr>
          <w:rFonts w:hint="eastAsia" w:cs="宋体"/>
          <w:kern w:val="0"/>
          <w:szCs w:val="21"/>
        </w:rPr>
        <w:t>思路与方法</w:t>
      </w:r>
      <w:r>
        <w:rPr>
          <w:rFonts w:hint="eastAsia"/>
          <w:szCs w:val="21"/>
        </w:rPr>
        <w:t>，通过软件进行电路的仿真和下载，最后在实验箱上实现设计的功能。</w:t>
      </w:r>
    </w:p>
    <w:p>
      <w:pPr>
        <w:widowControl/>
        <w:adjustRightInd w:val="0"/>
        <w:snapToGrid w:val="0"/>
        <w:spacing w:line="360" w:lineRule="auto"/>
        <w:ind w:firstLine="420" w:firstLineChars="200"/>
        <w:jc w:val="left"/>
        <w:rPr>
          <w:rFonts w:cs="宋体"/>
          <w:kern w:val="0"/>
          <w:szCs w:val="21"/>
        </w:rPr>
      </w:pPr>
      <w:r>
        <w:rPr>
          <w:rFonts w:hint="eastAsia" w:cs="宋体"/>
          <w:kern w:val="0"/>
          <w:szCs w:val="21"/>
        </w:rPr>
        <w:t>基本要求：</w:t>
      </w:r>
    </w:p>
    <w:p>
      <w:pPr>
        <w:widowControl/>
        <w:adjustRightInd w:val="0"/>
        <w:snapToGrid w:val="0"/>
        <w:spacing w:line="360" w:lineRule="auto"/>
        <w:ind w:firstLine="420" w:firstLineChars="200"/>
        <w:jc w:val="left"/>
        <w:rPr>
          <w:rFonts w:cs="宋体"/>
          <w:kern w:val="0"/>
          <w:szCs w:val="21"/>
        </w:rPr>
      </w:pPr>
      <w:r>
        <w:rPr>
          <w:rFonts w:hint="eastAsia" w:cs="宋体"/>
          <w:snapToGrid w:val="0"/>
          <w:kern w:val="0"/>
          <w:szCs w:val="21"/>
        </w:rPr>
        <w:t>1、掌握状态机</w:t>
      </w:r>
      <w:r>
        <w:rPr>
          <w:rFonts w:hint="eastAsia"/>
          <w:szCs w:val="21"/>
        </w:rPr>
        <w:t>的功能和特点；</w:t>
      </w:r>
    </w:p>
    <w:p>
      <w:pPr>
        <w:widowControl/>
        <w:adjustRightInd w:val="0"/>
        <w:snapToGrid w:val="0"/>
        <w:spacing w:line="360" w:lineRule="auto"/>
        <w:ind w:firstLine="420" w:firstLineChars="200"/>
        <w:jc w:val="left"/>
        <w:rPr>
          <w:rFonts w:cs="宋体"/>
          <w:kern w:val="0"/>
          <w:szCs w:val="21"/>
        </w:rPr>
      </w:pPr>
      <w:r>
        <w:rPr>
          <w:rFonts w:hint="eastAsia" w:cs="宋体"/>
          <w:kern w:val="0"/>
          <w:szCs w:val="21"/>
        </w:rPr>
        <w:t>2、</w:t>
      </w:r>
      <w:r>
        <w:rPr>
          <w:rFonts w:hint="eastAsia" w:cs="宋体"/>
          <w:snapToGrid w:val="0"/>
          <w:kern w:val="0"/>
          <w:szCs w:val="21"/>
        </w:rPr>
        <w:t>掌握用</w:t>
      </w:r>
      <w:r>
        <w:rPr>
          <w:rFonts w:hint="eastAsia"/>
          <w:szCs w:val="21"/>
        </w:rPr>
        <w:t>硬件描述语言</w:t>
      </w:r>
      <w:r>
        <w:rPr>
          <w:rFonts w:hint="eastAsia" w:cs="宋体"/>
          <w:kern w:val="0"/>
          <w:szCs w:val="21"/>
        </w:rPr>
        <w:t>设计</w:t>
      </w:r>
      <w:r>
        <w:rPr>
          <w:rFonts w:hint="eastAsia" w:cs="宋体"/>
          <w:snapToGrid w:val="0"/>
          <w:kern w:val="0"/>
          <w:szCs w:val="21"/>
        </w:rPr>
        <w:t>状态机的</w:t>
      </w:r>
      <w:r>
        <w:rPr>
          <w:rFonts w:hint="eastAsia" w:cs="宋体"/>
          <w:kern w:val="0"/>
          <w:szCs w:val="21"/>
        </w:rPr>
        <w:t>方法；</w:t>
      </w:r>
    </w:p>
    <w:p>
      <w:pPr>
        <w:widowControl/>
        <w:adjustRightInd w:val="0"/>
        <w:snapToGrid w:val="0"/>
        <w:spacing w:line="360" w:lineRule="auto"/>
        <w:ind w:firstLine="420" w:firstLineChars="200"/>
        <w:jc w:val="left"/>
        <w:rPr>
          <w:rFonts w:cs="宋体"/>
          <w:snapToGrid w:val="0"/>
          <w:kern w:val="0"/>
          <w:szCs w:val="21"/>
        </w:rPr>
      </w:pPr>
      <w:r>
        <w:rPr>
          <w:rFonts w:hint="eastAsia" w:cs="宋体"/>
          <w:kern w:val="0"/>
          <w:szCs w:val="21"/>
        </w:rPr>
        <w:t>3、</w:t>
      </w:r>
      <w:r>
        <w:rPr>
          <w:rFonts w:hint="eastAsia" w:cs="宋体"/>
          <w:snapToGrid w:val="0"/>
          <w:kern w:val="0"/>
          <w:szCs w:val="21"/>
        </w:rPr>
        <w:t>将编写好的</w:t>
      </w:r>
      <w:r>
        <w:rPr>
          <w:rFonts w:hint="eastAsia"/>
          <w:szCs w:val="21"/>
        </w:rPr>
        <w:t>硬件描述语言</w:t>
      </w:r>
      <w:r>
        <w:rPr>
          <w:rFonts w:hint="eastAsia" w:cs="宋体"/>
          <w:snapToGrid w:val="0"/>
          <w:kern w:val="0"/>
          <w:szCs w:val="21"/>
        </w:rPr>
        <w:t>程序进行仿真。</w:t>
      </w:r>
    </w:p>
    <w:p>
      <w:pPr>
        <w:widowControl/>
        <w:adjustRightInd w:val="0"/>
        <w:snapToGrid w:val="0"/>
        <w:spacing w:line="360" w:lineRule="auto"/>
        <w:ind w:firstLine="420" w:firstLineChars="200"/>
        <w:jc w:val="left"/>
        <w:rPr>
          <w:rFonts w:cs="宋体"/>
          <w:snapToGrid w:val="0"/>
          <w:kern w:val="0"/>
          <w:szCs w:val="21"/>
        </w:rPr>
      </w:pPr>
      <w:r>
        <w:rPr>
          <w:rFonts w:cs="宋体"/>
          <w:bCs/>
          <w:snapToGrid w:val="0"/>
          <w:kern w:val="0"/>
          <w:szCs w:val="21"/>
        </w:rPr>
        <w:t>本实验支撑课程目标</w:t>
      </w:r>
      <w:r>
        <w:rPr>
          <w:rFonts w:hint="eastAsia" w:cs="宋体"/>
          <w:bCs/>
          <w:snapToGrid w:val="0"/>
          <w:kern w:val="0"/>
          <w:szCs w:val="21"/>
        </w:rPr>
        <w:t>1</w:t>
      </w:r>
      <w:r>
        <w:rPr>
          <w:rFonts w:cs="宋体"/>
          <w:bCs/>
          <w:snapToGrid w:val="0"/>
          <w:kern w:val="0"/>
          <w:szCs w:val="21"/>
        </w:rPr>
        <w:t>、</w:t>
      </w:r>
      <w:r>
        <w:rPr>
          <w:rFonts w:hint="eastAsia" w:cs="宋体"/>
          <w:bCs/>
          <w:snapToGrid w:val="0"/>
          <w:kern w:val="0"/>
          <w:szCs w:val="21"/>
        </w:rPr>
        <w:t>3。</w:t>
      </w:r>
    </w:p>
    <w:p>
      <w:pPr>
        <w:widowControl/>
        <w:adjustRightInd w:val="0"/>
        <w:snapToGrid w:val="0"/>
        <w:spacing w:line="360" w:lineRule="auto"/>
        <w:ind w:firstLine="420" w:firstLineChars="200"/>
        <w:jc w:val="left"/>
        <w:rPr>
          <w:rFonts w:eastAsia="黑体" w:cs="宋体"/>
          <w:kern w:val="0"/>
          <w:szCs w:val="21"/>
        </w:rPr>
      </w:pPr>
      <w:r>
        <w:rPr>
          <w:rFonts w:hint="eastAsia" w:eastAsia="黑体" w:cs="宋体"/>
          <w:snapToGrid w:val="0"/>
          <w:kern w:val="0"/>
          <w:szCs w:val="21"/>
        </w:rPr>
        <w:t>实验五利用可编程逻辑器件进行</w:t>
      </w:r>
      <w:r>
        <w:rPr>
          <w:rFonts w:hint="eastAsia" w:eastAsia="黑体"/>
          <w:bCs/>
          <w:szCs w:val="21"/>
        </w:rPr>
        <w:t>7段</w:t>
      </w:r>
      <w:r>
        <w:rPr>
          <w:rFonts w:hint="eastAsia" w:eastAsia="黑体" w:cs="宋体"/>
          <w:snapToGrid w:val="0"/>
          <w:kern w:val="0"/>
          <w:szCs w:val="21"/>
        </w:rPr>
        <w:t>数码管控制接口的设计（2学时）</w:t>
      </w:r>
    </w:p>
    <w:p>
      <w:pPr>
        <w:adjustRightInd w:val="0"/>
        <w:snapToGrid w:val="0"/>
        <w:spacing w:line="360" w:lineRule="auto"/>
        <w:ind w:firstLine="420" w:firstLineChars="200"/>
        <w:rPr>
          <w:szCs w:val="21"/>
        </w:rPr>
      </w:pPr>
      <w:r>
        <w:rPr>
          <w:rFonts w:hint="eastAsia" w:cs="宋体"/>
          <w:kern w:val="0"/>
          <w:szCs w:val="21"/>
        </w:rPr>
        <w:t>内容：</w:t>
      </w:r>
      <w:r>
        <w:rPr>
          <w:rFonts w:hint="eastAsia"/>
          <w:szCs w:val="21"/>
        </w:rPr>
        <w:t>了解</w:t>
      </w:r>
      <w:r>
        <w:rPr>
          <w:rFonts w:hint="eastAsia"/>
          <w:bCs/>
          <w:szCs w:val="21"/>
        </w:rPr>
        <w:t>7段数码管</w:t>
      </w:r>
      <w:r>
        <w:rPr>
          <w:rFonts w:hint="eastAsia"/>
          <w:szCs w:val="21"/>
        </w:rPr>
        <w:t>的功能和</w:t>
      </w:r>
      <w:r>
        <w:rPr>
          <w:rFonts w:hint="eastAsia"/>
          <w:bCs/>
          <w:szCs w:val="21"/>
        </w:rPr>
        <w:t>7段数码管</w:t>
      </w:r>
      <w:r>
        <w:rPr>
          <w:rFonts w:hint="eastAsia" w:cs="宋体"/>
          <w:snapToGrid w:val="0"/>
          <w:kern w:val="0"/>
          <w:szCs w:val="21"/>
        </w:rPr>
        <w:t>控制接口的设计方法</w:t>
      </w:r>
      <w:r>
        <w:rPr>
          <w:rFonts w:hint="eastAsia"/>
          <w:szCs w:val="21"/>
        </w:rPr>
        <w:t>，用VHDL语言设计</w:t>
      </w:r>
      <w:r>
        <w:rPr>
          <w:rFonts w:hint="eastAsia" w:cs="宋体"/>
          <w:snapToGrid w:val="0"/>
          <w:kern w:val="0"/>
          <w:szCs w:val="21"/>
        </w:rPr>
        <w:t>控制</w:t>
      </w:r>
      <w:r>
        <w:rPr>
          <w:rFonts w:hint="eastAsia"/>
          <w:bCs/>
          <w:szCs w:val="21"/>
        </w:rPr>
        <w:t>7段数码管</w:t>
      </w:r>
      <w:r>
        <w:rPr>
          <w:rFonts w:hint="eastAsia" w:cs="宋体"/>
          <w:snapToGrid w:val="0"/>
          <w:kern w:val="0"/>
          <w:szCs w:val="21"/>
        </w:rPr>
        <w:t>的接口</w:t>
      </w:r>
      <w:r>
        <w:rPr>
          <w:rFonts w:hint="eastAsia"/>
          <w:szCs w:val="21"/>
        </w:rPr>
        <w:t>电路，通过软件进行电路的仿真和下载，最后在实验箱上实现设计的功能。</w:t>
      </w:r>
    </w:p>
    <w:p>
      <w:pPr>
        <w:adjustRightInd w:val="0"/>
        <w:snapToGrid w:val="0"/>
        <w:spacing w:line="360" w:lineRule="auto"/>
        <w:ind w:firstLine="420" w:firstLineChars="200"/>
        <w:rPr>
          <w:rFonts w:cs="宋体"/>
          <w:kern w:val="0"/>
          <w:szCs w:val="21"/>
        </w:rPr>
      </w:pPr>
      <w:r>
        <w:rPr>
          <w:rFonts w:hint="eastAsia" w:cs="宋体"/>
          <w:kern w:val="0"/>
          <w:szCs w:val="21"/>
        </w:rPr>
        <w:t>基本要求：</w:t>
      </w:r>
    </w:p>
    <w:p>
      <w:pPr>
        <w:widowControl/>
        <w:adjustRightInd w:val="0"/>
        <w:snapToGrid w:val="0"/>
        <w:spacing w:line="360" w:lineRule="auto"/>
        <w:ind w:firstLine="420" w:firstLineChars="200"/>
        <w:jc w:val="left"/>
        <w:rPr>
          <w:rFonts w:cs="宋体"/>
          <w:kern w:val="0"/>
          <w:szCs w:val="21"/>
        </w:rPr>
      </w:pPr>
      <w:r>
        <w:rPr>
          <w:rFonts w:hint="eastAsia" w:cs="宋体"/>
          <w:kern w:val="0"/>
          <w:szCs w:val="21"/>
        </w:rPr>
        <w:t>1、掌握</w:t>
      </w:r>
      <w:r>
        <w:rPr>
          <w:rFonts w:hint="eastAsia"/>
          <w:bCs/>
          <w:szCs w:val="21"/>
        </w:rPr>
        <w:t>7段数码管</w:t>
      </w:r>
      <w:r>
        <w:rPr>
          <w:rFonts w:hint="eastAsia"/>
          <w:szCs w:val="21"/>
        </w:rPr>
        <w:t>的功能</w:t>
      </w:r>
      <w:r>
        <w:rPr>
          <w:rFonts w:hint="eastAsia" w:cs="宋体"/>
          <w:kern w:val="0"/>
          <w:szCs w:val="21"/>
        </w:rPr>
        <w:t>和</w:t>
      </w:r>
      <w:r>
        <w:rPr>
          <w:rFonts w:hint="eastAsia" w:cs="宋体"/>
          <w:snapToGrid w:val="0"/>
          <w:kern w:val="0"/>
          <w:szCs w:val="21"/>
        </w:rPr>
        <w:t>控制接口的</w:t>
      </w:r>
      <w:r>
        <w:rPr>
          <w:rFonts w:hint="eastAsia" w:cs="宋体"/>
          <w:kern w:val="0"/>
          <w:szCs w:val="21"/>
        </w:rPr>
        <w:t>设计方法；</w:t>
      </w:r>
    </w:p>
    <w:p>
      <w:pPr>
        <w:widowControl/>
        <w:tabs>
          <w:tab w:val="left" w:pos="720"/>
        </w:tabs>
        <w:adjustRightInd w:val="0"/>
        <w:snapToGrid w:val="0"/>
        <w:spacing w:line="360" w:lineRule="auto"/>
        <w:ind w:firstLine="420" w:firstLineChars="200"/>
        <w:jc w:val="left"/>
        <w:rPr>
          <w:rFonts w:cs="宋体"/>
          <w:kern w:val="0"/>
          <w:szCs w:val="21"/>
        </w:rPr>
      </w:pPr>
      <w:r>
        <w:rPr>
          <w:rFonts w:hint="eastAsia" w:cs="宋体"/>
          <w:kern w:val="0"/>
          <w:szCs w:val="21"/>
        </w:rPr>
        <w:t>2、掌握用</w:t>
      </w:r>
      <w:r>
        <w:rPr>
          <w:szCs w:val="21"/>
        </w:rPr>
        <w:t>VHDL</w:t>
      </w:r>
      <w:r>
        <w:rPr>
          <w:rFonts w:hint="eastAsia"/>
          <w:szCs w:val="21"/>
        </w:rPr>
        <w:t>语言的设计方法</w:t>
      </w:r>
      <w:r>
        <w:rPr>
          <w:rFonts w:hint="eastAsia" w:cs="宋体"/>
          <w:kern w:val="0"/>
          <w:szCs w:val="21"/>
        </w:rPr>
        <w:t>设计</w:t>
      </w:r>
      <w:r>
        <w:rPr>
          <w:rFonts w:hint="eastAsia"/>
          <w:bCs/>
          <w:szCs w:val="21"/>
        </w:rPr>
        <w:t>7段数码管</w:t>
      </w:r>
      <w:r>
        <w:rPr>
          <w:rFonts w:hint="eastAsia" w:cs="宋体"/>
          <w:snapToGrid w:val="0"/>
          <w:kern w:val="0"/>
          <w:szCs w:val="21"/>
        </w:rPr>
        <w:t>的控制接口，</w:t>
      </w:r>
      <w:r>
        <w:rPr>
          <w:rFonts w:hint="eastAsia" w:cs="宋体"/>
          <w:kern w:val="0"/>
          <w:szCs w:val="21"/>
        </w:rPr>
        <w:t>并进行</w:t>
      </w:r>
      <w:r>
        <w:rPr>
          <w:rFonts w:hint="eastAsia"/>
          <w:szCs w:val="21"/>
        </w:rPr>
        <w:t>电路的仿真和下载，最后在实验箱上实现</w:t>
      </w:r>
      <w:r>
        <w:rPr>
          <w:rFonts w:hint="eastAsia" w:cs="宋体"/>
          <w:kern w:val="0"/>
          <w:szCs w:val="21"/>
        </w:rPr>
        <w:t>设计</w:t>
      </w:r>
      <w:r>
        <w:rPr>
          <w:rFonts w:hint="eastAsia"/>
          <w:szCs w:val="21"/>
        </w:rPr>
        <w:t>的</w:t>
      </w:r>
      <w:r>
        <w:rPr>
          <w:rFonts w:hint="eastAsia" w:cs="宋体"/>
          <w:kern w:val="0"/>
          <w:szCs w:val="21"/>
        </w:rPr>
        <w:t>功能。</w:t>
      </w:r>
    </w:p>
    <w:p>
      <w:pPr>
        <w:widowControl/>
        <w:tabs>
          <w:tab w:val="left" w:pos="720"/>
        </w:tabs>
        <w:adjustRightInd w:val="0"/>
        <w:snapToGrid w:val="0"/>
        <w:spacing w:line="360" w:lineRule="auto"/>
        <w:ind w:firstLine="420" w:firstLineChars="200"/>
        <w:jc w:val="left"/>
        <w:rPr>
          <w:rFonts w:cs="宋体"/>
          <w:kern w:val="0"/>
          <w:szCs w:val="21"/>
        </w:rPr>
      </w:pPr>
      <w:r>
        <w:rPr>
          <w:rFonts w:cs="宋体"/>
          <w:bCs/>
          <w:snapToGrid w:val="0"/>
          <w:kern w:val="0"/>
          <w:szCs w:val="21"/>
        </w:rPr>
        <w:t>本实验支撑课程目标</w:t>
      </w:r>
      <w:r>
        <w:rPr>
          <w:rFonts w:hint="eastAsia" w:cs="宋体"/>
          <w:bCs/>
          <w:snapToGrid w:val="0"/>
          <w:kern w:val="0"/>
          <w:szCs w:val="21"/>
        </w:rPr>
        <w:t>1</w:t>
      </w:r>
      <w:r>
        <w:rPr>
          <w:rFonts w:cs="宋体"/>
          <w:bCs/>
          <w:snapToGrid w:val="0"/>
          <w:kern w:val="0"/>
          <w:szCs w:val="21"/>
        </w:rPr>
        <w:t>、</w:t>
      </w:r>
      <w:r>
        <w:rPr>
          <w:rFonts w:hint="eastAsia" w:cs="宋体"/>
          <w:bCs/>
          <w:snapToGrid w:val="0"/>
          <w:kern w:val="0"/>
          <w:szCs w:val="21"/>
        </w:rPr>
        <w:t>3。</w:t>
      </w:r>
    </w:p>
    <w:p>
      <w:pPr>
        <w:widowControl/>
        <w:adjustRightInd w:val="0"/>
        <w:snapToGrid w:val="0"/>
        <w:spacing w:line="360" w:lineRule="auto"/>
        <w:ind w:firstLine="420" w:firstLineChars="200"/>
        <w:jc w:val="left"/>
        <w:rPr>
          <w:rFonts w:eastAsia="黑体"/>
          <w:szCs w:val="21"/>
        </w:rPr>
      </w:pPr>
      <w:r>
        <w:rPr>
          <w:rFonts w:hint="eastAsia" w:eastAsia="黑体" w:cs="宋体"/>
          <w:kern w:val="0"/>
          <w:szCs w:val="21"/>
        </w:rPr>
        <w:t>实验六</w:t>
      </w:r>
      <w:r>
        <w:rPr>
          <w:rFonts w:hint="eastAsia" w:eastAsia="黑体" w:cs="宋体"/>
          <w:snapToGrid w:val="0"/>
          <w:kern w:val="0"/>
          <w:szCs w:val="21"/>
        </w:rPr>
        <w:t>利用可编程逻辑器件进行D/A控制接口的设计（2学时）</w:t>
      </w:r>
    </w:p>
    <w:p>
      <w:pPr>
        <w:adjustRightInd w:val="0"/>
        <w:snapToGrid w:val="0"/>
        <w:spacing w:line="360" w:lineRule="auto"/>
        <w:ind w:firstLine="420" w:firstLineChars="200"/>
        <w:rPr>
          <w:szCs w:val="21"/>
        </w:rPr>
      </w:pPr>
      <w:r>
        <w:rPr>
          <w:rFonts w:hint="eastAsia" w:cs="宋体"/>
          <w:kern w:val="0"/>
          <w:szCs w:val="21"/>
        </w:rPr>
        <w:t>内容：</w:t>
      </w:r>
      <w:r>
        <w:rPr>
          <w:rFonts w:hint="eastAsia"/>
          <w:szCs w:val="21"/>
        </w:rPr>
        <w:t>了解</w:t>
      </w:r>
      <w:r>
        <w:rPr>
          <w:rFonts w:hint="eastAsia" w:cs="宋体"/>
          <w:snapToGrid w:val="0"/>
          <w:kern w:val="0"/>
          <w:szCs w:val="21"/>
        </w:rPr>
        <w:t>D/A</w:t>
      </w:r>
      <w:r>
        <w:rPr>
          <w:rFonts w:hint="eastAsia"/>
          <w:szCs w:val="21"/>
        </w:rPr>
        <w:t>的功能和</w:t>
      </w:r>
      <w:r>
        <w:rPr>
          <w:rFonts w:hint="eastAsia" w:cs="宋体"/>
          <w:snapToGrid w:val="0"/>
          <w:kern w:val="0"/>
          <w:szCs w:val="21"/>
        </w:rPr>
        <w:t>D/A控制接口的设计方法</w:t>
      </w:r>
      <w:r>
        <w:rPr>
          <w:rFonts w:hint="eastAsia"/>
          <w:szCs w:val="21"/>
        </w:rPr>
        <w:t>，用VHDL语言设计</w:t>
      </w:r>
      <w:r>
        <w:rPr>
          <w:rFonts w:hint="eastAsia" w:cs="宋体"/>
          <w:snapToGrid w:val="0"/>
          <w:kern w:val="0"/>
          <w:szCs w:val="21"/>
        </w:rPr>
        <w:t>控制D/A的接口</w:t>
      </w:r>
      <w:r>
        <w:rPr>
          <w:rFonts w:hint="eastAsia"/>
          <w:szCs w:val="21"/>
        </w:rPr>
        <w:t>电路，通过软件进行电路的仿真和下载，最后在实验箱上实现设计的功能。</w:t>
      </w:r>
    </w:p>
    <w:p>
      <w:pPr>
        <w:adjustRightInd w:val="0"/>
        <w:snapToGrid w:val="0"/>
        <w:spacing w:line="360" w:lineRule="auto"/>
        <w:ind w:firstLine="420" w:firstLineChars="200"/>
        <w:rPr>
          <w:rFonts w:cs="宋体"/>
          <w:kern w:val="0"/>
          <w:szCs w:val="21"/>
        </w:rPr>
      </w:pPr>
      <w:r>
        <w:rPr>
          <w:rFonts w:hint="eastAsia" w:cs="宋体"/>
          <w:kern w:val="0"/>
          <w:szCs w:val="21"/>
        </w:rPr>
        <w:t>基本要求：</w:t>
      </w:r>
    </w:p>
    <w:p>
      <w:pPr>
        <w:widowControl/>
        <w:adjustRightInd w:val="0"/>
        <w:snapToGrid w:val="0"/>
        <w:spacing w:line="360" w:lineRule="auto"/>
        <w:ind w:firstLine="420" w:firstLineChars="200"/>
        <w:jc w:val="left"/>
        <w:rPr>
          <w:rFonts w:cs="宋体"/>
          <w:kern w:val="0"/>
          <w:szCs w:val="21"/>
        </w:rPr>
      </w:pPr>
      <w:r>
        <w:rPr>
          <w:rFonts w:hint="eastAsia" w:cs="宋体"/>
          <w:kern w:val="0"/>
          <w:szCs w:val="21"/>
        </w:rPr>
        <w:t>1、掌握</w:t>
      </w:r>
      <w:r>
        <w:rPr>
          <w:rFonts w:hint="eastAsia" w:cs="宋体"/>
          <w:snapToGrid w:val="0"/>
          <w:kern w:val="0"/>
          <w:szCs w:val="21"/>
        </w:rPr>
        <w:t>D/A</w:t>
      </w:r>
      <w:r>
        <w:rPr>
          <w:rFonts w:hint="eastAsia"/>
          <w:szCs w:val="21"/>
        </w:rPr>
        <w:t>的功能</w:t>
      </w:r>
      <w:r>
        <w:rPr>
          <w:rFonts w:hint="eastAsia" w:cs="宋体"/>
          <w:kern w:val="0"/>
          <w:szCs w:val="21"/>
        </w:rPr>
        <w:t>和</w:t>
      </w:r>
      <w:r>
        <w:rPr>
          <w:rFonts w:hint="eastAsia" w:cs="宋体"/>
          <w:snapToGrid w:val="0"/>
          <w:kern w:val="0"/>
          <w:szCs w:val="21"/>
        </w:rPr>
        <w:t>控制接口的</w:t>
      </w:r>
      <w:r>
        <w:rPr>
          <w:rFonts w:hint="eastAsia" w:cs="宋体"/>
          <w:kern w:val="0"/>
          <w:szCs w:val="21"/>
        </w:rPr>
        <w:t>设计方法；</w:t>
      </w:r>
    </w:p>
    <w:p>
      <w:pPr>
        <w:widowControl/>
        <w:tabs>
          <w:tab w:val="left" w:pos="720"/>
        </w:tabs>
        <w:adjustRightInd w:val="0"/>
        <w:snapToGrid w:val="0"/>
        <w:spacing w:line="360" w:lineRule="auto"/>
        <w:ind w:firstLine="420" w:firstLineChars="200"/>
        <w:jc w:val="left"/>
        <w:rPr>
          <w:rFonts w:cs="宋体"/>
          <w:kern w:val="0"/>
          <w:szCs w:val="21"/>
        </w:rPr>
      </w:pPr>
      <w:r>
        <w:rPr>
          <w:rFonts w:hint="eastAsia" w:cs="宋体"/>
          <w:kern w:val="0"/>
          <w:szCs w:val="21"/>
        </w:rPr>
        <w:t>2、掌握用</w:t>
      </w:r>
      <w:r>
        <w:rPr>
          <w:szCs w:val="21"/>
        </w:rPr>
        <w:t>VHDL</w:t>
      </w:r>
      <w:r>
        <w:rPr>
          <w:rFonts w:hint="eastAsia"/>
          <w:szCs w:val="21"/>
        </w:rPr>
        <w:t>语言的设计方法</w:t>
      </w:r>
      <w:r>
        <w:rPr>
          <w:rFonts w:hint="eastAsia" w:cs="宋体"/>
          <w:kern w:val="0"/>
          <w:szCs w:val="21"/>
        </w:rPr>
        <w:t>设计</w:t>
      </w:r>
      <w:r>
        <w:rPr>
          <w:rFonts w:hint="eastAsia" w:cs="宋体"/>
          <w:snapToGrid w:val="0"/>
          <w:kern w:val="0"/>
          <w:szCs w:val="21"/>
        </w:rPr>
        <w:t>D/A的控制接口，</w:t>
      </w:r>
      <w:r>
        <w:rPr>
          <w:rFonts w:hint="eastAsia" w:cs="宋体"/>
          <w:kern w:val="0"/>
          <w:szCs w:val="21"/>
        </w:rPr>
        <w:t>并进行</w:t>
      </w:r>
      <w:r>
        <w:rPr>
          <w:rFonts w:hint="eastAsia"/>
          <w:szCs w:val="21"/>
        </w:rPr>
        <w:t>电路的仿真和下载，最后在实验箱上实现</w:t>
      </w:r>
      <w:r>
        <w:rPr>
          <w:rFonts w:hint="eastAsia" w:cs="宋体"/>
          <w:kern w:val="0"/>
          <w:szCs w:val="21"/>
        </w:rPr>
        <w:t>设计</w:t>
      </w:r>
      <w:r>
        <w:rPr>
          <w:rFonts w:hint="eastAsia"/>
          <w:szCs w:val="21"/>
        </w:rPr>
        <w:t>的</w:t>
      </w:r>
      <w:r>
        <w:rPr>
          <w:rFonts w:hint="eastAsia" w:cs="宋体"/>
          <w:kern w:val="0"/>
          <w:szCs w:val="21"/>
        </w:rPr>
        <w:t>功能。</w:t>
      </w:r>
    </w:p>
    <w:p>
      <w:pPr>
        <w:widowControl/>
        <w:tabs>
          <w:tab w:val="left" w:pos="720"/>
        </w:tabs>
        <w:adjustRightInd w:val="0"/>
        <w:snapToGrid w:val="0"/>
        <w:spacing w:line="360" w:lineRule="auto"/>
        <w:ind w:firstLine="420" w:firstLineChars="200"/>
        <w:jc w:val="left"/>
        <w:rPr>
          <w:rFonts w:cs="宋体"/>
          <w:kern w:val="0"/>
          <w:szCs w:val="21"/>
        </w:rPr>
      </w:pPr>
      <w:r>
        <w:rPr>
          <w:rFonts w:cs="宋体"/>
          <w:bCs/>
          <w:snapToGrid w:val="0"/>
          <w:kern w:val="0"/>
          <w:szCs w:val="21"/>
        </w:rPr>
        <w:t>本实验支撑课程目标</w:t>
      </w:r>
      <w:r>
        <w:rPr>
          <w:rFonts w:hint="eastAsia" w:cs="宋体"/>
          <w:bCs/>
          <w:snapToGrid w:val="0"/>
          <w:kern w:val="0"/>
          <w:szCs w:val="21"/>
        </w:rPr>
        <w:t>1</w:t>
      </w:r>
      <w:r>
        <w:rPr>
          <w:rFonts w:cs="宋体"/>
          <w:bCs/>
          <w:snapToGrid w:val="0"/>
          <w:kern w:val="0"/>
          <w:szCs w:val="21"/>
        </w:rPr>
        <w:t>、</w:t>
      </w:r>
      <w:r>
        <w:rPr>
          <w:rFonts w:hint="eastAsia" w:cs="宋体"/>
          <w:bCs/>
          <w:snapToGrid w:val="0"/>
          <w:kern w:val="0"/>
          <w:szCs w:val="21"/>
        </w:rPr>
        <w:t>3。</w:t>
      </w:r>
    </w:p>
    <w:p>
      <w:pPr>
        <w:widowControl/>
        <w:adjustRightInd w:val="0"/>
        <w:snapToGrid w:val="0"/>
        <w:spacing w:line="360" w:lineRule="auto"/>
        <w:ind w:firstLine="420" w:firstLineChars="200"/>
        <w:jc w:val="left"/>
        <w:rPr>
          <w:rFonts w:eastAsia="黑体"/>
          <w:szCs w:val="21"/>
        </w:rPr>
      </w:pPr>
      <w:r>
        <w:rPr>
          <w:rFonts w:hint="eastAsia" w:eastAsia="黑体" w:cs="宋体"/>
          <w:kern w:val="0"/>
          <w:szCs w:val="21"/>
        </w:rPr>
        <w:t>实验七</w:t>
      </w:r>
      <w:r>
        <w:rPr>
          <w:rFonts w:hint="eastAsia" w:eastAsia="黑体" w:cs="宋体"/>
          <w:snapToGrid w:val="0"/>
          <w:kern w:val="0"/>
          <w:szCs w:val="21"/>
        </w:rPr>
        <w:t>利</w:t>
      </w:r>
      <w:r>
        <w:rPr>
          <w:rFonts w:hint="eastAsia" w:eastAsia="黑体"/>
          <w:szCs w:val="21"/>
        </w:rPr>
        <w:t>用</w:t>
      </w:r>
      <w:r>
        <w:rPr>
          <w:rFonts w:hint="eastAsia" w:eastAsia="黑体" w:cs="宋体"/>
          <w:snapToGrid w:val="0"/>
          <w:kern w:val="0"/>
          <w:szCs w:val="21"/>
        </w:rPr>
        <w:t>可编程逻辑器件进行A/D控制接口的设计（4学时，分组实验）</w:t>
      </w:r>
    </w:p>
    <w:p>
      <w:pPr>
        <w:adjustRightInd w:val="0"/>
        <w:snapToGrid w:val="0"/>
        <w:spacing w:line="360" w:lineRule="auto"/>
        <w:ind w:firstLine="420" w:firstLineChars="200"/>
        <w:rPr>
          <w:szCs w:val="21"/>
        </w:rPr>
      </w:pPr>
      <w:r>
        <w:rPr>
          <w:rFonts w:hint="eastAsia" w:cs="宋体"/>
          <w:kern w:val="0"/>
          <w:szCs w:val="21"/>
        </w:rPr>
        <w:t>内容：</w:t>
      </w:r>
      <w:r>
        <w:rPr>
          <w:rFonts w:hint="eastAsia"/>
          <w:szCs w:val="21"/>
        </w:rPr>
        <w:t>了解</w:t>
      </w:r>
      <w:r>
        <w:rPr>
          <w:rFonts w:hint="eastAsia" w:cs="宋体"/>
          <w:snapToGrid w:val="0"/>
          <w:kern w:val="0"/>
          <w:szCs w:val="21"/>
        </w:rPr>
        <w:t>A/D</w:t>
      </w:r>
      <w:r>
        <w:rPr>
          <w:rFonts w:hint="eastAsia"/>
          <w:szCs w:val="21"/>
        </w:rPr>
        <w:t>的功能和</w:t>
      </w:r>
      <w:r>
        <w:rPr>
          <w:rFonts w:hint="eastAsia" w:cs="宋体"/>
          <w:snapToGrid w:val="0"/>
          <w:kern w:val="0"/>
          <w:szCs w:val="21"/>
        </w:rPr>
        <w:t>A/D控制接口的设计方法</w:t>
      </w:r>
      <w:r>
        <w:rPr>
          <w:rFonts w:hint="eastAsia"/>
          <w:szCs w:val="21"/>
        </w:rPr>
        <w:t>，用VHDL语言设计</w:t>
      </w:r>
      <w:r>
        <w:rPr>
          <w:rFonts w:hint="eastAsia" w:cs="宋体"/>
          <w:snapToGrid w:val="0"/>
          <w:kern w:val="0"/>
          <w:szCs w:val="21"/>
        </w:rPr>
        <w:t>控制A/D的接口</w:t>
      </w:r>
      <w:r>
        <w:rPr>
          <w:rFonts w:hint="eastAsia"/>
          <w:szCs w:val="21"/>
        </w:rPr>
        <w:t>电路，同时设计信号输入电路、A/D转换结果显示验证电路，通过软件进行电路的仿真和下载，最后在实验箱上实现设计的功能。</w:t>
      </w:r>
    </w:p>
    <w:p>
      <w:pPr>
        <w:adjustRightInd w:val="0"/>
        <w:snapToGrid w:val="0"/>
        <w:spacing w:line="360" w:lineRule="auto"/>
        <w:ind w:firstLine="420" w:firstLineChars="200"/>
        <w:rPr>
          <w:rFonts w:cs="宋体"/>
          <w:kern w:val="0"/>
          <w:szCs w:val="21"/>
        </w:rPr>
      </w:pPr>
      <w:r>
        <w:rPr>
          <w:rFonts w:hint="eastAsia" w:cs="宋体"/>
          <w:kern w:val="0"/>
          <w:szCs w:val="21"/>
        </w:rPr>
        <w:t>基本要求：</w:t>
      </w:r>
    </w:p>
    <w:p>
      <w:pPr>
        <w:pStyle w:val="40"/>
        <w:widowControl/>
        <w:adjustRightInd w:val="0"/>
        <w:snapToGrid w:val="0"/>
        <w:spacing w:line="360" w:lineRule="auto"/>
        <w:ind w:firstLineChars="0"/>
        <w:jc w:val="left"/>
        <w:rPr>
          <w:rFonts w:cs="宋体"/>
          <w:kern w:val="0"/>
          <w:szCs w:val="21"/>
        </w:rPr>
      </w:pPr>
      <w:r>
        <w:rPr>
          <w:rFonts w:hint="eastAsia" w:cs="宋体"/>
          <w:kern w:val="0"/>
          <w:szCs w:val="21"/>
        </w:rPr>
        <w:t>1、掌握</w:t>
      </w:r>
      <w:r>
        <w:rPr>
          <w:rFonts w:hint="eastAsia" w:cs="宋体"/>
          <w:snapToGrid w:val="0"/>
          <w:kern w:val="0"/>
          <w:szCs w:val="21"/>
        </w:rPr>
        <w:t>A/D</w:t>
      </w:r>
      <w:r>
        <w:rPr>
          <w:rFonts w:hint="eastAsia"/>
          <w:szCs w:val="21"/>
        </w:rPr>
        <w:t>的功能</w:t>
      </w:r>
      <w:r>
        <w:rPr>
          <w:rFonts w:hint="eastAsia" w:cs="宋体"/>
          <w:kern w:val="0"/>
          <w:szCs w:val="21"/>
        </w:rPr>
        <w:t>和</w:t>
      </w:r>
      <w:r>
        <w:rPr>
          <w:rFonts w:hint="eastAsia" w:cs="宋体"/>
          <w:snapToGrid w:val="0"/>
          <w:kern w:val="0"/>
          <w:szCs w:val="21"/>
        </w:rPr>
        <w:t>控制接口的</w:t>
      </w:r>
      <w:r>
        <w:rPr>
          <w:rFonts w:hint="eastAsia" w:cs="宋体"/>
          <w:kern w:val="0"/>
          <w:szCs w:val="21"/>
        </w:rPr>
        <w:t>设计方法；</w:t>
      </w:r>
    </w:p>
    <w:p>
      <w:pPr>
        <w:pStyle w:val="40"/>
        <w:widowControl/>
        <w:adjustRightInd w:val="0"/>
        <w:snapToGrid w:val="0"/>
        <w:spacing w:line="360" w:lineRule="auto"/>
        <w:ind w:firstLineChars="0"/>
        <w:jc w:val="left"/>
        <w:rPr>
          <w:rFonts w:cs="宋体"/>
          <w:kern w:val="0"/>
          <w:szCs w:val="21"/>
        </w:rPr>
      </w:pPr>
      <w:r>
        <w:rPr>
          <w:rFonts w:hint="eastAsia" w:cs="宋体"/>
          <w:kern w:val="0"/>
          <w:szCs w:val="21"/>
        </w:rPr>
        <w:t>2、</w:t>
      </w:r>
      <w:r>
        <w:rPr>
          <w:rFonts w:cs="宋体"/>
          <w:kern w:val="0"/>
          <w:szCs w:val="21"/>
        </w:rPr>
        <w:t>能够产生可调的电压输入信号；</w:t>
      </w:r>
    </w:p>
    <w:p>
      <w:pPr>
        <w:pStyle w:val="40"/>
        <w:widowControl/>
        <w:adjustRightInd w:val="0"/>
        <w:snapToGrid w:val="0"/>
        <w:spacing w:line="360" w:lineRule="auto"/>
        <w:ind w:firstLineChars="0"/>
        <w:jc w:val="left"/>
        <w:rPr>
          <w:rFonts w:cs="宋体"/>
          <w:kern w:val="0"/>
          <w:szCs w:val="21"/>
        </w:rPr>
      </w:pPr>
      <w:r>
        <w:rPr>
          <w:rFonts w:hint="eastAsia" w:cs="宋体"/>
          <w:kern w:val="0"/>
          <w:szCs w:val="21"/>
        </w:rPr>
        <w:t>3、</w:t>
      </w:r>
      <w:r>
        <w:rPr>
          <w:rFonts w:cs="宋体"/>
          <w:kern w:val="0"/>
          <w:szCs w:val="21"/>
        </w:rPr>
        <w:t>能够基于实验箱和电脑采用直观的方式显示A/D转换结果，进行验证</w:t>
      </w:r>
      <w:r>
        <w:rPr>
          <w:rFonts w:hint="eastAsia" w:cs="宋体"/>
          <w:kern w:val="0"/>
          <w:szCs w:val="21"/>
        </w:rPr>
        <w:t>；</w:t>
      </w:r>
    </w:p>
    <w:p>
      <w:pPr>
        <w:pStyle w:val="40"/>
        <w:widowControl/>
        <w:adjustRightInd w:val="0"/>
        <w:snapToGrid w:val="0"/>
        <w:spacing w:line="360" w:lineRule="auto"/>
        <w:ind w:firstLineChars="0"/>
        <w:jc w:val="left"/>
        <w:rPr>
          <w:rFonts w:cs="宋体"/>
          <w:kern w:val="0"/>
          <w:szCs w:val="21"/>
        </w:rPr>
      </w:pPr>
      <w:r>
        <w:rPr>
          <w:rFonts w:hint="eastAsia" w:cs="宋体"/>
          <w:kern w:val="0"/>
          <w:szCs w:val="21"/>
        </w:rPr>
        <w:t>4、本实验为课外分组实验。两个学时用来提出实验要求并进行讲解，然后要求学生2或3人一组，分工明确，利用课后时间，协同完成实验的设计、仿真和验证，需要学生自己设计出验证方法。最后两个小时，教师要检查实际电路，测试其正确性，完成验收。最后每位学生独立提交规范的实验报告；</w:t>
      </w:r>
    </w:p>
    <w:p>
      <w:pPr>
        <w:pStyle w:val="40"/>
        <w:widowControl/>
        <w:adjustRightInd w:val="0"/>
        <w:snapToGrid w:val="0"/>
        <w:spacing w:line="360" w:lineRule="auto"/>
        <w:ind w:firstLineChars="0"/>
        <w:jc w:val="left"/>
        <w:rPr>
          <w:rFonts w:cs="宋体"/>
          <w:kern w:val="0"/>
          <w:szCs w:val="21"/>
        </w:rPr>
      </w:pPr>
      <w:r>
        <w:rPr>
          <w:rFonts w:hint="eastAsia" w:cs="宋体"/>
          <w:kern w:val="0"/>
          <w:szCs w:val="21"/>
        </w:rPr>
        <w:t>5、在分组实验中要注重培养学生的协作精神、包容意识和创新精神等。</w:t>
      </w:r>
    </w:p>
    <w:p>
      <w:pPr>
        <w:adjustRightInd w:val="0"/>
        <w:snapToGrid w:val="0"/>
        <w:spacing w:line="360" w:lineRule="auto"/>
        <w:ind w:firstLine="420" w:firstLineChars="200"/>
        <w:rPr>
          <w:rFonts w:cs="宋体"/>
          <w:bCs/>
          <w:snapToGrid w:val="0"/>
          <w:kern w:val="0"/>
          <w:szCs w:val="21"/>
        </w:rPr>
      </w:pPr>
      <w:r>
        <w:rPr>
          <w:rFonts w:cs="宋体"/>
          <w:bCs/>
          <w:snapToGrid w:val="0"/>
          <w:kern w:val="0"/>
          <w:szCs w:val="21"/>
        </w:rPr>
        <w:t>本实验支撑课程目标</w:t>
      </w:r>
      <w:r>
        <w:rPr>
          <w:rFonts w:hint="eastAsia" w:cs="宋体"/>
          <w:bCs/>
          <w:snapToGrid w:val="0"/>
          <w:kern w:val="0"/>
          <w:szCs w:val="21"/>
        </w:rPr>
        <w:t>1</w:t>
      </w:r>
      <w:r>
        <w:rPr>
          <w:rFonts w:cs="宋体"/>
          <w:bCs/>
          <w:snapToGrid w:val="0"/>
          <w:kern w:val="0"/>
          <w:szCs w:val="21"/>
        </w:rPr>
        <w:t>、</w:t>
      </w:r>
      <w:r>
        <w:rPr>
          <w:rFonts w:hint="eastAsia" w:cs="宋体"/>
          <w:bCs/>
          <w:snapToGrid w:val="0"/>
          <w:kern w:val="0"/>
          <w:szCs w:val="21"/>
        </w:rPr>
        <w:t>2、3。</w:t>
      </w:r>
    </w:p>
    <w:p>
      <w:pPr>
        <w:adjustRightInd w:val="0"/>
        <w:snapToGrid w:val="0"/>
        <w:spacing w:line="360" w:lineRule="auto"/>
        <w:ind w:firstLine="420" w:firstLineChars="200"/>
        <w:rPr>
          <w:szCs w:val="21"/>
        </w:rPr>
      </w:pPr>
    </w:p>
    <w:p>
      <w:pPr>
        <w:widowControl/>
        <w:adjustRightInd w:val="0"/>
        <w:snapToGrid w:val="0"/>
        <w:spacing w:line="360" w:lineRule="auto"/>
        <w:jc w:val="left"/>
        <w:rPr>
          <w:rFonts w:eastAsia="黑体" w:cs="宋体"/>
          <w:kern w:val="0"/>
          <w:szCs w:val="21"/>
        </w:rPr>
      </w:pPr>
      <w:r>
        <w:rPr>
          <w:rFonts w:hint="eastAsia" w:eastAsia="黑体" w:cs="宋体"/>
          <w:kern w:val="0"/>
          <w:szCs w:val="21"/>
        </w:rPr>
        <w:t>六、学时分配</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636"/>
        <w:gridCol w:w="2038"/>
        <w:gridCol w:w="1602"/>
        <w:gridCol w:w="125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132" w:type="pct"/>
            <w:vAlign w:val="center"/>
          </w:tcPr>
          <w:p>
            <w:pPr>
              <w:jc w:val="center"/>
              <w:rPr>
                <w:sz w:val="18"/>
                <w:szCs w:val="18"/>
              </w:rPr>
            </w:pPr>
            <w:r>
              <w:rPr>
                <w:rFonts w:hint="eastAsia"/>
                <w:sz w:val="18"/>
                <w:szCs w:val="18"/>
              </w:rPr>
              <w:t>知识点及内容</w:t>
            </w:r>
          </w:p>
        </w:tc>
        <w:tc>
          <w:tcPr>
            <w:tcW w:w="1195" w:type="pct"/>
            <w:vAlign w:val="center"/>
          </w:tcPr>
          <w:p>
            <w:pPr>
              <w:jc w:val="center"/>
              <w:rPr>
                <w:sz w:val="18"/>
                <w:szCs w:val="18"/>
              </w:rPr>
            </w:pPr>
            <w:r>
              <w:rPr>
                <w:rFonts w:hint="eastAsia"/>
                <w:sz w:val="18"/>
                <w:szCs w:val="18"/>
              </w:rPr>
              <w:t>讲授（学时）</w:t>
            </w:r>
          </w:p>
        </w:tc>
        <w:tc>
          <w:tcPr>
            <w:tcW w:w="939" w:type="pct"/>
            <w:vAlign w:val="center"/>
          </w:tcPr>
          <w:p>
            <w:pPr>
              <w:jc w:val="center"/>
              <w:rPr>
                <w:sz w:val="18"/>
                <w:szCs w:val="18"/>
              </w:rPr>
            </w:pPr>
            <w:r>
              <w:rPr>
                <w:rFonts w:hint="eastAsia"/>
                <w:sz w:val="18"/>
                <w:szCs w:val="18"/>
              </w:rPr>
              <w:t>实验（学时）</w:t>
            </w:r>
          </w:p>
        </w:tc>
        <w:tc>
          <w:tcPr>
            <w:tcW w:w="734" w:type="pct"/>
            <w:vAlign w:val="center"/>
          </w:tcPr>
          <w:p>
            <w:pPr>
              <w:jc w:val="center"/>
              <w:rPr>
                <w:sz w:val="18"/>
                <w:szCs w:val="18"/>
              </w:rPr>
            </w:pPr>
            <w:r>
              <w:rPr>
                <w:rFonts w:hint="eastAsia"/>
                <w:sz w:val="18"/>
                <w:szCs w:val="18"/>
              </w:rPr>
              <w:t>小计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132" w:type="pct"/>
            <w:vAlign w:val="center"/>
          </w:tcPr>
          <w:p>
            <w:pPr>
              <w:widowControl/>
              <w:jc w:val="center"/>
              <w:rPr>
                <w:rFonts w:cs="宋体"/>
                <w:snapToGrid w:val="0"/>
                <w:kern w:val="0"/>
                <w:sz w:val="18"/>
                <w:szCs w:val="18"/>
              </w:rPr>
            </w:pPr>
            <w:r>
              <w:rPr>
                <w:rFonts w:hint="eastAsia" w:cs="宋体"/>
                <w:bCs/>
                <w:snapToGrid w:val="0"/>
                <w:kern w:val="0"/>
                <w:sz w:val="18"/>
                <w:szCs w:val="18"/>
              </w:rPr>
              <w:t>1绪论</w:t>
            </w:r>
          </w:p>
        </w:tc>
        <w:tc>
          <w:tcPr>
            <w:tcW w:w="1195" w:type="pct"/>
            <w:vAlign w:val="center"/>
          </w:tcPr>
          <w:p>
            <w:pPr>
              <w:widowControl/>
              <w:jc w:val="center"/>
              <w:rPr>
                <w:rFonts w:cs="宋体"/>
                <w:kern w:val="0"/>
                <w:sz w:val="18"/>
                <w:szCs w:val="18"/>
              </w:rPr>
            </w:pPr>
            <w:r>
              <w:rPr>
                <w:rFonts w:hint="eastAsia" w:cs="宋体"/>
                <w:kern w:val="0"/>
                <w:sz w:val="18"/>
                <w:szCs w:val="18"/>
              </w:rPr>
              <w:t>1</w:t>
            </w:r>
          </w:p>
        </w:tc>
        <w:tc>
          <w:tcPr>
            <w:tcW w:w="939" w:type="pct"/>
            <w:vAlign w:val="center"/>
          </w:tcPr>
          <w:p>
            <w:pPr>
              <w:widowControl/>
              <w:jc w:val="center"/>
              <w:rPr>
                <w:rFonts w:cs="宋体"/>
                <w:kern w:val="0"/>
                <w:sz w:val="18"/>
                <w:szCs w:val="18"/>
              </w:rPr>
            </w:pPr>
            <w:r>
              <w:rPr>
                <w:rFonts w:hint="eastAsia" w:cs="宋体"/>
                <w:kern w:val="0"/>
                <w:sz w:val="18"/>
                <w:szCs w:val="18"/>
              </w:rPr>
              <w:t>0</w:t>
            </w:r>
          </w:p>
        </w:tc>
        <w:tc>
          <w:tcPr>
            <w:tcW w:w="734" w:type="pct"/>
            <w:vAlign w:val="center"/>
          </w:tcPr>
          <w:p>
            <w:pPr>
              <w:widowControl/>
              <w:jc w:val="center"/>
              <w:rPr>
                <w:rFonts w:cs="宋体"/>
                <w:kern w:val="0"/>
                <w:sz w:val="18"/>
                <w:szCs w:val="18"/>
              </w:rPr>
            </w:pPr>
            <w:r>
              <w:rPr>
                <w:rFonts w:hint="eastAsia" w:cs="宋体"/>
                <w:kern w:val="0"/>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132" w:type="pct"/>
            <w:vAlign w:val="center"/>
          </w:tcPr>
          <w:p>
            <w:pPr>
              <w:widowControl/>
              <w:jc w:val="center"/>
              <w:rPr>
                <w:rFonts w:cs="宋体"/>
                <w:snapToGrid w:val="0"/>
                <w:kern w:val="0"/>
                <w:sz w:val="18"/>
                <w:szCs w:val="18"/>
              </w:rPr>
            </w:pPr>
            <w:r>
              <w:rPr>
                <w:rFonts w:hint="eastAsia" w:cs="宋体"/>
                <w:bCs/>
                <w:snapToGrid w:val="0"/>
                <w:kern w:val="0"/>
                <w:sz w:val="18"/>
                <w:szCs w:val="18"/>
              </w:rPr>
              <w:t>2可编程逻辑器件的原理与结构</w:t>
            </w:r>
          </w:p>
        </w:tc>
        <w:tc>
          <w:tcPr>
            <w:tcW w:w="1195" w:type="pct"/>
            <w:vAlign w:val="center"/>
          </w:tcPr>
          <w:p>
            <w:pPr>
              <w:widowControl/>
              <w:jc w:val="center"/>
              <w:rPr>
                <w:rFonts w:cs="宋体"/>
                <w:kern w:val="0"/>
                <w:sz w:val="18"/>
                <w:szCs w:val="18"/>
              </w:rPr>
            </w:pPr>
            <w:r>
              <w:rPr>
                <w:rFonts w:hint="eastAsia" w:cs="宋体"/>
                <w:kern w:val="0"/>
                <w:sz w:val="18"/>
                <w:szCs w:val="18"/>
              </w:rPr>
              <w:t>3</w:t>
            </w:r>
          </w:p>
        </w:tc>
        <w:tc>
          <w:tcPr>
            <w:tcW w:w="939" w:type="pct"/>
            <w:vAlign w:val="center"/>
          </w:tcPr>
          <w:p>
            <w:pPr>
              <w:widowControl/>
              <w:jc w:val="center"/>
              <w:rPr>
                <w:rFonts w:cs="宋体"/>
                <w:kern w:val="0"/>
                <w:sz w:val="18"/>
                <w:szCs w:val="18"/>
              </w:rPr>
            </w:pPr>
            <w:r>
              <w:rPr>
                <w:rFonts w:hint="eastAsia" w:cs="宋体"/>
                <w:kern w:val="0"/>
                <w:sz w:val="18"/>
                <w:szCs w:val="18"/>
              </w:rPr>
              <w:t>0</w:t>
            </w:r>
          </w:p>
        </w:tc>
        <w:tc>
          <w:tcPr>
            <w:tcW w:w="734" w:type="pct"/>
            <w:vAlign w:val="center"/>
          </w:tcPr>
          <w:p>
            <w:pPr>
              <w:widowControl/>
              <w:jc w:val="center"/>
              <w:rPr>
                <w:rFonts w:cs="宋体"/>
                <w:kern w:val="0"/>
                <w:sz w:val="18"/>
                <w:szCs w:val="18"/>
              </w:rPr>
            </w:pPr>
            <w:r>
              <w:rPr>
                <w:rFonts w:hint="eastAsia" w:cs="宋体"/>
                <w:kern w:val="0"/>
                <w:sz w:val="18"/>
                <w:szCs w:val="18"/>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132" w:type="pct"/>
            <w:vAlign w:val="center"/>
          </w:tcPr>
          <w:p>
            <w:pPr>
              <w:widowControl/>
              <w:jc w:val="center"/>
              <w:rPr>
                <w:rFonts w:cs="宋体"/>
                <w:kern w:val="0"/>
                <w:sz w:val="18"/>
                <w:szCs w:val="18"/>
              </w:rPr>
            </w:pPr>
            <w:r>
              <w:rPr>
                <w:rFonts w:hint="eastAsia" w:cs="宋体"/>
                <w:snapToGrid w:val="0"/>
                <w:kern w:val="0"/>
                <w:sz w:val="18"/>
                <w:szCs w:val="18"/>
              </w:rPr>
              <w:t>3硬件描述语言的基本结构、数据类型和运算操作符</w:t>
            </w:r>
          </w:p>
        </w:tc>
        <w:tc>
          <w:tcPr>
            <w:tcW w:w="1195" w:type="pct"/>
            <w:vAlign w:val="center"/>
          </w:tcPr>
          <w:p>
            <w:pPr>
              <w:widowControl/>
              <w:jc w:val="center"/>
              <w:rPr>
                <w:rFonts w:cs="宋体"/>
                <w:kern w:val="0"/>
                <w:sz w:val="18"/>
                <w:szCs w:val="18"/>
              </w:rPr>
            </w:pPr>
            <w:r>
              <w:rPr>
                <w:rFonts w:hint="eastAsia" w:cs="宋体"/>
                <w:kern w:val="0"/>
                <w:sz w:val="18"/>
                <w:szCs w:val="18"/>
              </w:rPr>
              <w:t>6</w:t>
            </w:r>
          </w:p>
        </w:tc>
        <w:tc>
          <w:tcPr>
            <w:tcW w:w="939" w:type="pct"/>
            <w:vAlign w:val="center"/>
          </w:tcPr>
          <w:p>
            <w:pPr>
              <w:widowControl/>
              <w:jc w:val="center"/>
              <w:rPr>
                <w:rFonts w:cs="宋体"/>
                <w:kern w:val="0"/>
                <w:sz w:val="18"/>
                <w:szCs w:val="18"/>
              </w:rPr>
            </w:pPr>
            <w:r>
              <w:rPr>
                <w:rFonts w:hint="eastAsia" w:cs="宋体"/>
                <w:kern w:val="0"/>
                <w:sz w:val="18"/>
                <w:szCs w:val="18"/>
              </w:rPr>
              <w:t>0</w:t>
            </w:r>
          </w:p>
        </w:tc>
        <w:tc>
          <w:tcPr>
            <w:tcW w:w="734" w:type="pct"/>
            <w:vAlign w:val="center"/>
          </w:tcPr>
          <w:p>
            <w:pPr>
              <w:widowControl/>
              <w:jc w:val="center"/>
              <w:rPr>
                <w:rFonts w:cs="宋体"/>
                <w:kern w:val="0"/>
                <w:sz w:val="18"/>
                <w:szCs w:val="18"/>
              </w:rPr>
            </w:pPr>
            <w:r>
              <w:rPr>
                <w:rFonts w:hint="eastAsia" w:cs="宋体"/>
                <w:kern w:val="0"/>
                <w:sz w:val="18"/>
                <w:szCs w:val="18"/>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132" w:type="pct"/>
            <w:vAlign w:val="center"/>
          </w:tcPr>
          <w:p>
            <w:pPr>
              <w:widowControl/>
              <w:jc w:val="center"/>
              <w:rPr>
                <w:rFonts w:cs="宋体"/>
                <w:kern w:val="0"/>
                <w:sz w:val="18"/>
                <w:szCs w:val="18"/>
              </w:rPr>
            </w:pPr>
            <w:r>
              <w:rPr>
                <w:rFonts w:hint="eastAsia" w:cs="宋体"/>
                <w:snapToGrid w:val="0"/>
                <w:kern w:val="0"/>
                <w:sz w:val="18"/>
                <w:szCs w:val="18"/>
              </w:rPr>
              <w:t>4 硬件描述语言的</w:t>
            </w:r>
            <w:r>
              <w:rPr>
                <w:rFonts w:hint="eastAsia"/>
                <w:snapToGrid w:val="0"/>
                <w:kern w:val="0"/>
                <w:sz w:val="18"/>
                <w:szCs w:val="18"/>
              </w:rPr>
              <w:t>主要描述语句</w:t>
            </w:r>
          </w:p>
        </w:tc>
        <w:tc>
          <w:tcPr>
            <w:tcW w:w="1195" w:type="pct"/>
            <w:vAlign w:val="center"/>
          </w:tcPr>
          <w:p>
            <w:pPr>
              <w:widowControl/>
              <w:jc w:val="center"/>
              <w:rPr>
                <w:rFonts w:cs="宋体"/>
                <w:kern w:val="0"/>
                <w:sz w:val="18"/>
                <w:szCs w:val="18"/>
              </w:rPr>
            </w:pPr>
            <w:r>
              <w:rPr>
                <w:rFonts w:hint="eastAsia" w:cs="宋体"/>
                <w:kern w:val="0"/>
                <w:sz w:val="18"/>
                <w:szCs w:val="18"/>
              </w:rPr>
              <w:t>6</w:t>
            </w:r>
          </w:p>
        </w:tc>
        <w:tc>
          <w:tcPr>
            <w:tcW w:w="939" w:type="pct"/>
            <w:vAlign w:val="center"/>
          </w:tcPr>
          <w:p>
            <w:pPr>
              <w:widowControl/>
              <w:jc w:val="center"/>
              <w:rPr>
                <w:rFonts w:cs="宋体"/>
                <w:kern w:val="0"/>
                <w:sz w:val="18"/>
                <w:szCs w:val="18"/>
              </w:rPr>
            </w:pPr>
            <w:r>
              <w:rPr>
                <w:rFonts w:hint="eastAsia" w:cs="宋体"/>
                <w:kern w:val="0"/>
                <w:sz w:val="18"/>
                <w:szCs w:val="18"/>
              </w:rPr>
              <w:t>0</w:t>
            </w:r>
          </w:p>
        </w:tc>
        <w:tc>
          <w:tcPr>
            <w:tcW w:w="734" w:type="pct"/>
            <w:vAlign w:val="center"/>
          </w:tcPr>
          <w:p>
            <w:pPr>
              <w:widowControl/>
              <w:jc w:val="center"/>
              <w:rPr>
                <w:rFonts w:cs="宋体"/>
                <w:kern w:val="0"/>
                <w:sz w:val="18"/>
                <w:szCs w:val="18"/>
              </w:rPr>
            </w:pPr>
            <w:r>
              <w:rPr>
                <w:rFonts w:hint="eastAsia" w:cs="宋体"/>
                <w:kern w:val="0"/>
                <w:sz w:val="18"/>
                <w:szCs w:val="18"/>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132" w:type="pct"/>
            <w:vAlign w:val="center"/>
          </w:tcPr>
          <w:p>
            <w:pPr>
              <w:widowControl/>
              <w:jc w:val="center"/>
              <w:rPr>
                <w:rFonts w:cs="宋体"/>
                <w:kern w:val="0"/>
                <w:sz w:val="18"/>
                <w:szCs w:val="18"/>
              </w:rPr>
            </w:pPr>
            <w:r>
              <w:rPr>
                <w:rFonts w:hint="eastAsia"/>
                <w:snapToGrid w:val="0"/>
                <w:kern w:val="0"/>
                <w:sz w:val="18"/>
                <w:szCs w:val="18"/>
              </w:rPr>
              <w:t>5 基本逻辑设计</w:t>
            </w:r>
          </w:p>
        </w:tc>
        <w:tc>
          <w:tcPr>
            <w:tcW w:w="1195" w:type="pct"/>
            <w:vAlign w:val="center"/>
          </w:tcPr>
          <w:p>
            <w:pPr>
              <w:widowControl/>
              <w:jc w:val="center"/>
              <w:rPr>
                <w:rFonts w:cs="宋体"/>
                <w:kern w:val="0"/>
                <w:sz w:val="18"/>
                <w:szCs w:val="18"/>
              </w:rPr>
            </w:pPr>
            <w:r>
              <w:rPr>
                <w:rFonts w:hint="eastAsia" w:cs="宋体"/>
                <w:kern w:val="0"/>
                <w:sz w:val="18"/>
                <w:szCs w:val="18"/>
              </w:rPr>
              <w:t>6</w:t>
            </w:r>
          </w:p>
        </w:tc>
        <w:tc>
          <w:tcPr>
            <w:tcW w:w="939" w:type="pct"/>
            <w:vAlign w:val="center"/>
          </w:tcPr>
          <w:p>
            <w:pPr>
              <w:widowControl/>
              <w:jc w:val="center"/>
              <w:rPr>
                <w:rFonts w:cs="宋体"/>
                <w:kern w:val="0"/>
                <w:sz w:val="18"/>
                <w:szCs w:val="18"/>
              </w:rPr>
            </w:pPr>
            <w:r>
              <w:rPr>
                <w:rFonts w:hint="eastAsia" w:cs="宋体"/>
                <w:kern w:val="0"/>
                <w:sz w:val="18"/>
                <w:szCs w:val="18"/>
              </w:rPr>
              <w:t>6</w:t>
            </w:r>
          </w:p>
        </w:tc>
        <w:tc>
          <w:tcPr>
            <w:tcW w:w="734" w:type="pct"/>
            <w:vAlign w:val="center"/>
          </w:tcPr>
          <w:p>
            <w:pPr>
              <w:widowControl/>
              <w:jc w:val="center"/>
              <w:rPr>
                <w:rFonts w:cs="宋体"/>
                <w:kern w:val="0"/>
                <w:sz w:val="18"/>
                <w:szCs w:val="18"/>
              </w:rPr>
            </w:pPr>
            <w:r>
              <w:rPr>
                <w:rFonts w:hint="eastAsia" w:cs="宋体"/>
                <w:kern w:val="0"/>
                <w:sz w:val="18"/>
                <w:szCs w:val="18"/>
              </w:rPr>
              <w:t>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132" w:type="pct"/>
            <w:vAlign w:val="center"/>
          </w:tcPr>
          <w:p>
            <w:pPr>
              <w:widowControl/>
              <w:jc w:val="center"/>
              <w:rPr>
                <w:rFonts w:cs="宋体"/>
                <w:kern w:val="0"/>
                <w:sz w:val="18"/>
                <w:szCs w:val="18"/>
              </w:rPr>
            </w:pPr>
            <w:r>
              <w:rPr>
                <w:rFonts w:hint="eastAsia" w:cs="宋体"/>
                <w:kern w:val="0"/>
                <w:sz w:val="18"/>
                <w:szCs w:val="18"/>
              </w:rPr>
              <w:t>6 状态机设计</w:t>
            </w:r>
          </w:p>
        </w:tc>
        <w:tc>
          <w:tcPr>
            <w:tcW w:w="1195" w:type="pct"/>
            <w:vAlign w:val="center"/>
          </w:tcPr>
          <w:p>
            <w:pPr>
              <w:widowControl/>
              <w:jc w:val="center"/>
              <w:rPr>
                <w:rFonts w:cs="宋体"/>
                <w:kern w:val="0"/>
                <w:sz w:val="18"/>
                <w:szCs w:val="18"/>
              </w:rPr>
            </w:pPr>
            <w:r>
              <w:rPr>
                <w:rFonts w:hint="eastAsia" w:cs="宋体"/>
                <w:kern w:val="0"/>
                <w:sz w:val="18"/>
                <w:szCs w:val="18"/>
              </w:rPr>
              <w:t>4</w:t>
            </w:r>
          </w:p>
        </w:tc>
        <w:tc>
          <w:tcPr>
            <w:tcW w:w="939" w:type="pct"/>
            <w:vAlign w:val="center"/>
          </w:tcPr>
          <w:p>
            <w:pPr>
              <w:widowControl/>
              <w:jc w:val="center"/>
              <w:rPr>
                <w:rFonts w:cs="宋体"/>
                <w:kern w:val="0"/>
                <w:sz w:val="18"/>
                <w:szCs w:val="18"/>
              </w:rPr>
            </w:pPr>
            <w:r>
              <w:rPr>
                <w:rFonts w:hint="eastAsia" w:cs="宋体"/>
                <w:kern w:val="0"/>
                <w:sz w:val="18"/>
                <w:szCs w:val="18"/>
              </w:rPr>
              <w:t>2</w:t>
            </w:r>
          </w:p>
        </w:tc>
        <w:tc>
          <w:tcPr>
            <w:tcW w:w="734" w:type="pct"/>
            <w:vAlign w:val="center"/>
          </w:tcPr>
          <w:p>
            <w:pPr>
              <w:widowControl/>
              <w:jc w:val="center"/>
              <w:rPr>
                <w:rFonts w:cs="宋体"/>
                <w:kern w:val="0"/>
                <w:sz w:val="18"/>
                <w:szCs w:val="18"/>
              </w:rPr>
            </w:pPr>
            <w:r>
              <w:rPr>
                <w:rFonts w:hint="eastAsia" w:cs="宋体"/>
                <w:kern w:val="0"/>
                <w:sz w:val="18"/>
                <w:szCs w:val="18"/>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132" w:type="pct"/>
            <w:vAlign w:val="center"/>
          </w:tcPr>
          <w:p>
            <w:pPr>
              <w:widowControl/>
              <w:jc w:val="center"/>
              <w:rPr>
                <w:rFonts w:cs="宋体"/>
                <w:kern w:val="0"/>
                <w:sz w:val="18"/>
                <w:szCs w:val="18"/>
              </w:rPr>
            </w:pPr>
            <w:r>
              <w:rPr>
                <w:rFonts w:hint="eastAsia" w:cs="宋体"/>
                <w:kern w:val="0"/>
                <w:sz w:val="18"/>
                <w:szCs w:val="18"/>
              </w:rPr>
              <w:t>7 综合性设计</w:t>
            </w:r>
          </w:p>
        </w:tc>
        <w:tc>
          <w:tcPr>
            <w:tcW w:w="1195" w:type="pct"/>
            <w:vAlign w:val="center"/>
          </w:tcPr>
          <w:p>
            <w:pPr>
              <w:widowControl/>
              <w:jc w:val="center"/>
              <w:rPr>
                <w:rFonts w:cs="宋体"/>
                <w:kern w:val="0"/>
                <w:sz w:val="18"/>
                <w:szCs w:val="18"/>
              </w:rPr>
            </w:pPr>
            <w:r>
              <w:rPr>
                <w:rFonts w:hint="eastAsia" w:cs="宋体"/>
                <w:kern w:val="0"/>
                <w:sz w:val="18"/>
                <w:szCs w:val="18"/>
              </w:rPr>
              <w:t>6</w:t>
            </w:r>
          </w:p>
        </w:tc>
        <w:tc>
          <w:tcPr>
            <w:tcW w:w="939" w:type="pct"/>
            <w:vAlign w:val="center"/>
          </w:tcPr>
          <w:p>
            <w:pPr>
              <w:widowControl/>
              <w:jc w:val="center"/>
              <w:rPr>
                <w:rFonts w:cs="宋体"/>
                <w:kern w:val="0"/>
                <w:sz w:val="18"/>
                <w:szCs w:val="18"/>
              </w:rPr>
            </w:pPr>
            <w:r>
              <w:rPr>
                <w:rFonts w:hint="eastAsia" w:cs="宋体"/>
                <w:kern w:val="0"/>
                <w:sz w:val="18"/>
                <w:szCs w:val="18"/>
              </w:rPr>
              <w:t>8</w:t>
            </w:r>
          </w:p>
        </w:tc>
        <w:tc>
          <w:tcPr>
            <w:tcW w:w="734" w:type="pct"/>
            <w:vAlign w:val="center"/>
          </w:tcPr>
          <w:p>
            <w:pPr>
              <w:widowControl/>
              <w:jc w:val="center"/>
              <w:rPr>
                <w:rFonts w:cs="宋体"/>
                <w:kern w:val="0"/>
                <w:sz w:val="18"/>
                <w:szCs w:val="18"/>
              </w:rPr>
            </w:pPr>
            <w:r>
              <w:rPr>
                <w:rFonts w:hint="eastAsia" w:cs="宋体"/>
                <w:kern w:val="0"/>
                <w:sz w:val="18"/>
                <w:szCs w:val="18"/>
              </w:rPr>
              <w:t>14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132" w:type="pct"/>
            <w:vAlign w:val="center"/>
          </w:tcPr>
          <w:p>
            <w:pPr>
              <w:widowControl/>
              <w:jc w:val="center"/>
              <w:rPr>
                <w:rFonts w:cs="宋体"/>
                <w:kern w:val="0"/>
                <w:sz w:val="18"/>
                <w:szCs w:val="18"/>
              </w:rPr>
            </w:pPr>
            <w:r>
              <w:rPr>
                <w:rFonts w:hint="eastAsia" w:cs="宋体"/>
                <w:kern w:val="0"/>
                <w:sz w:val="18"/>
                <w:szCs w:val="18"/>
              </w:rPr>
              <w:t>合计</w:t>
            </w:r>
          </w:p>
        </w:tc>
        <w:tc>
          <w:tcPr>
            <w:tcW w:w="1195" w:type="pct"/>
            <w:vAlign w:val="center"/>
          </w:tcPr>
          <w:p>
            <w:pPr>
              <w:widowControl/>
              <w:jc w:val="center"/>
              <w:rPr>
                <w:rFonts w:cs="宋体"/>
                <w:kern w:val="0"/>
                <w:sz w:val="18"/>
                <w:szCs w:val="18"/>
              </w:rPr>
            </w:pPr>
            <w:r>
              <w:rPr>
                <w:rFonts w:hint="eastAsia" w:cs="宋体"/>
                <w:kern w:val="0"/>
                <w:sz w:val="18"/>
                <w:szCs w:val="18"/>
              </w:rPr>
              <w:t>32</w:t>
            </w:r>
          </w:p>
        </w:tc>
        <w:tc>
          <w:tcPr>
            <w:tcW w:w="939" w:type="pct"/>
            <w:vAlign w:val="center"/>
          </w:tcPr>
          <w:p>
            <w:pPr>
              <w:widowControl/>
              <w:jc w:val="center"/>
              <w:rPr>
                <w:rFonts w:cs="宋体"/>
                <w:kern w:val="0"/>
                <w:sz w:val="18"/>
                <w:szCs w:val="18"/>
              </w:rPr>
            </w:pPr>
            <w:r>
              <w:rPr>
                <w:rFonts w:hint="eastAsia" w:cs="宋体"/>
                <w:kern w:val="0"/>
                <w:sz w:val="18"/>
                <w:szCs w:val="18"/>
              </w:rPr>
              <w:t>16</w:t>
            </w:r>
          </w:p>
        </w:tc>
        <w:tc>
          <w:tcPr>
            <w:tcW w:w="734" w:type="pct"/>
            <w:vAlign w:val="center"/>
          </w:tcPr>
          <w:p>
            <w:pPr>
              <w:widowControl/>
              <w:jc w:val="center"/>
              <w:rPr>
                <w:rFonts w:cs="宋体"/>
                <w:kern w:val="0"/>
                <w:sz w:val="18"/>
                <w:szCs w:val="18"/>
              </w:rPr>
            </w:pPr>
            <w:r>
              <w:rPr>
                <w:rFonts w:hint="eastAsia" w:cs="宋体"/>
                <w:kern w:val="0"/>
                <w:sz w:val="18"/>
                <w:szCs w:val="18"/>
              </w:rPr>
              <w:t>48</w:t>
            </w:r>
          </w:p>
        </w:tc>
      </w:tr>
    </w:tbl>
    <w:p>
      <w:pPr>
        <w:adjustRightInd w:val="0"/>
        <w:snapToGrid w:val="0"/>
        <w:spacing w:line="360" w:lineRule="auto"/>
        <w:rPr>
          <w:b/>
          <w:sz w:val="24"/>
          <w:szCs w:val="24"/>
        </w:rPr>
      </w:pPr>
    </w:p>
    <w:p>
      <w:pPr>
        <w:tabs>
          <w:tab w:val="left" w:pos="420"/>
        </w:tabs>
        <w:adjustRightInd w:val="0"/>
        <w:snapToGrid w:val="0"/>
        <w:spacing w:line="360" w:lineRule="auto"/>
        <w:ind w:left="420" w:hanging="420"/>
        <w:rPr>
          <w:rFonts w:eastAsia="黑体"/>
          <w:szCs w:val="24"/>
        </w:rPr>
      </w:pPr>
      <w:r>
        <w:rPr>
          <w:rFonts w:hint="eastAsia" w:eastAsia="黑体"/>
          <w:szCs w:val="24"/>
        </w:rPr>
        <w:t>七、教材、补充教材及参考资料</w:t>
      </w:r>
    </w:p>
    <w:p>
      <w:pPr>
        <w:adjustRightInd w:val="0"/>
        <w:snapToGrid w:val="0"/>
        <w:spacing w:line="360" w:lineRule="auto"/>
        <w:ind w:firstLine="420" w:firstLineChars="200"/>
        <w:rPr>
          <w:szCs w:val="21"/>
        </w:rPr>
      </w:pPr>
      <w:r>
        <w:rPr>
          <w:rFonts w:hint="eastAsia"/>
          <w:szCs w:val="21"/>
        </w:rPr>
        <w:t>1、侯伯亨，《VHDL硬件描述语言与数字逻辑电路设计（第五版）》，ISBN 9787560649122，西安电子科技大学出版社。</w:t>
      </w:r>
    </w:p>
    <w:p>
      <w:pPr>
        <w:adjustRightInd w:val="0"/>
        <w:snapToGrid w:val="0"/>
        <w:spacing w:line="360" w:lineRule="auto"/>
        <w:ind w:firstLine="420" w:firstLineChars="200"/>
        <w:rPr>
          <w:szCs w:val="21"/>
        </w:rPr>
      </w:pPr>
      <w:r>
        <w:rPr>
          <w:rFonts w:hint="eastAsia"/>
          <w:szCs w:val="21"/>
        </w:rPr>
        <w:t>2、Volnei A. Pedroni（沃尔尼A.佩德罗尼），《VHDL数字电路设计教程》，ISBN 9787121186721，电子工业出版社。</w:t>
      </w:r>
    </w:p>
    <w:p>
      <w:pPr>
        <w:adjustRightInd w:val="0"/>
        <w:snapToGrid w:val="0"/>
        <w:spacing w:line="360" w:lineRule="auto"/>
        <w:ind w:firstLine="420" w:firstLineChars="200"/>
        <w:rPr>
          <w:szCs w:val="21"/>
        </w:rPr>
      </w:pPr>
      <w:r>
        <w:rPr>
          <w:rFonts w:hint="eastAsia"/>
          <w:szCs w:val="21"/>
        </w:rPr>
        <w:t>3、（加拿大）布朗，（加拿大）弗拉内奇著，伍微译，《数字逻辑基础与VHDL设计（第3版）》（配光盘）（国外电子信息经典教材），ISBN 9787302240990清华大学出版社。</w:t>
      </w:r>
    </w:p>
    <w:p>
      <w:pPr>
        <w:adjustRightInd w:val="0"/>
        <w:snapToGrid w:val="0"/>
        <w:spacing w:line="360" w:lineRule="auto"/>
        <w:ind w:firstLine="420" w:firstLineChars="200"/>
        <w:rPr>
          <w:szCs w:val="21"/>
        </w:rPr>
      </w:pPr>
      <w:r>
        <w:rPr>
          <w:rFonts w:hint="eastAsia"/>
          <w:szCs w:val="21"/>
        </w:rPr>
        <w:t>4、赵曙光等编著，《可编程逻辑器件原理、开发与应用（第二版）》-21世纪高等学校电子信息类系列教材，ISBN 9787560609003, 西安电子科技大学出版社。</w:t>
      </w:r>
    </w:p>
    <w:p>
      <w:pPr>
        <w:adjustRightInd w:val="0"/>
        <w:snapToGrid w:val="0"/>
        <w:spacing w:line="360" w:lineRule="auto"/>
        <w:ind w:firstLine="420" w:firstLineChars="200"/>
        <w:rPr>
          <w:szCs w:val="21"/>
        </w:rPr>
      </w:pPr>
      <w:r>
        <w:rPr>
          <w:rFonts w:hint="eastAsia"/>
          <w:szCs w:val="21"/>
        </w:rPr>
        <w:t>5、朱明程等编著，《可编程逻辑器件原理及应用》-面向21世纪高等学校信息工程类专业系列教材， ISBN 9787560613468，西安电子科技大学出版社。</w:t>
      </w:r>
    </w:p>
    <w:p>
      <w:pPr>
        <w:adjustRightInd w:val="0"/>
        <w:snapToGrid w:val="0"/>
        <w:spacing w:line="360" w:lineRule="auto"/>
        <w:ind w:firstLine="420" w:firstLineChars="200"/>
        <w:rPr>
          <w:szCs w:val="21"/>
        </w:rPr>
      </w:pPr>
      <w:r>
        <w:rPr>
          <w:rFonts w:hint="eastAsia"/>
          <w:szCs w:val="21"/>
        </w:rPr>
        <w:t>6、网上资源：</w:t>
      </w:r>
    </w:p>
    <w:p>
      <w:pPr>
        <w:adjustRightInd w:val="0"/>
        <w:snapToGrid w:val="0"/>
        <w:spacing w:line="360" w:lineRule="auto"/>
        <w:ind w:left="1155" w:leftChars="300" w:hanging="525" w:hangingChars="250"/>
        <w:jc w:val="left"/>
      </w:pPr>
      <w:r>
        <w:rPr>
          <w:rFonts w:hint="eastAsia"/>
          <w:szCs w:val="21"/>
        </w:rPr>
        <w:t>（1）</w:t>
      </w:r>
      <w:r>
        <w:rPr>
          <w:szCs w:val="21"/>
        </w:rPr>
        <w:t>同济大学</w:t>
      </w:r>
      <w:r>
        <w:rPr>
          <w:rFonts w:hint="eastAsia"/>
          <w:szCs w:val="21"/>
        </w:rPr>
        <w:t>，徐和根，</w:t>
      </w:r>
      <w:r>
        <w:rPr>
          <w:szCs w:val="21"/>
        </w:rPr>
        <w:t>FPGA/VHDL视频教程</w:t>
      </w:r>
      <w:r>
        <w:rPr>
          <w:rFonts w:hint="eastAsia"/>
          <w:szCs w:val="21"/>
        </w:rPr>
        <w:t>，</w:t>
      </w:r>
      <w:r>
        <w:fldChar w:fldCharType="begin"/>
      </w:r>
      <w:r>
        <w:instrText xml:space="preserve"> HYPERLINK "http://www.moore8.com/courses/647" \l "/lecture Modal-1" </w:instrText>
      </w:r>
      <w:r>
        <w:fldChar w:fldCharType="separate"/>
      </w:r>
      <w:r>
        <w:rPr>
          <w:rStyle w:val="22"/>
          <w:color w:val="auto"/>
          <w:szCs w:val="21"/>
        </w:rPr>
        <w:t>http://www.moore8.com/courses/647#/lectureModal-1</w:t>
      </w:r>
      <w:r>
        <w:rPr>
          <w:rStyle w:val="22"/>
          <w:color w:val="auto"/>
          <w:szCs w:val="21"/>
        </w:rPr>
        <w:fldChar w:fldCharType="end"/>
      </w:r>
      <w:r>
        <w:rPr>
          <w:rFonts w:hint="eastAsia"/>
          <w:szCs w:val="21"/>
        </w:rPr>
        <w:t>。</w:t>
      </w:r>
    </w:p>
    <w:p>
      <w:pPr>
        <w:adjustRightInd w:val="0"/>
        <w:snapToGrid w:val="0"/>
        <w:spacing w:line="360" w:lineRule="auto"/>
        <w:ind w:left="1155" w:leftChars="300" w:hanging="525" w:hangingChars="250"/>
        <w:jc w:val="left"/>
        <w:rPr>
          <w:szCs w:val="21"/>
          <w:u w:val="single"/>
        </w:rPr>
      </w:pPr>
      <w:r>
        <w:rPr>
          <w:rFonts w:hint="eastAsia"/>
          <w:szCs w:val="21"/>
        </w:rPr>
        <w:t>（2）北京航空航天大学，夏宇闻，硬件描述语言与数字系统结构设计系列视频教程，</w:t>
      </w:r>
      <w:r>
        <w:fldChar w:fldCharType="begin"/>
      </w:r>
      <w:r>
        <w:instrText xml:space="preserve"> HYPERLINK "http://v.eepw.com.cn/video/playlist/id/4076" </w:instrText>
      </w:r>
      <w:r>
        <w:fldChar w:fldCharType="separate"/>
      </w:r>
      <w:r>
        <w:rPr>
          <w:rStyle w:val="22"/>
          <w:color w:val="auto"/>
          <w:szCs w:val="21"/>
        </w:rPr>
        <w:t>http://v.eepw.com.cn/video/playlist/id/4076</w:t>
      </w:r>
      <w:r>
        <w:rPr>
          <w:rStyle w:val="22"/>
          <w:color w:val="auto"/>
          <w:szCs w:val="21"/>
        </w:rPr>
        <w:fldChar w:fldCharType="end"/>
      </w:r>
      <w:r>
        <w:rPr>
          <w:rFonts w:hint="eastAsia"/>
          <w:szCs w:val="21"/>
        </w:rPr>
        <w:t>。</w:t>
      </w:r>
    </w:p>
    <w:p>
      <w:pPr>
        <w:adjustRightInd w:val="0"/>
        <w:snapToGrid w:val="0"/>
        <w:spacing w:line="360" w:lineRule="auto"/>
        <w:ind w:left="1155" w:leftChars="300" w:hanging="525" w:hangingChars="250"/>
        <w:jc w:val="left"/>
        <w:rPr>
          <w:szCs w:val="21"/>
        </w:rPr>
      </w:pPr>
      <w:r>
        <w:rPr>
          <w:rFonts w:hint="eastAsia"/>
          <w:szCs w:val="21"/>
        </w:rPr>
        <w:t>（3)《EDN China.com电子工程师社区，</w:t>
      </w:r>
      <w:r>
        <w:rPr>
          <w:szCs w:val="21"/>
        </w:rPr>
        <w:t>吴厚航</w:t>
      </w:r>
      <w:r>
        <w:rPr>
          <w:rFonts w:hint="eastAsia"/>
          <w:szCs w:val="21"/>
        </w:rPr>
        <w:t>，FPGA/CPLD实践教程》</w:t>
      </w:r>
      <w:r>
        <w:fldChar w:fldCharType="begin"/>
      </w:r>
      <w:r>
        <w:instrText xml:space="preserve"> HYPERLINK "http://i.youku.com/u/UMTgxODg5NjEy" </w:instrText>
      </w:r>
      <w:r>
        <w:fldChar w:fldCharType="separate"/>
      </w:r>
      <w:r>
        <w:rPr>
          <w:rStyle w:val="22"/>
          <w:color w:val="auto"/>
          <w:szCs w:val="21"/>
        </w:rPr>
        <w:t>http://i.youku.com/u/UMTgxODg5NjEy</w:t>
      </w:r>
      <w:r>
        <w:rPr>
          <w:rStyle w:val="22"/>
          <w:color w:val="auto"/>
          <w:szCs w:val="21"/>
        </w:rPr>
        <w:fldChar w:fldCharType="end"/>
      </w:r>
      <w:r>
        <w:rPr>
          <w:rFonts w:hint="eastAsia"/>
          <w:szCs w:val="21"/>
        </w:rPr>
        <w:t>。</w:t>
      </w:r>
    </w:p>
    <w:p>
      <w:pPr>
        <w:adjustRightInd w:val="0"/>
        <w:snapToGrid w:val="0"/>
        <w:spacing w:line="360" w:lineRule="auto"/>
        <w:ind w:firstLine="630" w:firstLineChars="300"/>
        <w:jc w:val="left"/>
        <w:rPr>
          <w:szCs w:val="21"/>
        </w:rPr>
      </w:pPr>
      <w:r>
        <w:rPr>
          <w:rFonts w:hint="eastAsia"/>
          <w:szCs w:val="21"/>
        </w:rPr>
        <w:t>（4）明德扬科技教育集团，潘文明，FPGA/CPLD系列视频教程，</w:t>
      </w:r>
      <w:r>
        <w:fldChar w:fldCharType="begin"/>
      </w:r>
      <w:r>
        <w:instrText xml:space="preserve"> HYPERLINK "http://www.mdy-edu.com" </w:instrText>
      </w:r>
      <w:r>
        <w:fldChar w:fldCharType="separate"/>
      </w:r>
      <w:r>
        <w:rPr>
          <w:rStyle w:val="22"/>
          <w:color w:val="auto"/>
          <w:szCs w:val="21"/>
        </w:rPr>
        <w:t>http://</w:t>
      </w:r>
      <w:r>
        <w:rPr>
          <w:rStyle w:val="22"/>
          <w:rFonts w:hint="eastAsia"/>
          <w:color w:val="auto"/>
          <w:szCs w:val="21"/>
        </w:rPr>
        <w:t>www.mdy-edu.com</w:t>
      </w:r>
      <w:r>
        <w:rPr>
          <w:rStyle w:val="22"/>
          <w:rFonts w:hint="eastAsia"/>
          <w:color w:val="auto"/>
          <w:szCs w:val="21"/>
        </w:rPr>
        <w:fldChar w:fldCharType="end"/>
      </w:r>
      <w:r>
        <w:rPr>
          <w:rFonts w:hint="eastAsia"/>
          <w:szCs w:val="21"/>
        </w:rPr>
        <w:t>。</w:t>
      </w:r>
    </w:p>
    <w:p>
      <w:pPr>
        <w:adjustRightInd w:val="0"/>
        <w:snapToGrid w:val="0"/>
        <w:spacing w:line="360" w:lineRule="auto"/>
        <w:ind w:firstLine="630" w:firstLineChars="300"/>
        <w:jc w:val="left"/>
        <w:rPr>
          <w:szCs w:val="21"/>
        </w:rPr>
      </w:pPr>
    </w:p>
    <w:p>
      <w:pPr>
        <w:tabs>
          <w:tab w:val="left" w:pos="420"/>
        </w:tabs>
        <w:adjustRightInd w:val="0"/>
        <w:snapToGrid w:val="0"/>
        <w:spacing w:line="360" w:lineRule="auto"/>
        <w:ind w:left="420" w:hanging="420"/>
        <w:rPr>
          <w:rFonts w:eastAsia="黑体"/>
          <w:szCs w:val="24"/>
        </w:rPr>
      </w:pPr>
      <w:r>
        <w:rPr>
          <w:rFonts w:hint="eastAsia" w:eastAsia="黑体"/>
          <w:szCs w:val="24"/>
        </w:rPr>
        <w:t>八、达成课程目标的途径和措施</w:t>
      </w:r>
    </w:p>
    <w:p>
      <w:pPr>
        <w:spacing w:line="360" w:lineRule="auto"/>
        <w:ind w:firstLine="420" w:firstLineChars="200"/>
        <w:rPr>
          <w:szCs w:val="21"/>
        </w:rPr>
      </w:pPr>
      <w:r>
        <w:rPr>
          <w:szCs w:val="21"/>
        </w:rPr>
        <w:t>1</w:t>
      </w:r>
      <w:r>
        <w:rPr>
          <w:rFonts w:hint="eastAsia"/>
          <w:szCs w:val="21"/>
        </w:rPr>
        <w:t>、考核目标：在考核学生对可编程逻辑器件基本知识、基本原理和方法的基础上，重点考核学生的可编程器件选择能力、语言掌握程度、基础逻辑设计能力和工具使用方法的掌握程度。</w:t>
      </w:r>
    </w:p>
    <w:p>
      <w:pPr>
        <w:spacing w:line="360" w:lineRule="auto"/>
        <w:ind w:firstLine="420" w:firstLineChars="200"/>
        <w:rPr>
          <w:szCs w:val="21"/>
        </w:rPr>
      </w:pPr>
      <w:r>
        <w:rPr>
          <w:szCs w:val="21"/>
        </w:rPr>
        <w:t>2</w:t>
      </w:r>
      <w:r>
        <w:rPr>
          <w:rFonts w:hint="eastAsia"/>
          <w:szCs w:val="21"/>
        </w:rPr>
        <w:t>、考核方式：期末考试、分组实验、课内实验、作业及课堂情况。</w:t>
      </w:r>
    </w:p>
    <w:p>
      <w:pPr>
        <w:spacing w:line="360" w:lineRule="auto"/>
        <w:ind w:firstLine="420" w:firstLineChars="200"/>
      </w:pPr>
      <w:r>
        <w:rPr>
          <w:szCs w:val="21"/>
        </w:rPr>
        <w:t>3、</w:t>
      </w:r>
      <w:r>
        <w:rPr>
          <w:rFonts w:hint="eastAsia"/>
          <w:szCs w:val="21"/>
        </w:rPr>
        <w:t>评价环节对课程目标达成贡献率及支撑材料：</w:t>
      </w:r>
    </w:p>
    <w:tbl>
      <w:tblPr>
        <w:tblStyle w:val="19"/>
        <w:tblW w:w="5000" w:type="pct"/>
        <w:jc w:val="center"/>
        <w:tblLayout w:type="fixed"/>
        <w:tblCellMar>
          <w:top w:w="0" w:type="dxa"/>
          <w:left w:w="108" w:type="dxa"/>
          <w:bottom w:w="0" w:type="dxa"/>
          <w:right w:w="108" w:type="dxa"/>
        </w:tblCellMar>
      </w:tblPr>
      <w:tblGrid>
        <w:gridCol w:w="1528"/>
        <w:gridCol w:w="1417"/>
        <w:gridCol w:w="1417"/>
        <w:gridCol w:w="1558"/>
        <w:gridCol w:w="1419"/>
        <w:gridCol w:w="1189"/>
      </w:tblGrid>
      <w:tr>
        <w:tblPrEx>
          <w:tblCellMar>
            <w:top w:w="0" w:type="dxa"/>
            <w:left w:w="108" w:type="dxa"/>
            <w:bottom w:w="0" w:type="dxa"/>
            <w:right w:w="108" w:type="dxa"/>
          </w:tblCellMar>
        </w:tblPrEx>
        <w:trPr>
          <w:trHeight w:val="436" w:hRule="atLeast"/>
          <w:jc w:val="center"/>
        </w:trPr>
        <w:tc>
          <w:tcPr>
            <w:tcW w:w="895" w:type="pct"/>
            <w:tcBorders>
              <w:top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考察环节</w:t>
            </w:r>
          </w:p>
        </w:tc>
        <w:tc>
          <w:tcPr>
            <w:tcW w:w="83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课堂情况</w:t>
            </w:r>
          </w:p>
        </w:tc>
        <w:tc>
          <w:tcPr>
            <w:tcW w:w="83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作业</w:t>
            </w:r>
          </w:p>
        </w:tc>
        <w:tc>
          <w:tcPr>
            <w:tcW w:w="9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课内实验</w:t>
            </w:r>
          </w:p>
        </w:tc>
        <w:tc>
          <w:tcPr>
            <w:tcW w:w="8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分组实验</w:t>
            </w:r>
          </w:p>
        </w:tc>
        <w:tc>
          <w:tcPr>
            <w:tcW w:w="697" w:type="pct"/>
            <w:tcBorders>
              <w:top w:val="single" w:color="auto" w:sz="4" w:space="0"/>
              <w:left w:val="single" w:color="auto" w:sz="4" w:space="0"/>
              <w:bottom w:val="single" w:color="auto" w:sz="4" w:space="0"/>
            </w:tcBorders>
            <w:shd w:val="clear" w:color="auto" w:fill="auto"/>
            <w:vAlign w:val="center"/>
          </w:tcPr>
          <w:p>
            <w:pPr>
              <w:widowControl/>
              <w:jc w:val="center"/>
              <w:rPr>
                <w:kern w:val="0"/>
                <w:sz w:val="18"/>
                <w:szCs w:val="18"/>
              </w:rPr>
            </w:pPr>
            <w:r>
              <w:rPr>
                <w:kern w:val="0"/>
                <w:sz w:val="18"/>
                <w:szCs w:val="18"/>
              </w:rPr>
              <w:t>期末考试</w:t>
            </w:r>
          </w:p>
        </w:tc>
      </w:tr>
      <w:tr>
        <w:tblPrEx>
          <w:tblCellMar>
            <w:top w:w="0" w:type="dxa"/>
            <w:left w:w="108" w:type="dxa"/>
            <w:bottom w:w="0" w:type="dxa"/>
            <w:right w:w="108" w:type="dxa"/>
          </w:tblCellMar>
        </w:tblPrEx>
        <w:trPr>
          <w:trHeight w:val="700" w:hRule="atLeast"/>
          <w:jc w:val="center"/>
        </w:trPr>
        <w:tc>
          <w:tcPr>
            <w:tcW w:w="895" w:type="pct"/>
            <w:tcBorders>
              <w:top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课程目标达成</w:t>
            </w:r>
          </w:p>
          <w:p>
            <w:pPr>
              <w:widowControl/>
              <w:jc w:val="center"/>
              <w:rPr>
                <w:kern w:val="0"/>
                <w:sz w:val="18"/>
                <w:szCs w:val="18"/>
              </w:rPr>
            </w:pPr>
            <w:r>
              <w:rPr>
                <w:kern w:val="0"/>
                <w:sz w:val="18"/>
                <w:szCs w:val="18"/>
              </w:rPr>
              <w:t>的贡献率</w:t>
            </w:r>
          </w:p>
        </w:tc>
        <w:tc>
          <w:tcPr>
            <w:tcW w:w="83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18"/>
                <w:szCs w:val="18"/>
              </w:rPr>
            </w:pPr>
            <w:r>
              <w:rPr>
                <w:sz w:val="18"/>
                <w:szCs w:val="18"/>
              </w:rPr>
              <w:t>0.10</w:t>
            </w:r>
          </w:p>
        </w:tc>
        <w:tc>
          <w:tcPr>
            <w:tcW w:w="83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18"/>
                <w:szCs w:val="18"/>
              </w:rPr>
            </w:pPr>
            <w:r>
              <w:rPr>
                <w:sz w:val="18"/>
                <w:szCs w:val="18"/>
              </w:rPr>
              <w:t>0.10</w:t>
            </w:r>
          </w:p>
        </w:tc>
        <w:tc>
          <w:tcPr>
            <w:tcW w:w="9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18"/>
                <w:szCs w:val="18"/>
              </w:rPr>
            </w:pPr>
            <w:r>
              <w:rPr>
                <w:sz w:val="18"/>
                <w:szCs w:val="18"/>
              </w:rPr>
              <w:t>0.15</w:t>
            </w:r>
          </w:p>
        </w:tc>
        <w:tc>
          <w:tcPr>
            <w:tcW w:w="83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18"/>
                <w:szCs w:val="18"/>
              </w:rPr>
            </w:pPr>
            <w:r>
              <w:rPr>
                <w:sz w:val="18"/>
                <w:szCs w:val="18"/>
              </w:rPr>
              <w:t>0.15</w:t>
            </w:r>
          </w:p>
        </w:tc>
        <w:tc>
          <w:tcPr>
            <w:tcW w:w="697" w:type="pct"/>
            <w:tcBorders>
              <w:top w:val="single" w:color="auto" w:sz="4" w:space="0"/>
              <w:left w:val="single" w:color="auto" w:sz="4" w:space="0"/>
              <w:bottom w:val="single" w:color="auto" w:sz="4" w:space="0"/>
            </w:tcBorders>
            <w:shd w:val="clear" w:color="auto" w:fill="auto"/>
            <w:noWrap/>
            <w:vAlign w:val="center"/>
          </w:tcPr>
          <w:p>
            <w:pPr>
              <w:jc w:val="center"/>
              <w:rPr>
                <w:sz w:val="18"/>
                <w:szCs w:val="18"/>
              </w:rPr>
            </w:pPr>
            <w:r>
              <w:rPr>
                <w:sz w:val="18"/>
                <w:szCs w:val="18"/>
              </w:rPr>
              <w:t>0.50</w:t>
            </w:r>
          </w:p>
        </w:tc>
      </w:tr>
      <w:tr>
        <w:tblPrEx>
          <w:tblCellMar>
            <w:top w:w="0" w:type="dxa"/>
            <w:left w:w="108" w:type="dxa"/>
            <w:bottom w:w="0" w:type="dxa"/>
            <w:right w:w="108" w:type="dxa"/>
          </w:tblCellMar>
        </w:tblPrEx>
        <w:trPr>
          <w:trHeight w:val="1125" w:hRule="atLeast"/>
          <w:jc w:val="center"/>
        </w:trPr>
        <w:tc>
          <w:tcPr>
            <w:tcW w:w="895" w:type="pct"/>
            <w:tcBorders>
              <w:top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支撑材料</w:t>
            </w:r>
          </w:p>
        </w:tc>
        <w:tc>
          <w:tcPr>
            <w:tcW w:w="83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课堂评价标准，课堂提问记录或随堂考试，结合出勤率等</w:t>
            </w:r>
          </w:p>
        </w:tc>
        <w:tc>
          <w:tcPr>
            <w:tcW w:w="83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作业评价标准，典型作业拍照，或电子版</w:t>
            </w:r>
          </w:p>
        </w:tc>
        <w:tc>
          <w:tcPr>
            <w:tcW w:w="91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课内实验评价标准，实验课堂记录记录，典型实验报告</w:t>
            </w:r>
          </w:p>
        </w:tc>
        <w:tc>
          <w:tcPr>
            <w:tcW w:w="83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分组实验评价标准，验收记录，实验报告</w:t>
            </w:r>
          </w:p>
        </w:tc>
        <w:tc>
          <w:tcPr>
            <w:tcW w:w="697" w:type="pct"/>
            <w:tcBorders>
              <w:top w:val="single" w:color="auto" w:sz="4" w:space="0"/>
              <w:left w:val="single" w:color="auto" w:sz="4" w:space="0"/>
              <w:bottom w:val="single" w:color="auto" w:sz="4" w:space="0"/>
            </w:tcBorders>
            <w:shd w:val="clear" w:color="auto" w:fill="auto"/>
            <w:noWrap/>
            <w:vAlign w:val="center"/>
          </w:tcPr>
          <w:p>
            <w:pPr>
              <w:widowControl/>
              <w:jc w:val="center"/>
              <w:rPr>
                <w:kern w:val="0"/>
                <w:sz w:val="18"/>
                <w:szCs w:val="18"/>
              </w:rPr>
            </w:pPr>
            <w:r>
              <w:rPr>
                <w:kern w:val="0"/>
                <w:sz w:val="18"/>
                <w:szCs w:val="18"/>
              </w:rPr>
              <w:t>试题评分标准，试卷</w:t>
            </w:r>
          </w:p>
        </w:tc>
      </w:tr>
    </w:tbl>
    <w:p>
      <w:pPr>
        <w:adjustRightInd w:val="0"/>
        <w:snapToGrid w:val="0"/>
        <w:spacing w:line="360" w:lineRule="auto"/>
        <w:rPr>
          <w:b/>
          <w:sz w:val="24"/>
          <w:szCs w:val="24"/>
        </w:rPr>
        <w:sectPr>
          <w:pgSz w:w="11906" w:h="16838"/>
          <w:pgMar w:top="1440" w:right="1797" w:bottom="1440" w:left="1797" w:header="851" w:footer="992" w:gutter="0"/>
          <w:pgNumType w:fmt="decimal"/>
          <w:cols w:space="425" w:num="1"/>
          <w:docGrid w:type="lines" w:linePitch="312" w:charSpace="0"/>
        </w:sectPr>
      </w:pPr>
    </w:p>
    <w:p>
      <w:pPr>
        <w:tabs>
          <w:tab w:val="left" w:pos="420"/>
        </w:tabs>
        <w:adjustRightInd w:val="0"/>
        <w:snapToGrid w:val="0"/>
        <w:spacing w:line="360" w:lineRule="auto"/>
        <w:ind w:left="420" w:hanging="420"/>
        <w:rPr>
          <w:rFonts w:eastAsia="黑体"/>
          <w:szCs w:val="24"/>
        </w:rPr>
      </w:pPr>
    </w:p>
    <w:p>
      <w:pPr>
        <w:tabs>
          <w:tab w:val="left" w:pos="420"/>
        </w:tabs>
        <w:adjustRightInd w:val="0"/>
        <w:snapToGrid w:val="0"/>
        <w:spacing w:line="360" w:lineRule="auto"/>
        <w:ind w:left="420" w:hanging="420"/>
        <w:rPr>
          <w:rFonts w:ascii="宋体" w:hAnsi="宋体"/>
          <w:sz w:val="18"/>
          <w:szCs w:val="18"/>
        </w:rPr>
      </w:pPr>
      <w:r>
        <w:rPr>
          <w:rFonts w:eastAsia="黑体"/>
          <w:szCs w:val="24"/>
        </w:rPr>
        <w:t>九</w:t>
      </w:r>
      <w:r>
        <w:rPr>
          <w:rFonts w:hint="eastAsia" w:eastAsia="黑体"/>
          <w:szCs w:val="24"/>
        </w:rPr>
        <w:t>、覆盖课程目标达成评价的知识点及权重</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211"/>
        <w:gridCol w:w="1530"/>
        <w:gridCol w:w="178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5" w:type="pct"/>
            <w:vAlign w:val="center"/>
          </w:tcPr>
          <w:p>
            <w:pPr>
              <w:jc w:val="center"/>
              <w:rPr>
                <w:sz w:val="18"/>
                <w:szCs w:val="18"/>
              </w:rPr>
            </w:pPr>
            <w:r>
              <w:rPr>
                <w:sz w:val="18"/>
                <w:szCs w:val="18"/>
              </w:rPr>
              <w:t>知识点</w:t>
            </w:r>
          </w:p>
        </w:tc>
        <w:tc>
          <w:tcPr>
            <w:tcW w:w="897" w:type="pct"/>
            <w:vAlign w:val="center"/>
          </w:tcPr>
          <w:p>
            <w:pPr>
              <w:jc w:val="center"/>
              <w:rPr>
                <w:sz w:val="18"/>
                <w:szCs w:val="18"/>
              </w:rPr>
            </w:pPr>
            <w:r>
              <w:rPr>
                <w:sz w:val="18"/>
                <w:szCs w:val="18"/>
              </w:rPr>
              <w:t>权重</w:t>
            </w:r>
          </w:p>
        </w:tc>
        <w:tc>
          <w:tcPr>
            <w:tcW w:w="1048" w:type="pct"/>
            <w:vAlign w:val="center"/>
          </w:tcPr>
          <w:p>
            <w:pPr>
              <w:jc w:val="center"/>
              <w:rPr>
                <w:sz w:val="18"/>
                <w:szCs w:val="18"/>
              </w:rPr>
            </w:pPr>
            <w:r>
              <w:rPr>
                <w:sz w:val="18"/>
                <w:szCs w:val="18"/>
              </w:rPr>
              <w:t>支撑课程目标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5" w:type="pct"/>
            <w:vAlign w:val="center"/>
          </w:tcPr>
          <w:p>
            <w:pPr>
              <w:widowControl/>
              <w:rPr>
                <w:snapToGrid w:val="0"/>
                <w:kern w:val="0"/>
                <w:sz w:val="18"/>
                <w:szCs w:val="18"/>
              </w:rPr>
            </w:pPr>
            <w:r>
              <w:rPr>
                <w:snapToGrid w:val="0"/>
                <w:kern w:val="0"/>
                <w:sz w:val="18"/>
                <w:szCs w:val="18"/>
              </w:rPr>
              <w:t>1绪论</w:t>
            </w:r>
          </w:p>
        </w:tc>
        <w:tc>
          <w:tcPr>
            <w:tcW w:w="897" w:type="pct"/>
            <w:vAlign w:val="center"/>
          </w:tcPr>
          <w:p>
            <w:pPr>
              <w:jc w:val="center"/>
              <w:rPr>
                <w:sz w:val="18"/>
                <w:szCs w:val="18"/>
              </w:rPr>
            </w:pPr>
            <w:r>
              <w:rPr>
                <w:sz w:val="18"/>
                <w:szCs w:val="18"/>
              </w:rPr>
              <w:t>0.05</w:t>
            </w:r>
          </w:p>
        </w:tc>
        <w:tc>
          <w:tcPr>
            <w:tcW w:w="1048" w:type="pct"/>
            <w:vAlign w:val="center"/>
          </w:tcPr>
          <w:p>
            <w:pPr>
              <w:jc w:val="center"/>
              <w:rPr>
                <w:sz w:val="18"/>
                <w:szCs w:val="18"/>
              </w:rPr>
            </w:pPr>
            <w:r>
              <w:rPr>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5" w:type="pct"/>
            <w:vAlign w:val="center"/>
          </w:tcPr>
          <w:p>
            <w:pPr>
              <w:widowControl/>
              <w:rPr>
                <w:snapToGrid w:val="0"/>
                <w:kern w:val="0"/>
                <w:sz w:val="18"/>
                <w:szCs w:val="18"/>
              </w:rPr>
            </w:pPr>
            <w:r>
              <w:rPr>
                <w:snapToGrid w:val="0"/>
                <w:kern w:val="0"/>
                <w:sz w:val="18"/>
                <w:szCs w:val="18"/>
              </w:rPr>
              <w:t>2可编程逻辑器件的原理与结构</w:t>
            </w:r>
          </w:p>
        </w:tc>
        <w:tc>
          <w:tcPr>
            <w:tcW w:w="897" w:type="pct"/>
            <w:vAlign w:val="center"/>
          </w:tcPr>
          <w:p>
            <w:pPr>
              <w:jc w:val="center"/>
              <w:rPr>
                <w:sz w:val="18"/>
                <w:szCs w:val="18"/>
              </w:rPr>
            </w:pPr>
            <w:r>
              <w:rPr>
                <w:sz w:val="18"/>
                <w:szCs w:val="18"/>
              </w:rPr>
              <w:t>0.15</w:t>
            </w:r>
          </w:p>
        </w:tc>
        <w:tc>
          <w:tcPr>
            <w:tcW w:w="1048" w:type="pct"/>
            <w:vAlign w:val="center"/>
          </w:tcPr>
          <w:p>
            <w:pPr>
              <w:jc w:val="center"/>
              <w:rPr>
                <w:sz w:val="18"/>
                <w:szCs w:val="18"/>
              </w:rPr>
            </w:pPr>
            <w:r>
              <w:rPr>
                <w:sz w:val="18"/>
                <w:szCs w:val="18"/>
              </w:rPr>
              <w:t>1、2、3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5" w:type="pct"/>
            <w:vAlign w:val="center"/>
          </w:tcPr>
          <w:p>
            <w:pPr>
              <w:widowControl/>
              <w:rPr>
                <w:kern w:val="0"/>
                <w:sz w:val="18"/>
                <w:szCs w:val="18"/>
              </w:rPr>
            </w:pPr>
            <w:r>
              <w:rPr>
                <w:snapToGrid w:val="0"/>
                <w:kern w:val="0"/>
                <w:sz w:val="18"/>
                <w:szCs w:val="18"/>
              </w:rPr>
              <w:t>3硬件描述语言的基本结构、数据类型和运算操作符</w:t>
            </w:r>
          </w:p>
        </w:tc>
        <w:tc>
          <w:tcPr>
            <w:tcW w:w="897" w:type="pct"/>
            <w:vAlign w:val="center"/>
          </w:tcPr>
          <w:p>
            <w:pPr>
              <w:jc w:val="center"/>
              <w:rPr>
                <w:sz w:val="18"/>
                <w:szCs w:val="18"/>
              </w:rPr>
            </w:pPr>
            <w:r>
              <w:rPr>
                <w:sz w:val="18"/>
                <w:szCs w:val="18"/>
              </w:rPr>
              <w:t>0.10</w:t>
            </w:r>
          </w:p>
        </w:tc>
        <w:tc>
          <w:tcPr>
            <w:tcW w:w="1048" w:type="pct"/>
            <w:vAlign w:val="center"/>
          </w:tcPr>
          <w:p>
            <w:pPr>
              <w:jc w:val="center"/>
              <w:rPr>
                <w:sz w:val="18"/>
                <w:szCs w:val="18"/>
              </w:rPr>
            </w:pPr>
            <w:r>
              <w:rPr>
                <w:sz w:val="18"/>
                <w:szCs w:val="18"/>
              </w:rPr>
              <w:t>1、3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5" w:type="pct"/>
            <w:vAlign w:val="center"/>
          </w:tcPr>
          <w:p>
            <w:pPr>
              <w:widowControl/>
              <w:rPr>
                <w:kern w:val="0"/>
                <w:sz w:val="18"/>
                <w:szCs w:val="18"/>
              </w:rPr>
            </w:pPr>
            <w:r>
              <w:rPr>
                <w:snapToGrid w:val="0"/>
                <w:kern w:val="0"/>
                <w:sz w:val="18"/>
                <w:szCs w:val="18"/>
              </w:rPr>
              <w:t>4 硬件描述语言的主要描述语句</w:t>
            </w:r>
          </w:p>
        </w:tc>
        <w:tc>
          <w:tcPr>
            <w:tcW w:w="897" w:type="pct"/>
            <w:vAlign w:val="center"/>
          </w:tcPr>
          <w:p>
            <w:pPr>
              <w:jc w:val="center"/>
              <w:rPr>
                <w:sz w:val="18"/>
                <w:szCs w:val="18"/>
              </w:rPr>
            </w:pPr>
            <w:r>
              <w:rPr>
                <w:sz w:val="18"/>
                <w:szCs w:val="18"/>
              </w:rPr>
              <w:t>0.20</w:t>
            </w:r>
          </w:p>
        </w:tc>
        <w:tc>
          <w:tcPr>
            <w:tcW w:w="1048" w:type="pct"/>
            <w:vAlign w:val="center"/>
          </w:tcPr>
          <w:p>
            <w:pPr>
              <w:jc w:val="center"/>
              <w:rPr>
                <w:sz w:val="18"/>
                <w:szCs w:val="18"/>
              </w:rPr>
            </w:pPr>
            <w:r>
              <w:rPr>
                <w:sz w:val="18"/>
                <w:szCs w:val="18"/>
              </w:rPr>
              <w:t>1、3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5" w:type="pct"/>
            <w:vAlign w:val="center"/>
          </w:tcPr>
          <w:p>
            <w:pPr>
              <w:widowControl/>
              <w:rPr>
                <w:kern w:val="0"/>
                <w:sz w:val="18"/>
                <w:szCs w:val="18"/>
              </w:rPr>
            </w:pPr>
            <w:r>
              <w:rPr>
                <w:snapToGrid w:val="0"/>
                <w:kern w:val="0"/>
                <w:sz w:val="18"/>
                <w:szCs w:val="18"/>
              </w:rPr>
              <w:t>5 基本逻辑设计</w:t>
            </w:r>
          </w:p>
        </w:tc>
        <w:tc>
          <w:tcPr>
            <w:tcW w:w="897" w:type="pct"/>
            <w:vAlign w:val="center"/>
          </w:tcPr>
          <w:p>
            <w:pPr>
              <w:jc w:val="center"/>
              <w:rPr>
                <w:sz w:val="18"/>
                <w:szCs w:val="18"/>
              </w:rPr>
            </w:pPr>
            <w:r>
              <w:rPr>
                <w:sz w:val="18"/>
                <w:szCs w:val="18"/>
              </w:rPr>
              <w:t>0.30</w:t>
            </w:r>
          </w:p>
        </w:tc>
        <w:tc>
          <w:tcPr>
            <w:tcW w:w="1048" w:type="pct"/>
            <w:vAlign w:val="center"/>
          </w:tcPr>
          <w:p>
            <w:pPr>
              <w:jc w:val="center"/>
              <w:rPr>
                <w:sz w:val="18"/>
                <w:szCs w:val="18"/>
              </w:rPr>
            </w:pPr>
            <w:r>
              <w:rPr>
                <w:sz w:val="18"/>
                <w:szCs w:val="18"/>
              </w:rPr>
              <w:t>1、3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5" w:type="pct"/>
            <w:vAlign w:val="center"/>
          </w:tcPr>
          <w:p>
            <w:pPr>
              <w:widowControl/>
              <w:rPr>
                <w:kern w:val="0"/>
                <w:sz w:val="18"/>
                <w:szCs w:val="18"/>
              </w:rPr>
            </w:pPr>
            <w:r>
              <w:rPr>
                <w:kern w:val="0"/>
                <w:sz w:val="18"/>
                <w:szCs w:val="18"/>
              </w:rPr>
              <w:t>6 状态机设计</w:t>
            </w:r>
          </w:p>
        </w:tc>
        <w:tc>
          <w:tcPr>
            <w:tcW w:w="897" w:type="pct"/>
            <w:vAlign w:val="center"/>
          </w:tcPr>
          <w:p>
            <w:pPr>
              <w:jc w:val="center"/>
              <w:rPr>
                <w:sz w:val="18"/>
                <w:szCs w:val="18"/>
              </w:rPr>
            </w:pPr>
            <w:r>
              <w:rPr>
                <w:sz w:val="18"/>
                <w:szCs w:val="18"/>
              </w:rPr>
              <w:t>0.10</w:t>
            </w:r>
          </w:p>
        </w:tc>
        <w:tc>
          <w:tcPr>
            <w:tcW w:w="1048" w:type="pct"/>
            <w:vAlign w:val="center"/>
          </w:tcPr>
          <w:p>
            <w:pPr>
              <w:jc w:val="center"/>
              <w:rPr>
                <w:sz w:val="18"/>
                <w:szCs w:val="18"/>
              </w:rPr>
            </w:pPr>
            <w:r>
              <w:rPr>
                <w:sz w:val="18"/>
                <w:szCs w:val="18"/>
              </w:rPr>
              <w:t>1、3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5" w:type="pct"/>
            <w:vAlign w:val="center"/>
          </w:tcPr>
          <w:p>
            <w:pPr>
              <w:widowControl/>
              <w:rPr>
                <w:kern w:val="0"/>
                <w:sz w:val="18"/>
                <w:szCs w:val="18"/>
              </w:rPr>
            </w:pPr>
            <w:r>
              <w:rPr>
                <w:kern w:val="0"/>
                <w:sz w:val="18"/>
                <w:szCs w:val="18"/>
              </w:rPr>
              <w:t>7 综合性设计</w:t>
            </w:r>
          </w:p>
        </w:tc>
        <w:tc>
          <w:tcPr>
            <w:tcW w:w="897" w:type="pct"/>
            <w:vAlign w:val="center"/>
          </w:tcPr>
          <w:p>
            <w:pPr>
              <w:jc w:val="center"/>
              <w:rPr>
                <w:sz w:val="18"/>
                <w:szCs w:val="18"/>
              </w:rPr>
            </w:pPr>
            <w:r>
              <w:rPr>
                <w:sz w:val="18"/>
                <w:szCs w:val="18"/>
              </w:rPr>
              <w:t>0.10</w:t>
            </w:r>
          </w:p>
        </w:tc>
        <w:tc>
          <w:tcPr>
            <w:tcW w:w="1048" w:type="pct"/>
            <w:vAlign w:val="center"/>
          </w:tcPr>
          <w:p>
            <w:pPr>
              <w:jc w:val="center"/>
              <w:rPr>
                <w:sz w:val="18"/>
                <w:szCs w:val="18"/>
              </w:rPr>
            </w:pPr>
            <w:r>
              <w:rPr>
                <w:sz w:val="18"/>
                <w:szCs w:val="18"/>
              </w:rPr>
              <w:t>1、3</w:t>
            </w:r>
          </w:p>
        </w:tc>
      </w:tr>
    </w:tbl>
    <w:p>
      <w:pPr>
        <w:spacing w:line="360" w:lineRule="auto"/>
        <w:ind w:firstLine="420" w:firstLineChars="200"/>
        <w:rPr>
          <w:szCs w:val="21"/>
        </w:rPr>
      </w:pPr>
      <w:r>
        <w:rPr>
          <w:rFonts w:hAnsi="宋体"/>
          <w:szCs w:val="21"/>
        </w:rPr>
        <w:t>学生可以依据仪器与电子学院相关文件，以允许的第二课堂成果折算单项成绩，与对应知识点加权累计达到</w:t>
      </w:r>
      <w:r>
        <w:rPr>
          <w:szCs w:val="21"/>
        </w:rPr>
        <w:t>75</w:t>
      </w:r>
      <w:r>
        <w:rPr>
          <w:rFonts w:hAnsi="宋体"/>
          <w:szCs w:val="21"/>
        </w:rPr>
        <w:t>（含）以上，且对所有课程目标的支撑不能有缺项，即可申请本门课程免修。</w:t>
      </w:r>
    </w:p>
    <w:p>
      <w:pPr>
        <w:adjustRightInd w:val="0"/>
        <w:snapToGrid w:val="0"/>
        <w:spacing w:line="360" w:lineRule="auto"/>
        <w:ind w:left="707" w:leftChars="337"/>
        <w:rPr>
          <w:sz w:val="18"/>
          <w:szCs w:val="18"/>
        </w:rPr>
        <w:sectPr>
          <w:type w:val="continuous"/>
          <w:pgSz w:w="11906" w:h="16838"/>
          <w:pgMar w:top="1440" w:right="1797" w:bottom="1440" w:left="1797" w:header="851" w:footer="992" w:gutter="0"/>
          <w:pgNumType w:fmt="decimal"/>
          <w:cols w:space="425" w:num="1"/>
          <w:docGrid w:type="linesAndChars" w:linePitch="312" w:charSpace="0"/>
        </w:sectPr>
      </w:pPr>
    </w:p>
    <w:p>
      <w:pPr>
        <w:tabs>
          <w:tab w:val="left" w:pos="420"/>
        </w:tabs>
        <w:adjustRightInd w:val="0"/>
        <w:snapToGrid w:val="0"/>
        <w:spacing w:line="360" w:lineRule="auto"/>
        <w:ind w:left="420" w:hanging="420"/>
        <w:rPr>
          <w:rFonts w:eastAsia="黑体"/>
          <w:szCs w:val="24"/>
        </w:rPr>
      </w:pPr>
      <w:r>
        <w:rPr>
          <w:rFonts w:hint="eastAsia" w:eastAsia="黑体"/>
          <w:szCs w:val="24"/>
        </w:rPr>
        <w:t>十、课程目标达成评价</w:t>
      </w:r>
    </w:p>
    <w:p>
      <w:pPr>
        <w:spacing w:line="360" w:lineRule="auto"/>
        <w:ind w:firstLine="420" w:firstLineChars="200"/>
        <w:jc w:val="center"/>
      </w:pPr>
      <w:r>
        <w:rPr>
          <w:rFonts w:hint="eastAsia"/>
        </w:rPr>
        <w:t>各环节对课程目标达成评价所使用到的权重占比分配及考核权重分配</w:t>
      </w:r>
    </w:p>
    <w:tbl>
      <w:tblPr>
        <w:tblStyle w:val="19"/>
        <w:tblW w:w="5000" w:type="pct"/>
        <w:jc w:val="center"/>
        <w:tblLayout w:type="autofit"/>
        <w:tblCellMar>
          <w:top w:w="0" w:type="dxa"/>
          <w:left w:w="108" w:type="dxa"/>
          <w:bottom w:w="0" w:type="dxa"/>
          <w:right w:w="108" w:type="dxa"/>
        </w:tblCellMar>
      </w:tblPr>
      <w:tblGrid>
        <w:gridCol w:w="1421"/>
        <w:gridCol w:w="1540"/>
        <w:gridCol w:w="727"/>
        <w:gridCol w:w="689"/>
        <w:gridCol w:w="727"/>
        <w:gridCol w:w="689"/>
        <w:gridCol w:w="651"/>
        <w:gridCol w:w="716"/>
        <w:gridCol w:w="700"/>
        <w:gridCol w:w="700"/>
        <w:gridCol w:w="700"/>
        <w:gridCol w:w="700"/>
        <w:gridCol w:w="727"/>
        <w:gridCol w:w="670"/>
        <w:gridCol w:w="700"/>
        <w:gridCol w:w="700"/>
        <w:gridCol w:w="703"/>
      </w:tblGrid>
      <w:tr>
        <w:tblPrEx>
          <w:tblCellMar>
            <w:top w:w="0" w:type="dxa"/>
            <w:left w:w="108" w:type="dxa"/>
            <w:bottom w:w="0" w:type="dxa"/>
            <w:right w:w="108" w:type="dxa"/>
          </w:tblCellMar>
        </w:tblPrEx>
        <w:trPr>
          <w:trHeight w:val="1015" w:hRule="atLeast"/>
          <w:jc w:val="center"/>
        </w:trPr>
        <w:tc>
          <w:tcPr>
            <w:tcW w:w="52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课程目标</w:t>
            </w:r>
          </w:p>
        </w:tc>
        <w:tc>
          <w:tcPr>
            <w:tcW w:w="5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知识面比例</w:t>
            </w:r>
          </w:p>
          <w:p>
            <w:pPr>
              <w:widowControl/>
              <w:jc w:val="center"/>
              <w:rPr>
                <w:rFonts w:ascii="宋体" w:hAnsi="宋体" w:cs="宋体"/>
                <w:kern w:val="0"/>
                <w:sz w:val="18"/>
                <w:szCs w:val="18"/>
              </w:rPr>
            </w:pPr>
            <w:r>
              <w:rPr>
                <w:rFonts w:hint="eastAsia" w:ascii="宋体" w:hAnsi="宋体" w:cs="宋体"/>
                <w:kern w:val="0"/>
                <w:sz w:val="18"/>
                <w:szCs w:val="18"/>
              </w:rPr>
              <w:t>（本列总和为1）</w:t>
            </w:r>
          </w:p>
          <w:p>
            <w:pPr>
              <w:widowControl/>
              <w:jc w:val="center"/>
              <w:rPr>
                <w:rFonts w:ascii="宋体" w:hAnsi="宋体" w:cs="宋体"/>
                <w:i/>
                <w:kern w:val="0"/>
                <w:sz w:val="18"/>
                <w:szCs w:val="18"/>
              </w:rPr>
            </w:pPr>
            <w:r>
              <w:rPr>
                <w:rFonts w:ascii="宋体" w:hAnsi="宋体" w:cs="宋体"/>
                <w:i/>
                <w:kern w:val="0"/>
                <w:sz w:val="18"/>
                <w:szCs w:val="18"/>
              </w:rPr>
              <w:t>P</w:t>
            </w:r>
            <w:r>
              <w:rPr>
                <w:rFonts w:ascii="宋体" w:hAnsi="宋体" w:cs="宋体"/>
                <w:i/>
                <w:kern w:val="0"/>
                <w:sz w:val="18"/>
                <w:szCs w:val="18"/>
                <w:vertAlign w:val="subscript"/>
              </w:rPr>
              <w:t>i</w:t>
            </w:r>
          </w:p>
        </w:tc>
        <w:tc>
          <w:tcPr>
            <w:tcW w:w="1294"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18"/>
                <w:szCs w:val="18"/>
              </w:rPr>
            </w:pPr>
            <w:r>
              <w:rPr>
                <w:rFonts w:hint="eastAsia" w:ascii="宋体" w:hAnsi="宋体"/>
                <w:sz w:val="18"/>
                <w:szCs w:val="18"/>
              </w:rPr>
              <w:t>各环节评价比例分配</w:t>
            </w:r>
            <w:r>
              <w:rPr>
                <w:rFonts w:hint="eastAsia" w:ascii="宋体" w:hAnsi="宋体"/>
                <w:sz w:val="18"/>
                <w:szCs w:val="18"/>
              </w:rPr>
              <w:br w:type="textWrapping"/>
            </w:r>
            <w:r>
              <w:rPr>
                <w:rFonts w:hint="eastAsia" w:ascii="宋体" w:hAnsi="宋体"/>
                <w:sz w:val="18"/>
                <w:szCs w:val="18"/>
              </w:rPr>
              <w:t>（每行总和为1）</w:t>
            </w:r>
            <w:r>
              <w:rPr>
                <w:rFonts w:hint="eastAsia" w:ascii="宋体" w:hAnsi="宋体"/>
                <w:sz w:val="18"/>
                <w:szCs w:val="18"/>
              </w:rPr>
              <w:br w:type="textWrapping"/>
            </w:r>
            <w:r>
              <w:rPr>
                <w:rFonts w:hint="eastAsia" w:ascii="宋体" w:hAnsi="宋体"/>
                <w:i/>
                <w:sz w:val="18"/>
                <w:szCs w:val="18"/>
              </w:rPr>
              <w:t>W</w:t>
            </w:r>
            <w:r>
              <w:rPr>
                <w:rFonts w:hint="eastAsia" w:ascii="宋体" w:hAnsi="宋体"/>
                <w:i/>
                <w:sz w:val="18"/>
                <w:szCs w:val="18"/>
                <w:vertAlign w:val="subscript"/>
              </w:rPr>
              <w:t>ik</w:t>
            </w:r>
          </w:p>
        </w:tc>
        <w:tc>
          <w:tcPr>
            <w:tcW w:w="1306" w:type="pct"/>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各环节在课程达成中的占比</w:t>
            </w:r>
            <w:r>
              <w:rPr>
                <w:rFonts w:hint="eastAsia" w:ascii="宋体" w:hAnsi="宋体"/>
                <w:sz w:val="18"/>
                <w:szCs w:val="18"/>
              </w:rPr>
              <w:br w:type="textWrapping"/>
            </w:r>
            <w:r>
              <w:rPr>
                <w:rFonts w:hint="eastAsia" w:ascii="宋体" w:hAnsi="宋体"/>
                <w:sz w:val="18"/>
                <w:szCs w:val="18"/>
              </w:rPr>
              <w:t>（所有行列总和为1）</w:t>
            </w:r>
            <w:r>
              <w:rPr>
                <w:rFonts w:hint="eastAsia" w:ascii="宋体" w:hAnsi="宋体"/>
                <w:sz w:val="18"/>
                <w:szCs w:val="18"/>
              </w:rPr>
              <w:br w:type="textWrapping"/>
            </w:r>
            <w:r>
              <w:rPr>
                <w:rFonts w:hint="eastAsia" w:ascii="宋体" w:hAnsi="宋体"/>
                <w:i/>
                <w:sz w:val="18"/>
                <w:szCs w:val="18"/>
              </w:rPr>
              <w:t>S</w:t>
            </w:r>
            <w:r>
              <w:rPr>
                <w:rFonts w:hint="eastAsia" w:ascii="宋体" w:hAnsi="宋体"/>
                <w:i/>
                <w:sz w:val="18"/>
                <w:szCs w:val="18"/>
                <w:vertAlign w:val="subscript"/>
              </w:rPr>
              <w:t>ik</w:t>
            </w:r>
            <w:r>
              <w:rPr>
                <w:rFonts w:hint="eastAsia" w:ascii="宋体" w:hAnsi="宋体"/>
                <w:i/>
                <w:sz w:val="18"/>
                <w:szCs w:val="18"/>
              </w:rPr>
              <w:t>=P</w:t>
            </w:r>
            <w:r>
              <w:rPr>
                <w:rFonts w:hint="eastAsia" w:ascii="宋体" w:hAnsi="宋体"/>
                <w:i/>
                <w:sz w:val="18"/>
                <w:szCs w:val="18"/>
                <w:vertAlign w:val="subscript"/>
              </w:rPr>
              <w:t>i</w:t>
            </w:r>
            <w:r>
              <w:rPr>
                <w:rFonts w:hint="eastAsia" w:ascii="宋体" w:hAnsi="宋体"/>
                <w:i/>
                <w:sz w:val="18"/>
                <w:szCs w:val="18"/>
              </w:rPr>
              <w:t>*W</w:t>
            </w:r>
            <w:r>
              <w:rPr>
                <w:rFonts w:hint="eastAsia" w:ascii="宋体" w:hAnsi="宋体"/>
                <w:i/>
                <w:sz w:val="18"/>
                <w:szCs w:val="18"/>
                <w:vertAlign w:val="subscript"/>
              </w:rPr>
              <w:t>ik</w:t>
            </w:r>
          </w:p>
        </w:tc>
        <w:tc>
          <w:tcPr>
            <w:tcW w:w="1300" w:type="pct"/>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各环节课程目标考核权重分布</w:t>
            </w:r>
          </w:p>
          <w:p>
            <w:pPr>
              <w:jc w:val="center"/>
              <w:rPr>
                <w:rFonts w:ascii="宋体" w:hAnsi="宋体"/>
                <w:sz w:val="18"/>
                <w:szCs w:val="18"/>
              </w:rPr>
            </w:pPr>
            <w:r>
              <w:rPr>
                <w:rFonts w:ascii="宋体" w:hAnsi="宋体"/>
                <w:sz w:val="18"/>
                <w:szCs w:val="18"/>
              </w:rPr>
              <w:t>（每一列总和为</w:t>
            </w:r>
            <w:r>
              <w:rPr>
                <w:rFonts w:hint="eastAsia" w:ascii="宋体" w:hAnsi="宋体"/>
                <w:sz w:val="18"/>
                <w:szCs w:val="18"/>
              </w:rPr>
              <w:t>1</w:t>
            </w:r>
            <w:r>
              <w:rPr>
                <w:rFonts w:ascii="宋体" w:hAnsi="宋体"/>
                <w:sz w:val="18"/>
                <w:szCs w:val="18"/>
              </w:rPr>
              <w:t>）</w:t>
            </w:r>
          </w:p>
          <w:p>
            <w:pPr>
              <w:jc w:val="center"/>
              <w:rPr>
                <w:rFonts w:ascii="宋体" w:hAnsi="宋体"/>
                <w:i/>
                <w:sz w:val="18"/>
                <w:szCs w:val="18"/>
              </w:rPr>
            </w:pPr>
            <w:r>
              <w:rPr>
                <w:rFonts w:hint="eastAsia" w:ascii="宋体" w:hAnsi="宋体"/>
                <w:i/>
                <w:sz w:val="18"/>
                <w:szCs w:val="18"/>
              </w:rPr>
              <w:t>E</w:t>
            </w:r>
            <w:r>
              <w:rPr>
                <w:rFonts w:hint="eastAsia" w:ascii="宋体" w:hAnsi="宋体"/>
                <w:i/>
                <w:sz w:val="18"/>
                <w:szCs w:val="18"/>
                <w:vertAlign w:val="subscript"/>
              </w:rPr>
              <w:t>ik</w:t>
            </w:r>
            <w:r>
              <w:rPr>
                <w:rFonts w:hint="eastAsia" w:ascii="宋体" w:hAnsi="宋体"/>
                <w:i/>
                <w:sz w:val="18"/>
                <w:szCs w:val="18"/>
              </w:rPr>
              <w:t>=</w:t>
            </w:r>
            <w:r>
              <w:rPr>
                <w:rFonts w:ascii="宋体" w:hAnsi="宋体"/>
                <w:i/>
                <w:sz w:val="18"/>
                <w:szCs w:val="18"/>
              </w:rPr>
              <w:t>S</w:t>
            </w:r>
            <w:r>
              <w:rPr>
                <w:rFonts w:ascii="宋体" w:hAnsi="宋体"/>
                <w:i/>
                <w:sz w:val="18"/>
                <w:szCs w:val="18"/>
                <w:vertAlign w:val="subscript"/>
              </w:rPr>
              <w:t>ik</w:t>
            </w:r>
            <w:r>
              <w:rPr>
                <w:rFonts w:ascii="宋体" w:hAnsi="宋体"/>
                <w:i/>
                <w:sz w:val="18"/>
                <w:szCs w:val="18"/>
              </w:rPr>
              <w:t>/M</w:t>
            </w:r>
            <w:r>
              <w:rPr>
                <w:rFonts w:ascii="宋体" w:hAnsi="宋体"/>
                <w:i/>
                <w:sz w:val="18"/>
                <w:szCs w:val="18"/>
                <w:vertAlign w:val="subscript"/>
              </w:rPr>
              <w:t>ik</w:t>
            </w:r>
          </w:p>
        </w:tc>
      </w:tr>
      <w:tr>
        <w:tblPrEx>
          <w:tblCellMar>
            <w:top w:w="0" w:type="dxa"/>
            <w:left w:w="108" w:type="dxa"/>
            <w:bottom w:w="0" w:type="dxa"/>
            <w:right w:w="108" w:type="dxa"/>
          </w:tblCellMar>
        </w:tblPrEx>
        <w:trPr>
          <w:trHeight w:val="986" w:hRule="atLeast"/>
          <w:jc w:val="center"/>
        </w:trPr>
        <w:tc>
          <w:tcPr>
            <w:tcW w:w="52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7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7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课堂</w:t>
            </w:r>
          </w:p>
          <w:p>
            <w:pPr>
              <w:widowControl/>
              <w:jc w:val="center"/>
              <w:rPr>
                <w:rFonts w:ascii="宋体" w:hAnsi="宋体" w:cs="宋体"/>
                <w:kern w:val="0"/>
                <w:sz w:val="18"/>
                <w:szCs w:val="18"/>
              </w:rPr>
            </w:pPr>
            <w:r>
              <w:rPr>
                <w:rFonts w:hint="eastAsia" w:ascii="宋体" w:hAnsi="宋体" w:cs="宋体"/>
                <w:kern w:val="0"/>
                <w:sz w:val="18"/>
                <w:szCs w:val="18"/>
              </w:rPr>
              <w:t>情况</w:t>
            </w:r>
          </w:p>
        </w:tc>
        <w:tc>
          <w:tcPr>
            <w:tcW w:w="25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作业</w:t>
            </w:r>
          </w:p>
        </w:tc>
        <w:tc>
          <w:tcPr>
            <w:tcW w:w="27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课内实验</w:t>
            </w:r>
          </w:p>
        </w:tc>
        <w:tc>
          <w:tcPr>
            <w:tcW w:w="25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分组</w:t>
            </w:r>
          </w:p>
          <w:p>
            <w:pPr>
              <w:widowControl/>
              <w:jc w:val="center"/>
              <w:rPr>
                <w:rFonts w:ascii="宋体" w:hAnsi="宋体" w:cs="宋体"/>
                <w:kern w:val="0"/>
                <w:sz w:val="18"/>
                <w:szCs w:val="18"/>
              </w:rPr>
            </w:pPr>
            <w:r>
              <w:rPr>
                <w:rFonts w:hint="eastAsia" w:ascii="宋体" w:hAnsi="宋体" w:cs="宋体"/>
                <w:kern w:val="0"/>
                <w:sz w:val="18"/>
                <w:szCs w:val="18"/>
              </w:rPr>
              <w:t>实验</w:t>
            </w:r>
          </w:p>
        </w:tc>
        <w:tc>
          <w:tcPr>
            <w:tcW w:w="2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期末</w:t>
            </w:r>
          </w:p>
          <w:p>
            <w:pPr>
              <w:widowControl/>
              <w:jc w:val="center"/>
              <w:rPr>
                <w:rFonts w:ascii="宋体" w:hAnsi="宋体" w:cs="宋体"/>
                <w:kern w:val="0"/>
                <w:sz w:val="18"/>
                <w:szCs w:val="18"/>
              </w:rPr>
            </w:pPr>
            <w:r>
              <w:rPr>
                <w:rFonts w:hint="eastAsia" w:ascii="宋体" w:hAnsi="宋体" w:cs="宋体"/>
                <w:kern w:val="0"/>
                <w:sz w:val="18"/>
                <w:szCs w:val="18"/>
              </w:rPr>
              <w:t>考试</w:t>
            </w:r>
          </w:p>
        </w:tc>
        <w:tc>
          <w:tcPr>
            <w:tcW w:w="26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课堂</w:t>
            </w:r>
          </w:p>
          <w:p>
            <w:pPr>
              <w:widowControl/>
              <w:jc w:val="center"/>
              <w:rPr>
                <w:rFonts w:ascii="宋体" w:hAnsi="宋体" w:cs="宋体"/>
                <w:kern w:val="0"/>
                <w:sz w:val="18"/>
                <w:szCs w:val="18"/>
              </w:rPr>
            </w:pPr>
            <w:r>
              <w:rPr>
                <w:rFonts w:hint="eastAsia" w:ascii="宋体" w:hAnsi="宋体" w:cs="宋体"/>
                <w:kern w:val="0"/>
                <w:sz w:val="18"/>
                <w:szCs w:val="18"/>
              </w:rPr>
              <w:t>情况</w:t>
            </w:r>
          </w:p>
        </w:tc>
        <w:tc>
          <w:tcPr>
            <w:tcW w:w="26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作业</w:t>
            </w:r>
          </w:p>
        </w:tc>
        <w:tc>
          <w:tcPr>
            <w:tcW w:w="26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课内实验</w:t>
            </w:r>
          </w:p>
        </w:tc>
        <w:tc>
          <w:tcPr>
            <w:tcW w:w="26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分组</w:t>
            </w:r>
          </w:p>
          <w:p>
            <w:pPr>
              <w:widowControl/>
              <w:jc w:val="center"/>
              <w:rPr>
                <w:rFonts w:ascii="宋体" w:hAnsi="宋体" w:cs="宋体"/>
                <w:kern w:val="0"/>
                <w:sz w:val="18"/>
                <w:szCs w:val="18"/>
              </w:rPr>
            </w:pPr>
            <w:r>
              <w:rPr>
                <w:rFonts w:hint="eastAsia" w:ascii="宋体" w:hAnsi="宋体" w:cs="宋体"/>
                <w:kern w:val="0"/>
                <w:sz w:val="18"/>
                <w:szCs w:val="18"/>
              </w:rPr>
              <w:t>实验</w:t>
            </w:r>
          </w:p>
        </w:tc>
        <w:tc>
          <w:tcPr>
            <w:tcW w:w="26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期末</w:t>
            </w:r>
          </w:p>
          <w:p>
            <w:pPr>
              <w:widowControl/>
              <w:jc w:val="center"/>
              <w:rPr>
                <w:rFonts w:ascii="宋体" w:hAnsi="宋体" w:cs="宋体"/>
                <w:kern w:val="0"/>
                <w:sz w:val="18"/>
                <w:szCs w:val="18"/>
              </w:rPr>
            </w:pPr>
            <w:r>
              <w:rPr>
                <w:rFonts w:hint="eastAsia" w:ascii="宋体" w:hAnsi="宋体" w:cs="宋体"/>
                <w:kern w:val="0"/>
                <w:sz w:val="18"/>
                <w:szCs w:val="18"/>
              </w:rPr>
              <w:t>考试</w:t>
            </w:r>
          </w:p>
        </w:tc>
        <w:tc>
          <w:tcPr>
            <w:tcW w:w="27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课堂</w:t>
            </w:r>
          </w:p>
          <w:p>
            <w:pPr>
              <w:widowControl/>
              <w:jc w:val="center"/>
              <w:rPr>
                <w:rFonts w:ascii="宋体" w:hAnsi="宋体" w:cs="宋体"/>
                <w:kern w:val="0"/>
                <w:sz w:val="18"/>
                <w:szCs w:val="18"/>
              </w:rPr>
            </w:pPr>
            <w:r>
              <w:rPr>
                <w:rFonts w:hint="eastAsia" w:ascii="宋体" w:hAnsi="宋体" w:cs="宋体"/>
                <w:kern w:val="0"/>
                <w:sz w:val="18"/>
                <w:szCs w:val="18"/>
              </w:rPr>
              <w:t>情况</w:t>
            </w:r>
          </w:p>
        </w:tc>
        <w:tc>
          <w:tcPr>
            <w:tcW w:w="24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作业</w:t>
            </w:r>
          </w:p>
        </w:tc>
        <w:tc>
          <w:tcPr>
            <w:tcW w:w="26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课内实验</w:t>
            </w:r>
          </w:p>
        </w:tc>
        <w:tc>
          <w:tcPr>
            <w:tcW w:w="26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分组</w:t>
            </w:r>
          </w:p>
          <w:p>
            <w:pPr>
              <w:widowControl/>
              <w:jc w:val="center"/>
              <w:rPr>
                <w:rFonts w:ascii="宋体" w:hAnsi="宋体" w:cs="宋体"/>
                <w:kern w:val="0"/>
                <w:sz w:val="18"/>
                <w:szCs w:val="18"/>
              </w:rPr>
            </w:pPr>
            <w:r>
              <w:rPr>
                <w:rFonts w:hint="eastAsia" w:ascii="宋体" w:hAnsi="宋体" w:cs="宋体"/>
                <w:kern w:val="0"/>
                <w:sz w:val="18"/>
                <w:szCs w:val="18"/>
              </w:rPr>
              <w:t>实验</w:t>
            </w:r>
          </w:p>
        </w:tc>
        <w:tc>
          <w:tcPr>
            <w:tcW w:w="26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期末</w:t>
            </w:r>
          </w:p>
          <w:p>
            <w:pPr>
              <w:widowControl/>
              <w:jc w:val="center"/>
              <w:rPr>
                <w:rFonts w:ascii="宋体" w:hAnsi="宋体" w:cs="宋体"/>
                <w:kern w:val="0"/>
                <w:sz w:val="18"/>
                <w:szCs w:val="18"/>
              </w:rPr>
            </w:pPr>
            <w:r>
              <w:rPr>
                <w:rFonts w:hint="eastAsia" w:ascii="宋体" w:hAnsi="宋体" w:cs="宋体"/>
                <w:kern w:val="0"/>
                <w:sz w:val="18"/>
                <w:szCs w:val="18"/>
              </w:rPr>
              <w:t>考试</w:t>
            </w:r>
          </w:p>
        </w:tc>
      </w:tr>
      <w:tr>
        <w:tblPrEx>
          <w:tblCellMar>
            <w:top w:w="0" w:type="dxa"/>
            <w:left w:w="108" w:type="dxa"/>
            <w:bottom w:w="0" w:type="dxa"/>
            <w:right w:w="108" w:type="dxa"/>
          </w:tblCellMar>
        </w:tblPrEx>
        <w:trPr>
          <w:trHeight w:val="702" w:hRule="atLeast"/>
          <w:jc w:val="center"/>
        </w:trPr>
        <w:tc>
          <w:tcPr>
            <w:tcW w:w="528" w:type="pct"/>
            <w:tcBorders>
              <w:top w:val="nil"/>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 xml:space="preserve">1 </w:t>
            </w:r>
          </w:p>
        </w:tc>
        <w:tc>
          <w:tcPr>
            <w:tcW w:w="57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18"/>
                <w:szCs w:val="18"/>
              </w:rPr>
            </w:pPr>
            <w:r>
              <w:rPr>
                <w:sz w:val="18"/>
                <w:szCs w:val="18"/>
              </w:rPr>
              <w:t xml:space="preserve">0.80 </w:t>
            </w:r>
          </w:p>
        </w:tc>
        <w:tc>
          <w:tcPr>
            <w:tcW w:w="270" w:type="pct"/>
            <w:tcBorders>
              <w:top w:val="single" w:color="auto" w:sz="4" w:space="0"/>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 xml:space="preserve">0.10 </w:t>
            </w:r>
          </w:p>
        </w:tc>
        <w:tc>
          <w:tcPr>
            <w:tcW w:w="256" w:type="pct"/>
            <w:tcBorders>
              <w:top w:val="single" w:color="auto" w:sz="4" w:space="0"/>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 xml:space="preserve">0.10 </w:t>
            </w:r>
          </w:p>
        </w:tc>
        <w:tc>
          <w:tcPr>
            <w:tcW w:w="270" w:type="pct"/>
            <w:tcBorders>
              <w:top w:val="single" w:color="auto" w:sz="4" w:space="0"/>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 xml:space="preserve">0.15 </w:t>
            </w:r>
          </w:p>
        </w:tc>
        <w:tc>
          <w:tcPr>
            <w:tcW w:w="256" w:type="pct"/>
            <w:tcBorders>
              <w:top w:val="single" w:color="auto" w:sz="4" w:space="0"/>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 xml:space="preserve">0.10 </w:t>
            </w:r>
          </w:p>
        </w:tc>
        <w:tc>
          <w:tcPr>
            <w:tcW w:w="242" w:type="pct"/>
            <w:tcBorders>
              <w:top w:val="single" w:color="auto" w:sz="4" w:space="0"/>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 xml:space="preserve">0.55 </w:t>
            </w:r>
          </w:p>
        </w:tc>
        <w:tc>
          <w:tcPr>
            <w:tcW w:w="266"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sz w:val="18"/>
                <w:szCs w:val="18"/>
              </w:rPr>
            </w:pPr>
            <w:r>
              <w:rPr>
                <w:sz w:val="18"/>
                <w:szCs w:val="18"/>
              </w:rPr>
              <w:t xml:space="preserve">0.08 </w:t>
            </w:r>
          </w:p>
        </w:tc>
        <w:tc>
          <w:tcPr>
            <w:tcW w:w="260"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sz w:val="18"/>
                <w:szCs w:val="18"/>
              </w:rPr>
            </w:pPr>
            <w:r>
              <w:rPr>
                <w:sz w:val="18"/>
                <w:szCs w:val="18"/>
              </w:rPr>
              <w:t xml:space="preserve">0.08 </w:t>
            </w:r>
          </w:p>
        </w:tc>
        <w:tc>
          <w:tcPr>
            <w:tcW w:w="260"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sz w:val="18"/>
                <w:szCs w:val="18"/>
              </w:rPr>
            </w:pPr>
            <w:r>
              <w:rPr>
                <w:sz w:val="18"/>
                <w:szCs w:val="18"/>
              </w:rPr>
              <w:t xml:space="preserve">0.12 </w:t>
            </w:r>
          </w:p>
        </w:tc>
        <w:tc>
          <w:tcPr>
            <w:tcW w:w="260"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sz w:val="18"/>
                <w:szCs w:val="18"/>
              </w:rPr>
            </w:pPr>
            <w:r>
              <w:rPr>
                <w:sz w:val="18"/>
                <w:szCs w:val="18"/>
              </w:rPr>
              <w:t xml:space="preserve">0.08 </w:t>
            </w:r>
          </w:p>
        </w:tc>
        <w:tc>
          <w:tcPr>
            <w:tcW w:w="260"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sz w:val="18"/>
                <w:szCs w:val="18"/>
              </w:rPr>
            </w:pPr>
            <w:r>
              <w:rPr>
                <w:sz w:val="18"/>
                <w:szCs w:val="18"/>
              </w:rPr>
              <w:t xml:space="preserve">0.44 </w:t>
            </w:r>
          </w:p>
        </w:tc>
        <w:tc>
          <w:tcPr>
            <w:tcW w:w="270"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 xml:space="preserve">0.80 </w:t>
            </w:r>
          </w:p>
        </w:tc>
        <w:tc>
          <w:tcPr>
            <w:tcW w:w="249"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 xml:space="preserve">0.80 </w:t>
            </w:r>
          </w:p>
        </w:tc>
        <w:tc>
          <w:tcPr>
            <w:tcW w:w="260"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 xml:space="preserve">0.80 </w:t>
            </w:r>
          </w:p>
        </w:tc>
        <w:tc>
          <w:tcPr>
            <w:tcW w:w="260"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 xml:space="preserve">0.54 </w:t>
            </w:r>
          </w:p>
        </w:tc>
        <w:tc>
          <w:tcPr>
            <w:tcW w:w="260"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 xml:space="preserve">0.88 </w:t>
            </w:r>
          </w:p>
        </w:tc>
      </w:tr>
      <w:tr>
        <w:tblPrEx>
          <w:tblCellMar>
            <w:top w:w="0" w:type="dxa"/>
            <w:left w:w="108" w:type="dxa"/>
            <w:bottom w:w="0" w:type="dxa"/>
            <w:right w:w="108" w:type="dxa"/>
          </w:tblCellMar>
        </w:tblPrEx>
        <w:trPr>
          <w:trHeight w:val="694" w:hRule="atLeast"/>
          <w:jc w:val="center"/>
        </w:trPr>
        <w:tc>
          <w:tcPr>
            <w:tcW w:w="528" w:type="pct"/>
            <w:tcBorders>
              <w:top w:val="nil"/>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 xml:space="preserve">2 </w:t>
            </w:r>
          </w:p>
        </w:tc>
        <w:tc>
          <w:tcPr>
            <w:tcW w:w="572" w:type="pct"/>
            <w:tcBorders>
              <w:top w:val="nil"/>
              <w:left w:val="single" w:color="auto" w:sz="4" w:space="0"/>
              <w:bottom w:val="single" w:color="auto" w:sz="4" w:space="0"/>
              <w:right w:val="single" w:color="auto" w:sz="4" w:space="0"/>
            </w:tcBorders>
            <w:shd w:val="clear" w:color="auto" w:fill="auto"/>
            <w:noWrap/>
            <w:vAlign w:val="center"/>
          </w:tcPr>
          <w:p>
            <w:pPr>
              <w:jc w:val="center"/>
              <w:rPr>
                <w:sz w:val="18"/>
                <w:szCs w:val="18"/>
              </w:rPr>
            </w:pPr>
            <w:r>
              <w:rPr>
                <w:sz w:val="18"/>
                <w:szCs w:val="18"/>
              </w:rPr>
              <w:t xml:space="preserve">0.10 </w:t>
            </w:r>
          </w:p>
        </w:tc>
        <w:tc>
          <w:tcPr>
            <w:tcW w:w="270" w:type="pct"/>
            <w:tcBorders>
              <w:top w:val="nil"/>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 xml:space="preserve">0.10 </w:t>
            </w:r>
          </w:p>
        </w:tc>
        <w:tc>
          <w:tcPr>
            <w:tcW w:w="256" w:type="pct"/>
            <w:tcBorders>
              <w:top w:val="nil"/>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 xml:space="preserve">0.10 </w:t>
            </w:r>
          </w:p>
        </w:tc>
        <w:tc>
          <w:tcPr>
            <w:tcW w:w="270" w:type="pct"/>
            <w:tcBorders>
              <w:top w:val="nil"/>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 xml:space="preserve">0.00 </w:t>
            </w:r>
          </w:p>
        </w:tc>
        <w:tc>
          <w:tcPr>
            <w:tcW w:w="256" w:type="pct"/>
            <w:tcBorders>
              <w:top w:val="nil"/>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 xml:space="preserve">0.50 </w:t>
            </w:r>
          </w:p>
        </w:tc>
        <w:tc>
          <w:tcPr>
            <w:tcW w:w="242" w:type="pct"/>
            <w:tcBorders>
              <w:top w:val="nil"/>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 xml:space="preserve">0.30 </w:t>
            </w:r>
          </w:p>
        </w:tc>
        <w:tc>
          <w:tcPr>
            <w:tcW w:w="266"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sz w:val="18"/>
                <w:szCs w:val="18"/>
              </w:rPr>
            </w:pPr>
            <w:r>
              <w:rPr>
                <w:sz w:val="18"/>
                <w:szCs w:val="18"/>
              </w:rPr>
              <w:t xml:space="preserve">0.01 </w:t>
            </w:r>
          </w:p>
        </w:tc>
        <w:tc>
          <w:tcPr>
            <w:tcW w:w="260"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sz w:val="18"/>
                <w:szCs w:val="18"/>
              </w:rPr>
            </w:pPr>
            <w:r>
              <w:rPr>
                <w:sz w:val="18"/>
                <w:szCs w:val="18"/>
              </w:rPr>
              <w:t xml:space="preserve">0.01 </w:t>
            </w:r>
          </w:p>
        </w:tc>
        <w:tc>
          <w:tcPr>
            <w:tcW w:w="260"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sz w:val="18"/>
                <w:szCs w:val="18"/>
              </w:rPr>
            </w:pPr>
            <w:r>
              <w:rPr>
                <w:sz w:val="18"/>
                <w:szCs w:val="18"/>
              </w:rPr>
              <w:t xml:space="preserve">0.00 </w:t>
            </w:r>
          </w:p>
        </w:tc>
        <w:tc>
          <w:tcPr>
            <w:tcW w:w="260"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sz w:val="18"/>
                <w:szCs w:val="18"/>
              </w:rPr>
            </w:pPr>
            <w:r>
              <w:rPr>
                <w:sz w:val="18"/>
                <w:szCs w:val="18"/>
              </w:rPr>
              <w:t xml:space="preserve">0.05 </w:t>
            </w:r>
          </w:p>
        </w:tc>
        <w:tc>
          <w:tcPr>
            <w:tcW w:w="260"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sz w:val="18"/>
                <w:szCs w:val="18"/>
              </w:rPr>
            </w:pPr>
            <w:r>
              <w:rPr>
                <w:sz w:val="18"/>
                <w:szCs w:val="18"/>
              </w:rPr>
              <w:t xml:space="preserve">0.03 </w:t>
            </w:r>
          </w:p>
        </w:tc>
        <w:tc>
          <w:tcPr>
            <w:tcW w:w="270"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 xml:space="preserve">0.10 </w:t>
            </w:r>
          </w:p>
        </w:tc>
        <w:tc>
          <w:tcPr>
            <w:tcW w:w="249"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 xml:space="preserve">0.10 </w:t>
            </w:r>
          </w:p>
        </w:tc>
        <w:tc>
          <w:tcPr>
            <w:tcW w:w="260"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 xml:space="preserve">0.00 </w:t>
            </w:r>
          </w:p>
        </w:tc>
        <w:tc>
          <w:tcPr>
            <w:tcW w:w="260"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 xml:space="preserve">0.33 </w:t>
            </w:r>
          </w:p>
        </w:tc>
        <w:tc>
          <w:tcPr>
            <w:tcW w:w="260"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 xml:space="preserve">0.06 </w:t>
            </w:r>
          </w:p>
        </w:tc>
      </w:tr>
      <w:tr>
        <w:tblPrEx>
          <w:tblCellMar>
            <w:top w:w="0" w:type="dxa"/>
            <w:left w:w="108" w:type="dxa"/>
            <w:bottom w:w="0" w:type="dxa"/>
            <w:right w:w="108" w:type="dxa"/>
          </w:tblCellMar>
        </w:tblPrEx>
        <w:trPr>
          <w:trHeight w:val="690" w:hRule="atLeast"/>
          <w:jc w:val="center"/>
        </w:trPr>
        <w:tc>
          <w:tcPr>
            <w:tcW w:w="528" w:type="pct"/>
            <w:tcBorders>
              <w:top w:val="nil"/>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 xml:space="preserve">3 </w:t>
            </w:r>
          </w:p>
        </w:tc>
        <w:tc>
          <w:tcPr>
            <w:tcW w:w="572" w:type="pct"/>
            <w:tcBorders>
              <w:top w:val="nil"/>
              <w:left w:val="single" w:color="auto" w:sz="4" w:space="0"/>
              <w:bottom w:val="single" w:color="auto" w:sz="4" w:space="0"/>
              <w:right w:val="single" w:color="auto" w:sz="4" w:space="0"/>
            </w:tcBorders>
            <w:shd w:val="clear" w:color="auto" w:fill="auto"/>
            <w:noWrap/>
            <w:vAlign w:val="center"/>
          </w:tcPr>
          <w:p>
            <w:pPr>
              <w:jc w:val="center"/>
              <w:rPr>
                <w:sz w:val="18"/>
                <w:szCs w:val="18"/>
              </w:rPr>
            </w:pPr>
            <w:r>
              <w:rPr>
                <w:sz w:val="18"/>
                <w:szCs w:val="18"/>
              </w:rPr>
              <w:t xml:space="preserve">0.10 </w:t>
            </w:r>
          </w:p>
        </w:tc>
        <w:tc>
          <w:tcPr>
            <w:tcW w:w="270" w:type="pct"/>
            <w:tcBorders>
              <w:top w:val="nil"/>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 xml:space="preserve">0.10 </w:t>
            </w:r>
          </w:p>
        </w:tc>
        <w:tc>
          <w:tcPr>
            <w:tcW w:w="256" w:type="pct"/>
            <w:tcBorders>
              <w:top w:val="nil"/>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 xml:space="preserve">0.10 </w:t>
            </w:r>
          </w:p>
        </w:tc>
        <w:tc>
          <w:tcPr>
            <w:tcW w:w="270" w:type="pct"/>
            <w:tcBorders>
              <w:top w:val="nil"/>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 xml:space="preserve">0.30 </w:t>
            </w:r>
          </w:p>
        </w:tc>
        <w:tc>
          <w:tcPr>
            <w:tcW w:w="256" w:type="pct"/>
            <w:tcBorders>
              <w:top w:val="nil"/>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 xml:space="preserve">0.20 </w:t>
            </w:r>
          </w:p>
        </w:tc>
        <w:tc>
          <w:tcPr>
            <w:tcW w:w="242" w:type="pct"/>
            <w:tcBorders>
              <w:top w:val="nil"/>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 xml:space="preserve">0.30 </w:t>
            </w:r>
          </w:p>
        </w:tc>
        <w:tc>
          <w:tcPr>
            <w:tcW w:w="266"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sz w:val="18"/>
                <w:szCs w:val="18"/>
              </w:rPr>
            </w:pPr>
            <w:r>
              <w:rPr>
                <w:sz w:val="18"/>
                <w:szCs w:val="18"/>
              </w:rPr>
              <w:t xml:space="preserve">0.01 </w:t>
            </w:r>
          </w:p>
        </w:tc>
        <w:tc>
          <w:tcPr>
            <w:tcW w:w="260"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sz w:val="18"/>
                <w:szCs w:val="18"/>
              </w:rPr>
            </w:pPr>
            <w:r>
              <w:rPr>
                <w:sz w:val="18"/>
                <w:szCs w:val="18"/>
              </w:rPr>
              <w:t xml:space="preserve">0.01 </w:t>
            </w:r>
          </w:p>
        </w:tc>
        <w:tc>
          <w:tcPr>
            <w:tcW w:w="260"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sz w:val="18"/>
                <w:szCs w:val="18"/>
              </w:rPr>
            </w:pPr>
            <w:r>
              <w:rPr>
                <w:sz w:val="18"/>
                <w:szCs w:val="18"/>
              </w:rPr>
              <w:t xml:space="preserve">0.03 </w:t>
            </w:r>
          </w:p>
        </w:tc>
        <w:tc>
          <w:tcPr>
            <w:tcW w:w="260"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sz w:val="18"/>
                <w:szCs w:val="18"/>
              </w:rPr>
            </w:pPr>
            <w:r>
              <w:rPr>
                <w:sz w:val="18"/>
                <w:szCs w:val="18"/>
              </w:rPr>
              <w:t xml:space="preserve">0.02 </w:t>
            </w:r>
          </w:p>
        </w:tc>
        <w:tc>
          <w:tcPr>
            <w:tcW w:w="260"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sz w:val="18"/>
                <w:szCs w:val="18"/>
              </w:rPr>
            </w:pPr>
            <w:r>
              <w:rPr>
                <w:sz w:val="18"/>
                <w:szCs w:val="18"/>
              </w:rPr>
              <w:t xml:space="preserve">0.03 </w:t>
            </w:r>
          </w:p>
        </w:tc>
        <w:tc>
          <w:tcPr>
            <w:tcW w:w="270"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 xml:space="preserve">0.10 </w:t>
            </w:r>
          </w:p>
        </w:tc>
        <w:tc>
          <w:tcPr>
            <w:tcW w:w="249"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 xml:space="preserve">0.10 </w:t>
            </w:r>
          </w:p>
        </w:tc>
        <w:tc>
          <w:tcPr>
            <w:tcW w:w="260"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 xml:space="preserve">0.20 </w:t>
            </w:r>
          </w:p>
        </w:tc>
        <w:tc>
          <w:tcPr>
            <w:tcW w:w="260"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 xml:space="preserve">0.13 </w:t>
            </w:r>
          </w:p>
        </w:tc>
        <w:tc>
          <w:tcPr>
            <w:tcW w:w="260"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 xml:space="preserve">0.06 </w:t>
            </w:r>
          </w:p>
        </w:tc>
      </w:tr>
      <w:tr>
        <w:tblPrEx>
          <w:tblCellMar>
            <w:top w:w="0" w:type="dxa"/>
            <w:left w:w="108" w:type="dxa"/>
            <w:bottom w:w="0" w:type="dxa"/>
            <w:right w:w="108" w:type="dxa"/>
          </w:tblCellMar>
        </w:tblPrEx>
        <w:trPr>
          <w:trHeight w:val="1026" w:hRule="atLeast"/>
          <w:jc w:val="center"/>
        </w:trPr>
        <w:tc>
          <w:tcPr>
            <w:tcW w:w="2394" w:type="pct"/>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各环节对课程目标达成的贡献率（</w:t>
            </w:r>
            <w:r>
              <w:rPr>
                <w:rFonts w:hint="eastAsia" w:ascii="宋体" w:hAnsi="宋体" w:cs="宋体"/>
                <w:i/>
                <w:kern w:val="0"/>
                <w:sz w:val="18"/>
                <w:szCs w:val="18"/>
              </w:rPr>
              <w:t>M</w:t>
            </w:r>
            <w:r>
              <w:rPr>
                <w:rFonts w:hint="eastAsia" w:ascii="宋体" w:hAnsi="宋体" w:cs="宋体"/>
                <w:i/>
                <w:kern w:val="0"/>
                <w:sz w:val="18"/>
                <w:szCs w:val="18"/>
                <w:vertAlign w:val="subscript"/>
              </w:rPr>
              <w:t>k</w:t>
            </w:r>
            <w:r>
              <w:rPr>
                <w:rFonts w:hint="eastAsia" w:ascii="宋体" w:hAnsi="宋体" w:cs="宋体"/>
                <w:kern w:val="0"/>
                <w:sz w:val="18"/>
                <w:szCs w:val="18"/>
              </w:rPr>
              <w:t>）</w:t>
            </w:r>
          </w:p>
        </w:tc>
        <w:tc>
          <w:tcPr>
            <w:tcW w:w="266"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sz w:val="18"/>
                <w:szCs w:val="18"/>
              </w:rPr>
            </w:pPr>
            <w:r>
              <w:rPr>
                <w:sz w:val="18"/>
                <w:szCs w:val="18"/>
              </w:rPr>
              <w:t xml:space="preserve">0.10 </w:t>
            </w:r>
          </w:p>
        </w:tc>
        <w:tc>
          <w:tcPr>
            <w:tcW w:w="260"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sz w:val="18"/>
                <w:szCs w:val="18"/>
              </w:rPr>
            </w:pPr>
            <w:r>
              <w:rPr>
                <w:sz w:val="18"/>
                <w:szCs w:val="18"/>
              </w:rPr>
              <w:t xml:space="preserve">0.10 </w:t>
            </w:r>
          </w:p>
        </w:tc>
        <w:tc>
          <w:tcPr>
            <w:tcW w:w="260"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sz w:val="18"/>
                <w:szCs w:val="18"/>
              </w:rPr>
            </w:pPr>
            <w:r>
              <w:rPr>
                <w:sz w:val="18"/>
                <w:szCs w:val="18"/>
              </w:rPr>
              <w:t xml:space="preserve">0.15 </w:t>
            </w:r>
          </w:p>
        </w:tc>
        <w:tc>
          <w:tcPr>
            <w:tcW w:w="260"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sz w:val="18"/>
                <w:szCs w:val="18"/>
              </w:rPr>
            </w:pPr>
            <w:r>
              <w:rPr>
                <w:sz w:val="18"/>
                <w:szCs w:val="18"/>
              </w:rPr>
              <w:t xml:space="preserve">0.15 </w:t>
            </w:r>
          </w:p>
        </w:tc>
        <w:tc>
          <w:tcPr>
            <w:tcW w:w="260"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sz w:val="18"/>
                <w:szCs w:val="18"/>
              </w:rPr>
            </w:pPr>
            <w:r>
              <w:rPr>
                <w:sz w:val="18"/>
                <w:szCs w:val="18"/>
              </w:rPr>
              <w:t xml:space="preserve">0.50 </w:t>
            </w:r>
          </w:p>
        </w:tc>
        <w:tc>
          <w:tcPr>
            <w:tcW w:w="1300" w:type="pct"/>
            <w:gridSpan w:val="5"/>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教师出题或布置作业时</w:t>
            </w:r>
          </w:p>
          <w:p>
            <w:pPr>
              <w:jc w:val="center"/>
              <w:rPr>
                <w:b/>
                <w:sz w:val="18"/>
                <w:szCs w:val="18"/>
              </w:rPr>
            </w:pPr>
            <w:r>
              <w:rPr>
                <w:sz w:val="18"/>
                <w:szCs w:val="18"/>
              </w:rPr>
              <w:t>要尽量做到按照以上比例布局</w:t>
            </w:r>
          </w:p>
        </w:tc>
      </w:tr>
    </w:tbl>
    <w:p>
      <w:pPr>
        <w:spacing w:line="360" w:lineRule="auto"/>
        <w:sectPr>
          <w:pgSz w:w="16838" w:h="11906" w:orient="landscape"/>
          <w:pgMar w:top="1440" w:right="1797" w:bottom="1440" w:left="1797" w:header="851" w:footer="992" w:gutter="0"/>
          <w:pgNumType w:fmt="decimal"/>
          <w:cols w:space="425" w:num="1"/>
          <w:docGrid w:linePitch="312" w:charSpace="0"/>
        </w:sectPr>
      </w:pPr>
    </w:p>
    <w:p>
      <w:pPr>
        <w:spacing w:line="360" w:lineRule="auto"/>
        <w:ind w:firstLine="420" w:firstLineChars="200"/>
        <w:rPr>
          <w:szCs w:val="21"/>
        </w:rPr>
      </w:pPr>
      <w:r>
        <w:rPr>
          <w:rFonts w:hint="eastAsia"/>
          <w:szCs w:val="21"/>
        </w:rPr>
        <w:t>采用达成值计算法，辅以对学生的问卷调查法。</w:t>
      </w:r>
    </w:p>
    <w:p>
      <w:pPr>
        <w:spacing w:line="360" w:lineRule="auto"/>
        <w:ind w:firstLine="422" w:firstLineChars="200"/>
        <w:rPr>
          <w:b/>
          <w:bCs/>
          <w:szCs w:val="21"/>
        </w:rPr>
      </w:pPr>
      <w:r>
        <w:rPr>
          <w:rFonts w:hint="eastAsia"/>
          <w:b/>
          <w:bCs/>
          <w:szCs w:val="21"/>
        </w:rPr>
        <w:t>课程目标定量评价：</w:t>
      </w:r>
    </w:p>
    <w:p>
      <w:pPr>
        <w:spacing w:line="360" w:lineRule="auto"/>
        <w:ind w:firstLine="420" w:firstLineChars="200"/>
        <w:rPr>
          <w:szCs w:val="21"/>
        </w:rPr>
      </w:pPr>
      <w:r>
        <w:rPr>
          <w:szCs w:val="21"/>
        </w:rPr>
        <w:t>达成值计算法结合上表权重分配，采用</w:t>
      </w:r>
      <w:r>
        <w:rPr>
          <w:rFonts w:hint="eastAsia"/>
          <w:szCs w:val="21"/>
        </w:rPr>
        <w:t>下表进行计算。</w:t>
      </w:r>
    </w:p>
    <w:p>
      <w:pPr>
        <w:spacing w:line="360" w:lineRule="auto"/>
        <w:ind w:firstLine="420" w:firstLineChars="200"/>
        <w:rPr>
          <w:szCs w:val="21"/>
        </w:rPr>
      </w:pPr>
      <w:r>
        <w:rPr>
          <w:szCs w:val="21"/>
        </w:rPr>
        <w:t>单一课程目标达成度评价采用下式：</w:t>
      </w:r>
    </w:p>
    <w:p>
      <w:pPr>
        <w:spacing w:line="360" w:lineRule="auto"/>
        <w:ind w:firstLine="420" w:firstLineChars="200"/>
        <w:rPr>
          <w:szCs w:val="21"/>
        </w:rPr>
      </w:pPr>
      <w:r>
        <w:rPr>
          <w:position w:val="-30"/>
          <w:szCs w:val="21"/>
        </w:rPr>
        <w:object>
          <v:shape id="_x0000_i1061" o:spt="75" type="#_x0000_t75" style="height:36pt;width:165.5pt;" o:ole="t" filled="f" o:preferrelative="t" stroked="f" coordsize="21600,21600">
            <v:path/>
            <v:fill on="f" focussize="0,0"/>
            <v:stroke on="f" joinstyle="miter"/>
            <v:imagedata r:id="rId145" o:title=""/>
            <o:lock v:ext="edit" aspectratio="t"/>
            <w10:wrap type="none"/>
            <w10:anchorlock/>
          </v:shape>
          <o:OLEObject Type="Embed" ProgID="Equation.3" ShapeID="_x0000_i1061" DrawAspect="Content" ObjectID="_1468075761" r:id="rId192">
            <o:LockedField>false</o:LockedField>
          </o:OLEObject>
        </w:object>
      </w:r>
    </w:p>
    <w:p>
      <w:pPr>
        <w:spacing w:line="360" w:lineRule="auto"/>
        <w:ind w:firstLine="420" w:firstLineChars="200"/>
        <w:rPr>
          <w:szCs w:val="21"/>
        </w:rPr>
      </w:pPr>
      <w:r>
        <w:rPr>
          <w:szCs w:val="21"/>
        </w:rPr>
        <w:t>总的课程目标达成度评价采用下式：</w:t>
      </w:r>
    </w:p>
    <w:p>
      <w:pPr>
        <w:spacing w:line="360" w:lineRule="auto"/>
        <w:ind w:firstLine="420" w:firstLineChars="200"/>
        <w:rPr>
          <w:szCs w:val="21"/>
        </w:rPr>
      </w:pPr>
      <w:r>
        <w:rPr>
          <w:position w:val="-30"/>
          <w:szCs w:val="21"/>
        </w:rPr>
        <w:object>
          <v:shape id="_x0000_i1062" o:spt="75" type="#_x0000_t75" style="height:36pt;width:150pt;" o:ole="t" filled="f" o:preferrelative="t" stroked="f" coordsize="21600,21600">
            <v:path/>
            <v:fill on="f" focussize="0,0"/>
            <v:stroke on="f" joinstyle="miter"/>
            <v:imagedata r:id="rId147" o:title=""/>
            <o:lock v:ext="edit" aspectratio="t"/>
            <w10:wrap type="none"/>
            <w10:anchorlock/>
          </v:shape>
          <o:OLEObject Type="Embed" ProgID="Equation.3" ShapeID="_x0000_i1062" DrawAspect="Content" ObjectID="_1468075762" r:id="rId193">
            <o:LockedField>false</o:LockedField>
          </o:OLEObject>
        </w:object>
      </w:r>
    </w:p>
    <w:p>
      <w:pPr>
        <w:spacing w:line="360" w:lineRule="auto"/>
        <w:ind w:firstLine="420" w:firstLineChars="200"/>
        <w:rPr>
          <w:szCs w:val="21"/>
        </w:rPr>
      </w:pPr>
      <w:r>
        <w:rPr>
          <w:szCs w:val="21"/>
        </w:rPr>
        <w:t>以上公式中：</w:t>
      </w:r>
    </w:p>
    <w:p>
      <w:pPr>
        <w:spacing w:line="360" w:lineRule="auto"/>
        <w:ind w:firstLine="420" w:firstLineChars="200"/>
        <w:rPr>
          <w:szCs w:val="21"/>
        </w:rPr>
      </w:pPr>
      <w:r>
        <w:rPr>
          <w:i/>
          <w:szCs w:val="21"/>
        </w:rPr>
        <w:t>k</w:t>
      </w:r>
      <w:r>
        <w:rPr>
          <w:szCs w:val="21"/>
        </w:rPr>
        <w:t>表示不同的评价方式，</w:t>
      </w:r>
      <w:r>
        <w:rPr>
          <w:i/>
          <w:szCs w:val="21"/>
        </w:rPr>
        <w:t>i</w:t>
      </w:r>
      <w:r>
        <w:rPr>
          <w:szCs w:val="21"/>
        </w:rPr>
        <w:t>表示不同的课程目标。</w:t>
      </w:r>
    </w:p>
    <w:p>
      <w:pPr>
        <w:spacing w:line="360" w:lineRule="auto"/>
        <w:ind w:firstLine="420" w:firstLineChars="200"/>
      </w:pPr>
      <w:r>
        <w:rPr>
          <w:position w:val="-10"/>
        </w:rPr>
        <w:object>
          <v:shape id="_x0000_i1063" o:spt="75" type="#_x0000_t75" style="height:17.5pt;width:14.5pt;" o:ole="t" filled="f" o:preferrelative="t" stroked="f" coordsize="21600,21600">
            <v:path/>
            <v:fill on="f" focussize="0,0"/>
            <v:stroke on="f" joinstyle="miter"/>
            <v:imagedata r:id="rId149" o:title=""/>
            <o:lock v:ext="edit" aspectratio="t"/>
            <w10:wrap type="none"/>
            <w10:anchorlock/>
          </v:shape>
          <o:OLEObject Type="Embed" ProgID="Equation.3" ShapeID="_x0000_i1063" DrawAspect="Content" ObjectID="_1468075763" r:id="rId194">
            <o:LockedField>false</o:LockedField>
          </o:OLEObject>
        </w:object>
      </w:r>
      <w:r>
        <w:t>表示第</w:t>
      </w:r>
      <w:r>
        <w:rPr>
          <w:i/>
        </w:rPr>
        <w:t>k</w:t>
      </w:r>
      <w:r>
        <w:t>种评价方式期末评价成绩平均分，均为百分制；</w:t>
      </w:r>
    </w:p>
    <w:p>
      <w:pPr>
        <w:spacing w:line="360" w:lineRule="auto"/>
        <w:ind w:firstLine="420" w:firstLineChars="200"/>
      </w:pPr>
      <w:r>
        <w:rPr>
          <w:position w:val="-10"/>
        </w:rPr>
        <w:object>
          <v:shape id="_x0000_i1064" o:spt="75" type="#_x0000_t75" style="height:17.5pt;width:74.5pt;" o:ole="t" filled="f" o:preferrelative="t" stroked="f" coordsize="21600,21600">
            <v:path/>
            <v:fill on="f" focussize="0,0"/>
            <v:stroke on="f" joinstyle="miter"/>
            <v:imagedata r:id="rId151" o:title=""/>
            <o:lock v:ext="edit" aspectratio="t"/>
            <w10:wrap type="none"/>
            <w10:anchorlock/>
          </v:shape>
          <o:OLEObject Type="Embed" ProgID="Equation.3" ShapeID="_x0000_i1064" DrawAspect="Content" ObjectID="_1468075764" r:id="rId195">
            <o:LockedField>false</o:LockedField>
          </o:OLEObject>
        </w:object>
      </w:r>
      <w:r>
        <w:t>是第</w:t>
      </w:r>
      <w:r>
        <w:rPr>
          <w:i/>
        </w:rPr>
        <w:t>k</w:t>
      </w:r>
      <w:r>
        <w:t>种评价方式通过第</w:t>
      </w:r>
      <w:r>
        <w:rPr>
          <w:i/>
        </w:rPr>
        <w:t>i</w:t>
      </w:r>
      <w:r>
        <w:t>个课程目标反映在总的课程目标评分占比；</w:t>
      </w:r>
    </w:p>
    <w:p>
      <w:pPr>
        <w:spacing w:line="360" w:lineRule="auto"/>
        <w:ind w:firstLine="420" w:firstLineChars="200"/>
        <w:rPr>
          <w:szCs w:val="21"/>
        </w:rPr>
      </w:pPr>
      <w:r>
        <w:rPr>
          <w:position w:val="-10"/>
        </w:rPr>
        <w:object>
          <v:shape id="_x0000_i1065" o:spt="75" type="#_x0000_t75" style="height:17.5pt;width:17.5pt;" o:ole="t" filled="f" o:preferrelative="t" stroked="f" coordsize="21600,21600">
            <v:path/>
            <v:fill on="f" focussize="0,0"/>
            <v:stroke on="f" joinstyle="miter"/>
            <v:imagedata r:id="rId153" o:title=""/>
            <o:lock v:ext="edit" aspectratio="t"/>
            <w10:wrap type="none"/>
            <w10:anchorlock/>
          </v:shape>
          <o:OLEObject Type="Embed" ProgID="Equation.3" ShapeID="_x0000_i1065" DrawAspect="Content" ObjectID="_1468075765" r:id="rId196">
            <o:LockedField>false</o:LockedField>
          </o:OLEObject>
        </w:object>
      </w:r>
      <w:r>
        <w:t>表示第</w:t>
      </w:r>
      <w:r>
        <w:rPr>
          <w:i/>
        </w:rPr>
        <w:t>k</w:t>
      </w:r>
      <w:r>
        <w:t>种评价方式对第</w:t>
      </w:r>
      <w:r>
        <w:rPr>
          <w:i/>
        </w:rPr>
        <w:t>i</w:t>
      </w:r>
      <w:r>
        <w:t>个课程目标百分占比；</w:t>
      </w:r>
    </w:p>
    <w:p>
      <w:pPr>
        <w:spacing w:line="360" w:lineRule="auto"/>
        <w:ind w:firstLine="420" w:firstLineChars="200"/>
      </w:pPr>
      <w:r>
        <w:rPr>
          <w:position w:val="-10"/>
        </w:rPr>
        <w:object>
          <v:shape id="_x0000_i1066" o:spt="75" type="#_x0000_t75" style="height:17.5pt;width:13pt;" o:ole="t" filled="f" o:preferrelative="t" stroked="f" coordsize="21600,21600">
            <v:path/>
            <v:fill on="f" focussize="0,0"/>
            <v:stroke on="f" joinstyle="miter"/>
            <v:imagedata r:id="rId155" o:title=""/>
            <o:lock v:ext="edit" aspectratio="t"/>
            <w10:wrap type="none"/>
            <w10:anchorlock/>
          </v:shape>
          <o:OLEObject Type="Embed" ProgID="Equation.3" ShapeID="_x0000_i1066" DrawAspect="Content" ObjectID="_1468075766" r:id="rId197">
            <o:LockedField>false</o:LockedField>
          </o:OLEObject>
        </w:object>
      </w:r>
      <w:r>
        <w:t>表示第</w:t>
      </w:r>
      <w:r>
        <w:rPr>
          <w:i/>
        </w:rPr>
        <w:t>i</w:t>
      </w:r>
      <w:r>
        <w:t>个课程目标在课程总评价中的占比；</w:t>
      </w:r>
    </w:p>
    <w:p>
      <w:pPr>
        <w:spacing w:line="360" w:lineRule="auto"/>
        <w:ind w:firstLine="422" w:firstLineChars="200"/>
        <w:rPr>
          <w:b/>
          <w:bCs/>
          <w:position w:val="-10"/>
          <w:szCs w:val="22"/>
        </w:rPr>
      </w:pPr>
      <w:r>
        <w:rPr>
          <w:rFonts w:hint="eastAsia"/>
          <w:b/>
          <w:bCs/>
          <w:position w:val="-10"/>
          <w:szCs w:val="22"/>
        </w:rPr>
        <w:t>课程目标定性评价：</w:t>
      </w:r>
    </w:p>
    <w:p>
      <w:pPr>
        <w:spacing w:line="360" w:lineRule="auto"/>
        <w:ind w:firstLine="420" w:firstLineChars="200"/>
        <w:rPr>
          <w:rFonts w:ascii="宋体" w:hAnsi="宋体" w:cs="宋体"/>
          <w:szCs w:val="21"/>
        </w:rPr>
      </w:pPr>
      <w:r>
        <w:rPr>
          <w:rFonts w:hint="eastAsia" w:ascii="宋体" w:hAnsi="宋体" w:cs="宋体"/>
          <w:szCs w:val="21"/>
        </w:rPr>
        <w:t>针对每门课的课程目标，直接设计问题，并要求学生明确给出目标能力达到的程度“很好（0.95）、较好（0.75）、中（0.60）、较差（0.45）、很差（0.25）”，根据各区段统计比例与括号中的目标分值加权后求和得出定性评价的结果。</w:t>
      </w:r>
    </w:p>
    <w:p>
      <w:pPr>
        <w:spacing w:line="360" w:lineRule="auto"/>
        <w:ind w:firstLine="422" w:firstLineChars="200"/>
        <w:rPr>
          <w:b/>
          <w:bCs/>
          <w:position w:val="-10"/>
          <w:szCs w:val="22"/>
        </w:rPr>
      </w:pPr>
      <w:r>
        <w:rPr>
          <w:rFonts w:hint="eastAsia"/>
          <w:b/>
          <w:bCs/>
          <w:position w:val="-10"/>
          <w:szCs w:val="22"/>
        </w:rPr>
        <w:t>课程目标达成结果：</w:t>
      </w:r>
    </w:p>
    <w:p>
      <w:pPr>
        <w:spacing w:line="360" w:lineRule="auto"/>
        <w:ind w:firstLine="420" w:firstLineChars="200"/>
        <w:rPr>
          <w:rFonts w:ascii="宋体" w:hAnsi="宋体" w:cs="宋体"/>
          <w:szCs w:val="21"/>
        </w:rPr>
      </w:pPr>
      <w:r>
        <w:rPr>
          <w:rFonts w:hint="eastAsia" w:ascii="宋体" w:hAnsi="宋体" w:cs="宋体"/>
          <w:szCs w:val="21"/>
        </w:rPr>
        <w:t>同一课程目标的评价，取定性评价和定量评价的平均值，作为最终评价结果。</w:t>
      </w:r>
    </w:p>
    <w:p>
      <w:pPr>
        <w:spacing w:line="360" w:lineRule="auto"/>
        <w:ind w:firstLine="420" w:firstLineChars="200"/>
        <w:rPr>
          <w:position w:val="-10"/>
          <w:szCs w:val="22"/>
        </w:rPr>
      </w:pPr>
      <w:r>
        <w:rPr>
          <w:rFonts w:hint="eastAsia"/>
          <w:position w:val="-10"/>
          <w:szCs w:val="22"/>
        </w:rPr>
        <w:t>课程目标达成度大于等于0.71为一级达成，大于等于0.65为二级达成。</w:t>
      </w:r>
    </w:p>
    <w:p>
      <w:pPr>
        <w:widowControl/>
        <w:jc w:val="left"/>
        <w:rPr>
          <w:rFonts w:eastAsia="黑体"/>
          <w:szCs w:val="24"/>
        </w:rPr>
      </w:pPr>
    </w:p>
    <w:p>
      <w:pPr>
        <w:tabs>
          <w:tab w:val="left" w:pos="420"/>
        </w:tabs>
        <w:adjustRightInd w:val="0"/>
        <w:snapToGrid w:val="0"/>
        <w:spacing w:line="360" w:lineRule="auto"/>
        <w:ind w:left="420" w:hanging="420"/>
        <w:rPr>
          <w:rFonts w:eastAsia="黑体"/>
          <w:szCs w:val="24"/>
        </w:rPr>
      </w:pPr>
      <w:r>
        <w:rPr>
          <w:rFonts w:hint="eastAsia" w:eastAsia="黑体"/>
          <w:szCs w:val="24"/>
        </w:rPr>
        <w:t>十一、各环节评价标准</w:t>
      </w:r>
    </w:p>
    <w:p>
      <w:pPr>
        <w:spacing w:line="360" w:lineRule="auto"/>
        <w:ind w:firstLine="420" w:firstLineChars="200"/>
        <w:rPr>
          <w:szCs w:val="21"/>
        </w:rPr>
      </w:pPr>
      <w:r>
        <w:rPr>
          <w:rFonts w:hint="eastAsia"/>
          <w:szCs w:val="21"/>
        </w:rPr>
        <w:t>本课程允许教师在各评价环节根据具体情况采取多样化、个性化的考核手段，其评价标准应当在《</w:t>
      </w:r>
      <w:r>
        <w:rPr>
          <w:rFonts w:hint="eastAsia" w:ascii="宋体" w:hAnsi="宋体"/>
          <w:szCs w:val="21"/>
        </w:rPr>
        <w:t>SIE-CT-01：</w:t>
      </w:r>
      <w:r>
        <w:rPr>
          <w:rFonts w:hint="eastAsia"/>
          <w:szCs w:val="21"/>
        </w:rPr>
        <w:t>授课计划》中明确并向学生公布，教学过程中的考核评价应当严格按照标准完成。</w:t>
      </w:r>
    </w:p>
    <w:p>
      <w:pPr>
        <w:tabs>
          <w:tab w:val="left" w:pos="420"/>
        </w:tabs>
        <w:adjustRightInd w:val="0"/>
        <w:snapToGrid w:val="0"/>
        <w:spacing w:line="360" w:lineRule="auto"/>
        <w:ind w:left="420" w:hanging="420"/>
        <w:rPr>
          <w:color w:val="0000FF"/>
        </w:rPr>
      </w:pPr>
    </w:p>
    <w:p>
      <w:pPr>
        <w:tabs>
          <w:tab w:val="left" w:pos="420"/>
        </w:tabs>
        <w:adjustRightInd w:val="0"/>
        <w:snapToGrid w:val="0"/>
        <w:spacing w:line="360" w:lineRule="auto"/>
        <w:ind w:left="420" w:hanging="420"/>
        <w:rPr>
          <w:rFonts w:eastAsia="黑体"/>
          <w:szCs w:val="24"/>
        </w:rPr>
      </w:pPr>
      <w:r>
        <w:rPr>
          <w:rFonts w:hint="eastAsia" w:eastAsia="黑体"/>
          <w:szCs w:val="24"/>
        </w:rPr>
        <w:t>十二、课程目标达成评价结果用于持续改进</w:t>
      </w:r>
    </w:p>
    <w:p>
      <w:pPr>
        <w:spacing w:line="360" w:lineRule="auto"/>
        <w:ind w:firstLine="420" w:firstLineChars="200"/>
        <w:rPr>
          <w:szCs w:val="21"/>
        </w:rPr>
      </w:pPr>
      <w:r>
        <w:rPr>
          <w:rFonts w:hint="eastAsia"/>
          <w:szCs w:val="21"/>
        </w:rPr>
        <w:t>课程目标达成评价结果将用于后续教学过程的持续改进。</w:t>
      </w:r>
    </w:p>
    <w:p>
      <w:pPr>
        <w:spacing w:line="360" w:lineRule="auto"/>
        <w:ind w:firstLine="420" w:firstLineChars="200"/>
        <w:rPr>
          <w:szCs w:val="21"/>
        </w:rPr>
      </w:pPr>
      <w:r>
        <w:rPr>
          <w:rFonts w:hint="eastAsia"/>
          <w:szCs w:val="21"/>
        </w:rPr>
        <w:t>针对课程目标达成评价中发现的问题与不足，重点是达成值相对较低的项，在本次授课总结中应由授课教师分析具体原因，并给出改进建议。后续任课教师应当针对以前的问题和建议，在授课计划中做好落实改进计划，并在授课过程中予以落实。</w:t>
      </w:r>
    </w:p>
    <w:p>
      <w:pPr>
        <w:adjustRightInd w:val="0"/>
        <w:snapToGrid w:val="0"/>
        <w:spacing w:line="360" w:lineRule="auto"/>
        <w:ind w:firstLine="420" w:firstLineChars="200"/>
        <w:rPr>
          <w:szCs w:val="21"/>
        </w:rPr>
      </w:pPr>
      <w:bookmarkStart w:id="11" w:name="_Toc31804"/>
      <w:bookmarkStart w:id="12" w:name="_Toc493673167"/>
    </w:p>
    <w:p>
      <w:pPr>
        <w:spacing w:line="360" w:lineRule="auto"/>
        <w:ind w:firstLine="420" w:firstLineChars="200"/>
        <w:rPr>
          <w:szCs w:val="21"/>
        </w:rPr>
        <w:sectPr>
          <w:headerReference r:id="rId44" w:type="first"/>
          <w:footerReference r:id="rId47" w:type="first"/>
          <w:headerReference r:id="rId42" w:type="default"/>
          <w:footerReference r:id="rId45" w:type="default"/>
          <w:headerReference r:id="rId43" w:type="even"/>
          <w:footerReference r:id="rId46" w:type="even"/>
          <w:pgSz w:w="11906" w:h="16838"/>
          <w:pgMar w:top="1440" w:right="1797" w:bottom="1440" w:left="1797" w:header="851" w:footer="992" w:gutter="0"/>
          <w:pgNumType w:fmt="decimal"/>
          <w:cols w:space="0" w:num="1"/>
          <w:docGrid w:type="lines" w:linePitch="312" w:charSpace="0"/>
        </w:sectPr>
      </w:pPr>
    </w:p>
    <w:bookmarkEnd w:id="11"/>
    <w:bookmarkEnd w:id="12"/>
    <w:p>
      <w:pPr>
        <w:pStyle w:val="18"/>
        <w:spacing w:before="312" w:after="468"/>
      </w:pPr>
      <w:bookmarkStart w:id="13" w:name="_Toc15669"/>
      <w:bookmarkStart w:id="14" w:name="_Toc2613"/>
      <w:r>
        <w:rPr>
          <w:rFonts w:hint="eastAsia"/>
        </w:rPr>
        <w:t>《</w:t>
      </w:r>
      <w:bookmarkStart w:id="15" w:name="OLE_LINK86"/>
      <w:bookmarkStart w:id="16" w:name="OLE_LINK87"/>
      <w:r>
        <w:rPr>
          <w:rFonts w:hint="eastAsia"/>
        </w:rPr>
        <w:t>光纤技术及应用</w:t>
      </w:r>
      <w:bookmarkEnd w:id="15"/>
      <w:bookmarkEnd w:id="16"/>
      <w:r>
        <w:rPr>
          <w:rFonts w:hint="eastAsia"/>
        </w:rPr>
        <w:t>》教学大纲</w:t>
      </w:r>
      <w:bookmarkEnd w:id="13"/>
      <w:bookmarkEnd w:id="14"/>
    </w:p>
    <w:p>
      <w:pPr>
        <w:adjustRightInd w:val="0"/>
        <w:snapToGrid w:val="0"/>
        <w:spacing w:line="360" w:lineRule="auto"/>
        <w:rPr>
          <w:snapToGrid w:val="0"/>
          <w:kern w:val="0"/>
          <w:szCs w:val="21"/>
        </w:rPr>
      </w:pPr>
      <w:r>
        <w:rPr>
          <w:rFonts w:eastAsia="黑体"/>
          <w:szCs w:val="21"/>
        </w:rPr>
        <w:t>课程编号</w:t>
      </w:r>
      <w:r>
        <w:rPr>
          <w:szCs w:val="21"/>
        </w:rPr>
        <w:t>：</w:t>
      </w:r>
      <w:r>
        <w:t>Y06060011</w:t>
      </w:r>
    </w:p>
    <w:p>
      <w:pPr>
        <w:adjustRightInd w:val="0"/>
        <w:snapToGrid w:val="0"/>
        <w:spacing w:line="360" w:lineRule="auto"/>
        <w:rPr>
          <w:rFonts w:asciiTheme="minorEastAsia" w:hAnsiTheme="minorEastAsia" w:eastAsiaTheme="minorEastAsia" w:cstheme="minorEastAsia"/>
          <w:szCs w:val="21"/>
        </w:rPr>
      </w:pPr>
      <w:r>
        <w:rPr>
          <w:rFonts w:eastAsia="黑体"/>
          <w:szCs w:val="21"/>
        </w:rPr>
        <w:t>课程名称</w:t>
      </w:r>
      <w:r>
        <w:rPr>
          <w:szCs w:val="21"/>
        </w:rPr>
        <w:t>：</w:t>
      </w:r>
      <w:r>
        <w:rPr>
          <w:rFonts w:hint="eastAsia" w:ascii="宋体" w:hAnsi="宋体" w:cstheme="minorEastAsia"/>
        </w:rPr>
        <w:t>光纤技术及应用</w:t>
      </w:r>
      <w:r>
        <w:rPr>
          <w:rFonts w:eastAsia="黑体"/>
          <w:szCs w:val="21"/>
        </w:rPr>
        <w:t>开课单位</w:t>
      </w:r>
      <w:r>
        <w:rPr>
          <w:szCs w:val="21"/>
        </w:rPr>
        <w:t>：</w:t>
      </w:r>
      <w:r>
        <w:rPr>
          <w:rFonts w:hint="eastAsia" w:ascii="宋体" w:hAnsi="宋体" w:cstheme="minorEastAsia"/>
          <w:szCs w:val="21"/>
        </w:rPr>
        <w:t>仪器与电子学院</w:t>
      </w:r>
    </w:p>
    <w:p>
      <w:pPr>
        <w:adjustRightInd w:val="0"/>
        <w:snapToGrid w:val="0"/>
        <w:spacing w:line="360" w:lineRule="auto"/>
        <w:rPr>
          <w:bCs/>
          <w:snapToGrid w:val="0"/>
          <w:kern w:val="0"/>
          <w:szCs w:val="21"/>
        </w:rPr>
      </w:pPr>
      <w:r>
        <w:rPr>
          <w:rFonts w:eastAsia="黑体"/>
          <w:szCs w:val="21"/>
        </w:rPr>
        <w:t>总学时</w:t>
      </w:r>
      <w:r>
        <w:rPr>
          <w:szCs w:val="21"/>
        </w:rPr>
        <w:t>：</w:t>
      </w:r>
      <w:r>
        <w:t>32</w:t>
      </w:r>
      <w:r>
        <w:rPr>
          <w:szCs w:val="21"/>
        </w:rPr>
        <w:t>（实验8学时）</w:t>
      </w:r>
      <w:r>
        <w:rPr>
          <w:rFonts w:eastAsia="黑体"/>
          <w:szCs w:val="21"/>
        </w:rPr>
        <w:t>学分</w:t>
      </w:r>
      <w:r>
        <w:rPr>
          <w:szCs w:val="21"/>
        </w:rPr>
        <w:t>：</w:t>
      </w:r>
      <w:r>
        <w:rPr>
          <w:rFonts w:hint="eastAsia"/>
          <w:bCs/>
          <w:snapToGrid w:val="0"/>
          <w:kern w:val="0"/>
          <w:szCs w:val="21"/>
        </w:rPr>
        <w:t>2</w:t>
      </w:r>
    </w:p>
    <w:p>
      <w:pPr>
        <w:adjustRightInd w:val="0"/>
        <w:snapToGrid w:val="0"/>
        <w:spacing w:line="360" w:lineRule="auto"/>
        <w:rPr>
          <w:rFonts w:hint="eastAsia" w:ascii="宋体" w:hAnsi="宋体" w:eastAsia="宋体" w:cstheme="minorEastAsia"/>
          <w:lang w:eastAsia="zh-CN"/>
        </w:rPr>
      </w:pPr>
      <w:r>
        <w:rPr>
          <w:rFonts w:eastAsia="黑体"/>
          <w:szCs w:val="21"/>
        </w:rPr>
        <w:t>适用专业：</w:t>
      </w:r>
      <w:r>
        <w:rPr>
          <w:rFonts w:hint="eastAsia" w:ascii="宋体" w:hAnsi="宋体" w:cstheme="minorEastAsia"/>
        </w:rPr>
        <w:t>电子科学与技术、测控技术及仪器</w:t>
      </w:r>
      <w:r>
        <w:rPr>
          <w:rFonts w:hint="eastAsia" w:ascii="宋体" w:hAnsi="宋体" w:cstheme="minorEastAsia"/>
          <w:lang w:eastAsia="zh-CN"/>
        </w:rPr>
        <w:t>、智能感知工程</w:t>
      </w:r>
    </w:p>
    <w:p>
      <w:pPr>
        <w:adjustRightInd w:val="0"/>
        <w:snapToGrid w:val="0"/>
        <w:spacing w:line="360" w:lineRule="auto"/>
        <w:rPr>
          <w:rFonts w:asciiTheme="minorEastAsia" w:hAnsiTheme="minorEastAsia" w:eastAsiaTheme="minorEastAsia" w:cstheme="minorEastAsia"/>
          <w:szCs w:val="21"/>
        </w:rPr>
      </w:pPr>
      <w:r>
        <w:rPr>
          <w:rFonts w:eastAsia="黑体"/>
          <w:szCs w:val="21"/>
        </w:rPr>
        <w:t>先修课程：</w:t>
      </w:r>
      <w:r>
        <w:rPr>
          <w:rFonts w:ascii="宋体" w:hAnsi="宋体"/>
        </w:rPr>
        <w:t>大学物理</w:t>
      </w:r>
      <w:r>
        <w:rPr>
          <w:rFonts w:ascii="宋体" w:hAnsi="宋体"/>
          <w:spacing w:val="6"/>
          <w:szCs w:val="289"/>
        </w:rPr>
        <w:t>、</w:t>
      </w:r>
      <w:r>
        <w:rPr>
          <w:rFonts w:ascii="宋体" w:hAnsi="宋体"/>
        </w:rPr>
        <w:t>光电子技术基础</w:t>
      </w:r>
    </w:p>
    <w:p>
      <w:pPr>
        <w:adjustRightInd w:val="0"/>
        <w:snapToGrid w:val="0"/>
        <w:spacing w:line="360" w:lineRule="auto"/>
        <w:rPr>
          <w:rFonts w:asciiTheme="minorEastAsia" w:hAnsiTheme="minorEastAsia" w:eastAsiaTheme="minorEastAsia" w:cstheme="minorEastAsia"/>
          <w:szCs w:val="21"/>
        </w:rPr>
      </w:pPr>
      <w:r>
        <w:rPr>
          <w:rFonts w:eastAsia="黑体"/>
          <w:szCs w:val="21"/>
        </w:rPr>
        <w:t>大纲执笔人</w:t>
      </w:r>
      <w:r>
        <w:rPr>
          <w:szCs w:val="21"/>
        </w:rPr>
        <w:t>：</w:t>
      </w:r>
      <w:r>
        <w:rPr>
          <w:rFonts w:hint="eastAsia" w:ascii="宋体" w:hAnsi="宋体" w:cstheme="minorEastAsia"/>
        </w:rPr>
        <w:t>贾平岗、侯钰龙</w:t>
      </w:r>
    </w:p>
    <w:p>
      <w:pPr>
        <w:adjustRightInd w:val="0"/>
        <w:snapToGrid w:val="0"/>
        <w:spacing w:line="360" w:lineRule="auto"/>
        <w:rPr>
          <w:rFonts w:asciiTheme="minorEastAsia" w:hAnsiTheme="minorEastAsia" w:eastAsiaTheme="minorEastAsia" w:cstheme="minorEastAsia"/>
          <w:szCs w:val="21"/>
        </w:rPr>
      </w:pPr>
      <w:r>
        <w:rPr>
          <w:rFonts w:eastAsia="黑体"/>
          <w:szCs w:val="21"/>
        </w:rPr>
        <w:t>大纲编写（修订）时间：</w:t>
      </w:r>
      <w:r>
        <w:rPr>
          <w:szCs w:val="21"/>
        </w:rPr>
        <w:t>2019年5月</w:t>
      </w:r>
    </w:p>
    <w:p>
      <w:pPr>
        <w:adjustRightInd w:val="0"/>
        <w:snapToGrid w:val="0"/>
        <w:spacing w:line="360" w:lineRule="auto"/>
        <w:rPr>
          <w:szCs w:val="21"/>
        </w:rPr>
      </w:pPr>
    </w:p>
    <w:p>
      <w:pPr>
        <w:tabs>
          <w:tab w:val="left" w:pos="420"/>
        </w:tabs>
        <w:adjustRightInd w:val="0"/>
        <w:snapToGrid w:val="0"/>
        <w:spacing w:line="360" w:lineRule="auto"/>
        <w:rPr>
          <w:rFonts w:eastAsia="黑体"/>
        </w:rPr>
      </w:pPr>
      <w:r>
        <w:rPr>
          <w:rFonts w:eastAsia="黑体"/>
        </w:rPr>
        <w:t>一、课程在教学计划中的地位、作用</w:t>
      </w:r>
    </w:p>
    <w:p>
      <w:pPr>
        <w:adjustRightInd w:val="0"/>
        <w:snapToGrid w:val="0"/>
        <w:spacing w:line="360" w:lineRule="auto"/>
        <w:ind w:firstLine="420" w:firstLineChars="200"/>
        <w:rPr>
          <w:rFonts w:ascii="宋体" w:hAnsi="宋体"/>
          <w:szCs w:val="21"/>
        </w:rPr>
      </w:pPr>
      <w:r>
        <w:rPr>
          <w:rFonts w:ascii="宋体" w:hAnsi="宋体"/>
          <w:szCs w:val="21"/>
        </w:rPr>
        <w:t>本课程是</w:t>
      </w:r>
      <w:r>
        <w:rPr>
          <w:rFonts w:ascii="宋体" w:hAnsi="宋体"/>
        </w:rPr>
        <w:t>电子科学与技术</w:t>
      </w:r>
      <w:r>
        <w:rPr>
          <w:rFonts w:ascii="宋体" w:hAnsi="宋体"/>
          <w:szCs w:val="21"/>
        </w:rPr>
        <w:t>专业光电子技术及应用方向的专业选修课。光纤技术作为一门日趋成熟的技术，已经广泛应用于国民经济的等各种领域。通过该课程的学习使学生系统掌握光纤基本特性、光纤器件、光纤通信技术和光纤传感技术的基本原理，探讨面向工程应用的新一代光纤技术及其发展趋势。培养学生掌握光纤基础理论及应用相关技术和器件的能力，为今后从事光纤技术等方面的研究和工作提供必要的基础知识。</w:t>
      </w:r>
    </w:p>
    <w:p>
      <w:pPr>
        <w:adjustRightInd w:val="0"/>
        <w:snapToGrid w:val="0"/>
        <w:spacing w:line="360" w:lineRule="auto"/>
        <w:ind w:firstLine="420" w:firstLineChars="200"/>
        <w:rPr>
          <w:szCs w:val="21"/>
        </w:rPr>
      </w:pPr>
    </w:p>
    <w:p>
      <w:pPr>
        <w:numPr>
          <w:ilvl w:val="0"/>
          <w:numId w:val="5"/>
        </w:numPr>
        <w:tabs>
          <w:tab w:val="left" w:pos="420"/>
        </w:tabs>
        <w:adjustRightInd w:val="0"/>
        <w:snapToGrid w:val="0"/>
        <w:spacing w:line="360" w:lineRule="auto"/>
        <w:rPr>
          <w:rFonts w:eastAsia="黑体"/>
          <w:szCs w:val="24"/>
        </w:rPr>
      </w:pPr>
      <w:r>
        <w:rPr>
          <w:rFonts w:eastAsia="黑体"/>
          <w:szCs w:val="24"/>
        </w:rPr>
        <w:t>课程目标</w:t>
      </w:r>
    </w:p>
    <w:p>
      <w:pPr>
        <w:spacing w:line="360" w:lineRule="auto"/>
        <w:jc w:val="left"/>
        <w:rPr>
          <w:szCs w:val="21"/>
        </w:rPr>
      </w:pPr>
      <w:r>
        <w:rPr>
          <w:rFonts w:hint="eastAsia"/>
          <w:szCs w:val="21"/>
        </w:rPr>
        <w:t>电子科学与技术专业：</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3739"/>
        <w:gridCol w:w="416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kern w:val="0"/>
                <w:sz w:val="18"/>
                <w:szCs w:val="18"/>
              </w:rPr>
            </w:pPr>
            <w:r>
              <w:rPr>
                <w:kern w:val="0"/>
                <w:sz w:val="18"/>
                <w:szCs w:val="18"/>
              </w:rPr>
              <w:t>序号</w:t>
            </w:r>
          </w:p>
        </w:tc>
        <w:tc>
          <w:tcPr>
            <w:tcW w:w="2192" w:type="pct"/>
            <w:vAlign w:val="center"/>
          </w:tcPr>
          <w:p>
            <w:pPr>
              <w:spacing w:line="360" w:lineRule="auto"/>
              <w:jc w:val="center"/>
              <w:rPr>
                <w:kern w:val="0"/>
                <w:sz w:val="18"/>
                <w:szCs w:val="18"/>
              </w:rPr>
            </w:pPr>
            <w:r>
              <w:rPr>
                <w:kern w:val="0"/>
                <w:sz w:val="18"/>
                <w:szCs w:val="18"/>
              </w:rPr>
              <w:t>课程目标</w:t>
            </w:r>
          </w:p>
        </w:tc>
        <w:tc>
          <w:tcPr>
            <w:tcW w:w="2441" w:type="pct"/>
            <w:vAlign w:val="center"/>
          </w:tcPr>
          <w:p>
            <w:pPr>
              <w:spacing w:line="360" w:lineRule="auto"/>
              <w:jc w:val="center"/>
              <w:rPr>
                <w:kern w:val="0"/>
                <w:sz w:val="18"/>
                <w:szCs w:val="18"/>
              </w:rPr>
            </w:pPr>
            <w:r>
              <w:rPr>
                <w:kern w:val="0"/>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kern w:val="0"/>
                <w:sz w:val="18"/>
                <w:szCs w:val="18"/>
              </w:rPr>
            </w:pPr>
            <w:r>
              <w:rPr>
                <w:kern w:val="0"/>
                <w:sz w:val="18"/>
                <w:szCs w:val="18"/>
              </w:rPr>
              <w:t>1</w:t>
            </w:r>
          </w:p>
        </w:tc>
        <w:tc>
          <w:tcPr>
            <w:tcW w:w="2192" w:type="pct"/>
          </w:tcPr>
          <w:p>
            <w:pPr>
              <w:spacing w:line="360" w:lineRule="auto"/>
              <w:rPr>
                <w:kern w:val="0"/>
                <w:sz w:val="18"/>
                <w:szCs w:val="18"/>
              </w:rPr>
            </w:pPr>
            <w:r>
              <w:rPr>
                <w:kern w:val="0"/>
                <w:sz w:val="18"/>
                <w:szCs w:val="18"/>
              </w:rPr>
              <w:t>能够运用光纤传感领域相关概念和背景知识，阐述各种有源或无源光纤器件的原理和功能，关键参数的含义。</w:t>
            </w:r>
          </w:p>
        </w:tc>
        <w:tc>
          <w:tcPr>
            <w:tcW w:w="2441" w:type="pct"/>
          </w:tcPr>
          <w:p>
            <w:pPr>
              <w:spacing w:line="360" w:lineRule="auto"/>
              <w:rPr>
                <w:kern w:val="0"/>
                <w:sz w:val="18"/>
                <w:szCs w:val="18"/>
              </w:rPr>
            </w:pPr>
            <w:r>
              <w:rPr>
                <w:b/>
                <w:bCs/>
                <w:kern w:val="0"/>
                <w:sz w:val="18"/>
                <w:szCs w:val="18"/>
              </w:rPr>
              <w:t>指标点1-1 知识体系：</w:t>
            </w:r>
            <w:r>
              <w:rPr>
                <w:kern w:val="0"/>
                <w:sz w:val="18"/>
                <w:szCs w:val="18"/>
              </w:rPr>
              <w:t>具备与本专业相关的数学、自然科学、光学和电子学工程基础及电子系统集成等多方面的知识。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kern w:val="0"/>
                <w:sz w:val="18"/>
                <w:szCs w:val="18"/>
              </w:rPr>
            </w:pPr>
            <w:r>
              <w:rPr>
                <w:kern w:val="0"/>
                <w:sz w:val="18"/>
                <w:szCs w:val="18"/>
              </w:rPr>
              <w:t>2</w:t>
            </w:r>
          </w:p>
        </w:tc>
        <w:tc>
          <w:tcPr>
            <w:tcW w:w="2192" w:type="pct"/>
          </w:tcPr>
          <w:p>
            <w:pPr>
              <w:spacing w:line="360" w:lineRule="auto"/>
              <w:rPr>
                <w:kern w:val="0"/>
                <w:sz w:val="18"/>
                <w:szCs w:val="18"/>
              </w:rPr>
            </w:pPr>
            <w:r>
              <w:rPr>
                <w:kern w:val="0"/>
                <w:sz w:val="18"/>
                <w:szCs w:val="18"/>
              </w:rPr>
              <w:t>能够针对特定需要，运用光纤传感系统的相关原理，对实际工程问题进行分解，识别关键设计参数，利用特定光纤器件及相关技术设计解决方案。</w:t>
            </w:r>
          </w:p>
        </w:tc>
        <w:tc>
          <w:tcPr>
            <w:tcW w:w="2441" w:type="pct"/>
          </w:tcPr>
          <w:p>
            <w:pPr>
              <w:spacing w:line="360" w:lineRule="auto"/>
              <w:rPr>
                <w:kern w:val="0"/>
                <w:sz w:val="18"/>
                <w:szCs w:val="18"/>
              </w:rPr>
            </w:pPr>
            <w:r>
              <w:rPr>
                <w:b/>
                <w:bCs/>
                <w:kern w:val="0"/>
                <w:sz w:val="18"/>
                <w:szCs w:val="18"/>
              </w:rPr>
              <w:t>指标点3-1 按需设计：</w:t>
            </w:r>
            <w:r>
              <w:rPr>
                <w:kern w:val="0"/>
                <w:sz w:val="18"/>
                <w:szCs w:val="18"/>
              </w:rPr>
              <w:t>能够根据用户特定需求设计复杂工程问题的解决方案，设计相关的电路系统及工艺流程，并能够针对方案进行优化选择。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kern w:val="0"/>
                <w:sz w:val="18"/>
                <w:szCs w:val="18"/>
              </w:rPr>
            </w:pPr>
            <w:r>
              <w:rPr>
                <w:kern w:val="0"/>
                <w:sz w:val="18"/>
                <w:szCs w:val="18"/>
              </w:rPr>
              <w:t>3</w:t>
            </w:r>
          </w:p>
        </w:tc>
        <w:tc>
          <w:tcPr>
            <w:tcW w:w="2192" w:type="pct"/>
          </w:tcPr>
          <w:p>
            <w:pPr>
              <w:spacing w:line="360" w:lineRule="auto"/>
              <w:rPr>
                <w:kern w:val="0"/>
                <w:sz w:val="18"/>
                <w:szCs w:val="18"/>
              </w:rPr>
            </w:pPr>
            <w:r>
              <w:rPr>
                <w:kern w:val="0"/>
                <w:sz w:val="18"/>
                <w:szCs w:val="18"/>
              </w:rPr>
              <w:t>具备阅读、理解和参考光纤器件相关技术文档或专业文献的能力，知晓光纤传感系统典型应用案例，能够针对光纤传感系统复杂工程问题提出研究及实验方案，进行实验操作，并根据实验结果优化或改进解决方案。</w:t>
            </w:r>
          </w:p>
        </w:tc>
        <w:tc>
          <w:tcPr>
            <w:tcW w:w="2441" w:type="pct"/>
          </w:tcPr>
          <w:p>
            <w:pPr>
              <w:spacing w:line="360" w:lineRule="auto"/>
              <w:rPr>
                <w:kern w:val="0"/>
                <w:sz w:val="18"/>
                <w:szCs w:val="18"/>
              </w:rPr>
            </w:pPr>
            <w:r>
              <w:rPr>
                <w:b/>
                <w:bCs/>
                <w:kern w:val="0"/>
                <w:sz w:val="18"/>
                <w:szCs w:val="18"/>
              </w:rPr>
              <w:t>指标点4-1 领域现状认知能力：</w:t>
            </w:r>
            <w:r>
              <w:rPr>
                <w:kern w:val="0"/>
                <w:sz w:val="18"/>
                <w:szCs w:val="18"/>
              </w:rPr>
              <w:t>了解电子科学与技术专业领域背景及经典案例，能够针对复杂工程问题提出研究思路和分析方法，并有意识地将实验结果用于指导解决方案的改善和优化。</w:t>
            </w:r>
          </w:p>
        </w:tc>
      </w:tr>
    </w:tbl>
    <w:p>
      <w:pPr>
        <w:spacing w:line="360" w:lineRule="auto"/>
        <w:rPr>
          <w:szCs w:val="21"/>
        </w:rPr>
      </w:pPr>
    </w:p>
    <w:p>
      <w:pPr>
        <w:spacing w:line="360" w:lineRule="auto"/>
        <w:jc w:val="left"/>
        <w:rPr>
          <w:szCs w:val="21"/>
        </w:rPr>
      </w:pPr>
      <w:r>
        <w:rPr>
          <w:szCs w:val="21"/>
        </w:rPr>
        <w:t>测控技术与仪器专业</w:t>
      </w:r>
      <w:r>
        <w:rPr>
          <w:rFonts w:hint="eastAsia"/>
          <w:szCs w:val="21"/>
        </w:rPr>
        <w:t>：</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3884"/>
        <w:gridCol w:w="401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kern w:val="0"/>
                <w:sz w:val="18"/>
                <w:szCs w:val="18"/>
              </w:rPr>
            </w:pPr>
            <w:r>
              <w:rPr>
                <w:kern w:val="0"/>
                <w:sz w:val="18"/>
                <w:szCs w:val="18"/>
              </w:rPr>
              <w:t>序号</w:t>
            </w:r>
          </w:p>
        </w:tc>
        <w:tc>
          <w:tcPr>
            <w:tcW w:w="2277" w:type="pct"/>
            <w:vAlign w:val="center"/>
          </w:tcPr>
          <w:p>
            <w:pPr>
              <w:spacing w:line="360" w:lineRule="auto"/>
              <w:jc w:val="center"/>
              <w:rPr>
                <w:kern w:val="0"/>
                <w:sz w:val="18"/>
                <w:szCs w:val="18"/>
              </w:rPr>
            </w:pPr>
            <w:r>
              <w:rPr>
                <w:kern w:val="0"/>
                <w:sz w:val="18"/>
                <w:szCs w:val="18"/>
              </w:rPr>
              <w:t>课程目标</w:t>
            </w:r>
          </w:p>
        </w:tc>
        <w:tc>
          <w:tcPr>
            <w:tcW w:w="2356" w:type="pct"/>
            <w:vAlign w:val="center"/>
          </w:tcPr>
          <w:p>
            <w:pPr>
              <w:spacing w:line="360" w:lineRule="auto"/>
              <w:jc w:val="center"/>
              <w:rPr>
                <w:kern w:val="0"/>
                <w:sz w:val="18"/>
                <w:szCs w:val="18"/>
              </w:rPr>
            </w:pPr>
            <w:r>
              <w:rPr>
                <w:kern w:val="0"/>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kern w:val="0"/>
                <w:sz w:val="18"/>
                <w:szCs w:val="18"/>
              </w:rPr>
            </w:pPr>
            <w:r>
              <w:rPr>
                <w:kern w:val="0"/>
                <w:sz w:val="18"/>
                <w:szCs w:val="18"/>
              </w:rPr>
              <w:t>1</w:t>
            </w:r>
          </w:p>
        </w:tc>
        <w:tc>
          <w:tcPr>
            <w:tcW w:w="2277" w:type="pct"/>
          </w:tcPr>
          <w:p>
            <w:pPr>
              <w:spacing w:line="360" w:lineRule="auto"/>
              <w:rPr>
                <w:kern w:val="0"/>
                <w:sz w:val="18"/>
                <w:szCs w:val="18"/>
              </w:rPr>
            </w:pPr>
            <w:r>
              <w:rPr>
                <w:kern w:val="0"/>
                <w:sz w:val="18"/>
                <w:szCs w:val="18"/>
              </w:rPr>
              <w:t>能够运用光纤传感领域相关概念和背景知识，阐述各种有源或无源光纤器件的原理和功能，关键参数的含义。</w:t>
            </w:r>
          </w:p>
        </w:tc>
        <w:tc>
          <w:tcPr>
            <w:tcW w:w="2356" w:type="pct"/>
          </w:tcPr>
          <w:p>
            <w:pPr>
              <w:spacing w:line="360" w:lineRule="auto"/>
              <w:rPr>
                <w:kern w:val="0"/>
                <w:sz w:val="18"/>
                <w:szCs w:val="18"/>
              </w:rPr>
            </w:pPr>
            <w:r>
              <w:rPr>
                <w:b/>
                <w:bCs/>
                <w:kern w:val="0"/>
                <w:sz w:val="18"/>
                <w:szCs w:val="18"/>
              </w:rPr>
              <w:t>指标点1-1 知识体系：</w:t>
            </w:r>
            <w:r>
              <w:rPr>
                <w:kern w:val="0"/>
                <w:sz w:val="18"/>
                <w:szCs w:val="18"/>
              </w:rPr>
              <w:t>具备与本专业相关的数学、自然科学、光学和电子学工程基础及电子系统集成等多方面的知识。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kern w:val="0"/>
                <w:sz w:val="18"/>
                <w:szCs w:val="18"/>
              </w:rPr>
            </w:pPr>
            <w:r>
              <w:rPr>
                <w:kern w:val="0"/>
                <w:sz w:val="18"/>
                <w:szCs w:val="18"/>
              </w:rPr>
              <w:t>2</w:t>
            </w:r>
          </w:p>
        </w:tc>
        <w:tc>
          <w:tcPr>
            <w:tcW w:w="2277" w:type="pct"/>
          </w:tcPr>
          <w:p>
            <w:pPr>
              <w:spacing w:line="360" w:lineRule="auto"/>
              <w:rPr>
                <w:kern w:val="0"/>
                <w:sz w:val="18"/>
                <w:szCs w:val="18"/>
              </w:rPr>
            </w:pPr>
            <w:r>
              <w:rPr>
                <w:kern w:val="0"/>
                <w:sz w:val="18"/>
                <w:szCs w:val="18"/>
              </w:rPr>
              <w:t>能够针对特定需要，运用光纤传感系统的相关原理，对实际工程问题进行分解，识别关键设计参数，利用特定光纤器件及相关技术设计解决方案。</w:t>
            </w:r>
          </w:p>
        </w:tc>
        <w:tc>
          <w:tcPr>
            <w:tcW w:w="2356" w:type="pct"/>
          </w:tcPr>
          <w:p>
            <w:pPr>
              <w:spacing w:line="360" w:lineRule="auto"/>
              <w:rPr>
                <w:kern w:val="0"/>
                <w:sz w:val="18"/>
                <w:szCs w:val="18"/>
              </w:rPr>
            </w:pPr>
            <w:r>
              <w:rPr>
                <w:b/>
                <w:bCs/>
                <w:kern w:val="0"/>
                <w:sz w:val="18"/>
                <w:szCs w:val="18"/>
              </w:rPr>
              <w:t>指标点3-1 按需设计：</w:t>
            </w:r>
            <w:r>
              <w:rPr>
                <w:kern w:val="0"/>
                <w:sz w:val="18"/>
                <w:szCs w:val="18"/>
              </w:rPr>
              <w:t>能够根据用户特定需求设计复杂工程问题的解决方案，设计相关的电路系统及工艺流程，并能够针对方案进行优化选择。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kern w:val="0"/>
                <w:sz w:val="18"/>
                <w:szCs w:val="18"/>
              </w:rPr>
            </w:pPr>
            <w:r>
              <w:rPr>
                <w:kern w:val="0"/>
                <w:sz w:val="18"/>
                <w:szCs w:val="18"/>
              </w:rPr>
              <w:t>3</w:t>
            </w:r>
          </w:p>
        </w:tc>
        <w:tc>
          <w:tcPr>
            <w:tcW w:w="2277" w:type="pct"/>
          </w:tcPr>
          <w:p>
            <w:pPr>
              <w:spacing w:line="360" w:lineRule="auto"/>
              <w:rPr>
                <w:kern w:val="0"/>
                <w:sz w:val="18"/>
                <w:szCs w:val="18"/>
              </w:rPr>
            </w:pPr>
            <w:r>
              <w:rPr>
                <w:kern w:val="0"/>
                <w:sz w:val="18"/>
                <w:szCs w:val="18"/>
              </w:rPr>
              <w:t>具备阅读、理解和参考光纤器件相关技术文档或专业文献的能力，知晓光纤传感系统典型应用案例，能够针对光纤传感系统复杂工程问题提出研究及实验方案，进行实验操作，并根据实验结果优化或改进解决方案。</w:t>
            </w:r>
          </w:p>
        </w:tc>
        <w:tc>
          <w:tcPr>
            <w:tcW w:w="2356" w:type="pct"/>
          </w:tcPr>
          <w:p>
            <w:pPr>
              <w:spacing w:line="360" w:lineRule="auto"/>
              <w:rPr>
                <w:kern w:val="0"/>
                <w:sz w:val="18"/>
                <w:szCs w:val="18"/>
              </w:rPr>
            </w:pPr>
            <w:r>
              <w:rPr>
                <w:b/>
                <w:bCs/>
                <w:kern w:val="0"/>
                <w:sz w:val="18"/>
                <w:szCs w:val="18"/>
              </w:rPr>
              <w:t>指标点4-1 领域现状认知能力：</w:t>
            </w:r>
            <w:r>
              <w:rPr>
                <w:kern w:val="0"/>
                <w:sz w:val="18"/>
                <w:szCs w:val="18"/>
              </w:rPr>
              <w:t>了解电子科学与技术专业领域背景及经典案例，能够针对复杂工程问题提出研究思路和分析方法，并有意识地将实验结果用于指导解决方案的改善和优化。</w:t>
            </w:r>
          </w:p>
        </w:tc>
      </w:tr>
    </w:tbl>
    <w:p>
      <w:pPr>
        <w:pStyle w:val="45"/>
        <w:adjustRightInd w:val="0"/>
        <w:snapToGrid w:val="0"/>
        <w:spacing w:line="360" w:lineRule="auto"/>
        <w:ind w:left="420" w:firstLine="0" w:firstLineChars="0"/>
        <w:rPr>
          <w:rFonts w:eastAsia="等线"/>
          <w:szCs w:val="21"/>
        </w:rPr>
      </w:pPr>
    </w:p>
    <w:p>
      <w:pPr>
        <w:spacing w:line="360" w:lineRule="auto"/>
        <w:jc w:val="left"/>
        <w:rPr>
          <w:szCs w:val="21"/>
        </w:rPr>
      </w:pPr>
      <w:r>
        <w:rPr>
          <w:rFonts w:hint="eastAsia"/>
          <w:szCs w:val="21"/>
          <w:lang w:eastAsia="zh-CN"/>
        </w:rPr>
        <w:t>智能感知工程</w:t>
      </w:r>
      <w:r>
        <w:rPr>
          <w:szCs w:val="21"/>
        </w:rPr>
        <w:t>专业</w:t>
      </w:r>
      <w:r>
        <w:rPr>
          <w:rFonts w:hint="eastAsia"/>
          <w:szCs w:val="21"/>
        </w:rPr>
        <w:t>：</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3884"/>
        <w:gridCol w:w="401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kern w:val="0"/>
                <w:sz w:val="18"/>
                <w:szCs w:val="18"/>
              </w:rPr>
            </w:pPr>
            <w:r>
              <w:rPr>
                <w:kern w:val="0"/>
                <w:sz w:val="18"/>
                <w:szCs w:val="18"/>
              </w:rPr>
              <w:t>序号</w:t>
            </w:r>
          </w:p>
        </w:tc>
        <w:tc>
          <w:tcPr>
            <w:tcW w:w="2277" w:type="pct"/>
            <w:vAlign w:val="center"/>
          </w:tcPr>
          <w:p>
            <w:pPr>
              <w:spacing w:line="360" w:lineRule="auto"/>
              <w:jc w:val="center"/>
              <w:rPr>
                <w:kern w:val="0"/>
                <w:sz w:val="18"/>
                <w:szCs w:val="18"/>
              </w:rPr>
            </w:pPr>
            <w:r>
              <w:rPr>
                <w:kern w:val="0"/>
                <w:sz w:val="18"/>
                <w:szCs w:val="18"/>
              </w:rPr>
              <w:t>课程目标</w:t>
            </w:r>
          </w:p>
        </w:tc>
        <w:tc>
          <w:tcPr>
            <w:tcW w:w="2356" w:type="pct"/>
            <w:vAlign w:val="center"/>
          </w:tcPr>
          <w:p>
            <w:pPr>
              <w:spacing w:line="360" w:lineRule="auto"/>
              <w:jc w:val="center"/>
              <w:rPr>
                <w:kern w:val="0"/>
                <w:sz w:val="18"/>
                <w:szCs w:val="18"/>
              </w:rPr>
            </w:pPr>
            <w:r>
              <w:rPr>
                <w:kern w:val="0"/>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kern w:val="0"/>
                <w:sz w:val="18"/>
                <w:szCs w:val="18"/>
              </w:rPr>
            </w:pPr>
            <w:r>
              <w:rPr>
                <w:kern w:val="0"/>
                <w:sz w:val="18"/>
                <w:szCs w:val="18"/>
              </w:rPr>
              <w:t>1</w:t>
            </w:r>
          </w:p>
        </w:tc>
        <w:tc>
          <w:tcPr>
            <w:tcW w:w="2277" w:type="pct"/>
          </w:tcPr>
          <w:p>
            <w:pPr>
              <w:spacing w:line="360" w:lineRule="auto"/>
              <w:rPr>
                <w:kern w:val="0"/>
                <w:sz w:val="18"/>
                <w:szCs w:val="18"/>
              </w:rPr>
            </w:pPr>
            <w:r>
              <w:rPr>
                <w:kern w:val="0"/>
                <w:sz w:val="18"/>
                <w:szCs w:val="18"/>
              </w:rPr>
              <w:t>能够运用光纤传感领域相关概念和背景知识，阐述各种有源或无源光纤器件的原理和功能，关键参数的含义。</w:t>
            </w:r>
          </w:p>
        </w:tc>
        <w:tc>
          <w:tcPr>
            <w:tcW w:w="2356" w:type="pct"/>
          </w:tcPr>
          <w:p>
            <w:pPr>
              <w:spacing w:line="360" w:lineRule="auto"/>
              <w:rPr>
                <w:kern w:val="0"/>
                <w:sz w:val="18"/>
                <w:szCs w:val="18"/>
              </w:rPr>
            </w:pPr>
            <w:r>
              <w:rPr>
                <w:b/>
                <w:bCs/>
                <w:kern w:val="0"/>
                <w:sz w:val="18"/>
                <w:szCs w:val="18"/>
              </w:rPr>
              <w:t>指标点1-1 知识体系：</w:t>
            </w:r>
            <w:r>
              <w:rPr>
                <w:bCs/>
                <w:sz w:val="18"/>
                <w:szCs w:val="18"/>
              </w:rPr>
              <w:t>具备本专业相关的数学、自然科学、计算机和电子学工程基础及传感、控制等多方面的知识。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kern w:val="0"/>
                <w:sz w:val="18"/>
                <w:szCs w:val="18"/>
              </w:rPr>
            </w:pPr>
            <w:r>
              <w:rPr>
                <w:kern w:val="0"/>
                <w:sz w:val="18"/>
                <w:szCs w:val="18"/>
              </w:rPr>
              <w:t>2</w:t>
            </w:r>
          </w:p>
        </w:tc>
        <w:tc>
          <w:tcPr>
            <w:tcW w:w="2277" w:type="pct"/>
          </w:tcPr>
          <w:p>
            <w:pPr>
              <w:spacing w:line="360" w:lineRule="auto"/>
              <w:rPr>
                <w:kern w:val="0"/>
                <w:sz w:val="18"/>
                <w:szCs w:val="18"/>
              </w:rPr>
            </w:pPr>
            <w:r>
              <w:rPr>
                <w:kern w:val="0"/>
                <w:sz w:val="18"/>
                <w:szCs w:val="18"/>
              </w:rPr>
              <w:t>能够针对特定需要，运用光纤传感系统的相关原理，对实际工程问题进行分解，识别关键设计参数，利用特定光纤器件及相关技术设计解决方案。</w:t>
            </w:r>
          </w:p>
        </w:tc>
        <w:tc>
          <w:tcPr>
            <w:tcW w:w="2356" w:type="pct"/>
          </w:tcPr>
          <w:p>
            <w:pPr>
              <w:spacing w:line="360" w:lineRule="auto"/>
              <w:rPr>
                <w:kern w:val="0"/>
                <w:sz w:val="18"/>
                <w:szCs w:val="18"/>
              </w:rPr>
            </w:pPr>
            <w:r>
              <w:rPr>
                <w:b/>
                <w:bCs/>
                <w:kern w:val="0"/>
                <w:sz w:val="18"/>
                <w:szCs w:val="18"/>
              </w:rPr>
              <w:t>指标点3-1 按需设计：</w:t>
            </w:r>
            <w:r>
              <w:rPr>
                <w:bCs/>
                <w:sz w:val="18"/>
                <w:szCs w:val="18"/>
              </w:rPr>
              <w:t>能够根据用户特定需求设计复杂工程问题的解决方案，设计相关的信息处理系统、智能控制系统以及工艺流程，并能够针对方案进行优化选择。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kern w:val="0"/>
                <w:sz w:val="18"/>
                <w:szCs w:val="18"/>
              </w:rPr>
            </w:pPr>
            <w:r>
              <w:rPr>
                <w:kern w:val="0"/>
                <w:sz w:val="18"/>
                <w:szCs w:val="18"/>
              </w:rPr>
              <w:t>3</w:t>
            </w:r>
          </w:p>
        </w:tc>
        <w:tc>
          <w:tcPr>
            <w:tcW w:w="2277" w:type="pct"/>
          </w:tcPr>
          <w:p>
            <w:pPr>
              <w:spacing w:line="360" w:lineRule="auto"/>
              <w:rPr>
                <w:kern w:val="0"/>
                <w:sz w:val="18"/>
                <w:szCs w:val="18"/>
              </w:rPr>
            </w:pPr>
            <w:r>
              <w:rPr>
                <w:kern w:val="0"/>
                <w:sz w:val="18"/>
                <w:szCs w:val="18"/>
              </w:rPr>
              <w:t>具备阅读、理解和参考光纤器件相关技术文档或专业文献的能力，知晓光纤传感系统典型应用案例，能够针对光纤传感系统复杂工程问题提出研究及实验方案，进行实验操作，并根据实验结果优化或改进解决方案。</w:t>
            </w:r>
          </w:p>
        </w:tc>
        <w:tc>
          <w:tcPr>
            <w:tcW w:w="2356" w:type="pct"/>
          </w:tcPr>
          <w:p>
            <w:pPr>
              <w:spacing w:line="360" w:lineRule="auto"/>
              <w:rPr>
                <w:kern w:val="0"/>
                <w:sz w:val="18"/>
                <w:szCs w:val="18"/>
              </w:rPr>
            </w:pPr>
            <w:r>
              <w:rPr>
                <w:b/>
                <w:bCs/>
                <w:kern w:val="0"/>
                <w:sz w:val="18"/>
                <w:szCs w:val="18"/>
              </w:rPr>
              <w:t>指标点4-1 领域现状认知能力：</w:t>
            </w:r>
            <w:r>
              <w:rPr>
                <w:bCs/>
                <w:sz w:val="18"/>
                <w:szCs w:val="18"/>
              </w:rPr>
              <w:t>了解智能感知工程专业领域背景及经典案例，能够针对复杂工程问题提出研究思路和分析方法，并有意识地将实验结果用于指导解决方案的改善和优化。</w:t>
            </w:r>
          </w:p>
        </w:tc>
      </w:tr>
    </w:tbl>
    <w:p>
      <w:pPr>
        <w:tabs>
          <w:tab w:val="left" w:pos="420"/>
        </w:tabs>
        <w:adjustRightInd w:val="0"/>
        <w:snapToGrid w:val="0"/>
        <w:spacing w:line="360" w:lineRule="auto"/>
        <w:ind w:left="420" w:hanging="420"/>
        <w:rPr>
          <w:rFonts w:eastAsia="黑体"/>
          <w:szCs w:val="24"/>
        </w:rPr>
      </w:pPr>
    </w:p>
    <w:p>
      <w:pPr>
        <w:tabs>
          <w:tab w:val="left" w:pos="420"/>
        </w:tabs>
        <w:adjustRightInd w:val="0"/>
        <w:snapToGrid w:val="0"/>
        <w:spacing w:line="360" w:lineRule="auto"/>
        <w:ind w:left="420" w:hanging="420"/>
        <w:rPr>
          <w:rFonts w:eastAsia="黑体"/>
          <w:szCs w:val="24"/>
        </w:rPr>
      </w:pPr>
      <w:r>
        <w:rPr>
          <w:rFonts w:eastAsia="黑体"/>
          <w:szCs w:val="24"/>
        </w:rPr>
        <w:t>三、基本要求</w:t>
      </w:r>
    </w:p>
    <w:p>
      <w:pPr>
        <w:adjustRightInd w:val="0"/>
        <w:snapToGrid w:val="0"/>
        <w:spacing w:line="360" w:lineRule="auto"/>
        <w:ind w:firstLine="420" w:firstLineChars="200"/>
        <w:rPr>
          <w:szCs w:val="21"/>
        </w:rPr>
      </w:pPr>
      <w:r>
        <w:rPr>
          <w:szCs w:val="21"/>
        </w:rPr>
        <w:t>1、本课程为专业选修课，要求先修《大学物理》和《光电子技术基础》，在教学中应注重基础知识、基本概念和思维方法的传授，使掌握光纤技术各研究内容及其发展动态，对光纤技术及应用领域基本了解。</w:t>
      </w:r>
    </w:p>
    <w:p>
      <w:pPr>
        <w:adjustRightInd w:val="0"/>
        <w:snapToGrid w:val="0"/>
        <w:spacing w:line="360" w:lineRule="auto"/>
        <w:ind w:firstLine="420" w:firstLineChars="200"/>
        <w:rPr>
          <w:szCs w:val="21"/>
        </w:rPr>
      </w:pPr>
      <w:r>
        <w:rPr>
          <w:szCs w:val="21"/>
        </w:rPr>
        <w:t>2、根据光纤技术的原理和应用，涵盖光纤传感和光纤通信系统构成的重要知识点，体现光纤技术的全貌，全面反应光纤系统中各个环节有关的知识。</w:t>
      </w:r>
    </w:p>
    <w:p>
      <w:pPr>
        <w:adjustRightInd w:val="0"/>
        <w:snapToGrid w:val="0"/>
        <w:spacing w:line="360" w:lineRule="auto"/>
        <w:ind w:firstLine="420" w:firstLineChars="200"/>
        <w:rPr>
          <w:szCs w:val="21"/>
        </w:rPr>
      </w:pPr>
      <w:r>
        <w:rPr>
          <w:szCs w:val="21"/>
        </w:rPr>
        <w:t>3、本课程具有一定的实践性，要求学生通过实验环节把所学的内容巩固和掌握，实验通过分组进行，每组4-6人。</w:t>
      </w:r>
    </w:p>
    <w:p>
      <w:pPr>
        <w:adjustRightInd w:val="0"/>
        <w:snapToGrid w:val="0"/>
        <w:spacing w:line="360" w:lineRule="auto"/>
        <w:ind w:firstLine="420" w:firstLineChars="200"/>
        <w:rPr>
          <w:szCs w:val="21"/>
        </w:rPr>
      </w:pPr>
      <w:r>
        <w:rPr>
          <w:szCs w:val="21"/>
        </w:rPr>
        <w:t>4、深度和广度说明：本课程立足于光纤技术的基本原理和器件，讲授光纤系统中常用的无源和有源器件的原理和应用。注重光纤传感技术的应用，重点介绍光纤传感技术，使学生掌握多种光纤传感器的工作原理以及应用背景。讲授光纤通信的基本原理，包括光复用技术的进展、相干光通信技术的相关原理及关键技术。</w:t>
      </w:r>
    </w:p>
    <w:p>
      <w:pPr>
        <w:adjustRightInd w:val="0"/>
        <w:snapToGrid w:val="0"/>
        <w:spacing w:line="360" w:lineRule="auto"/>
        <w:ind w:firstLine="420" w:firstLineChars="200"/>
        <w:rPr>
          <w:szCs w:val="21"/>
        </w:rPr>
      </w:pPr>
      <w:r>
        <w:rPr>
          <w:szCs w:val="21"/>
        </w:rPr>
        <w:t>在教学过程中，每部分内容都提供相关原理和应用背景，将相关的理论知识与应用实例结合，充分体现了本课程的理论与技术特色。通过课堂讲授、讨论、多媒体教学和实验相结合的教学方式，促进学生对本课程内容的理解。课程内容应加入一些近年光纤技术领域的研究和应用成果，将新相关科研成果融合在教学过程之中，拓宽学生的视野，启发学生对创新的思考。</w:t>
      </w:r>
    </w:p>
    <w:p>
      <w:pPr>
        <w:pStyle w:val="26"/>
        <w:numPr>
          <w:ilvl w:val="0"/>
          <w:numId w:val="4"/>
        </w:numPr>
        <w:adjustRightInd w:val="0"/>
        <w:snapToGrid w:val="0"/>
        <w:spacing w:line="360" w:lineRule="auto"/>
        <w:ind w:firstLineChars="0"/>
        <w:rPr>
          <w:szCs w:val="21"/>
        </w:rPr>
      </w:pPr>
      <w:r>
        <w:rPr>
          <w:szCs w:val="21"/>
        </w:rPr>
        <w:t>偏差说明：为了鼓励教师引入个人授课风格或者适应技术发展的紧迫性，本课程允许教师授课内容做适当调整，最大正偏差为10%，不允许负偏差。正偏差通过压缩同等内容的学时数来完成。特殊情况，最大正偏差和置换偏差累计可达到20%，但在开课前要申请专业责任人批准。（正偏差指大纲知识点不变，新增知识点；负偏差是大纲知识点减少；置换偏差是指大纲中部分知识点被其它类似知识点替换）。</w:t>
      </w:r>
    </w:p>
    <w:p>
      <w:pPr>
        <w:adjustRightInd w:val="0"/>
        <w:snapToGrid w:val="0"/>
        <w:spacing w:line="360" w:lineRule="auto"/>
        <w:rPr>
          <w:szCs w:val="21"/>
        </w:rPr>
      </w:pPr>
    </w:p>
    <w:p>
      <w:pPr>
        <w:tabs>
          <w:tab w:val="left" w:pos="420"/>
        </w:tabs>
        <w:adjustRightInd w:val="0"/>
        <w:snapToGrid w:val="0"/>
        <w:spacing w:line="360" w:lineRule="auto"/>
        <w:ind w:left="420" w:hanging="420"/>
        <w:rPr>
          <w:rFonts w:ascii="黑体" w:hAnsi="黑体" w:eastAsia="黑体"/>
          <w:szCs w:val="24"/>
        </w:rPr>
      </w:pPr>
      <w:r>
        <w:rPr>
          <w:rFonts w:ascii="黑体" w:hAnsi="黑体" w:eastAsia="黑体"/>
          <w:szCs w:val="24"/>
        </w:rPr>
        <w:t>四、教学内容和教学方法</w:t>
      </w:r>
    </w:p>
    <w:p>
      <w:pPr>
        <w:adjustRightInd w:val="0"/>
        <w:snapToGrid w:val="0"/>
        <w:spacing w:line="360" w:lineRule="auto"/>
        <w:ind w:firstLine="420" w:firstLineChars="200"/>
        <w:rPr>
          <w:szCs w:val="21"/>
        </w:rPr>
      </w:pPr>
      <w:r>
        <w:rPr>
          <w:szCs w:val="21"/>
        </w:rPr>
        <w:t>本课程重点讲授的内容包括：光纤的基本特性、光纤的连接和耦合、光纤无源器件、光纤有源器件、光纤传感技术、光纤通信技术和特种光纤技术等。</w:t>
      </w:r>
    </w:p>
    <w:p>
      <w:pPr>
        <w:adjustRightInd w:val="0"/>
        <w:snapToGrid w:val="0"/>
        <w:spacing w:line="360" w:lineRule="auto"/>
        <w:ind w:firstLine="420" w:firstLineChars="200"/>
        <w:rPr>
          <w:szCs w:val="21"/>
        </w:rPr>
      </w:pPr>
      <w:r>
        <w:rPr>
          <w:szCs w:val="21"/>
        </w:rPr>
        <w:t>本课程在教学方法上，充分利用各种媒体教学手段，采取课堂教学、多媒体课件、分组实验方式有机结合，提高教学效率。</w:t>
      </w:r>
    </w:p>
    <w:p>
      <w:pPr>
        <w:adjustRightInd w:val="0"/>
        <w:snapToGrid w:val="0"/>
        <w:spacing w:line="360" w:lineRule="auto"/>
        <w:ind w:firstLine="420" w:firstLineChars="200"/>
        <w:rPr>
          <w:rFonts w:ascii="宋体" w:hAnsi="宋体" w:cstheme="minorEastAsia"/>
          <w:szCs w:val="21"/>
        </w:rPr>
      </w:pPr>
      <w:r>
        <w:rPr>
          <w:szCs w:val="21"/>
        </w:rPr>
        <w:t>为了提高学生的学习兴趣，并取得良好的教学效果，教师在知识讲解的过程中要充分利用问题引导</w:t>
      </w:r>
      <w:r>
        <w:rPr>
          <w:rFonts w:hint="eastAsia" w:asciiTheme="minorEastAsia" w:hAnsiTheme="minorEastAsia" w:eastAsiaTheme="minorEastAsia" w:cstheme="minorEastAsia"/>
          <w:szCs w:val="21"/>
        </w:rPr>
        <w:t>、</w:t>
      </w:r>
      <w:r>
        <w:rPr>
          <w:rFonts w:hint="eastAsia" w:ascii="宋体" w:hAnsi="宋体" w:cstheme="minorEastAsia"/>
          <w:szCs w:val="21"/>
        </w:rPr>
        <w:t>案例分析等多种教学方法，必要时，采取视频制作呈现的方式以进一步提高教学质量。</w:t>
      </w:r>
    </w:p>
    <w:p>
      <w:pPr>
        <w:pStyle w:val="45"/>
        <w:widowControl/>
        <w:adjustRightInd w:val="0"/>
        <w:snapToGrid w:val="0"/>
        <w:spacing w:line="360" w:lineRule="auto"/>
        <w:ind w:firstLineChars="0"/>
        <w:jc w:val="left"/>
        <w:rPr>
          <w:rFonts w:eastAsia="黑体"/>
          <w:snapToGrid w:val="0"/>
          <w:kern w:val="0"/>
          <w:szCs w:val="21"/>
        </w:rPr>
      </w:pPr>
      <w:r>
        <w:rPr>
          <w:rFonts w:eastAsia="黑体"/>
          <w:snapToGrid w:val="0"/>
          <w:kern w:val="0"/>
          <w:szCs w:val="21"/>
        </w:rPr>
        <w:t>1绪论（2学时）</w:t>
      </w:r>
    </w:p>
    <w:p>
      <w:pPr>
        <w:adjustRightInd w:val="0"/>
        <w:snapToGrid w:val="0"/>
        <w:spacing w:line="360" w:lineRule="auto"/>
        <w:ind w:left="426"/>
        <w:rPr>
          <w:szCs w:val="21"/>
        </w:rPr>
      </w:pPr>
      <w:r>
        <w:rPr>
          <w:szCs w:val="21"/>
        </w:rPr>
        <w:t>1.1、光纤技术的发展历程以及光纤通信和传感的关系；</w:t>
      </w:r>
    </w:p>
    <w:p>
      <w:pPr>
        <w:adjustRightInd w:val="0"/>
        <w:snapToGrid w:val="0"/>
        <w:spacing w:line="360" w:lineRule="auto"/>
        <w:ind w:firstLine="420" w:firstLineChars="200"/>
        <w:rPr>
          <w:szCs w:val="21"/>
        </w:rPr>
      </w:pPr>
      <w:r>
        <w:rPr>
          <w:szCs w:val="21"/>
        </w:rPr>
        <w:t>1.2、光纤通信技术发展及应用；</w:t>
      </w:r>
    </w:p>
    <w:p>
      <w:pPr>
        <w:adjustRightInd w:val="0"/>
        <w:snapToGrid w:val="0"/>
        <w:spacing w:line="360" w:lineRule="auto"/>
        <w:ind w:firstLine="420" w:firstLineChars="200"/>
        <w:rPr>
          <w:szCs w:val="21"/>
        </w:rPr>
      </w:pPr>
      <w:r>
        <w:rPr>
          <w:szCs w:val="21"/>
        </w:rPr>
        <w:t>1.3、光纤传感技术发展及应用；</w:t>
      </w:r>
    </w:p>
    <w:p>
      <w:pPr>
        <w:adjustRightInd w:val="0"/>
        <w:snapToGrid w:val="0"/>
        <w:spacing w:line="360" w:lineRule="auto"/>
        <w:ind w:firstLine="420" w:firstLineChars="200"/>
        <w:rPr>
          <w:rFonts w:asciiTheme="minorEastAsia" w:hAnsiTheme="minorEastAsia" w:eastAsiaTheme="minorEastAsia" w:cstheme="minorEastAsia"/>
          <w:szCs w:val="21"/>
        </w:rPr>
      </w:pPr>
      <w:r>
        <w:rPr>
          <w:szCs w:val="21"/>
        </w:rPr>
        <w:t>本章内容支撑课程目标1。</w:t>
      </w:r>
    </w:p>
    <w:p>
      <w:pPr>
        <w:widowControl/>
        <w:adjustRightInd w:val="0"/>
        <w:snapToGrid w:val="0"/>
        <w:spacing w:line="360" w:lineRule="auto"/>
        <w:ind w:left="426"/>
        <w:jc w:val="left"/>
        <w:rPr>
          <w:rFonts w:eastAsia="黑体"/>
          <w:snapToGrid w:val="0"/>
          <w:kern w:val="0"/>
          <w:szCs w:val="21"/>
        </w:rPr>
      </w:pPr>
      <w:r>
        <w:rPr>
          <w:rFonts w:eastAsia="黑体"/>
          <w:snapToGrid w:val="0"/>
          <w:kern w:val="0"/>
          <w:szCs w:val="21"/>
        </w:rPr>
        <w:t>2光纤的基本特性（</w:t>
      </w:r>
      <w:r>
        <w:rPr>
          <w:rFonts w:hint="eastAsia" w:eastAsia="黑体"/>
          <w:snapToGrid w:val="0"/>
          <w:kern w:val="0"/>
          <w:szCs w:val="21"/>
        </w:rPr>
        <w:t>2</w:t>
      </w:r>
      <w:r>
        <w:rPr>
          <w:rFonts w:eastAsia="黑体"/>
          <w:snapToGrid w:val="0"/>
          <w:kern w:val="0"/>
          <w:szCs w:val="21"/>
        </w:rPr>
        <w:t>学时）</w:t>
      </w:r>
    </w:p>
    <w:p>
      <w:pPr>
        <w:adjustRightInd w:val="0"/>
        <w:snapToGrid w:val="0"/>
        <w:spacing w:line="360" w:lineRule="auto"/>
        <w:ind w:firstLine="420" w:firstLineChars="200"/>
        <w:rPr>
          <w:szCs w:val="21"/>
        </w:rPr>
      </w:pPr>
      <w:r>
        <w:rPr>
          <w:szCs w:val="21"/>
        </w:rPr>
        <w:t>2.1</w:t>
      </w:r>
      <w:r>
        <w:rPr>
          <w:snapToGrid w:val="0"/>
          <w:kern w:val="0"/>
          <w:szCs w:val="21"/>
        </w:rPr>
        <w:t>、</w:t>
      </w:r>
      <w:r>
        <w:rPr>
          <w:szCs w:val="21"/>
        </w:rPr>
        <w:t>光纤的基本结构、种类、材料和制作方式，以及光缆成缆技术；</w:t>
      </w:r>
    </w:p>
    <w:p>
      <w:pPr>
        <w:adjustRightInd w:val="0"/>
        <w:snapToGrid w:val="0"/>
        <w:spacing w:line="360" w:lineRule="auto"/>
        <w:ind w:firstLine="420" w:firstLineChars="200"/>
        <w:rPr>
          <w:szCs w:val="21"/>
        </w:rPr>
      </w:pPr>
      <w:r>
        <w:rPr>
          <w:szCs w:val="21"/>
        </w:rPr>
        <w:t>2.2</w:t>
      </w:r>
      <w:r>
        <w:rPr>
          <w:snapToGrid w:val="0"/>
          <w:kern w:val="0"/>
          <w:szCs w:val="21"/>
        </w:rPr>
        <w:t>、</w:t>
      </w:r>
      <w:r>
        <w:rPr>
          <w:szCs w:val="21"/>
        </w:rPr>
        <w:t>光线理论、光纤中的模式理论、单模光纤中的偏振现象；</w:t>
      </w:r>
      <w:r>
        <w:rPr>
          <w:snapToGrid w:val="0"/>
          <w:kern w:val="0"/>
          <w:szCs w:val="21"/>
        </w:rPr>
        <w:t>（难点、重点）</w:t>
      </w:r>
    </w:p>
    <w:p>
      <w:pPr>
        <w:adjustRightInd w:val="0"/>
        <w:snapToGrid w:val="0"/>
        <w:spacing w:line="360" w:lineRule="auto"/>
        <w:ind w:firstLine="420" w:firstLineChars="200"/>
        <w:rPr>
          <w:rFonts w:asciiTheme="minorEastAsia" w:hAnsiTheme="minorEastAsia" w:eastAsiaTheme="minorEastAsia" w:cstheme="minorEastAsia"/>
          <w:szCs w:val="21"/>
        </w:rPr>
      </w:pPr>
      <w:r>
        <w:rPr>
          <w:szCs w:val="21"/>
        </w:rPr>
        <w:t>本章内容支撑课程目标1</w:t>
      </w:r>
      <w:r>
        <w:rPr>
          <w:rFonts w:hint="eastAsia" w:asciiTheme="minorEastAsia" w:hAnsiTheme="minorEastAsia" w:eastAsiaTheme="minorEastAsia" w:cstheme="minorEastAsia"/>
          <w:szCs w:val="21"/>
        </w:rPr>
        <w:t>。</w:t>
      </w:r>
    </w:p>
    <w:p>
      <w:pPr>
        <w:widowControl/>
        <w:adjustRightInd w:val="0"/>
        <w:snapToGrid w:val="0"/>
        <w:spacing w:line="360" w:lineRule="auto"/>
        <w:ind w:left="426"/>
        <w:jc w:val="left"/>
        <w:rPr>
          <w:rFonts w:eastAsia="黑体"/>
          <w:snapToGrid w:val="0"/>
          <w:kern w:val="0"/>
          <w:szCs w:val="21"/>
        </w:rPr>
      </w:pPr>
      <w:r>
        <w:rPr>
          <w:rFonts w:eastAsia="黑体"/>
          <w:snapToGrid w:val="0"/>
          <w:kern w:val="0"/>
          <w:szCs w:val="21"/>
        </w:rPr>
        <w:t>3光纤的连接和耦合（</w:t>
      </w:r>
      <w:r>
        <w:rPr>
          <w:rFonts w:hint="eastAsia" w:eastAsia="黑体"/>
          <w:snapToGrid w:val="0"/>
          <w:kern w:val="0"/>
          <w:szCs w:val="21"/>
        </w:rPr>
        <w:t>2</w:t>
      </w:r>
      <w:r>
        <w:rPr>
          <w:rFonts w:eastAsia="黑体"/>
          <w:snapToGrid w:val="0"/>
          <w:kern w:val="0"/>
          <w:szCs w:val="21"/>
        </w:rPr>
        <w:t>学时）</w:t>
      </w:r>
    </w:p>
    <w:p>
      <w:pPr>
        <w:adjustRightInd w:val="0"/>
        <w:snapToGrid w:val="0"/>
        <w:spacing w:line="360" w:lineRule="auto"/>
        <w:ind w:firstLine="420" w:firstLineChars="200"/>
        <w:rPr>
          <w:szCs w:val="21"/>
        </w:rPr>
      </w:pPr>
      <w:r>
        <w:rPr>
          <w:szCs w:val="21"/>
        </w:rPr>
        <w:t>3.1</w:t>
      </w:r>
      <w:r>
        <w:rPr>
          <w:snapToGrid w:val="0"/>
          <w:kern w:val="0"/>
          <w:szCs w:val="21"/>
        </w:rPr>
        <w:t>、</w:t>
      </w:r>
      <w:r>
        <w:rPr>
          <w:szCs w:val="21"/>
        </w:rPr>
        <w:t>光纤与光纤的连接损耗的来源；</w:t>
      </w:r>
    </w:p>
    <w:p>
      <w:pPr>
        <w:adjustRightInd w:val="0"/>
        <w:snapToGrid w:val="0"/>
        <w:spacing w:line="360" w:lineRule="auto"/>
        <w:ind w:firstLine="420" w:firstLineChars="200"/>
        <w:rPr>
          <w:szCs w:val="21"/>
        </w:rPr>
      </w:pPr>
      <w:r>
        <w:rPr>
          <w:szCs w:val="21"/>
        </w:rPr>
        <w:t>3.2</w:t>
      </w:r>
      <w:r>
        <w:rPr>
          <w:snapToGrid w:val="0"/>
          <w:kern w:val="0"/>
          <w:szCs w:val="21"/>
        </w:rPr>
        <w:t>、</w:t>
      </w:r>
      <w:r>
        <w:rPr>
          <w:szCs w:val="21"/>
        </w:rPr>
        <w:t>光纤的固定和活动连接技术；</w:t>
      </w:r>
      <w:r>
        <w:rPr>
          <w:snapToGrid w:val="0"/>
          <w:kern w:val="0"/>
          <w:szCs w:val="21"/>
        </w:rPr>
        <w:t>（重点）</w:t>
      </w:r>
    </w:p>
    <w:p>
      <w:pPr>
        <w:adjustRightInd w:val="0"/>
        <w:snapToGrid w:val="0"/>
        <w:spacing w:line="360" w:lineRule="auto"/>
        <w:ind w:firstLine="420" w:firstLineChars="200"/>
        <w:rPr>
          <w:szCs w:val="21"/>
        </w:rPr>
      </w:pPr>
      <w:r>
        <w:rPr>
          <w:szCs w:val="21"/>
        </w:rPr>
        <w:t>3.3</w:t>
      </w:r>
      <w:r>
        <w:rPr>
          <w:snapToGrid w:val="0"/>
          <w:kern w:val="0"/>
          <w:szCs w:val="21"/>
        </w:rPr>
        <w:t>、</w:t>
      </w:r>
      <w:r>
        <w:rPr>
          <w:szCs w:val="21"/>
        </w:rPr>
        <w:t>光源与光纤的连接技术；</w:t>
      </w: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本章内容支撑课程目标2。</w:t>
      </w:r>
    </w:p>
    <w:p>
      <w:pPr>
        <w:widowControl/>
        <w:adjustRightInd w:val="0"/>
        <w:snapToGrid w:val="0"/>
        <w:spacing w:line="360" w:lineRule="auto"/>
        <w:ind w:left="426"/>
        <w:jc w:val="left"/>
        <w:rPr>
          <w:rFonts w:eastAsia="黑体"/>
          <w:snapToGrid w:val="0"/>
          <w:kern w:val="0"/>
          <w:szCs w:val="21"/>
        </w:rPr>
      </w:pPr>
      <w:r>
        <w:rPr>
          <w:rFonts w:eastAsia="黑体"/>
          <w:snapToGrid w:val="0"/>
          <w:kern w:val="0"/>
          <w:szCs w:val="21"/>
        </w:rPr>
        <w:t>4 光纤无源器件（4学时）</w:t>
      </w:r>
    </w:p>
    <w:p>
      <w:pPr>
        <w:adjustRightInd w:val="0"/>
        <w:snapToGrid w:val="0"/>
        <w:spacing w:line="360" w:lineRule="auto"/>
        <w:ind w:firstLine="420" w:firstLineChars="200"/>
        <w:rPr>
          <w:szCs w:val="21"/>
        </w:rPr>
      </w:pPr>
      <w:r>
        <w:rPr>
          <w:szCs w:val="21"/>
        </w:rPr>
        <w:t>4.1</w:t>
      </w:r>
      <w:r>
        <w:rPr>
          <w:snapToGrid w:val="0"/>
          <w:kern w:val="0"/>
          <w:szCs w:val="21"/>
        </w:rPr>
        <w:t>、</w:t>
      </w:r>
      <w:r>
        <w:rPr>
          <w:szCs w:val="21"/>
        </w:rPr>
        <w:t>光纤连接器和光纤耦合器的原理和应用；</w:t>
      </w:r>
      <w:r>
        <w:rPr>
          <w:snapToGrid w:val="0"/>
          <w:kern w:val="0"/>
          <w:szCs w:val="21"/>
        </w:rPr>
        <w:t>（重点）</w:t>
      </w:r>
    </w:p>
    <w:p>
      <w:pPr>
        <w:adjustRightInd w:val="0"/>
        <w:snapToGrid w:val="0"/>
        <w:spacing w:line="360" w:lineRule="auto"/>
        <w:ind w:firstLine="420" w:firstLineChars="200"/>
        <w:rPr>
          <w:szCs w:val="21"/>
        </w:rPr>
      </w:pPr>
      <w:r>
        <w:rPr>
          <w:szCs w:val="21"/>
        </w:rPr>
        <w:t>4.2</w:t>
      </w:r>
      <w:r>
        <w:rPr>
          <w:snapToGrid w:val="0"/>
          <w:kern w:val="0"/>
          <w:szCs w:val="21"/>
        </w:rPr>
        <w:t>、</w:t>
      </w:r>
      <w:r>
        <w:rPr>
          <w:szCs w:val="21"/>
        </w:rPr>
        <w:t>光隔离器和光环行器的原理和应用；</w:t>
      </w:r>
    </w:p>
    <w:p>
      <w:pPr>
        <w:adjustRightInd w:val="0"/>
        <w:snapToGrid w:val="0"/>
        <w:spacing w:line="360" w:lineRule="auto"/>
        <w:ind w:firstLine="420" w:firstLineChars="200"/>
        <w:rPr>
          <w:szCs w:val="21"/>
        </w:rPr>
      </w:pPr>
      <w:r>
        <w:rPr>
          <w:szCs w:val="21"/>
        </w:rPr>
        <w:t>4.3</w:t>
      </w:r>
      <w:r>
        <w:rPr>
          <w:snapToGrid w:val="0"/>
          <w:kern w:val="0"/>
          <w:szCs w:val="21"/>
        </w:rPr>
        <w:t>、</w:t>
      </w:r>
      <w:r>
        <w:rPr>
          <w:szCs w:val="21"/>
        </w:rPr>
        <w:t>光纤光栅的原理和技术；</w:t>
      </w:r>
    </w:p>
    <w:p>
      <w:pPr>
        <w:adjustRightInd w:val="0"/>
        <w:snapToGrid w:val="0"/>
        <w:spacing w:line="360" w:lineRule="auto"/>
        <w:ind w:firstLine="420" w:firstLineChars="200"/>
        <w:rPr>
          <w:rFonts w:asciiTheme="minorEastAsia" w:hAnsiTheme="minorEastAsia" w:eastAsiaTheme="minorEastAsia" w:cstheme="minorEastAsia"/>
          <w:szCs w:val="21"/>
        </w:rPr>
      </w:pPr>
      <w:r>
        <w:rPr>
          <w:szCs w:val="21"/>
        </w:rPr>
        <w:t>4.4</w:t>
      </w:r>
      <w:r>
        <w:rPr>
          <w:snapToGrid w:val="0"/>
          <w:kern w:val="0"/>
          <w:szCs w:val="21"/>
        </w:rPr>
        <w:t>、</w:t>
      </w:r>
      <w:r>
        <w:rPr>
          <w:szCs w:val="21"/>
        </w:rPr>
        <w:t>光学滤波器的原理和技术；</w:t>
      </w:r>
    </w:p>
    <w:p>
      <w:pPr>
        <w:adjustRightInd w:val="0"/>
        <w:snapToGrid w:val="0"/>
        <w:spacing w:line="360" w:lineRule="auto"/>
        <w:ind w:firstLine="420" w:firstLineChars="200"/>
        <w:rPr>
          <w:szCs w:val="21"/>
        </w:rPr>
      </w:pPr>
      <w:r>
        <w:rPr>
          <w:szCs w:val="21"/>
        </w:rPr>
        <w:t>4.5</w:t>
      </w:r>
      <w:r>
        <w:rPr>
          <w:snapToGrid w:val="0"/>
          <w:kern w:val="0"/>
          <w:szCs w:val="21"/>
        </w:rPr>
        <w:t>、</w:t>
      </w:r>
      <w:r>
        <w:rPr>
          <w:szCs w:val="21"/>
        </w:rPr>
        <w:t>光波分复用器件的原理和应用；</w:t>
      </w:r>
      <w:r>
        <w:rPr>
          <w:snapToGrid w:val="0"/>
          <w:kern w:val="0"/>
          <w:szCs w:val="21"/>
        </w:rPr>
        <w:t>（难点、重点）</w:t>
      </w:r>
    </w:p>
    <w:p>
      <w:pPr>
        <w:adjustRightInd w:val="0"/>
        <w:snapToGrid w:val="0"/>
        <w:spacing w:line="360" w:lineRule="auto"/>
        <w:ind w:firstLine="420" w:firstLineChars="200"/>
        <w:rPr>
          <w:rFonts w:asciiTheme="minorEastAsia" w:hAnsiTheme="minorEastAsia" w:eastAsiaTheme="minorEastAsia" w:cstheme="minorEastAsia"/>
          <w:szCs w:val="21"/>
        </w:rPr>
      </w:pPr>
      <w:r>
        <w:rPr>
          <w:szCs w:val="21"/>
        </w:rPr>
        <w:t>4.6</w:t>
      </w:r>
      <w:r>
        <w:rPr>
          <w:snapToGrid w:val="0"/>
          <w:kern w:val="0"/>
          <w:szCs w:val="21"/>
        </w:rPr>
        <w:t>、</w:t>
      </w:r>
      <w:r>
        <w:rPr>
          <w:szCs w:val="21"/>
        </w:rPr>
        <w:t>光开关的原理和技术；</w:t>
      </w: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本章内容支撑课程目标1。</w:t>
      </w:r>
    </w:p>
    <w:p>
      <w:pPr>
        <w:widowControl/>
        <w:adjustRightInd w:val="0"/>
        <w:snapToGrid w:val="0"/>
        <w:spacing w:line="360" w:lineRule="auto"/>
        <w:ind w:left="426"/>
        <w:jc w:val="left"/>
        <w:rPr>
          <w:rFonts w:eastAsia="黑体"/>
          <w:snapToGrid w:val="0"/>
          <w:kern w:val="0"/>
          <w:szCs w:val="21"/>
        </w:rPr>
      </w:pPr>
      <w:r>
        <w:rPr>
          <w:rFonts w:eastAsia="黑体"/>
          <w:snapToGrid w:val="0"/>
          <w:kern w:val="0"/>
          <w:szCs w:val="21"/>
        </w:rPr>
        <w:t>5光纤有源器件（</w:t>
      </w:r>
      <w:r>
        <w:rPr>
          <w:rFonts w:hint="eastAsia" w:eastAsia="黑体"/>
          <w:snapToGrid w:val="0"/>
          <w:kern w:val="0"/>
          <w:szCs w:val="21"/>
        </w:rPr>
        <w:t>4</w:t>
      </w:r>
      <w:r>
        <w:rPr>
          <w:rFonts w:eastAsia="黑体"/>
          <w:snapToGrid w:val="0"/>
          <w:kern w:val="0"/>
          <w:szCs w:val="21"/>
        </w:rPr>
        <w:t>学时）</w:t>
      </w:r>
    </w:p>
    <w:p>
      <w:pPr>
        <w:adjustRightInd w:val="0"/>
        <w:snapToGrid w:val="0"/>
        <w:spacing w:line="360" w:lineRule="auto"/>
        <w:ind w:firstLine="420" w:firstLineChars="200"/>
        <w:rPr>
          <w:szCs w:val="21"/>
        </w:rPr>
      </w:pPr>
      <w:r>
        <w:rPr>
          <w:szCs w:val="21"/>
        </w:rPr>
        <w:t>5.1</w:t>
      </w:r>
      <w:r>
        <w:rPr>
          <w:snapToGrid w:val="0"/>
          <w:kern w:val="0"/>
          <w:szCs w:val="21"/>
        </w:rPr>
        <w:t>、</w:t>
      </w:r>
      <w:r>
        <w:rPr>
          <w:szCs w:val="21"/>
        </w:rPr>
        <w:t>光调制器的原理和应用；</w:t>
      </w:r>
    </w:p>
    <w:p>
      <w:pPr>
        <w:adjustRightInd w:val="0"/>
        <w:snapToGrid w:val="0"/>
        <w:spacing w:line="360" w:lineRule="auto"/>
        <w:ind w:firstLine="420" w:firstLineChars="200"/>
        <w:rPr>
          <w:szCs w:val="21"/>
        </w:rPr>
      </w:pPr>
      <w:r>
        <w:rPr>
          <w:szCs w:val="21"/>
        </w:rPr>
        <w:t>5.2</w:t>
      </w:r>
      <w:r>
        <w:rPr>
          <w:snapToGrid w:val="0"/>
          <w:kern w:val="0"/>
          <w:szCs w:val="21"/>
        </w:rPr>
        <w:t>、</w:t>
      </w:r>
      <w:r>
        <w:rPr>
          <w:szCs w:val="21"/>
        </w:rPr>
        <w:t>发光二极管和激光二极管的原理和应用；</w:t>
      </w:r>
    </w:p>
    <w:p>
      <w:pPr>
        <w:adjustRightInd w:val="0"/>
        <w:snapToGrid w:val="0"/>
        <w:spacing w:line="360" w:lineRule="auto"/>
        <w:ind w:firstLine="420" w:firstLineChars="200"/>
        <w:rPr>
          <w:szCs w:val="21"/>
        </w:rPr>
      </w:pPr>
      <w:r>
        <w:rPr>
          <w:szCs w:val="21"/>
        </w:rPr>
        <w:t>5.3</w:t>
      </w:r>
      <w:r>
        <w:rPr>
          <w:snapToGrid w:val="0"/>
          <w:kern w:val="0"/>
          <w:szCs w:val="21"/>
        </w:rPr>
        <w:t>、</w:t>
      </w:r>
      <w:r>
        <w:rPr>
          <w:szCs w:val="21"/>
        </w:rPr>
        <w:t>光探测器技术和特点；</w:t>
      </w:r>
    </w:p>
    <w:p>
      <w:pPr>
        <w:adjustRightInd w:val="0"/>
        <w:snapToGrid w:val="0"/>
        <w:spacing w:line="360" w:lineRule="auto"/>
        <w:ind w:firstLine="420" w:firstLineChars="200"/>
        <w:rPr>
          <w:snapToGrid w:val="0"/>
          <w:kern w:val="0"/>
          <w:szCs w:val="21"/>
        </w:rPr>
      </w:pPr>
      <w:r>
        <w:rPr>
          <w:szCs w:val="21"/>
        </w:rPr>
        <w:t>5.4</w:t>
      </w:r>
      <w:r>
        <w:rPr>
          <w:snapToGrid w:val="0"/>
          <w:kern w:val="0"/>
          <w:szCs w:val="21"/>
        </w:rPr>
        <w:t>、</w:t>
      </w:r>
      <w:r>
        <w:rPr>
          <w:szCs w:val="21"/>
        </w:rPr>
        <w:t>光纤放大器的原理和应用；</w:t>
      </w:r>
      <w:r>
        <w:rPr>
          <w:snapToGrid w:val="0"/>
          <w:kern w:val="0"/>
          <w:szCs w:val="21"/>
        </w:rPr>
        <w:t>（难点、重点）</w:t>
      </w:r>
    </w:p>
    <w:p>
      <w:pPr>
        <w:adjustRightInd w:val="0"/>
        <w:snapToGrid w:val="0"/>
        <w:spacing w:line="360" w:lineRule="auto"/>
        <w:ind w:firstLine="420" w:firstLineChars="200"/>
        <w:rPr>
          <w:szCs w:val="21"/>
        </w:rPr>
      </w:pPr>
      <w:r>
        <w:rPr>
          <w:szCs w:val="21"/>
        </w:rPr>
        <w:t>本章内容支撑课程目标1。</w:t>
      </w:r>
    </w:p>
    <w:p>
      <w:pPr>
        <w:widowControl/>
        <w:adjustRightInd w:val="0"/>
        <w:snapToGrid w:val="0"/>
        <w:spacing w:line="360" w:lineRule="auto"/>
        <w:ind w:left="426"/>
        <w:jc w:val="left"/>
        <w:rPr>
          <w:rFonts w:ascii="黑体" w:hAnsi="黑体" w:eastAsia="黑体" w:cs="黑体"/>
          <w:snapToGrid w:val="0"/>
          <w:kern w:val="0"/>
          <w:szCs w:val="21"/>
        </w:rPr>
      </w:pPr>
      <w:r>
        <w:rPr>
          <w:rFonts w:hint="eastAsia" w:ascii="黑体" w:hAnsi="黑体" w:eastAsia="黑体" w:cs="黑体"/>
          <w:snapToGrid w:val="0"/>
          <w:kern w:val="0"/>
          <w:szCs w:val="21"/>
        </w:rPr>
        <w:t>6光纤传感技术（4学时）</w:t>
      </w:r>
    </w:p>
    <w:p>
      <w:pPr>
        <w:adjustRightInd w:val="0"/>
        <w:snapToGrid w:val="0"/>
        <w:spacing w:line="360" w:lineRule="auto"/>
        <w:ind w:firstLine="420" w:firstLineChars="200"/>
        <w:rPr>
          <w:szCs w:val="21"/>
        </w:rPr>
      </w:pPr>
      <w:r>
        <w:rPr>
          <w:szCs w:val="21"/>
        </w:rPr>
        <w:t>6.1</w:t>
      </w:r>
      <w:r>
        <w:rPr>
          <w:snapToGrid w:val="0"/>
          <w:kern w:val="0"/>
          <w:szCs w:val="21"/>
        </w:rPr>
        <w:t>、</w:t>
      </w:r>
      <w:r>
        <w:rPr>
          <w:szCs w:val="21"/>
        </w:rPr>
        <w:t>光纤传感器的原理与分类；</w:t>
      </w:r>
    </w:p>
    <w:p>
      <w:pPr>
        <w:adjustRightInd w:val="0"/>
        <w:snapToGrid w:val="0"/>
        <w:spacing w:line="360" w:lineRule="auto"/>
        <w:ind w:firstLine="420" w:firstLineChars="200"/>
        <w:rPr>
          <w:szCs w:val="21"/>
        </w:rPr>
      </w:pPr>
      <w:r>
        <w:rPr>
          <w:szCs w:val="21"/>
        </w:rPr>
        <w:t>6.2</w:t>
      </w:r>
      <w:r>
        <w:rPr>
          <w:snapToGrid w:val="0"/>
          <w:kern w:val="0"/>
          <w:szCs w:val="21"/>
        </w:rPr>
        <w:t>、</w:t>
      </w:r>
      <w:r>
        <w:rPr>
          <w:szCs w:val="21"/>
        </w:rPr>
        <w:t>强度调制型光纤传感器的原理和应用；</w:t>
      </w:r>
    </w:p>
    <w:p>
      <w:pPr>
        <w:adjustRightInd w:val="0"/>
        <w:snapToGrid w:val="0"/>
        <w:spacing w:line="360" w:lineRule="auto"/>
        <w:ind w:firstLine="420" w:firstLineChars="200"/>
        <w:rPr>
          <w:szCs w:val="21"/>
        </w:rPr>
      </w:pPr>
      <w:r>
        <w:rPr>
          <w:szCs w:val="21"/>
        </w:rPr>
        <w:t>6.3</w:t>
      </w:r>
      <w:r>
        <w:rPr>
          <w:snapToGrid w:val="0"/>
          <w:kern w:val="0"/>
          <w:szCs w:val="21"/>
        </w:rPr>
        <w:t>、</w:t>
      </w:r>
      <w:r>
        <w:rPr>
          <w:szCs w:val="21"/>
        </w:rPr>
        <w:t>相位调制型光纤传感器的原理和应用；（重点）</w:t>
      </w:r>
    </w:p>
    <w:p>
      <w:pPr>
        <w:adjustRightInd w:val="0"/>
        <w:snapToGrid w:val="0"/>
        <w:spacing w:line="360" w:lineRule="auto"/>
        <w:ind w:firstLine="420" w:firstLineChars="200"/>
        <w:rPr>
          <w:szCs w:val="21"/>
        </w:rPr>
      </w:pPr>
      <w:r>
        <w:rPr>
          <w:szCs w:val="21"/>
        </w:rPr>
        <w:t>6.4</w:t>
      </w:r>
      <w:r>
        <w:rPr>
          <w:snapToGrid w:val="0"/>
          <w:kern w:val="0"/>
          <w:szCs w:val="21"/>
        </w:rPr>
        <w:t>、</w:t>
      </w:r>
      <w:r>
        <w:rPr>
          <w:szCs w:val="21"/>
        </w:rPr>
        <w:t>波长调制型光纤传感器的原理和应用；</w:t>
      </w:r>
    </w:p>
    <w:p>
      <w:pPr>
        <w:adjustRightInd w:val="0"/>
        <w:snapToGrid w:val="0"/>
        <w:spacing w:line="360" w:lineRule="auto"/>
        <w:ind w:firstLine="420" w:firstLineChars="200"/>
        <w:rPr>
          <w:szCs w:val="21"/>
        </w:rPr>
      </w:pPr>
      <w:r>
        <w:rPr>
          <w:szCs w:val="21"/>
        </w:rPr>
        <w:t>6.5</w:t>
      </w:r>
      <w:r>
        <w:rPr>
          <w:snapToGrid w:val="0"/>
          <w:kern w:val="0"/>
          <w:szCs w:val="21"/>
        </w:rPr>
        <w:t>、</w:t>
      </w:r>
      <w:r>
        <w:rPr>
          <w:szCs w:val="21"/>
        </w:rPr>
        <w:t>分布式光纤传感器的原理和应用；（难点、重点）</w:t>
      </w:r>
    </w:p>
    <w:p>
      <w:pPr>
        <w:adjustRightInd w:val="0"/>
        <w:snapToGrid w:val="0"/>
        <w:spacing w:line="360" w:lineRule="auto"/>
        <w:ind w:firstLine="420" w:firstLineChars="200"/>
        <w:rPr>
          <w:szCs w:val="21"/>
        </w:rPr>
      </w:pPr>
      <w:r>
        <w:rPr>
          <w:szCs w:val="21"/>
        </w:rPr>
        <w:t>6.6</w:t>
      </w:r>
      <w:r>
        <w:rPr>
          <w:snapToGrid w:val="0"/>
          <w:kern w:val="0"/>
          <w:szCs w:val="21"/>
        </w:rPr>
        <w:t>、</w:t>
      </w:r>
      <w:r>
        <w:rPr>
          <w:szCs w:val="21"/>
        </w:rPr>
        <w:t>光纤传感器的典型应用；</w:t>
      </w:r>
    </w:p>
    <w:p>
      <w:pPr>
        <w:adjustRightInd w:val="0"/>
        <w:snapToGrid w:val="0"/>
        <w:spacing w:line="360" w:lineRule="auto"/>
        <w:ind w:firstLine="420" w:firstLineChars="200"/>
        <w:rPr>
          <w:szCs w:val="21"/>
        </w:rPr>
      </w:pPr>
      <w:r>
        <w:rPr>
          <w:szCs w:val="21"/>
        </w:rPr>
        <w:t>本章内容支撑课程目标2。</w:t>
      </w:r>
    </w:p>
    <w:p>
      <w:pPr>
        <w:widowControl/>
        <w:adjustRightInd w:val="0"/>
        <w:snapToGrid w:val="0"/>
        <w:spacing w:line="360" w:lineRule="auto"/>
        <w:ind w:left="426"/>
        <w:jc w:val="left"/>
        <w:rPr>
          <w:rFonts w:eastAsia="黑体"/>
          <w:snapToGrid w:val="0"/>
          <w:kern w:val="0"/>
          <w:szCs w:val="21"/>
        </w:rPr>
      </w:pPr>
      <w:r>
        <w:rPr>
          <w:rFonts w:eastAsia="黑体"/>
          <w:snapToGrid w:val="0"/>
          <w:kern w:val="0"/>
          <w:szCs w:val="21"/>
        </w:rPr>
        <w:t>7光纤通信技术（</w:t>
      </w:r>
      <w:r>
        <w:rPr>
          <w:rFonts w:hint="eastAsia" w:eastAsia="黑体"/>
          <w:snapToGrid w:val="0"/>
          <w:kern w:val="0"/>
          <w:szCs w:val="21"/>
        </w:rPr>
        <w:t>4</w:t>
      </w:r>
      <w:r>
        <w:rPr>
          <w:rFonts w:eastAsia="黑体"/>
          <w:snapToGrid w:val="0"/>
          <w:kern w:val="0"/>
          <w:szCs w:val="21"/>
        </w:rPr>
        <w:t>学时）</w:t>
      </w:r>
    </w:p>
    <w:p>
      <w:pPr>
        <w:adjustRightInd w:val="0"/>
        <w:snapToGrid w:val="0"/>
        <w:spacing w:line="360" w:lineRule="auto"/>
        <w:ind w:firstLine="420" w:firstLineChars="200"/>
        <w:rPr>
          <w:szCs w:val="21"/>
        </w:rPr>
      </w:pPr>
      <w:r>
        <w:rPr>
          <w:szCs w:val="21"/>
        </w:rPr>
        <w:t>7.1</w:t>
      </w:r>
      <w:r>
        <w:rPr>
          <w:snapToGrid w:val="0"/>
          <w:kern w:val="0"/>
          <w:szCs w:val="21"/>
        </w:rPr>
        <w:t>、</w:t>
      </w:r>
      <w:r>
        <w:rPr>
          <w:szCs w:val="21"/>
        </w:rPr>
        <w:t>光纤通信系统的基本组成和原理；</w:t>
      </w:r>
    </w:p>
    <w:p>
      <w:pPr>
        <w:adjustRightInd w:val="0"/>
        <w:snapToGrid w:val="0"/>
        <w:spacing w:line="360" w:lineRule="auto"/>
        <w:ind w:firstLine="420" w:firstLineChars="200"/>
        <w:rPr>
          <w:szCs w:val="21"/>
        </w:rPr>
      </w:pPr>
      <w:r>
        <w:rPr>
          <w:szCs w:val="21"/>
        </w:rPr>
        <w:t>7.2</w:t>
      </w:r>
      <w:r>
        <w:rPr>
          <w:snapToGrid w:val="0"/>
          <w:kern w:val="0"/>
          <w:szCs w:val="21"/>
        </w:rPr>
        <w:t>、</w:t>
      </w:r>
      <w:r>
        <w:rPr>
          <w:szCs w:val="21"/>
        </w:rPr>
        <w:t>光纤通信系统中的复用技术；</w:t>
      </w:r>
      <w:r>
        <w:rPr>
          <w:snapToGrid w:val="0"/>
          <w:kern w:val="0"/>
          <w:szCs w:val="21"/>
        </w:rPr>
        <w:t>（难点、重点）</w:t>
      </w:r>
    </w:p>
    <w:p>
      <w:pPr>
        <w:adjustRightInd w:val="0"/>
        <w:snapToGrid w:val="0"/>
        <w:spacing w:line="360" w:lineRule="auto"/>
        <w:ind w:firstLine="420" w:firstLineChars="200"/>
        <w:rPr>
          <w:szCs w:val="21"/>
        </w:rPr>
      </w:pPr>
      <w:r>
        <w:rPr>
          <w:szCs w:val="21"/>
        </w:rPr>
        <w:t>7.3、相干光纤通信系统的原理和技术；</w:t>
      </w:r>
    </w:p>
    <w:p>
      <w:pPr>
        <w:adjustRightInd w:val="0"/>
        <w:snapToGrid w:val="0"/>
        <w:spacing w:line="360" w:lineRule="auto"/>
        <w:ind w:firstLine="420" w:firstLineChars="200"/>
        <w:rPr>
          <w:szCs w:val="21"/>
        </w:rPr>
      </w:pPr>
      <w:r>
        <w:rPr>
          <w:szCs w:val="21"/>
        </w:rPr>
        <w:t>本章内容支撑课程目标3。</w:t>
      </w:r>
    </w:p>
    <w:p>
      <w:pPr>
        <w:widowControl/>
        <w:adjustRightInd w:val="0"/>
        <w:snapToGrid w:val="0"/>
        <w:spacing w:line="360" w:lineRule="auto"/>
        <w:ind w:firstLine="420" w:firstLineChars="200"/>
        <w:jc w:val="left"/>
        <w:rPr>
          <w:rFonts w:eastAsia="黑体"/>
          <w:snapToGrid w:val="0"/>
          <w:kern w:val="0"/>
          <w:szCs w:val="21"/>
        </w:rPr>
      </w:pPr>
      <w:r>
        <w:rPr>
          <w:rFonts w:eastAsia="黑体"/>
          <w:snapToGrid w:val="0"/>
          <w:kern w:val="0"/>
          <w:szCs w:val="21"/>
        </w:rPr>
        <w:t>8特种光纤技术及应用（2学时）</w:t>
      </w:r>
    </w:p>
    <w:p>
      <w:pPr>
        <w:adjustRightInd w:val="0"/>
        <w:snapToGrid w:val="0"/>
        <w:spacing w:line="360" w:lineRule="auto"/>
        <w:ind w:firstLine="420" w:firstLineChars="200"/>
        <w:rPr>
          <w:szCs w:val="21"/>
        </w:rPr>
      </w:pPr>
      <w:r>
        <w:rPr>
          <w:szCs w:val="21"/>
        </w:rPr>
        <w:t>8.1</w:t>
      </w:r>
      <w:r>
        <w:rPr>
          <w:snapToGrid w:val="0"/>
          <w:kern w:val="0"/>
          <w:szCs w:val="21"/>
        </w:rPr>
        <w:t>、</w:t>
      </w:r>
      <w:r>
        <w:rPr>
          <w:szCs w:val="21"/>
        </w:rPr>
        <w:t>塑料光纤技术及应用；</w:t>
      </w:r>
    </w:p>
    <w:p>
      <w:pPr>
        <w:adjustRightInd w:val="0"/>
        <w:snapToGrid w:val="0"/>
        <w:spacing w:line="360" w:lineRule="auto"/>
        <w:ind w:firstLine="420" w:firstLineChars="200"/>
        <w:rPr>
          <w:szCs w:val="21"/>
        </w:rPr>
      </w:pPr>
      <w:r>
        <w:rPr>
          <w:szCs w:val="21"/>
        </w:rPr>
        <w:t>8.2</w:t>
      </w:r>
      <w:r>
        <w:rPr>
          <w:snapToGrid w:val="0"/>
          <w:kern w:val="0"/>
          <w:szCs w:val="21"/>
        </w:rPr>
        <w:t>、</w:t>
      </w:r>
      <w:r>
        <w:rPr>
          <w:szCs w:val="21"/>
        </w:rPr>
        <w:t>光子晶体光纤技术及应用；</w:t>
      </w:r>
    </w:p>
    <w:p>
      <w:pPr>
        <w:adjustRightInd w:val="0"/>
        <w:snapToGrid w:val="0"/>
        <w:spacing w:line="360" w:lineRule="auto"/>
        <w:ind w:firstLine="420" w:firstLineChars="200"/>
        <w:rPr>
          <w:szCs w:val="21"/>
        </w:rPr>
      </w:pPr>
      <w:r>
        <w:rPr>
          <w:szCs w:val="21"/>
        </w:rPr>
        <w:t>8.3</w:t>
      </w:r>
      <w:r>
        <w:rPr>
          <w:snapToGrid w:val="0"/>
          <w:kern w:val="0"/>
          <w:szCs w:val="21"/>
        </w:rPr>
        <w:t>、</w:t>
      </w:r>
      <w:r>
        <w:rPr>
          <w:szCs w:val="21"/>
        </w:rPr>
        <w:t>红外和紫外光纤技术及应用；</w:t>
      </w:r>
    </w:p>
    <w:p>
      <w:pPr>
        <w:adjustRightInd w:val="0"/>
        <w:snapToGrid w:val="0"/>
        <w:spacing w:line="360" w:lineRule="auto"/>
        <w:ind w:firstLine="420" w:firstLineChars="200"/>
        <w:rPr>
          <w:szCs w:val="21"/>
        </w:rPr>
      </w:pPr>
      <w:r>
        <w:rPr>
          <w:szCs w:val="21"/>
        </w:rPr>
        <w:t>本章内容支撑课程目标3。</w:t>
      </w:r>
    </w:p>
    <w:p>
      <w:pPr>
        <w:adjustRightInd w:val="0"/>
        <w:snapToGrid w:val="0"/>
        <w:spacing w:line="360" w:lineRule="auto"/>
        <w:ind w:firstLine="420" w:firstLineChars="200"/>
        <w:rPr>
          <w:szCs w:val="21"/>
        </w:rPr>
      </w:pPr>
    </w:p>
    <w:p>
      <w:pPr>
        <w:tabs>
          <w:tab w:val="left" w:pos="420"/>
        </w:tabs>
        <w:adjustRightInd w:val="0"/>
        <w:snapToGrid w:val="0"/>
        <w:spacing w:line="360" w:lineRule="auto"/>
        <w:ind w:left="420" w:hanging="420"/>
        <w:rPr>
          <w:rFonts w:eastAsia="黑体"/>
          <w:szCs w:val="21"/>
        </w:rPr>
      </w:pPr>
      <w:r>
        <w:rPr>
          <w:rFonts w:eastAsia="黑体"/>
          <w:szCs w:val="21"/>
        </w:rPr>
        <w:t>五、实验内容</w:t>
      </w:r>
    </w:p>
    <w:p>
      <w:pPr>
        <w:adjustRightInd w:val="0"/>
        <w:snapToGrid w:val="0"/>
        <w:spacing w:line="360" w:lineRule="auto"/>
        <w:ind w:firstLine="424"/>
        <w:rPr>
          <w:kern w:val="0"/>
          <w:szCs w:val="21"/>
        </w:rPr>
      </w:pPr>
      <w:r>
        <w:rPr>
          <w:kern w:val="0"/>
          <w:szCs w:val="21"/>
        </w:rPr>
        <w:t>实验环节主要是动手操作，要求保证上机条件，即具备光纤实验仪器；可采用分组合作的方式进行；要求学生熟炼掌握光纤的耦合、光纤中光束和光纤材料平均折射率的测量、光纤传感和光纤通信中相关知识点。</w:t>
      </w:r>
    </w:p>
    <w:p>
      <w:pPr>
        <w:widowControl/>
        <w:adjustRightInd w:val="0"/>
        <w:snapToGrid w:val="0"/>
        <w:spacing w:line="360" w:lineRule="auto"/>
        <w:ind w:left="424" w:leftChars="202"/>
        <w:jc w:val="left"/>
        <w:rPr>
          <w:rFonts w:eastAsia="黑体"/>
          <w:snapToGrid w:val="0"/>
          <w:kern w:val="0"/>
          <w:szCs w:val="21"/>
        </w:rPr>
      </w:pPr>
      <w:r>
        <w:rPr>
          <w:rFonts w:eastAsia="黑体"/>
          <w:snapToGrid w:val="0"/>
          <w:kern w:val="0"/>
          <w:szCs w:val="21"/>
        </w:rPr>
        <w:t>实验一光纤的耦合和模式（1学时）</w:t>
      </w:r>
    </w:p>
    <w:p>
      <w:pPr>
        <w:adjustRightInd w:val="0"/>
        <w:snapToGrid w:val="0"/>
        <w:spacing w:line="360" w:lineRule="auto"/>
        <w:ind w:firstLine="424"/>
        <w:rPr>
          <w:szCs w:val="21"/>
        </w:rPr>
      </w:pPr>
      <w:r>
        <w:rPr>
          <w:kern w:val="0"/>
          <w:szCs w:val="21"/>
        </w:rPr>
        <w:t>内容：光纤的耦合是指激光从光纤端面输入光纤，使激光沿光纤进行传输，采用一套具有5自由度的调整机构来进行光纤耦合</w:t>
      </w:r>
      <w:r>
        <w:rPr>
          <w:szCs w:val="21"/>
        </w:rPr>
        <w:t>。通过五个自由度的反复细致调整，使经过聚焦的激光焦点落在光纤端面，使激光进入光纤，并通过输入光功率和输出光功率判断光纤耦合的情况。</w:t>
      </w:r>
    </w:p>
    <w:p>
      <w:pPr>
        <w:adjustRightInd w:val="0"/>
        <w:snapToGrid w:val="0"/>
        <w:spacing w:line="360" w:lineRule="auto"/>
        <w:ind w:left="424" w:leftChars="202"/>
        <w:rPr>
          <w:kern w:val="0"/>
          <w:szCs w:val="21"/>
        </w:rPr>
      </w:pPr>
      <w:r>
        <w:rPr>
          <w:kern w:val="0"/>
          <w:szCs w:val="21"/>
        </w:rPr>
        <w:t>基本要求：</w:t>
      </w:r>
    </w:p>
    <w:p>
      <w:pPr>
        <w:widowControl/>
        <w:adjustRightInd w:val="0"/>
        <w:snapToGrid w:val="0"/>
        <w:spacing w:line="360" w:lineRule="auto"/>
        <w:ind w:left="424" w:leftChars="202"/>
        <w:jc w:val="left"/>
        <w:rPr>
          <w:kern w:val="0"/>
          <w:szCs w:val="21"/>
        </w:rPr>
      </w:pPr>
      <w:r>
        <w:rPr>
          <w:kern w:val="0"/>
          <w:szCs w:val="21"/>
        </w:rPr>
        <w:t>1、掌握光纤耦合的基本原理和耦合效率计算方法。</w:t>
      </w:r>
    </w:p>
    <w:p>
      <w:pPr>
        <w:widowControl/>
        <w:tabs>
          <w:tab w:val="left" w:pos="720"/>
        </w:tabs>
        <w:adjustRightInd w:val="0"/>
        <w:snapToGrid w:val="0"/>
        <w:spacing w:line="360" w:lineRule="auto"/>
        <w:ind w:left="424" w:leftChars="202"/>
        <w:jc w:val="left"/>
        <w:rPr>
          <w:kern w:val="0"/>
          <w:szCs w:val="21"/>
        </w:rPr>
      </w:pPr>
      <w:r>
        <w:rPr>
          <w:kern w:val="0"/>
          <w:szCs w:val="21"/>
        </w:rPr>
        <w:t>2、实现激光的高效率耦合；</w:t>
      </w:r>
    </w:p>
    <w:p>
      <w:pPr>
        <w:adjustRightInd w:val="0"/>
        <w:snapToGrid w:val="0"/>
        <w:spacing w:line="360" w:lineRule="auto"/>
        <w:ind w:firstLine="424"/>
        <w:rPr>
          <w:kern w:val="0"/>
          <w:szCs w:val="21"/>
        </w:rPr>
      </w:pPr>
      <w:r>
        <w:rPr>
          <w:kern w:val="0"/>
          <w:szCs w:val="21"/>
        </w:rPr>
        <w:t>3、测量光纤耦合的效率；</w:t>
      </w:r>
    </w:p>
    <w:p>
      <w:pPr>
        <w:adjustRightInd w:val="0"/>
        <w:snapToGrid w:val="0"/>
        <w:spacing w:line="360" w:lineRule="auto"/>
        <w:ind w:firstLine="424"/>
        <w:rPr>
          <w:kern w:val="0"/>
          <w:szCs w:val="21"/>
        </w:rPr>
      </w:pPr>
      <w:r>
        <w:rPr>
          <w:kern w:val="0"/>
          <w:szCs w:val="21"/>
        </w:rPr>
        <w:t>4、观察光纤的模式变化。</w:t>
      </w:r>
    </w:p>
    <w:p>
      <w:pPr>
        <w:adjustRightInd w:val="0"/>
        <w:snapToGrid w:val="0"/>
        <w:spacing w:line="360" w:lineRule="auto"/>
        <w:ind w:firstLine="424"/>
        <w:rPr>
          <w:kern w:val="0"/>
          <w:szCs w:val="21"/>
        </w:rPr>
      </w:pPr>
      <w:r>
        <w:rPr>
          <w:kern w:val="0"/>
          <w:szCs w:val="21"/>
        </w:rPr>
        <w:t>本实验支撑课程目标1。</w:t>
      </w:r>
    </w:p>
    <w:p>
      <w:pPr>
        <w:widowControl/>
        <w:adjustRightInd w:val="0"/>
        <w:snapToGrid w:val="0"/>
        <w:spacing w:line="360" w:lineRule="auto"/>
        <w:ind w:left="424" w:leftChars="202"/>
        <w:jc w:val="left"/>
        <w:rPr>
          <w:rFonts w:eastAsia="黑体"/>
          <w:snapToGrid w:val="0"/>
          <w:kern w:val="0"/>
          <w:szCs w:val="21"/>
        </w:rPr>
      </w:pPr>
      <w:r>
        <w:rPr>
          <w:rFonts w:eastAsia="黑体"/>
          <w:snapToGrid w:val="0"/>
          <w:kern w:val="0"/>
          <w:szCs w:val="21"/>
        </w:rPr>
        <w:t>实验二光纤中光速和光纤材料平均折射率的测量（1学时）</w:t>
      </w:r>
    </w:p>
    <w:p>
      <w:pPr>
        <w:adjustRightInd w:val="0"/>
        <w:snapToGrid w:val="0"/>
        <w:spacing w:line="360" w:lineRule="auto"/>
        <w:ind w:firstLine="424"/>
        <w:rPr>
          <w:szCs w:val="21"/>
        </w:rPr>
      </w:pPr>
      <w:r>
        <w:rPr>
          <w:kern w:val="0"/>
          <w:szCs w:val="21"/>
        </w:rPr>
        <w:t>内容：</w:t>
      </w:r>
      <w:r>
        <w:rPr>
          <w:szCs w:val="21"/>
        </w:rPr>
        <w:t>光在光纤中的传播速度小于空气中的传播速度，通过测量一串光脉冲信号在一个特定长度光纤中的传播时间，得到光纤中的传播速度，并计算出光纤的平均折射率。</w:t>
      </w:r>
    </w:p>
    <w:p>
      <w:pPr>
        <w:adjustRightInd w:val="0"/>
        <w:snapToGrid w:val="0"/>
        <w:spacing w:line="360" w:lineRule="auto"/>
        <w:ind w:left="424" w:leftChars="202"/>
        <w:rPr>
          <w:kern w:val="0"/>
          <w:szCs w:val="21"/>
        </w:rPr>
      </w:pPr>
      <w:r>
        <w:rPr>
          <w:kern w:val="0"/>
          <w:szCs w:val="21"/>
        </w:rPr>
        <w:t>基本要求：</w:t>
      </w:r>
    </w:p>
    <w:p>
      <w:pPr>
        <w:widowControl/>
        <w:adjustRightInd w:val="0"/>
        <w:snapToGrid w:val="0"/>
        <w:spacing w:line="360" w:lineRule="auto"/>
        <w:ind w:left="424" w:leftChars="202"/>
        <w:jc w:val="left"/>
        <w:rPr>
          <w:kern w:val="0"/>
          <w:szCs w:val="21"/>
        </w:rPr>
      </w:pPr>
      <w:r>
        <w:rPr>
          <w:kern w:val="0"/>
          <w:szCs w:val="21"/>
        </w:rPr>
        <w:t>1、掌握光纤中光速和平均折射率的测量方法。</w:t>
      </w:r>
    </w:p>
    <w:p>
      <w:pPr>
        <w:widowControl/>
        <w:tabs>
          <w:tab w:val="left" w:pos="720"/>
        </w:tabs>
        <w:adjustRightInd w:val="0"/>
        <w:snapToGrid w:val="0"/>
        <w:spacing w:line="360" w:lineRule="auto"/>
        <w:ind w:left="424" w:leftChars="202"/>
        <w:jc w:val="left"/>
        <w:rPr>
          <w:kern w:val="0"/>
          <w:szCs w:val="21"/>
        </w:rPr>
      </w:pPr>
      <w:r>
        <w:rPr>
          <w:kern w:val="0"/>
          <w:szCs w:val="21"/>
        </w:rPr>
        <w:t>2、掌握光纤实验仪器的操作方法；</w:t>
      </w:r>
    </w:p>
    <w:p>
      <w:pPr>
        <w:adjustRightInd w:val="0"/>
        <w:snapToGrid w:val="0"/>
        <w:spacing w:line="360" w:lineRule="auto"/>
        <w:ind w:firstLine="424"/>
        <w:rPr>
          <w:snapToGrid w:val="0"/>
          <w:kern w:val="0"/>
          <w:szCs w:val="21"/>
        </w:rPr>
      </w:pPr>
      <w:r>
        <w:rPr>
          <w:snapToGrid w:val="0"/>
          <w:kern w:val="0"/>
          <w:szCs w:val="21"/>
        </w:rPr>
        <w:t>3、掌握在示波器中测量时间延迟的方法；</w:t>
      </w:r>
    </w:p>
    <w:p>
      <w:pPr>
        <w:adjustRightInd w:val="0"/>
        <w:snapToGrid w:val="0"/>
        <w:spacing w:line="360" w:lineRule="auto"/>
        <w:ind w:firstLine="424"/>
        <w:rPr>
          <w:kern w:val="0"/>
          <w:szCs w:val="21"/>
        </w:rPr>
      </w:pPr>
      <w:r>
        <w:rPr>
          <w:kern w:val="0"/>
          <w:szCs w:val="21"/>
        </w:rPr>
        <w:t>本实验支撑课程目标1。</w:t>
      </w:r>
    </w:p>
    <w:p>
      <w:pPr>
        <w:widowControl/>
        <w:adjustRightInd w:val="0"/>
        <w:snapToGrid w:val="0"/>
        <w:spacing w:line="360" w:lineRule="auto"/>
        <w:ind w:left="424" w:leftChars="202"/>
        <w:jc w:val="left"/>
        <w:rPr>
          <w:kern w:val="0"/>
          <w:szCs w:val="21"/>
        </w:rPr>
      </w:pPr>
      <w:r>
        <w:rPr>
          <w:rFonts w:eastAsia="黑体"/>
          <w:snapToGrid w:val="0"/>
          <w:kern w:val="0"/>
          <w:szCs w:val="21"/>
        </w:rPr>
        <w:t>实验三光纤传感实验（3学时）</w:t>
      </w:r>
    </w:p>
    <w:p>
      <w:pPr>
        <w:adjustRightInd w:val="0"/>
        <w:snapToGrid w:val="0"/>
        <w:spacing w:line="360" w:lineRule="auto"/>
        <w:ind w:firstLine="424"/>
        <w:rPr>
          <w:kern w:val="0"/>
          <w:szCs w:val="21"/>
        </w:rPr>
      </w:pPr>
      <w:r>
        <w:rPr>
          <w:kern w:val="0"/>
          <w:szCs w:val="21"/>
        </w:rPr>
        <w:t>内容：光纤传感强度型光纤传感技术及其传感器的基本原理和结构，熟悉其各个部件，学习和掌握其正确使用方法。进行反射式光纤位移和温度等参数的传感实验。</w:t>
      </w:r>
    </w:p>
    <w:p>
      <w:pPr>
        <w:widowControl/>
        <w:adjustRightInd w:val="0"/>
        <w:snapToGrid w:val="0"/>
        <w:spacing w:line="360" w:lineRule="auto"/>
        <w:ind w:left="424" w:leftChars="202"/>
        <w:jc w:val="left"/>
        <w:rPr>
          <w:kern w:val="0"/>
          <w:szCs w:val="21"/>
        </w:rPr>
      </w:pPr>
      <w:r>
        <w:rPr>
          <w:kern w:val="0"/>
          <w:szCs w:val="21"/>
        </w:rPr>
        <w:t>1、掌握反射式光纤位移传感器的原理。</w:t>
      </w:r>
    </w:p>
    <w:p>
      <w:pPr>
        <w:widowControl/>
        <w:tabs>
          <w:tab w:val="left" w:pos="720"/>
        </w:tabs>
        <w:adjustRightInd w:val="0"/>
        <w:snapToGrid w:val="0"/>
        <w:spacing w:line="360" w:lineRule="auto"/>
        <w:ind w:left="424" w:leftChars="202"/>
        <w:jc w:val="left"/>
        <w:rPr>
          <w:kern w:val="0"/>
          <w:szCs w:val="21"/>
        </w:rPr>
      </w:pPr>
      <w:r>
        <w:rPr>
          <w:kern w:val="0"/>
          <w:szCs w:val="21"/>
        </w:rPr>
        <w:t>2、掌握反射式光纤位移测量的操作方法；</w:t>
      </w:r>
    </w:p>
    <w:p>
      <w:pPr>
        <w:adjustRightInd w:val="0"/>
        <w:snapToGrid w:val="0"/>
        <w:spacing w:line="360" w:lineRule="auto"/>
        <w:ind w:firstLine="424"/>
        <w:rPr>
          <w:snapToGrid w:val="0"/>
          <w:kern w:val="0"/>
          <w:szCs w:val="21"/>
        </w:rPr>
      </w:pPr>
      <w:r>
        <w:rPr>
          <w:snapToGrid w:val="0"/>
          <w:kern w:val="0"/>
          <w:szCs w:val="21"/>
        </w:rPr>
        <w:t>3、</w:t>
      </w:r>
      <w:r>
        <w:rPr>
          <w:kern w:val="0"/>
          <w:szCs w:val="21"/>
        </w:rPr>
        <w:t>掌握光纤传感器进行温度测量的操作方法</w:t>
      </w:r>
      <w:r>
        <w:rPr>
          <w:snapToGrid w:val="0"/>
          <w:kern w:val="0"/>
          <w:szCs w:val="21"/>
        </w:rPr>
        <w:t>；</w:t>
      </w:r>
    </w:p>
    <w:p>
      <w:pPr>
        <w:adjustRightInd w:val="0"/>
        <w:snapToGrid w:val="0"/>
        <w:spacing w:line="360" w:lineRule="auto"/>
        <w:ind w:firstLine="424"/>
        <w:rPr>
          <w:snapToGrid w:val="0"/>
          <w:kern w:val="0"/>
          <w:szCs w:val="21"/>
        </w:rPr>
      </w:pPr>
      <w:r>
        <w:rPr>
          <w:snapToGrid w:val="0"/>
          <w:kern w:val="0"/>
          <w:szCs w:val="21"/>
        </w:rPr>
        <w:t>4、</w:t>
      </w:r>
      <w:r>
        <w:rPr>
          <w:kern w:val="0"/>
          <w:szCs w:val="21"/>
        </w:rPr>
        <w:t>掌握光纤传感器进行振动和转速测量的操作方法</w:t>
      </w:r>
      <w:r>
        <w:rPr>
          <w:snapToGrid w:val="0"/>
          <w:kern w:val="0"/>
          <w:szCs w:val="21"/>
        </w:rPr>
        <w:t>；</w:t>
      </w:r>
    </w:p>
    <w:p>
      <w:pPr>
        <w:adjustRightInd w:val="0"/>
        <w:snapToGrid w:val="0"/>
        <w:spacing w:line="360" w:lineRule="auto"/>
        <w:ind w:firstLine="424"/>
        <w:rPr>
          <w:rFonts w:asciiTheme="minorEastAsia" w:hAnsiTheme="minorEastAsia" w:eastAsiaTheme="minorEastAsia" w:cstheme="minorEastAsia"/>
          <w:kern w:val="0"/>
          <w:szCs w:val="21"/>
        </w:rPr>
      </w:pPr>
      <w:r>
        <w:rPr>
          <w:kern w:val="0"/>
          <w:szCs w:val="21"/>
        </w:rPr>
        <w:t>本实验支撑课程目标2、3。</w:t>
      </w:r>
    </w:p>
    <w:p>
      <w:pPr>
        <w:adjustRightInd w:val="0"/>
        <w:snapToGrid w:val="0"/>
        <w:spacing w:line="360" w:lineRule="auto"/>
        <w:ind w:firstLine="424"/>
        <w:rPr>
          <w:kern w:val="0"/>
          <w:szCs w:val="21"/>
        </w:rPr>
      </w:pPr>
      <w:r>
        <w:rPr>
          <w:rFonts w:eastAsia="黑体"/>
          <w:snapToGrid w:val="0"/>
          <w:kern w:val="0"/>
          <w:szCs w:val="21"/>
        </w:rPr>
        <w:t>实验四光纤通信实验（3学时）</w:t>
      </w:r>
    </w:p>
    <w:p>
      <w:pPr>
        <w:adjustRightInd w:val="0"/>
        <w:snapToGrid w:val="0"/>
        <w:spacing w:line="360" w:lineRule="auto"/>
        <w:ind w:firstLine="424"/>
        <w:rPr>
          <w:kern w:val="0"/>
          <w:szCs w:val="21"/>
        </w:rPr>
      </w:pPr>
      <w:r>
        <w:rPr>
          <w:kern w:val="0"/>
          <w:szCs w:val="21"/>
        </w:rPr>
        <w:t>内容：掌握光纤通信基本原理和通信系统的基本结构，以及信息传输的基本方式和信号调制与解调方法，实现内容语音信号的调制、传输和解调。</w:t>
      </w:r>
    </w:p>
    <w:p>
      <w:pPr>
        <w:adjustRightInd w:val="0"/>
        <w:snapToGrid w:val="0"/>
        <w:spacing w:line="360" w:lineRule="auto"/>
        <w:ind w:left="424" w:leftChars="202"/>
        <w:rPr>
          <w:kern w:val="0"/>
          <w:szCs w:val="21"/>
        </w:rPr>
      </w:pPr>
      <w:r>
        <w:rPr>
          <w:kern w:val="0"/>
          <w:szCs w:val="21"/>
        </w:rPr>
        <w:t>基本要求：</w:t>
      </w:r>
    </w:p>
    <w:p>
      <w:pPr>
        <w:widowControl/>
        <w:adjustRightInd w:val="0"/>
        <w:snapToGrid w:val="0"/>
        <w:spacing w:line="360" w:lineRule="auto"/>
        <w:ind w:left="424" w:leftChars="202"/>
        <w:jc w:val="left"/>
        <w:rPr>
          <w:kern w:val="0"/>
          <w:szCs w:val="21"/>
        </w:rPr>
      </w:pPr>
      <w:r>
        <w:rPr>
          <w:kern w:val="0"/>
          <w:szCs w:val="21"/>
        </w:rPr>
        <w:t>1、掌握光纤通信基本原理和通信系统的基本结构；</w:t>
      </w:r>
    </w:p>
    <w:p>
      <w:pPr>
        <w:widowControl/>
        <w:tabs>
          <w:tab w:val="left" w:pos="720"/>
        </w:tabs>
        <w:adjustRightInd w:val="0"/>
        <w:snapToGrid w:val="0"/>
        <w:spacing w:line="360" w:lineRule="auto"/>
        <w:ind w:left="424" w:leftChars="202"/>
        <w:jc w:val="left"/>
        <w:rPr>
          <w:kern w:val="0"/>
          <w:szCs w:val="21"/>
        </w:rPr>
      </w:pPr>
      <w:r>
        <w:rPr>
          <w:kern w:val="0"/>
          <w:szCs w:val="21"/>
        </w:rPr>
        <w:t>2、掌握半导体激光器电光调制特性</w:t>
      </w:r>
    </w:p>
    <w:p>
      <w:pPr>
        <w:adjustRightInd w:val="0"/>
        <w:snapToGrid w:val="0"/>
        <w:spacing w:line="360" w:lineRule="auto"/>
        <w:ind w:firstLine="424"/>
        <w:rPr>
          <w:kern w:val="0"/>
          <w:szCs w:val="21"/>
        </w:rPr>
      </w:pPr>
      <w:r>
        <w:rPr>
          <w:snapToGrid w:val="0"/>
          <w:kern w:val="0"/>
          <w:szCs w:val="21"/>
        </w:rPr>
        <w:t>3、</w:t>
      </w:r>
      <w:r>
        <w:rPr>
          <w:kern w:val="0"/>
          <w:szCs w:val="21"/>
        </w:rPr>
        <w:t>利用光纤实验仪器实现模拟音频的调制和解调。</w:t>
      </w:r>
    </w:p>
    <w:p>
      <w:pPr>
        <w:adjustRightInd w:val="0"/>
        <w:snapToGrid w:val="0"/>
        <w:spacing w:line="360" w:lineRule="auto"/>
        <w:ind w:firstLine="424"/>
        <w:rPr>
          <w:kern w:val="0"/>
          <w:szCs w:val="21"/>
        </w:rPr>
      </w:pPr>
      <w:r>
        <w:rPr>
          <w:kern w:val="0"/>
          <w:szCs w:val="21"/>
        </w:rPr>
        <w:t>本实验支撑课程目标1、2、3。</w:t>
      </w:r>
    </w:p>
    <w:p>
      <w:pPr>
        <w:widowControl/>
        <w:adjustRightInd w:val="0"/>
        <w:snapToGrid w:val="0"/>
        <w:spacing w:line="360" w:lineRule="auto"/>
        <w:jc w:val="left"/>
        <w:rPr>
          <w:rFonts w:eastAsia="黑体"/>
          <w:kern w:val="0"/>
          <w:szCs w:val="21"/>
        </w:rPr>
      </w:pPr>
      <w:r>
        <w:rPr>
          <w:rFonts w:eastAsia="黑体"/>
          <w:kern w:val="0"/>
          <w:szCs w:val="21"/>
        </w:rPr>
        <w:t>六、学时分配</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184"/>
        <w:gridCol w:w="1897"/>
        <w:gridCol w:w="1897"/>
        <w:gridCol w:w="155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1867" w:type="pct"/>
            <w:shd w:val="clear" w:color="auto" w:fill="auto"/>
            <w:vAlign w:val="center"/>
          </w:tcPr>
          <w:p>
            <w:pPr>
              <w:adjustRightInd w:val="0"/>
              <w:snapToGrid w:val="0"/>
              <w:jc w:val="center"/>
              <w:rPr>
                <w:sz w:val="18"/>
                <w:szCs w:val="18"/>
              </w:rPr>
            </w:pPr>
            <w:r>
              <w:rPr>
                <w:sz w:val="18"/>
                <w:szCs w:val="18"/>
              </w:rPr>
              <w:t>知识点及内容</w:t>
            </w:r>
          </w:p>
        </w:tc>
        <w:tc>
          <w:tcPr>
            <w:tcW w:w="1112" w:type="pct"/>
            <w:shd w:val="clear" w:color="auto" w:fill="auto"/>
            <w:vAlign w:val="center"/>
          </w:tcPr>
          <w:p>
            <w:pPr>
              <w:adjustRightInd w:val="0"/>
              <w:snapToGrid w:val="0"/>
              <w:jc w:val="center"/>
              <w:rPr>
                <w:sz w:val="18"/>
                <w:szCs w:val="18"/>
              </w:rPr>
            </w:pPr>
            <w:r>
              <w:rPr>
                <w:sz w:val="18"/>
                <w:szCs w:val="18"/>
              </w:rPr>
              <w:t>讲授（学时）</w:t>
            </w:r>
          </w:p>
        </w:tc>
        <w:tc>
          <w:tcPr>
            <w:tcW w:w="1112" w:type="pct"/>
            <w:shd w:val="clear" w:color="auto" w:fill="auto"/>
            <w:vAlign w:val="center"/>
          </w:tcPr>
          <w:p>
            <w:pPr>
              <w:adjustRightInd w:val="0"/>
              <w:snapToGrid w:val="0"/>
              <w:jc w:val="center"/>
              <w:rPr>
                <w:sz w:val="18"/>
                <w:szCs w:val="18"/>
              </w:rPr>
            </w:pPr>
            <w:r>
              <w:rPr>
                <w:sz w:val="18"/>
                <w:szCs w:val="18"/>
              </w:rPr>
              <w:t>实验（学时）</w:t>
            </w:r>
          </w:p>
        </w:tc>
        <w:tc>
          <w:tcPr>
            <w:tcW w:w="909" w:type="pct"/>
            <w:shd w:val="clear" w:color="auto" w:fill="auto"/>
            <w:vAlign w:val="center"/>
          </w:tcPr>
          <w:p>
            <w:pPr>
              <w:adjustRightInd w:val="0"/>
              <w:snapToGrid w:val="0"/>
              <w:jc w:val="center"/>
              <w:rPr>
                <w:sz w:val="18"/>
                <w:szCs w:val="18"/>
              </w:rPr>
            </w:pPr>
            <w:r>
              <w:rPr>
                <w:sz w:val="18"/>
                <w:szCs w:val="18"/>
              </w:rPr>
              <w:t>小计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867" w:type="pct"/>
            <w:shd w:val="clear" w:color="auto" w:fill="auto"/>
          </w:tcPr>
          <w:p>
            <w:pPr>
              <w:adjustRightInd w:val="0"/>
              <w:snapToGrid w:val="0"/>
              <w:jc w:val="center"/>
              <w:rPr>
                <w:sz w:val="18"/>
                <w:szCs w:val="18"/>
              </w:rPr>
            </w:pPr>
            <w:r>
              <w:rPr>
                <w:sz w:val="18"/>
                <w:szCs w:val="18"/>
              </w:rPr>
              <w:t>1 绪论</w:t>
            </w:r>
          </w:p>
        </w:tc>
        <w:tc>
          <w:tcPr>
            <w:tcW w:w="1112" w:type="pct"/>
            <w:shd w:val="clear" w:color="auto" w:fill="auto"/>
            <w:vAlign w:val="center"/>
          </w:tcPr>
          <w:p>
            <w:pPr>
              <w:adjustRightInd w:val="0"/>
              <w:snapToGrid w:val="0"/>
              <w:jc w:val="center"/>
              <w:rPr>
                <w:sz w:val="18"/>
                <w:szCs w:val="18"/>
              </w:rPr>
            </w:pPr>
            <w:r>
              <w:rPr>
                <w:sz w:val="18"/>
                <w:szCs w:val="18"/>
              </w:rPr>
              <w:t>2</w:t>
            </w:r>
          </w:p>
        </w:tc>
        <w:tc>
          <w:tcPr>
            <w:tcW w:w="1112" w:type="pct"/>
            <w:shd w:val="clear" w:color="auto" w:fill="auto"/>
            <w:vAlign w:val="center"/>
          </w:tcPr>
          <w:p>
            <w:pPr>
              <w:adjustRightInd w:val="0"/>
              <w:snapToGrid w:val="0"/>
              <w:jc w:val="center"/>
              <w:rPr>
                <w:sz w:val="18"/>
                <w:szCs w:val="18"/>
              </w:rPr>
            </w:pPr>
          </w:p>
        </w:tc>
        <w:tc>
          <w:tcPr>
            <w:tcW w:w="909" w:type="pct"/>
            <w:shd w:val="clear" w:color="auto" w:fill="auto"/>
            <w:vAlign w:val="center"/>
          </w:tcPr>
          <w:p>
            <w:pPr>
              <w:adjustRightInd w:val="0"/>
              <w:snapToGrid w:val="0"/>
              <w:jc w:val="center"/>
              <w:rPr>
                <w:sz w:val="18"/>
                <w:szCs w:val="18"/>
              </w:rPr>
            </w:pPr>
            <w:r>
              <w:rPr>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867" w:type="pct"/>
            <w:shd w:val="clear" w:color="auto" w:fill="auto"/>
          </w:tcPr>
          <w:p>
            <w:pPr>
              <w:adjustRightInd w:val="0"/>
              <w:snapToGrid w:val="0"/>
              <w:jc w:val="center"/>
              <w:rPr>
                <w:sz w:val="18"/>
                <w:szCs w:val="18"/>
              </w:rPr>
            </w:pPr>
            <w:r>
              <w:rPr>
                <w:sz w:val="18"/>
                <w:szCs w:val="18"/>
              </w:rPr>
              <w:t>2光纤的基本特性</w:t>
            </w:r>
          </w:p>
        </w:tc>
        <w:tc>
          <w:tcPr>
            <w:tcW w:w="1112" w:type="pct"/>
            <w:shd w:val="clear" w:color="auto" w:fill="auto"/>
            <w:vAlign w:val="center"/>
          </w:tcPr>
          <w:p>
            <w:pPr>
              <w:adjustRightInd w:val="0"/>
              <w:snapToGrid w:val="0"/>
              <w:jc w:val="center"/>
              <w:rPr>
                <w:sz w:val="18"/>
                <w:szCs w:val="18"/>
              </w:rPr>
            </w:pPr>
            <w:r>
              <w:rPr>
                <w:sz w:val="18"/>
                <w:szCs w:val="18"/>
              </w:rPr>
              <w:t>2</w:t>
            </w:r>
          </w:p>
        </w:tc>
        <w:tc>
          <w:tcPr>
            <w:tcW w:w="1112" w:type="pct"/>
            <w:shd w:val="clear" w:color="auto" w:fill="auto"/>
            <w:vAlign w:val="center"/>
          </w:tcPr>
          <w:p>
            <w:pPr>
              <w:adjustRightInd w:val="0"/>
              <w:snapToGrid w:val="0"/>
              <w:jc w:val="center"/>
              <w:rPr>
                <w:sz w:val="18"/>
                <w:szCs w:val="18"/>
              </w:rPr>
            </w:pPr>
            <w:r>
              <w:rPr>
                <w:sz w:val="18"/>
                <w:szCs w:val="18"/>
              </w:rPr>
              <w:t>1</w:t>
            </w:r>
          </w:p>
        </w:tc>
        <w:tc>
          <w:tcPr>
            <w:tcW w:w="909" w:type="pct"/>
            <w:shd w:val="clear" w:color="auto" w:fill="auto"/>
            <w:vAlign w:val="center"/>
          </w:tcPr>
          <w:p>
            <w:pPr>
              <w:adjustRightInd w:val="0"/>
              <w:snapToGrid w:val="0"/>
              <w:jc w:val="center"/>
              <w:rPr>
                <w:sz w:val="18"/>
                <w:szCs w:val="18"/>
              </w:rPr>
            </w:pPr>
            <w:r>
              <w:rPr>
                <w:sz w:val="18"/>
                <w:szCs w:val="18"/>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867" w:type="pct"/>
            <w:shd w:val="clear" w:color="auto" w:fill="auto"/>
          </w:tcPr>
          <w:p>
            <w:pPr>
              <w:adjustRightInd w:val="0"/>
              <w:snapToGrid w:val="0"/>
              <w:jc w:val="center"/>
              <w:rPr>
                <w:sz w:val="18"/>
                <w:szCs w:val="18"/>
              </w:rPr>
            </w:pPr>
            <w:r>
              <w:rPr>
                <w:sz w:val="18"/>
                <w:szCs w:val="18"/>
              </w:rPr>
              <w:t>3光纤的连接和耦合</w:t>
            </w:r>
          </w:p>
        </w:tc>
        <w:tc>
          <w:tcPr>
            <w:tcW w:w="1112" w:type="pct"/>
            <w:shd w:val="clear" w:color="auto" w:fill="auto"/>
            <w:vAlign w:val="center"/>
          </w:tcPr>
          <w:p>
            <w:pPr>
              <w:adjustRightInd w:val="0"/>
              <w:snapToGrid w:val="0"/>
              <w:jc w:val="center"/>
              <w:rPr>
                <w:sz w:val="18"/>
                <w:szCs w:val="18"/>
              </w:rPr>
            </w:pPr>
            <w:r>
              <w:rPr>
                <w:sz w:val="18"/>
                <w:szCs w:val="18"/>
              </w:rPr>
              <w:t>2</w:t>
            </w:r>
          </w:p>
        </w:tc>
        <w:tc>
          <w:tcPr>
            <w:tcW w:w="1112" w:type="pct"/>
            <w:shd w:val="clear" w:color="auto" w:fill="auto"/>
            <w:vAlign w:val="center"/>
          </w:tcPr>
          <w:p>
            <w:pPr>
              <w:adjustRightInd w:val="0"/>
              <w:snapToGrid w:val="0"/>
              <w:jc w:val="center"/>
              <w:rPr>
                <w:sz w:val="18"/>
                <w:szCs w:val="18"/>
              </w:rPr>
            </w:pPr>
            <w:r>
              <w:rPr>
                <w:sz w:val="18"/>
                <w:szCs w:val="18"/>
              </w:rPr>
              <w:t>1</w:t>
            </w:r>
          </w:p>
        </w:tc>
        <w:tc>
          <w:tcPr>
            <w:tcW w:w="909" w:type="pct"/>
            <w:shd w:val="clear" w:color="auto" w:fill="auto"/>
            <w:vAlign w:val="center"/>
          </w:tcPr>
          <w:p>
            <w:pPr>
              <w:adjustRightInd w:val="0"/>
              <w:snapToGrid w:val="0"/>
              <w:jc w:val="center"/>
              <w:rPr>
                <w:sz w:val="18"/>
                <w:szCs w:val="18"/>
              </w:rPr>
            </w:pPr>
            <w:r>
              <w:rPr>
                <w:sz w:val="18"/>
                <w:szCs w:val="18"/>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867" w:type="pct"/>
            <w:shd w:val="clear" w:color="auto" w:fill="auto"/>
          </w:tcPr>
          <w:p>
            <w:pPr>
              <w:adjustRightInd w:val="0"/>
              <w:snapToGrid w:val="0"/>
              <w:jc w:val="center"/>
              <w:rPr>
                <w:sz w:val="18"/>
                <w:szCs w:val="18"/>
              </w:rPr>
            </w:pPr>
            <w:r>
              <w:rPr>
                <w:sz w:val="18"/>
                <w:szCs w:val="18"/>
              </w:rPr>
              <w:t>4 光纤无源器件</w:t>
            </w:r>
          </w:p>
        </w:tc>
        <w:tc>
          <w:tcPr>
            <w:tcW w:w="1112" w:type="pct"/>
            <w:shd w:val="clear" w:color="auto" w:fill="auto"/>
            <w:vAlign w:val="center"/>
          </w:tcPr>
          <w:p>
            <w:pPr>
              <w:adjustRightInd w:val="0"/>
              <w:snapToGrid w:val="0"/>
              <w:jc w:val="center"/>
              <w:rPr>
                <w:sz w:val="18"/>
                <w:szCs w:val="18"/>
              </w:rPr>
            </w:pPr>
            <w:r>
              <w:rPr>
                <w:sz w:val="18"/>
                <w:szCs w:val="18"/>
              </w:rPr>
              <w:t>4</w:t>
            </w:r>
          </w:p>
        </w:tc>
        <w:tc>
          <w:tcPr>
            <w:tcW w:w="1112" w:type="pct"/>
            <w:shd w:val="clear" w:color="auto" w:fill="auto"/>
            <w:vAlign w:val="center"/>
          </w:tcPr>
          <w:p>
            <w:pPr>
              <w:adjustRightInd w:val="0"/>
              <w:snapToGrid w:val="0"/>
              <w:jc w:val="center"/>
              <w:rPr>
                <w:sz w:val="18"/>
                <w:szCs w:val="18"/>
              </w:rPr>
            </w:pPr>
          </w:p>
        </w:tc>
        <w:tc>
          <w:tcPr>
            <w:tcW w:w="909" w:type="pct"/>
            <w:shd w:val="clear" w:color="auto" w:fill="auto"/>
            <w:vAlign w:val="center"/>
          </w:tcPr>
          <w:p>
            <w:pPr>
              <w:adjustRightInd w:val="0"/>
              <w:snapToGrid w:val="0"/>
              <w:jc w:val="center"/>
              <w:rPr>
                <w:sz w:val="18"/>
                <w:szCs w:val="18"/>
              </w:rPr>
            </w:pPr>
            <w:r>
              <w:rPr>
                <w:sz w:val="18"/>
                <w:szCs w:val="18"/>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867" w:type="pct"/>
            <w:shd w:val="clear" w:color="auto" w:fill="auto"/>
          </w:tcPr>
          <w:p>
            <w:pPr>
              <w:adjustRightInd w:val="0"/>
              <w:snapToGrid w:val="0"/>
              <w:jc w:val="center"/>
              <w:rPr>
                <w:sz w:val="18"/>
                <w:szCs w:val="18"/>
              </w:rPr>
            </w:pPr>
            <w:r>
              <w:rPr>
                <w:sz w:val="18"/>
                <w:szCs w:val="18"/>
              </w:rPr>
              <w:t>5光纤有源器件</w:t>
            </w:r>
          </w:p>
        </w:tc>
        <w:tc>
          <w:tcPr>
            <w:tcW w:w="1112" w:type="pct"/>
            <w:shd w:val="clear" w:color="auto" w:fill="auto"/>
            <w:vAlign w:val="center"/>
          </w:tcPr>
          <w:p>
            <w:pPr>
              <w:adjustRightInd w:val="0"/>
              <w:snapToGrid w:val="0"/>
              <w:jc w:val="center"/>
              <w:rPr>
                <w:sz w:val="18"/>
                <w:szCs w:val="18"/>
              </w:rPr>
            </w:pPr>
            <w:r>
              <w:rPr>
                <w:sz w:val="18"/>
                <w:szCs w:val="18"/>
              </w:rPr>
              <w:t>4</w:t>
            </w:r>
          </w:p>
        </w:tc>
        <w:tc>
          <w:tcPr>
            <w:tcW w:w="1112" w:type="pct"/>
            <w:shd w:val="clear" w:color="auto" w:fill="auto"/>
            <w:vAlign w:val="center"/>
          </w:tcPr>
          <w:p>
            <w:pPr>
              <w:adjustRightInd w:val="0"/>
              <w:snapToGrid w:val="0"/>
              <w:jc w:val="center"/>
              <w:rPr>
                <w:sz w:val="18"/>
                <w:szCs w:val="18"/>
              </w:rPr>
            </w:pPr>
          </w:p>
        </w:tc>
        <w:tc>
          <w:tcPr>
            <w:tcW w:w="909" w:type="pct"/>
            <w:shd w:val="clear" w:color="auto" w:fill="auto"/>
            <w:vAlign w:val="center"/>
          </w:tcPr>
          <w:p>
            <w:pPr>
              <w:adjustRightInd w:val="0"/>
              <w:snapToGrid w:val="0"/>
              <w:jc w:val="center"/>
              <w:rPr>
                <w:sz w:val="18"/>
                <w:szCs w:val="18"/>
              </w:rPr>
            </w:pPr>
            <w:r>
              <w:rPr>
                <w:sz w:val="18"/>
                <w:szCs w:val="18"/>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867" w:type="pct"/>
            <w:shd w:val="clear" w:color="auto" w:fill="auto"/>
          </w:tcPr>
          <w:p>
            <w:pPr>
              <w:adjustRightInd w:val="0"/>
              <w:snapToGrid w:val="0"/>
              <w:jc w:val="center"/>
              <w:rPr>
                <w:sz w:val="18"/>
                <w:szCs w:val="18"/>
              </w:rPr>
            </w:pPr>
            <w:r>
              <w:rPr>
                <w:sz w:val="18"/>
                <w:szCs w:val="18"/>
              </w:rPr>
              <w:t>6光纤传感技术</w:t>
            </w:r>
          </w:p>
        </w:tc>
        <w:tc>
          <w:tcPr>
            <w:tcW w:w="1112" w:type="pct"/>
            <w:shd w:val="clear" w:color="auto" w:fill="auto"/>
            <w:vAlign w:val="center"/>
          </w:tcPr>
          <w:p>
            <w:pPr>
              <w:adjustRightInd w:val="0"/>
              <w:snapToGrid w:val="0"/>
              <w:jc w:val="center"/>
              <w:rPr>
                <w:sz w:val="18"/>
                <w:szCs w:val="18"/>
              </w:rPr>
            </w:pPr>
            <w:r>
              <w:rPr>
                <w:sz w:val="18"/>
                <w:szCs w:val="18"/>
              </w:rPr>
              <w:t>4</w:t>
            </w:r>
          </w:p>
        </w:tc>
        <w:tc>
          <w:tcPr>
            <w:tcW w:w="1112" w:type="pct"/>
            <w:shd w:val="clear" w:color="auto" w:fill="auto"/>
            <w:vAlign w:val="center"/>
          </w:tcPr>
          <w:p>
            <w:pPr>
              <w:adjustRightInd w:val="0"/>
              <w:snapToGrid w:val="0"/>
              <w:jc w:val="center"/>
              <w:rPr>
                <w:sz w:val="18"/>
                <w:szCs w:val="18"/>
              </w:rPr>
            </w:pPr>
            <w:r>
              <w:rPr>
                <w:sz w:val="18"/>
                <w:szCs w:val="18"/>
              </w:rPr>
              <w:t>3</w:t>
            </w:r>
          </w:p>
        </w:tc>
        <w:tc>
          <w:tcPr>
            <w:tcW w:w="909" w:type="pct"/>
            <w:shd w:val="clear" w:color="auto" w:fill="auto"/>
            <w:vAlign w:val="center"/>
          </w:tcPr>
          <w:p>
            <w:pPr>
              <w:adjustRightInd w:val="0"/>
              <w:snapToGrid w:val="0"/>
              <w:jc w:val="center"/>
              <w:rPr>
                <w:sz w:val="18"/>
                <w:szCs w:val="18"/>
              </w:rPr>
            </w:pPr>
            <w:r>
              <w:rPr>
                <w:sz w:val="18"/>
                <w:szCs w:val="18"/>
              </w:rPr>
              <w:t>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867" w:type="pct"/>
            <w:shd w:val="clear" w:color="auto" w:fill="auto"/>
          </w:tcPr>
          <w:p>
            <w:pPr>
              <w:adjustRightInd w:val="0"/>
              <w:snapToGrid w:val="0"/>
              <w:jc w:val="center"/>
              <w:rPr>
                <w:sz w:val="18"/>
                <w:szCs w:val="18"/>
              </w:rPr>
            </w:pPr>
            <w:r>
              <w:rPr>
                <w:sz w:val="18"/>
                <w:szCs w:val="18"/>
              </w:rPr>
              <w:t>7光纤通信技术</w:t>
            </w:r>
          </w:p>
        </w:tc>
        <w:tc>
          <w:tcPr>
            <w:tcW w:w="1112" w:type="pct"/>
            <w:shd w:val="clear" w:color="auto" w:fill="auto"/>
            <w:vAlign w:val="center"/>
          </w:tcPr>
          <w:p>
            <w:pPr>
              <w:adjustRightInd w:val="0"/>
              <w:snapToGrid w:val="0"/>
              <w:jc w:val="center"/>
              <w:rPr>
                <w:sz w:val="18"/>
                <w:szCs w:val="18"/>
              </w:rPr>
            </w:pPr>
            <w:r>
              <w:rPr>
                <w:sz w:val="18"/>
                <w:szCs w:val="18"/>
              </w:rPr>
              <w:t>4</w:t>
            </w:r>
          </w:p>
        </w:tc>
        <w:tc>
          <w:tcPr>
            <w:tcW w:w="1112" w:type="pct"/>
            <w:shd w:val="clear" w:color="auto" w:fill="auto"/>
            <w:vAlign w:val="center"/>
          </w:tcPr>
          <w:p>
            <w:pPr>
              <w:adjustRightInd w:val="0"/>
              <w:snapToGrid w:val="0"/>
              <w:jc w:val="center"/>
              <w:rPr>
                <w:sz w:val="18"/>
                <w:szCs w:val="18"/>
              </w:rPr>
            </w:pPr>
            <w:r>
              <w:rPr>
                <w:sz w:val="18"/>
                <w:szCs w:val="18"/>
              </w:rPr>
              <w:t>3</w:t>
            </w:r>
          </w:p>
        </w:tc>
        <w:tc>
          <w:tcPr>
            <w:tcW w:w="909" w:type="pct"/>
            <w:shd w:val="clear" w:color="auto" w:fill="auto"/>
            <w:vAlign w:val="center"/>
          </w:tcPr>
          <w:p>
            <w:pPr>
              <w:adjustRightInd w:val="0"/>
              <w:snapToGrid w:val="0"/>
              <w:jc w:val="center"/>
              <w:rPr>
                <w:sz w:val="18"/>
                <w:szCs w:val="18"/>
              </w:rPr>
            </w:pPr>
            <w:r>
              <w:rPr>
                <w:sz w:val="18"/>
                <w:szCs w:val="18"/>
              </w:rPr>
              <w:t>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867" w:type="pct"/>
            <w:shd w:val="clear" w:color="auto" w:fill="auto"/>
          </w:tcPr>
          <w:p>
            <w:pPr>
              <w:adjustRightInd w:val="0"/>
              <w:snapToGrid w:val="0"/>
              <w:jc w:val="center"/>
              <w:rPr>
                <w:sz w:val="18"/>
                <w:szCs w:val="18"/>
              </w:rPr>
            </w:pPr>
            <w:r>
              <w:rPr>
                <w:sz w:val="18"/>
                <w:szCs w:val="18"/>
              </w:rPr>
              <w:t>8 新型光纤技术</w:t>
            </w:r>
          </w:p>
        </w:tc>
        <w:tc>
          <w:tcPr>
            <w:tcW w:w="1112" w:type="pct"/>
            <w:shd w:val="clear" w:color="auto" w:fill="auto"/>
            <w:vAlign w:val="center"/>
          </w:tcPr>
          <w:p>
            <w:pPr>
              <w:adjustRightInd w:val="0"/>
              <w:snapToGrid w:val="0"/>
              <w:jc w:val="center"/>
              <w:rPr>
                <w:sz w:val="18"/>
                <w:szCs w:val="18"/>
              </w:rPr>
            </w:pPr>
            <w:r>
              <w:rPr>
                <w:sz w:val="18"/>
                <w:szCs w:val="18"/>
              </w:rPr>
              <w:t>2</w:t>
            </w:r>
          </w:p>
        </w:tc>
        <w:tc>
          <w:tcPr>
            <w:tcW w:w="1112" w:type="pct"/>
            <w:shd w:val="clear" w:color="auto" w:fill="auto"/>
            <w:vAlign w:val="center"/>
          </w:tcPr>
          <w:p>
            <w:pPr>
              <w:adjustRightInd w:val="0"/>
              <w:snapToGrid w:val="0"/>
              <w:jc w:val="center"/>
              <w:rPr>
                <w:sz w:val="18"/>
                <w:szCs w:val="18"/>
              </w:rPr>
            </w:pPr>
          </w:p>
        </w:tc>
        <w:tc>
          <w:tcPr>
            <w:tcW w:w="909" w:type="pct"/>
            <w:shd w:val="clear" w:color="auto" w:fill="auto"/>
            <w:vAlign w:val="center"/>
          </w:tcPr>
          <w:p>
            <w:pPr>
              <w:adjustRightInd w:val="0"/>
              <w:snapToGrid w:val="0"/>
              <w:jc w:val="center"/>
              <w:rPr>
                <w:sz w:val="18"/>
                <w:szCs w:val="18"/>
              </w:rPr>
            </w:pPr>
            <w:r>
              <w:rPr>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867" w:type="pct"/>
            <w:shd w:val="clear" w:color="auto" w:fill="auto"/>
            <w:vAlign w:val="center"/>
          </w:tcPr>
          <w:p>
            <w:pPr>
              <w:widowControl/>
              <w:adjustRightInd w:val="0"/>
              <w:snapToGrid w:val="0"/>
              <w:jc w:val="center"/>
              <w:rPr>
                <w:kern w:val="0"/>
                <w:sz w:val="18"/>
                <w:szCs w:val="18"/>
              </w:rPr>
            </w:pPr>
            <w:r>
              <w:rPr>
                <w:kern w:val="0"/>
                <w:sz w:val="18"/>
                <w:szCs w:val="18"/>
              </w:rPr>
              <w:t>合计</w:t>
            </w:r>
          </w:p>
        </w:tc>
        <w:tc>
          <w:tcPr>
            <w:tcW w:w="1112" w:type="pct"/>
            <w:shd w:val="clear" w:color="auto" w:fill="auto"/>
            <w:vAlign w:val="center"/>
          </w:tcPr>
          <w:p>
            <w:pPr>
              <w:widowControl/>
              <w:adjustRightInd w:val="0"/>
              <w:snapToGrid w:val="0"/>
              <w:jc w:val="center"/>
              <w:rPr>
                <w:kern w:val="0"/>
                <w:sz w:val="18"/>
                <w:szCs w:val="18"/>
              </w:rPr>
            </w:pPr>
            <w:r>
              <w:rPr>
                <w:kern w:val="0"/>
                <w:sz w:val="18"/>
                <w:szCs w:val="18"/>
              </w:rPr>
              <w:t>24</w:t>
            </w:r>
          </w:p>
        </w:tc>
        <w:tc>
          <w:tcPr>
            <w:tcW w:w="1112" w:type="pct"/>
            <w:shd w:val="clear" w:color="auto" w:fill="auto"/>
            <w:vAlign w:val="center"/>
          </w:tcPr>
          <w:p>
            <w:pPr>
              <w:widowControl/>
              <w:adjustRightInd w:val="0"/>
              <w:snapToGrid w:val="0"/>
              <w:jc w:val="center"/>
              <w:rPr>
                <w:kern w:val="0"/>
                <w:sz w:val="18"/>
                <w:szCs w:val="18"/>
              </w:rPr>
            </w:pPr>
            <w:r>
              <w:rPr>
                <w:kern w:val="0"/>
                <w:sz w:val="18"/>
                <w:szCs w:val="18"/>
              </w:rPr>
              <w:t>8</w:t>
            </w:r>
          </w:p>
        </w:tc>
        <w:tc>
          <w:tcPr>
            <w:tcW w:w="909" w:type="pct"/>
            <w:shd w:val="clear" w:color="auto" w:fill="auto"/>
            <w:vAlign w:val="center"/>
          </w:tcPr>
          <w:p>
            <w:pPr>
              <w:widowControl/>
              <w:adjustRightInd w:val="0"/>
              <w:snapToGrid w:val="0"/>
              <w:jc w:val="center"/>
              <w:rPr>
                <w:kern w:val="0"/>
                <w:sz w:val="18"/>
                <w:szCs w:val="18"/>
              </w:rPr>
            </w:pPr>
            <w:r>
              <w:rPr>
                <w:kern w:val="0"/>
                <w:sz w:val="18"/>
                <w:szCs w:val="18"/>
              </w:rPr>
              <w:t>32</w:t>
            </w:r>
          </w:p>
        </w:tc>
      </w:tr>
    </w:tbl>
    <w:p>
      <w:pPr>
        <w:tabs>
          <w:tab w:val="left" w:pos="420"/>
        </w:tabs>
        <w:adjustRightInd w:val="0"/>
        <w:snapToGrid w:val="0"/>
        <w:spacing w:line="360" w:lineRule="auto"/>
        <w:ind w:left="420" w:hanging="420"/>
        <w:rPr>
          <w:rFonts w:eastAsiaTheme="minorEastAsia"/>
          <w:szCs w:val="21"/>
        </w:rPr>
      </w:pPr>
    </w:p>
    <w:p>
      <w:pPr>
        <w:tabs>
          <w:tab w:val="left" w:pos="420"/>
        </w:tabs>
        <w:adjustRightInd w:val="0"/>
        <w:snapToGrid w:val="0"/>
        <w:spacing w:line="360" w:lineRule="auto"/>
        <w:ind w:left="420" w:hanging="420"/>
        <w:rPr>
          <w:rFonts w:eastAsia="黑体"/>
          <w:szCs w:val="24"/>
        </w:rPr>
      </w:pPr>
      <w:r>
        <w:rPr>
          <w:rFonts w:eastAsia="黑体"/>
          <w:szCs w:val="24"/>
        </w:rPr>
        <w:t>七、教材、补充教材及参考资料</w:t>
      </w:r>
    </w:p>
    <w:p>
      <w:pPr>
        <w:adjustRightInd w:val="0"/>
        <w:snapToGrid w:val="0"/>
        <w:spacing w:line="360" w:lineRule="auto"/>
        <w:ind w:firstLine="420" w:firstLineChars="200"/>
        <w:rPr>
          <w:rFonts w:ascii="宋体" w:hAnsi="宋体"/>
          <w:szCs w:val="21"/>
        </w:rPr>
      </w:pPr>
      <w:r>
        <w:rPr>
          <w:rFonts w:ascii="宋体" w:hAnsi="宋体"/>
          <w:szCs w:val="21"/>
        </w:rPr>
        <w:t>1</w:t>
      </w:r>
      <w:r>
        <w:rPr>
          <w:rFonts w:ascii="宋体" w:hAnsi="宋体"/>
          <w:snapToGrid w:val="0"/>
          <w:kern w:val="0"/>
          <w:szCs w:val="21"/>
        </w:rPr>
        <w:t>、</w:t>
      </w:r>
      <w:r>
        <w:rPr>
          <w:rFonts w:ascii="宋体" w:hAnsi="宋体"/>
          <w:szCs w:val="21"/>
        </w:rPr>
        <w:t>钱云江主编，《光纤技术》，ISBN9787030173560，科学出版社。</w:t>
      </w:r>
    </w:p>
    <w:p>
      <w:pPr>
        <w:adjustRightInd w:val="0"/>
        <w:snapToGrid w:val="0"/>
        <w:spacing w:line="360" w:lineRule="auto"/>
        <w:ind w:firstLine="420" w:firstLineChars="200"/>
        <w:rPr>
          <w:rFonts w:ascii="宋体" w:hAnsi="宋体"/>
          <w:szCs w:val="21"/>
        </w:rPr>
      </w:pPr>
      <w:r>
        <w:rPr>
          <w:rFonts w:ascii="宋体" w:hAnsi="宋体"/>
          <w:szCs w:val="21"/>
        </w:rPr>
        <w:t>2</w:t>
      </w:r>
      <w:r>
        <w:rPr>
          <w:rFonts w:ascii="宋体" w:hAnsi="宋体"/>
          <w:snapToGrid w:val="0"/>
          <w:kern w:val="0"/>
          <w:szCs w:val="21"/>
        </w:rPr>
        <w:t>、</w:t>
      </w:r>
      <w:r>
        <w:rPr>
          <w:rFonts w:ascii="宋体" w:hAnsi="宋体"/>
          <w:szCs w:val="21"/>
        </w:rPr>
        <w:t>石顺祥等编著，《光纤技术及应用》，ISBN 9787560954554，华中科技大学出版社。</w:t>
      </w:r>
    </w:p>
    <w:p>
      <w:pPr>
        <w:adjustRightInd w:val="0"/>
        <w:snapToGrid w:val="0"/>
        <w:spacing w:line="360" w:lineRule="auto"/>
        <w:ind w:firstLine="420" w:firstLineChars="200"/>
        <w:rPr>
          <w:rFonts w:ascii="宋体" w:hAnsi="宋体"/>
          <w:szCs w:val="21"/>
        </w:rPr>
      </w:pPr>
      <w:r>
        <w:rPr>
          <w:rFonts w:ascii="宋体" w:hAnsi="宋体"/>
          <w:szCs w:val="21"/>
        </w:rPr>
        <w:t>3</w:t>
      </w:r>
      <w:r>
        <w:rPr>
          <w:rFonts w:ascii="宋体" w:hAnsi="宋体"/>
          <w:snapToGrid w:val="0"/>
          <w:kern w:val="0"/>
          <w:szCs w:val="21"/>
        </w:rPr>
        <w:t>、</w:t>
      </w:r>
      <w:r>
        <w:rPr>
          <w:rFonts w:ascii="宋体" w:hAnsi="宋体"/>
          <w:szCs w:val="21"/>
        </w:rPr>
        <w:t>胡昌奎等编著，《光纤技术实践教程》，ISBN 9787302393269，清华大学出版社。</w:t>
      </w:r>
    </w:p>
    <w:p>
      <w:pPr>
        <w:adjustRightInd w:val="0"/>
        <w:snapToGrid w:val="0"/>
        <w:spacing w:line="360" w:lineRule="auto"/>
        <w:ind w:firstLine="420" w:firstLineChars="200"/>
        <w:rPr>
          <w:rFonts w:ascii="宋体" w:hAnsi="宋体"/>
          <w:szCs w:val="21"/>
        </w:rPr>
      </w:pPr>
      <w:r>
        <w:rPr>
          <w:rFonts w:ascii="宋体" w:hAnsi="宋体"/>
          <w:szCs w:val="21"/>
        </w:rPr>
        <w:t>4</w:t>
      </w:r>
      <w:r>
        <w:rPr>
          <w:rFonts w:ascii="宋体" w:hAnsi="宋体"/>
          <w:snapToGrid w:val="0"/>
          <w:kern w:val="0"/>
          <w:szCs w:val="21"/>
        </w:rPr>
        <w:t>、</w:t>
      </w:r>
      <w:r>
        <w:rPr>
          <w:rFonts w:ascii="宋体" w:hAnsi="宋体"/>
          <w:szCs w:val="21"/>
        </w:rPr>
        <w:t>方祖捷等著，《光纤传感器基础》，ISBN 9787030389534，科学出版社。</w:t>
      </w:r>
    </w:p>
    <w:p>
      <w:pPr>
        <w:tabs>
          <w:tab w:val="left" w:pos="420"/>
        </w:tabs>
        <w:adjustRightInd w:val="0"/>
        <w:snapToGrid w:val="0"/>
        <w:spacing w:line="360" w:lineRule="auto"/>
        <w:ind w:left="420" w:hanging="420"/>
        <w:rPr>
          <w:szCs w:val="21"/>
        </w:rPr>
      </w:pPr>
    </w:p>
    <w:p>
      <w:pPr>
        <w:tabs>
          <w:tab w:val="left" w:pos="420"/>
        </w:tabs>
        <w:adjustRightInd w:val="0"/>
        <w:snapToGrid w:val="0"/>
        <w:spacing w:line="360" w:lineRule="auto"/>
        <w:ind w:left="420" w:hanging="420"/>
        <w:rPr>
          <w:rFonts w:eastAsia="黑体"/>
          <w:szCs w:val="24"/>
        </w:rPr>
      </w:pPr>
      <w:r>
        <w:rPr>
          <w:rFonts w:eastAsia="黑体"/>
          <w:szCs w:val="24"/>
        </w:rPr>
        <w:t>八、达成课程目标的途径和措施</w:t>
      </w:r>
    </w:p>
    <w:p>
      <w:pPr>
        <w:adjustRightInd w:val="0"/>
        <w:snapToGrid w:val="0"/>
        <w:spacing w:line="360" w:lineRule="auto"/>
        <w:ind w:firstLine="420" w:firstLineChars="200"/>
        <w:rPr>
          <w:szCs w:val="21"/>
        </w:rPr>
      </w:pPr>
      <w:r>
        <w:rPr>
          <w:szCs w:val="21"/>
        </w:rPr>
        <w:t>1、考核目标：在考核学生对光纤基本特性和光纤器件的基础上，重点考核学生对光纤传感和光纤通信原理及应用的掌握程度。</w:t>
      </w:r>
    </w:p>
    <w:p>
      <w:pPr>
        <w:adjustRightInd w:val="0"/>
        <w:snapToGrid w:val="0"/>
        <w:spacing w:line="360" w:lineRule="auto"/>
        <w:ind w:firstLine="420" w:firstLineChars="200"/>
        <w:rPr>
          <w:szCs w:val="21"/>
        </w:rPr>
      </w:pPr>
      <w:r>
        <w:rPr>
          <w:szCs w:val="21"/>
        </w:rPr>
        <w:t>2、考核方式：考试、课内实验及课堂情况。</w:t>
      </w:r>
    </w:p>
    <w:p>
      <w:pPr>
        <w:adjustRightInd w:val="0"/>
        <w:snapToGrid w:val="0"/>
        <w:spacing w:line="360" w:lineRule="auto"/>
        <w:ind w:firstLine="420" w:firstLineChars="200"/>
      </w:pPr>
      <w:r>
        <w:rPr>
          <w:szCs w:val="21"/>
        </w:rPr>
        <w:t>3、评价环节对课程目标达成贡献率及支撑材料：</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823"/>
        <w:gridCol w:w="1828"/>
        <w:gridCol w:w="1844"/>
        <w:gridCol w:w="1482"/>
        <w:gridCol w:w="155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69" w:type="pct"/>
            <w:shd w:val="clear" w:color="auto" w:fill="auto"/>
            <w:vAlign w:val="center"/>
          </w:tcPr>
          <w:p>
            <w:pPr>
              <w:widowControl/>
              <w:jc w:val="center"/>
              <w:rPr>
                <w:kern w:val="0"/>
                <w:sz w:val="18"/>
              </w:rPr>
            </w:pPr>
            <w:r>
              <w:rPr>
                <w:kern w:val="0"/>
                <w:sz w:val="18"/>
              </w:rPr>
              <w:t>考察环节</w:t>
            </w:r>
          </w:p>
        </w:tc>
        <w:tc>
          <w:tcPr>
            <w:tcW w:w="1072" w:type="pct"/>
            <w:shd w:val="clear" w:color="auto" w:fill="auto"/>
            <w:vAlign w:val="center"/>
          </w:tcPr>
          <w:p>
            <w:pPr>
              <w:widowControl/>
              <w:jc w:val="center"/>
              <w:rPr>
                <w:kern w:val="0"/>
                <w:sz w:val="18"/>
              </w:rPr>
            </w:pPr>
            <w:r>
              <w:rPr>
                <w:kern w:val="0"/>
                <w:sz w:val="18"/>
              </w:rPr>
              <w:t>课堂情况</w:t>
            </w:r>
          </w:p>
        </w:tc>
        <w:tc>
          <w:tcPr>
            <w:tcW w:w="1081" w:type="pct"/>
            <w:shd w:val="clear" w:color="auto" w:fill="auto"/>
            <w:vAlign w:val="center"/>
          </w:tcPr>
          <w:p>
            <w:pPr>
              <w:widowControl/>
              <w:jc w:val="center"/>
              <w:rPr>
                <w:kern w:val="0"/>
                <w:sz w:val="18"/>
              </w:rPr>
            </w:pPr>
            <w:r>
              <w:rPr>
                <w:kern w:val="0"/>
                <w:sz w:val="18"/>
              </w:rPr>
              <w:t>分组实验</w:t>
            </w:r>
          </w:p>
        </w:tc>
        <w:tc>
          <w:tcPr>
            <w:tcW w:w="869" w:type="pct"/>
            <w:shd w:val="clear" w:color="auto" w:fill="auto"/>
            <w:vAlign w:val="center"/>
          </w:tcPr>
          <w:p>
            <w:pPr>
              <w:widowControl/>
              <w:jc w:val="center"/>
              <w:rPr>
                <w:kern w:val="0"/>
                <w:sz w:val="18"/>
              </w:rPr>
            </w:pPr>
            <w:r>
              <w:rPr>
                <w:kern w:val="0"/>
                <w:sz w:val="18"/>
                <w:szCs w:val="18"/>
              </w:rPr>
              <w:t>专题调研报告</w:t>
            </w:r>
          </w:p>
        </w:tc>
        <w:tc>
          <w:tcPr>
            <w:tcW w:w="909" w:type="pct"/>
            <w:shd w:val="clear" w:color="auto" w:fill="auto"/>
            <w:vAlign w:val="center"/>
          </w:tcPr>
          <w:p>
            <w:pPr>
              <w:widowControl/>
              <w:jc w:val="center"/>
              <w:rPr>
                <w:kern w:val="0"/>
                <w:sz w:val="18"/>
              </w:rPr>
            </w:pPr>
            <w:r>
              <w:rPr>
                <w:kern w:val="0"/>
                <w:sz w:val="18"/>
              </w:rPr>
              <w:t>期末考试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69" w:type="pct"/>
            <w:shd w:val="clear" w:color="auto" w:fill="auto"/>
            <w:vAlign w:val="center"/>
          </w:tcPr>
          <w:p>
            <w:pPr>
              <w:widowControl/>
              <w:jc w:val="center"/>
              <w:rPr>
                <w:kern w:val="0"/>
                <w:sz w:val="18"/>
              </w:rPr>
            </w:pPr>
            <w:r>
              <w:rPr>
                <w:kern w:val="0"/>
                <w:sz w:val="18"/>
              </w:rPr>
              <w:t>课程目标达成</w:t>
            </w:r>
          </w:p>
          <w:p>
            <w:pPr>
              <w:widowControl/>
              <w:jc w:val="center"/>
              <w:rPr>
                <w:kern w:val="0"/>
                <w:sz w:val="18"/>
              </w:rPr>
            </w:pPr>
            <w:r>
              <w:rPr>
                <w:kern w:val="0"/>
                <w:sz w:val="18"/>
              </w:rPr>
              <w:t>的贡献率</w:t>
            </w:r>
          </w:p>
        </w:tc>
        <w:tc>
          <w:tcPr>
            <w:tcW w:w="1072" w:type="pct"/>
            <w:shd w:val="clear" w:color="auto" w:fill="auto"/>
            <w:vAlign w:val="center"/>
          </w:tcPr>
          <w:p>
            <w:pPr>
              <w:widowControl/>
              <w:jc w:val="center"/>
              <w:rPr>
                <w:kern w:val="0"/>
                <w:sz w:val="18"/>
                <w:szCs w:val="18"/>
              </w:rPr>
            </w:pPr>
            <w:r>
              <w:rPr>
                <w:kern w:val="0"/>
                <w:sz w:val="18"/>
                <w:szCs w:val="18"/>
              </w:rPr>
              <w:t>0.14</w:t>
            </w:r>
          </w:p>
        </w:tc>
        <w:tc>
          <w:tcPr>
            <w:tcW w:w="1081" w:type="pct"/>
            <w:shd w:val="clear" w:color="auto" w:fill="auto"/>
            <w:vAlign w:val="center"/>
          </w:tcPr>
          <w:p>
            <w:pPr>
              <w:widowControl/>
              <w:jc w:val="center"/>
              <w:rPr>
                <w:kern w:val="0"/>
                <w:sz w:val="18"/>
                <w:szCs w:val="18"/>
              </w:rPr>
            </w:pPr>
            <w:r>
              <w:rPr>
                <w:kern w:val="0"/>
                <w:sz w:val="18"/>
                <w:szCs w:val="18"/>
              </w:rPr>
              <w:t>0.22</w:t>
            </w:r>
          </w:p>
        </w:tc>
        <w:tc>
          <w:tcPr>
            <w:tcW w:w="869" w:type="pct"/>
            <w:shd w:val="clear" w:color="auto" w:fill="auto"/>
            <w:vAlign w:val="center"/>
          </w:tcPr>
          <w:p>
            <w:pPr>
              <w:widowControl/>
              <w:jc w:val="center"/>
              <w:rPr>
                <w:kern w:val="0"/>
                <w:sz w:val="18"/>
                <w:szCs w:val="18"/>
              </w:rPr>
            </w:pPr>
            <w:r>
              <w:rPr>
                <w:kern w:val="0"/>
                <w:sz w:val="18"/>
                <w:szCs w:val="18"/>
              </w:rPr>
              <w:t>0.15</w:t>
            </w:r>
          </w:p>
        </w:tc>
        <w:tc>
          <w:tcPr>
            <w:tcW w:w="909" w:type="pct"/>
            <w:shd w:val="clear" w:color="auto" w:fill="auto"/>
            <w:vAlign w:val="center"/>
          </w:tcPr>
          <w:p>
            <w:pPr>
              <w:widowControl/>
              <w:jc w:val="center"/>
              <w:rPr>
                <w:kern w:val="0"/>
                <w:sz w:val="18"/>
                <w:szCs w:val="18"/>
              </w:rPr>
            </w:pPr>
            <w:r>
              <w:rPr>
                <w:kern w:val="0"/>
                <w:sz w:val="18"/>
                <w:szCs w:val="18"/>
              </w:rPr>
              <w:t>0.49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69" w:type="pct"/>
            <w:shd w:val="clear" w:color="auto" w:fill="auto"/>
            <w:vAlign w:val="center"/>
          </w:tcPr>
          <w:p>
            <w:pPr>
              <w:widowControl/>
              <w:jc w:val="center"/>
              <w:rPr>
                <w:kern w:val="0"/>
                <w:sz w:val="18"/>
              </w:rPr>
            </w:pPr>
            <w:r>
              <w:rPr>
                <w:kern w:val="0"/>
                <w:sz w:val="18"/>
              </w:rPr>
              <w:t>支撑材料</w:t>
            </w:r>
          </w:p>
        </w:tc>
        <w:tc>
          <w:tcPr>
            <w:tcW w:w="1072" w:type="pct"/>
            <w:shd w:val="clear" w:color="auto" w:fill="auto"/>
            <w:vAlign w:val="center"/>
          </w:tcPr>
          <w:p>
            <w:pPr>
              <w:widowControl/>
              <w:jc w:val="center"/>
              <w:rPr>
                <w:kern w:val="0"/>
                <w:sz w:val="18"/>
              </w:rPr>
            </w:pPr>
            <w:r>
              <w:rPr>
                <w:kern w:val="0"/>
                <w:sz w:val="18"/>
              </w:rPr>
              <w:t>课堂评价标准，课堂提问记录或随堂考试，结合出勤率等</w:t>
            </w:r>
          </w:p>
        </w:tc>
        <w:tc>
          <w:tcPr>
            <w:tcW w:w="1081" w:type="pct"/>
            <w:shd w:val="clear" w:color="auto" w:fill="auto"/>
            <w:vAlign w:val="center"/>
          </w:tcPr>
          <w:p>
            <w:pPr>
              <w:widowControl/>
              <w:jc w:val="center"/>
              <w:rPr>
                <w:kern w:val="0"/>
                <w:sz w:val="18"/>
              </w:rPr>
            </w:pPr>
            <w:r>
              <w:rPr>
                <w:kern w:val="0"/>
                <w:sz w:val="18"/>
              </w:rPr>
              <w:t>课内实验评价标准，实验课堂记录记录，典型实验报告</w:t>
            </w:r>
          </w:p>
        </w:tc>
        <w:tc>
          <w:tcPr>
            <w:tcW w:w="869" w:type="pct"/>
            <w:shd w:val="clear" w:color="auto" w:fill="auto"/>
            <w:vAlign w:val="center"/>
          </w:tcPr>
          <w:p>
            <w:pPr>
              <w:widowControl/>
              <w:jc w:val="center"/>
              <w:rPr>
                <w:kern w:val="0"/>
                <w:sz w:val="18"/>
              </w:rPr>
            </w:pPr>
            <w:r>
              <w:rPr>
                <w:kern w:val="0"/>
                <w:sz w:val="18"/>
                <w:szCs w:val="18"/>
              </w:rPr>
              <w:t>专题调研报告</w:t>
            </w:r>
          </w:p>
        </w:tc>
        <w:tc>
          <w:tcPr>
            <w:tcW w:w="909" w:type="pct"/>
            <w:shd w:val="clear" w:color="auto" w:fill="auto"/>
            <w:vAlign w:val="center"/>
          </w:tcPr>
          <w:p>
            <w:pPr>
              <w:widowControl/>
              <w:jc w:val="center"/>
              <w:rPr>
                <w:kern w:val="0"/>
                <w:sz w:val="18"/>
              </w:rPr>
            </w:pPr>
            <w:r>
              <w:rPr>
                <w:kern w:val="0"/>
                <w:sz w:val="18"/>
              </w:rPr>
              <w:t>试题评分标准，试卷</w:t>
            </w:r>
          </w:p>
        </w:tc>
      </w:tr>
    </w:tbl>
    <w:p>
      <w:pPr>
        <w:tabs>
          <w:tab w:val="left" w:pos="420"/>
        </w:tabs>
        <w:adjustRightInd w:val="0"/>
        <w:snapToGrid w:val="0"/>
        <w:spacing w:line="360" w:lineRule="auto"/>
        <w:ind w:left="420" w:hanging="420"/>
        <w:rPr>
          <w:rFonts w:eastAsia="黑体"/>
          <w:szCs w:val="24"/>
        </w:rPr>
      </w:pPr>
    </w:p>
    <w:p>
      <w:pPr>
        <w:tabs>
          <w:tab w:val="left" w:pos="420"/>
        </w:tabs>
        <w:adjustRightInd w:val="0"/>
        <w:snapToGrid w:val="0"/>
        <w:spacing w:line="360" w:lineRule="auto"/>
        <w:ind w:left="420" w:hanging="420"/>
        <w:rPr>
          <w:sz w:val="18"/>
          <w:szCs w:val="18"/>
        </w:rPr>
      </w:pPr>
      <w:r>
        <w:rPr>
          <w:rFonts w:eastAsia="黑体"/>
          <w:szCs w:val="24"/>
        </w:rPr>
        <w:t>九</w:t>
      </w:r>
      <w:r>
        <w:rPr>
          <w:rFonts w:hint="eastAsia" w:eastAsia="黑体"/>
          <w:szCs w:val="24"/>
        </w:rPr>
        <w:t>、覆盖课程目标达成评价的知识点及权重</w:t>
      </w:r>
    </w:p>
    <w:tbl>
      <w:tblPr>
        <w:tblStyle w:val="20"/>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562"/>
        <w:gridCol w:w="1179"/>
        <w:gridCol w:w="178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3261" w:type="pct"/>
            <w:vAlign w:val="center"/>
          </w:tcPr>
          <w:p>
            <w:pPr>
              <w:jc w:val="center"/>
              <w:rPr>
                <w:kern w:val="0"/>
                <w:sz w:val="18"/>
                <w:szCs w:val="18"/>
              </w:rPr>
            </w:pPr>
            <w:r>
              <w:rPr>
                <w:kern w:val="0"/>
                <w:sz w:val="18"/>
                <w:szCs w:val="18"/>
              </w:rPr>
              <w:t>知识点</w:t>
            </w:r>
          </w:p>
        </w:tc>
        <w:tc>
          <w:tcPr>
            <w:tcW w:w="691" w:type="pct"/>
            <w:vAlign w:val="center"/>
          </w:tcPr>
          <w:p>
            <w:pPr>
              <w:jc w:val="center"/>
              <w:rPr>
                <w:kern w:val="0"/>
                <w:sz w:val="18"/>
                <w:szCs w:val="18"/>
              </w:rPr>
            </w:pPr>
            <w:r>
              <w:rPr>
                <w:kern w:val="0"/>
                <w:sz w:val="18"/>
                <w:szCs w:val="18"/>
              </w:rPr>
              <w:t>权重</w:t>
            </w:r>
          </w:p>
        </w:tc>
        <w:tc>
          <w:tcPr>
            <w:tcW w:w="1048" w:type="pct"/>
            <w:vAlign w:val="center"/>
          </w:tcPr>
          <w:p>
            <w:pPr>
              <w:jc w:val="center"/>
              <w:rPr>
                <w:kern w:val="0"/>
                <w:sz w:val="18"/>
                <w:szCs w:val="18"/>
              </w:rPr>
            </w:pPr>
            <w:r>
              <w:rPr>
                <w:kern w:val="0"/>
                <w:sz w:val="18"/>
                <w:szCs w:val="18"/>
              </w:rPr>
              <w:t>支撑课程目标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261" w:type="pct"/>
            <w:vAlign w:val="center"/>
          </w:tcPr>
          <w:p>
            <w:pPr>
              <w:rPr>
                <w:b/>
                <w:kern w:val="0"/>
                <w:sz w:val="18"/>
                <w:szCs w:val="18"/>
              </w:rPr>
            </w:pPr>
            <w:r>
              <w:rPr>
                <w:kern w:val="0"/>
                <w:sz w:val="18"/>
                <w:szCs w:val="18"/>
              </w:rPr>
              <w:t>1、光纤的基本特性、分类和传输原理；光纤通讯和传感的区别与联系；</w:t>
            </w:r>
          </w:p>
        </w:tc>
        <w:tc>
          <w:tcPr>
            <w:tcW w:w="691" w:type="pct"/>
            <w:vAlign w:val="center"/>
          </w:tcPr>
          <w:p>
            <w:pPr>
              <w:jc w:val="center"/>
              <w:rPr>
                <w:kern w:val="0"/>
                <w:sz w:val="18"/>
                <w:szCs w:val="18"/>
              </w:rPr>
            </w:pPr>
            <w:r>
              <w:rPr>
                <w:kern w:val="0"/>
                <w:sz w:val="18"/>
                <w:szCs w:val="18"/>
              </w:rPr>
              <w:t>0.10</w:t>
            </w:r>
          </w:p>
        </w:tc>
        <w:tc>
          <w:tcPr>
            <w:tcW w:w="1048" w:type="pct"/>
            <w:vAlign w:val="center"/>
          </w:tcPr>
          <w:p>
            <w:pPr>
              <w:jc w:val="center"/>
              <w:rPr>
                <w:bCs/>
                <w:kern w:val="0"/>
                <w:sz w:val="18"/>
                <w:szCs w:val="18"/>
              </w:rPr>
            </w:pPr>
            <w:r>
              <w:rPr>
                <w:bCs/>
                <w:kern w:val="0"/>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261" w:type="pct"/>
            <w:vAlign w:val="center"/>
          </w:tcPr>
          <w:p>
            <w:pPr>
              <w:rPr>
                <w:kern w:val="0"/>
                <w:sz w:val="18"/>
                <w:szCs w:val="18"/>
              </w:rPr>
            </w:pPr>
            <w:r>
              <w:rPr>
                <w:kern w:val="0"/>
                <w:sz w:val="18"/>
                <w:szCs w:val="18"/>
              </w:rPr>
              <w:t>2、光纤器件之间的连接、耦合方式及各种光学原理；</w:t>
            </w:r>
          </w:p>
        </w:tc>
        <w:tc>
          <w:tcPr>
            <w:tcW w:w="691" w:type="pct"/>
            <w:vAlign w:val="center"/>
          </w:tcPr>
          <w:p>
            <w:pPr>
              <w:jc w:val="center"/>
              <w:rPr>
                <w:kern w:val="0"/>
                <w:sz w:val="18"/>
                <w:szCs w:val="18"/>
              </w:rPr>
            </w:pPr>
            <w:r>
              <w:rPr>
                <w:kern w:val="0"/>
                <w:sz w:val="18"/>
                <w:szCs w:val="18"/>
              </w:rPr>
              <w:t>0.15</w:t>
            </w:r>
          </w:p>
        </w:tc>
        <w:tc>
          <w:tcPr>
            <w:tcW w:w="1048" w:type="pct"/>
            <w:vAlign w:val="center"/>
          </w:tcPr>
          <w:p>
            <w:pPr>
              <w:jc w:val="center"/>
              <w:rPr>
                <w:bCs/>
                <w:kern w:val="0"/>
                <w:sz w:val="18"/>
                <w:szCs w:val="18"/>
              </w:rPr>
            </w:pPr>
            <w:r>
              <w:rPr>
                <w:bCs/>
                <w:kern w:val="0"/>
                <w:sz w:val="18"/>
                <w:szCs w:val="18"/>
              </w:rPr>
              <w:t>1、2、3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261" w:type="pct"/>
            <w:vAlign w:val="center"/>
          </w:tcPr>
          <w:p>
            <w:pPr>
              <w:rPr>
                <w:kern w:val="0"/>
                <w:sz w:val="18"/>
                <w:szCs w:val="18"/>
              </w:rPr>
            </w:pPr>
            <w:r>
              <w:rPr>
                <w:kern w:val="0"/>
                <w:sz w:val="18"/>
                <w:szCs w:val="18"/>
              </w:rPr>
              <w:t>3、光纤通信技术的原理与复用技术；</w:t>
            </w:r>
          </w:p>
        </w:tc>
        <w:tc>
          <w:tcPr>
            <w:tcW w:w="691" w:type="pct"/>
            <w:vAlign w:val="center"/>
          </w:tcPr>
          <w:p>
            <w:pPr>
              <w:jc w:val="center"/>
              <w:rPr>
                <w:kern w:val="0"/>
                <w:sz w:val="18"/>
                <w:szCs w:val="18"/>
              </w:rPr>
            </w:pPr>
            <w:r>
              <w:rPr>
                <w:kern w:val="0"/>
                <w:sz w:val="18"/>
                <w:szCs w:val="18"/>
              </w:rPr>
              <w:t>0.15</w:t>
            </w:r>
          </w:p>
        </w:tc>
        <w:tc>
          <w:tcPr>
            <w:tcW w:w="1048" w:type="pct"/>
            <w:vAlign w:val="center"/>
          </w:tcPr>
          <w:p>
            <w:pPr>
              <w:jc w:val="center"/>
              <w:rPr>
                <w:bCs/>
                <w:kern w:val="0"/>
                <w:sz w:val="18"/>
                <w:szCs w:val="18"/>
              </w:rPr>
            </w:pPr>
            <w:r>
              <w:rPr>
                <w:bCs/>
                <w:kern w:val="0"/>
                <w:sz w:val="18"/>
                <w:szCs w:val="18"/>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261" w:type="pct"/>
            <w:vAlign w:val="center"/>
          </w:tcPr>
          <w:p>
            <w:pPr>
              <w:rPr>
                <w:kern w:val="0"/>
                <w:sz w:val="18"/>
                <w:szCs w:val="18"/>
              </w:rPr>
            </w:pPr>
            <w:r>
              <w:rPr>
                <w:kern w:val="0"/>
                <w:sz w:val="18"/>
                <w:szCs w:val="18"/>
              </w:rPr>
              <w:t>4、光纤光栅、波分复用器、光开关的原理及应用技术；</w:t>
            </w:r>
          </w:p>
        </w:tc>
        <w:tc>
          <w:tcPr>
            <w:tcW w:w="691" w:type="pct"/>
            <w:vAlign w:val="center"/>
          </w:tcPr>
          <w:p>
            <w:pPr>
              <w:jc w:val="center"/>
              <w:rPr>
                <w:kern w:val="0"/>
                <w:sz w:val="18"/>
                <w:szCs w:val="18"/>
              </w:rPr>
            </w:pPr>
            <w:r>
              <w:rPr>
                <w:kern w:val="0"/>
                <w:sz w:val="18"/>
                <w:szCs w:val="18"/>
              </w:rPr>
              <w:t>0.10</w:t>
            </w:r>
          </w:p>
        </w:tc>
        <w:tc>
          <w:tcPr>
            <w:tcW w:w="1048" w:type="pct"/>
            <w:vAlign w:val="center"/>
          </w:tcPr>
          <w:p>
            <w:pPr>
              <w:jc w:val="center"/>
              <w:rPr>
                <w:bCs/>
                <w:kern w:val="0"/>
                <w:sz w:val="18"/>
                <w:szCs w:val="18"/>
              </w:rPr>
            </w:pPr>
            <w:r>
              <w:rPr>
                <w:bCs/>
                <w:kern w:val="0"/>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261" w:type="pct"/>
            <w:vAlign w:val="center"/>
          </w:tcPr>
          <w:p>
            <w:pPr>
              <w:rPr>
                <w:kern w:val="0"/>
                <w:sz w:val="18"/>
                <w:szCs w:val="18"/>
              </w:rPr>
            </w:pPr>
            <w:r>
              <w:rPr>
                <w:kern w:val="0"/>
                <w:sz w:val="18"/>
                <w:szCs w:val="18"/>
              </w:rPr>
              <w:t>5、光纤传感技术的分类，各种传感技术的原理、优缺点及其应用范围；</w:t>
            </w:r>
          </w:p>
        </w:tc>
        <w:tc>
          <w:tcPr>
            <w:tcW w:w="691" w:type="pct"/>
            <w:vAlign w:val="center"/>
          </w:tcPr>
          <w:p>
            <w:pPr>
              <w:jc w:val="center"/>
              <w:rPr>
                <w:kern w:val="0"/>
                <w:sz w:val="18"/>
                <w:szCs w:val="18"/>
              </w:rPr>
            </w:pPr>
            <w:r>
              <w:rPr>
                <w:kern w:val="0"/>
                <w:sz w:val="18"/>
                <w:szCs w:val="18"/>
              </w:rPr>
              <w:t>0.30</w:t>
            </w:r>
          </w:p>
        </w:tc>
        <w:tc>
          <w:tcPr>
            <w:tcW w:w="1048" w:type="pct"/>
            <w:vAlign w:val="center"/>
          </w:tcPr>
          <w:p>
            <w:pPr>
              <w:jc w:val="center"/>
              <w:rPr>
                <w:bCs/>
                <w:kern w:val="0"/>
                <w:sz w:val="18"/>
                <w:szCs w:val="18"/>
              </w:rPr>
            </w:pPr>
            <w:r>
              <w:rPr>
                <w:bCs/>
                <w:kern w:val="0"/>
                <w:sz w:val="18"/>
                <w:szCs w:val="18"/>
              </w:rPr>
              <w:t>1、2、3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261" w:type="pct"/>
            <w:vAlign w:val="center"/>
          </w:tcPr>
          <w:p>
            <w:pPr>
              <w:rPr>
                <w:kern w:val="0"/>
                <w:sz w:val="18"/>
                <w:szCs w:val="18"/>
              </w:rPr>
            </w:pPr>
            <w:r>
              <w:rPr>
                <w:kern w:val="0"/>
                <w:sz w:val="18"/>
                <w:szCs w:val="18"/>
              </w:rPr>
              <w:t>6、光纤有源器件的原理；光纤放大器的工作原理；</w:t>
            </w:r>
          </w:p>
        </w:tc>
        <w:tc>
          <w:tcPr>
            <w:tcW w:w="691" w:type="pct"/>
            <w:vAlign w:val="center"/>
          </w:tcPr>
          <w:p>
            <w:pPr>
              <w:jc w:val="center"/>
              <w:rPr>
                <w:kern w:val="0"/>
                <w:sz w:val="18"/>
                <w:szCs w:val="18"/>
              </w:rPr>
            </w:pPr>
            <w:r>
              <w:rPr>
                <w:kern w:val="0"/>
                <w:sz w:val="18"/>
                <w:szCs w:val="18"/>
              </w:rPr>
              <w:t>0.10</w:t>
            </w:r>
          </w:p>
        </w:tc>
        <w:tc>
          <w:tcPr>
            <w:tcW w:w="1048" w:type="pct"/>
            <w:vAlign w:val="center"/>
          </w:tcPr>
          <w:p>
            <w:pPr>
              <w:jc w:val="center"/>
              <w:rPr>
                <w:bCs/>
                <w:kern w:val="0"/>
                <w:sz w:val="18"/>
                <w:szCs w:val="18"/>
              </w:rPr>
            </w:pPr>
            <w:r>
              <w:rPr>
                <w:bCs/>
                <w:kern w:val="0"/>
                <w:sz w:val="18"/>
                <w:szCs w:val="18"/>
              </w:rPr>
              <w:t>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261" w:type="pct"/>
            <w:vAlign w:val="center"/>
          </w:tcPr>
          <w:p>
            <w:pPr>
              <w:rPr>
                <w:kern w:val="0"/>
                <w:sz w:val="18"/>
                <w:szCs w:val="18"/>
              </w:rPr>
            </w:pPr>
            <w:r>
              <w:rPr>
                <w:kern w:val="0"/>
                <w:sz w:val="18"/>
                <w:szCs w:val="18"/>
              </w:rPr>
              <w:t>7、其他类型光纤工作原理与技术应用。</w:t>
            </w:r>
          </w:p>
        </w:tc>
        <w:tc>
          <w:tcPr>
            <w:tcW w:w="691" w:type="pct"/>
            <w:vAlign w:val="center"/>
          </w:tcPr>
          <w:p>
            <w:pPr>
              <w:jc w:val="center"/>
              <w:rPr>
                <w:kern w:val="0"/>
                <w:sz w:val="18"/>
                <w:szCs w:val="18"/>
              </w:rPr>
            </w:pPr>
            <w:r>
              <w:rPr>
                <w:kern w:val="0"/>
                <w:sz w:val="18"/>
                <w:szCs w:val="18"/>
              </w:rPr>
              <w:t>0.10</w:t>
            </w:r>
          </w:p>
        </w:tc>
        <w:tc>
          <w:tcPr>
            <w:tcW w:w="1048" w:type="pct"/>
            <w:vAlign w:val="center"/>
          </w:tcPr>
          <w:p>
            <w:pPr>
              <w:jc w:val="center"/>
              <w:rPr>
                <w:bCs/>
                <w:kern w:val="0"/>
                <w:sz w:val="18"/>
                <w:szCs w:val="18"/>
              </w:rPr>
            </w:pPr>
            <w:r>
              <w:rPr>
                <w:bCs/>
                <w:kern w:val="0"/>
                <w:sz w:val="18"/>
                <w:szCs w:val="18"/>
              </w:rPr>
              <w:t>1</w:t>
            </w:r>
          </w:p>
        </w:tc>
      </w:tr>
    </w:tbl>
    <w:p>
      <w:pPr>
        <w:spacing w:before="156" w:beforeLines="50" w:line="360" w:lineRule="auto"/>
        <w:ind w:firstLine="420" w:firstLineChars="200"/>
        <w:rPr>
          <w:color w:val="000000"/>
          <w:sz w:val="24"/>
          <w:szCs w:val="24"/>
        </w:rPr>
      </w:pPr>
      <w:r>
        <w:rPr>
          <w:rFonts w:hint="eastAsia" w:ascii="宋体" w:hAnsi="宋体" w:cs="宋体"/>
          <w:szCs w:val="21"/>
        </w:rPr>
        <w:t>本课程不可以申请免修。</w:t>
      </w:r>
    </w:p>
    <w:p>
      <w:pPr>
        <w:sectPr>
          <w:pgSz w:w="11906" w:h="16838"/>
          <w:pgMar w:top="1440" w:right="1797" w:bottom="1440" w:left="1797" w:header="851" w:footer="992" w:gutter="0"/>
          <w:pgNumType w:fmt="decimal"/>
          <w:cols w:space="425" w:num="1"/>
          <w:docGrid w:type="lines" w:linePitch="312" w:charSpace="0"/>
        </w:sectPr>
      </w:pPr>
    </w:p>
    <w:p>
      <w:pPr>
        <w:tabs>
          <w:tab w:val="left" w:pos="420"/>
        </w:tabs>
        <w:adjustRightInd w:val="0"/>
        <w:snapToGrid w:val="0"/>
        <w:spacing w:line="360" w:lineRule="auto"/>
        <w:ind w:left="420" w:hanging="420"/>
        <w:rPr>
          <w:rFonts w:eastAsia="黑体"/>
          <w:szCs w:val="24"/>
        </w:rPr>
      </w:pPr>
      <w:r>
        <w:rPr>
          <w:rFonts w:hint="eastAsia" w:eastAsia="黑体"/>
          <w:szCs w:val="24"/>
        </w:rPr>
        <w:t>十、课程目标达成评价</w:t>
      </w:r>
    </w:p>
    <w:p>
      <w:pPr>
        <w:spacing w:line="360" w:lineRule="auto"/>
        <w:ind w:firstLine="420" w:firstLineChars="200"/>
        <w:jc w:val="center"/>
        <w:rPr>
          <w:rFonts w:asciiTheme="minorEastAsia" w:hAnsiTheme="minorEastAsia" w:eastAsiaTheme="minorEastAsia" w:cstheme="minorEastAsia"/>
        </w:rPr>
      </w:pPr>
      <w:r>
        <w:rPr>
          <w:rFonts w:hint="eastAsia" w:asciiTheme="minorEastAsia" w:hAnsiTheme="minorEastAsia" w:eastAsiaTheme="minorEastAsia" w:cstheme="minorEastAsia"/>
        </w:rPr>
        <w:t>各环节对课程目标达成评价所使用到的权重占比分配及考核权重分配</w:t>
      </w:r>
    </w:p>
    <w:tbl>
      <w:tblPr>
        <w:tblStyle w:val="19"/>
        <w:tblW w:w="5000" w:type="pct"/>
        <w:jc w:val="center"/>
        <w:tblLayout w:type="autofit"/>
        <w:tblCellMar>
          <w:top w:w="0" w:type="dxa"/>
          <w:left w:w="108" w:type="dxa"/>
          <w:bottom w:w="0" w:type="dxa"/>
          <w:right w:w="108" w:type="dxa"/>
        </w:tblCellMar>
      </w:tblPr>
      <w:tblGrid>
        <w:gridCol w:w="2460"/>
        <w:gridCol w:w="2460"/>
        <w:gridCol w:w="734"/>
        <w:gridCol w:w="1049"/>
        <w:gridCol w:w="649"/>
        <w:gridCol w:w="655"/>
        <w:gridCol w:w="666"/>
        <w:gridCol w:w="720"/>
        <w:gridCol w:w="666"/>
        <w:gridCol w:w="1035"/>
        <w:gridCol w:w="763"/>
        <w:gridCol w:w="814"/>
        <w:gridCol w:w="743"/>
        <w:gridCol w:w="760"/>
      </w:tblGrid>
      <w:tr>
        <w:tblPrEx>
          <w:tblCellMar>
            <w:top w:w="0" w:type="dxa"/>
            <w:left w:w="108" w:type="dxa"/>
            <w:bottom w:w="0" w:type="dxa"/>
            <w:right w:w="108" w:type="dxa"/>
          </w:tblCellMar>
        </w:tblPrEx>
        <w:trPr>
          <w:trHeight w:val="1015" w:hRule="atLeast"/>
          <w:jc w:val="center"/>
        </w:trPr>
        <w:tc>
          <w:tcPr>
            <w:tcW w:w="8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课程目标</w:t>
            </w:r>
          </w:p>
        </w:tc>
        <w:tc>
          <w:tcPr>
            <w:tcW w:w="8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知识面比例</w:t>
            </w:r>
          </w:p>
          <w:p>
            <w:pPr>
              <w:widowControl/>
              <w:jc w:val="center"/>
              <w:rPr>
                <w:kern w:val="0"/>
                <w:sz w:val="18"/>
                <w:szCs w:val="18"/>
              </w:rPr>
            </w:pPr>
            <w:r>
              <w:rPr>
                <w:kern w:val="0"/>
                <w:sz w:val="18"/>
                <w:szCs w:val="18"/>
              </w:rPr>
              <w:t>（本列总和为1）</w:t>
            </w:r>
          </w:p>
          <w:p>
            <w:pPr>
              <w:widowControl/>
              <w:jc w:val="center"/>
              <w:rPr>
                <w:i/>
                <w:kern w:val="0"/>
                <w:sz w:val="18"/>
                <w:szCs w:val="18"/>
              </w:rPr>
            </w:pPr>
            <w:r>
              <w:rPr>
                <w:i/>
                <w:kern w:val="0"/>
                <w:sz w:val="18"/>
                <w:szCs w:val="18"/>
              </w:rPr>
              <w:t>P</w:t>
            </w:r>
            <w:r>
              <w:rPr>
                <w:i/>
                <w:kern w:val="0"/>
                <w:sz w:val="18"/>
                <w:szCs w:val="18"/>
                <w:vertAlign w:val="subscript"/>
              </w:rPr>
              <w:t>i</w:t>
            </w:r>
          </w:p>
        </w:tc>
        <w:tc>
          <w:tcPr>
            <w:tcW w:w="1088"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sz w:val="18"/>
                <w:szCs w:val="18"/>
              </w:rPr>
              <w:t>各环节评价比例分配</w:t>
            </w:r>
            <w:r>
              <w:rPr>
                <w:sz w:val="18"/>
                <w:szCs w:val="18"/>
              </w:rPr>
              <w:br w:type="textWrapping"/>
            </w:r>
            <w:r>
              <w:rPr>
                <w:sz w:val="18"/>
                <w:szCs w:val="18"/>
              </w:rPr>
              <w:t>（每行总和为1）</w:t>
            </w:r>
            <w:r>
              <w:rPr>
                <w:sz w:val="18"/>
                <w:szCs w:val="18"/>
              </w:rPr>
              <w:br w:type="textWrapping"/>
            </w:r>
            <w:r>
              <w:rPr>
                <w:i/>
                <w:sz w:val="18"/>
                <w:szCs w:val="18"/>
              </w:rPr>
              <w:t>W</w:t>
            </w:r>
            <w:r>
              <w:rPr>
                <w:i/>
                <w:sz w:val="18"/>
                <w:szCs w:val="18"/>
                <w:vertAlign w:val="subscript"/>
              </w:rPr>
              <w:t>ik</w:t>
            </w:r>
          </w:p>
        </w:tc>
        <w:tc>
          <w:tcPr>
            <w:tcW w:w="1089" w:type="pct"/>
            <w:gridSpan w:val="4"/>
            <w:tcBorders>
              <w:top w:val="single" w:color="auto" w:sz="4" w:space="0"/>
              <w:left w:val="nil"/>
              <w:bottom w:val="single" w:color="auto" w:sz="4" w:space="0"/>
              <w:right w:val="single" w:color="auto" w:sz="4" w:space="0"/>
            </w:tcBorders>
            <w:shd w:val="clear" w:color="auto" w:fill="auto"/>
            <w:vAlign w:val="center"/>
          </w:tcPr>
          <w:p>
            <w:pPr>
              <w:jc w:val="center"/>
              <w:rPr>
                <w:sz w:val="18"/>
                <w:szCs w:val="18"/>
              </w:rPr>
            </w:pPr>
            <w:r>
              <w:rPr>
                <w:sz w:val="18"/>
                <w:szCs w:val="18"/>
              </w:rPr>
              <w:t>各环节在课程达成中的占比</w:t>
            </w:r>
            <w:r>
              <w:rPr>
                <w:sz w:val="18"/>
                <w:szCs w:val="18"/>
              </w:rPr>
              <w:br w:type="textWrapping"/>
            </w:r>
            <w:r>
              <w:rPr>
                <w:sz w:val="18"/>
                <w:szCs w:val="18"/>
              </w:rPr>
              <w:t>（所有行列总和为1）</w:t>
            </w:r>
            <w:r>
              <w:rPr>
                <w:sz w:val="18"/>
                <w:szCs w:val="18"/>
              </w:rPr>
              <w:br w:type="textWrapping"/>
            </w:r>
            <w:r>
              <w:rPr>
                <w:i/>
                <w:sz w:val="18"/>
                <w:szCs w:val="18"/>
              </w:rPr>
              <w:t>S</w:t>
            </w:r>
            <w:r>
              <w:rPr>
                <w:i/>
                <w:sz w:val="18"/>
                <w:szCs w:val="18"/>
                <w:vertAlign w:val="subscript"/>
              </w:rPr>
              <w:t>ik</w:t>
            </w:r>
            <w:r>
              <w:rPr>
                <w:i/>
                <w:sz w:val="18"/>
                <w:szCs w:val="18"/>
              </w:rPr>
              <w:t>=P</w:t>
            </w:r>
            <w:r>
              <w:rPr>
                <w:i/>
                <w:sz w:val="18"/>
                <w:szCs w:val="18"/>
                <w:vertAlign w:val="subscript"/>
              </w:rPr>
              <w:t>i</w:t>
            </w:r>
            <w:r>
              <w:rPr>
                <w:i/>
                <w:sz w:val="18"/>
                <w:szCs w:val="18"/>
              </w:rPr>
              <w:t>*W</w:t>
            </w:r>
            <w:r>
              <w:rPr>
                <w:i/>
                <w:sz w:val="18"/>
                <w:szCs w:val="18"/>
                <w:vertAlign w:val="subscript"/>
              </w:rPr>
              <w:t>ik</w:t>
            </w:r>
          </w:p>
        </w:tc>
        <w:tc>
          <w:tcPr>
            <w:tcW w:w="108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各环节课程目标考核权重分布</w:t>
            </w:r>
          </w:p>
          <w:p>
            <w:pPr>
              <w:jc w:val="center"/>
              <w:rPr>
                <w:sz w:val="18"/>
                <w:szCs w:val="18"/>
              </w:rPr>
            </w:pPr>
            <w:r>
              <w:rPr>
                <w:sz w:val="18"/>
                <w:szCs w:val="18"/>
              </w:rPr>
              <w:t>（每一列总和为1）</w:t>
            </w:r>
          </w:p>
          <w:p>
            <w:pPr>
              <w:jc w:val="center"/>
              <w:rPr>
                <w:i/>
                <w:sz w:val="18"/>
                <w:szCs w:val="18"/>
              </w:rPr>
            </w:pPr>
            <w:r>
              <w:rPr>
                <w:i/>
                <w:sz w:val="18"/>
                <w:szCs w:val="18"/>
              </w:rPr>
              <w:t>E</w:t>
            </w:r>
            <w:r>
              <w:rPr>
                <w:i/>
                <w:sz w:val="18"/>
                <w:szCs w:val="18"/>
                <w:vertAlign w:val="subscript"/>
              </w:rPr>
              <w:t>ik</w:t>
            </w:r>
            <w:r>
              <w:rPr>
                <w:i/>
                <w:sz w:val="18"/>
                <w:szCs w:val="18"/>
              </w:rPr>
              <w:t>=S</w:t>
            </w:r>
            <w:r>
              <w:rPr>
                <w:i/>
                <w:sz w:val="18"/>
                <w:szCs w:val="18"/>
                <w:vertAlign w:val="subscript"/>
              </w:rPr>
              <w:t>ik</w:t>
            </w:r>
            <w:r>
              <w:rPr>
                <w:i/>
                <w:sz w:val="18"/>
                <w:szCs w:val="18"/>
              </w:rPr>
              <w:t>/M</w:t>
            </w:r>
            <w:r>
              <w:rPr>
                <w:i/>
                <w:sz w:val="18"/>
                <w:szCs w:val="18"/>
                <w:vertAlign w:val="subscript"/>
              </w:rPr>
              <w:t>ik</w:t>
            </w:r>
          </w:p>
        </w:tc>
      </w:tr>
      <w:tr>
        <w:tblPrEx>
          <w:tblCellMar>
            <w:top w:w="0" w:type="dxa"/>
            <w:left w:w="108" w:type="dxa"/>
            <w:bottom w:w="0" w:type="dxa"/>
            <w:right w:w="108" w:type="dxa"/>
          </w:tblCellMar>
        </w:tblPrEx>
        <w:trPr>
          <w:trHeight w:val="986" w:hRule="atLeast"/>
          <w:jc w:val="center"/>
        </w:trPr>
        <w:tc>
          <w:tcPr>
            <w:tcW w:w="8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18"/>
                <w:szCs w:val="18"/>
              </w:rPr>
            </w:pPr>
          </w:p>
        </w:tc>
        <w:tc>
          <w:tcPr>
            <w:tcW w:w="8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18"/>
                <w:szCs w:val="18"/>
              </w:rPr>
            </w:pPr>
          </w:p>
        </w:tc>
        <w:tc>
          <w:tcPr>
            <w:tcW w:w="259" w:type="pct"/>
            <w:tcBorders>
              <w:top w:val="nil"/>
              <w:left w:val="nil"/>
              <w:bottom w:val="single" w:color="auto" w:sz="4" w:space="0"/>
              <w:right w:val="single" w:color="auto" w:sz="4" w:space="0"/>
            </w:tcBorders>
            <w:shd w:val="clear" w:color="auto" w:fill="auto"/>
            <w:vAlign w:val="center"/>
          </w:tcPr>
          <w:p>
            <w:pPr>
              <w:widowControl/>
              <w:adjustRightInd w:val="0"/>
              <w:jc w:val="center"/>
              <w:rPr>
                <w:kern w:val="0"/>
                <w:sz w:val="18"/>
                <w:szCs w:val="18"/>
              </w:rPr>
            </w:pPr>
            <w:r>
              <w:rPr>
                <w:kern w:val="0"/>
                <w:sz w:val="18"/>
                <w:szCs w:val="18"/>
              </w:rPr>
              <w:t>课堂</w:t>
            </w:r>
          </w:p>
          <w:p>
            <w:pPr>
              <w:widowControl/>
              <w:adjustRightInd w:val="0"/>
              <w:jc w:val="center"/>
              <w:rPr>
                <w:kern w:val="0"/>
                <w:sz w:val="18"/>
                <w:szCs w:val="18"/>
              </w:rPr>
            </w:pPr>
            <w:r>
              <w:rPr>
                <w:kern w:val="0"/>
                <w:sz w:val="18"/>
                <w:szCs w:val="18"/>
              </w:rPr>
              <w:t>情况</w:t>
            </w:r>
          </w:p>
        </w:tc>
        <w:tc>
          <w:tcPr>
            <w:tcW w:w="370" w:type="pct"/>
            <w:tcBorders>
              <w:top w:val="nil"/>
              <w:left w:val="nil"/>
              <w:bottom w:val="single" w:color="auto" w:sz="4" w:space="0"/>
              <w:right w:val="single" w:color="auto" w:sz="4" w:space="0"/>
            </w:tcBorders>
            <w:shd w:val="clear" w:color="auto" w:fill="auto"/>
            <w:vAlign w:val="center"/>
          </w:tcPr>
          <w:p>
            <w:pPr>
              <w:widowControl/>
              <w:adjustRightInd w:val="0"/>
              <w:jc w:val="center"/>
              <w:rPr>
                <w:kern w:val="0"/>
                <w:sz w:val="18"/>
                <w:szCs w:val="18"/>
              </w:rPr>
            </w:pPr>
            <w:r>
              <w:rPr>
                <w:kern w:val="0"/>
                <w:sz w:val="18"/>
                <w:szCs w:val="18"/>
              </w:rPr>
              <w:t>分组实验</w:t>
            </w:r>
          </w:p>
        </w:tc>
        <w:tc>
          <w:tcPr>
            <w:tcW w:w="229" w:type="pct"/>
            <w:tcBorders>
              <w:top w:val="nil"/>
              <w:left w:val="nil"/>
              <w:bottom w:val="single" w:color="auto" w:sz="4" w:space="0"/>
              <w:right w:val="single" w:color="auto" w:sz="4" w:space="0"/>
            </w:tcBorders>
            <w:shd w:val="clear" w:color="auto" w:fill="auto"/>
            <w:vAlign w:val="center"/>
          </w:tcPr>
          <w:p>
            <w:pPr>
              <w:widowControl/>
              <w:adjustRightInd w:val="0"/>
              <w:jc w:val="center"/>
              <w:rPr>
                <w:kern w:val="0"/>
                <w:sz w:val="18"/>
                <w:szCs w:val="18"/>
              </w:rPr>
            </w:pPr>
            <w:r>
              <w:rPr>
                <w:kern w:val="0"/>
                <w:sz w:val="18"/>
                <w:szCs w:val="18"/>
              </w:rPr>
              <w:t>专题调研报告</w:t>
            </w:r>
          </w:p>
        </w:tc>
        <w:tc>
          <w:tcPr>
            <w:tcW w:w="231" w:type="pct"/>
            <w:tcBorders>
              <w:top w:val="nil"/>
              <w:left w:val="nil"/>
              <w:bottom w:val="single" w:color="auto" w:sz="4" w:space="0"/>
              <w:right w:val="single" w:color="auto" w:sz="4" w:space="0"/>
            </w:tcBorders>
            <w:shd w:val="clear" w:color="auto" w:fill="auto"/>
            <w:vAlign w:val="center"/>
          </w:tcPr>
          <w:p>
            <w:pPr>
              <w:widowControl/>
              <w:adjustRightInd w:val="0"/>
              <w:jc w:val="center"/>
              <w:rPr>
                <w:kern w:val="0"/>
                <w:sz w:val="18"/>
                <w:szCs w:val="18"/>
              </w:rPr>
            </w:pPr>
            <w:r>
              <w:rPr>
                <w:kern w:val="0"/>
                <w:sz w:val="18"/>
                <w:szCs w:val="18"/>
              </w:rPr>
              <w:t>期末</w:t>
            </w:r>
          </w:p>
          <w:p>
            <w:pPr>
              <w:widowControl/>
              <w:adjustRightInd w:val="0"/>
              <w:jc w:val="center"/>
              <w:rPr>
                <w:kern w:val="0"/>
                <w:sz w:val="18"/>
                <w:szCs w:val="18"/>
              </w:rPr>
            </w:pPr>
            <w:r>
              <w:rPr>
                <w:kern w:val="0"/>
                <w:sz w:val="18"/>
                <w:szCs w:val="18"/>
              </w:rPr>
              <w:t>考试</w:t>
            </w:r>
          </w:p>
        </w:tc>
        <w:tc>
          <w:tcPr>
            <w:tcW w:w="235" w:type="pct"/>
            <w:tcBorders>
              <w:top w:val="nil"/>
              <w:left w:val="nil"/>
              <w:bottom w:val="single" w:color="auto" w:sz="4" w:space="0"/>
              <w:right w:val="single" w:color="auto" w:sz="4" w:space="0"/>
            </w:tcBorders>
            <w:shd w:val="clear" w:color="auto" w:fill="auto"/>
            <w:vAlign w:val="center"/>
          </w:tcPr>
          <w:p>
            <w:pPr>
              <w:widowControl/>
              <w:adjustRightInd w:val="0"/>
              <w:jc w:val="center"/>
              <w:rPr>
                <w:kern w:val="0"/>
                <w:sz w:val="18"/>
                <w:szCs w:val="18"/>
              </w:rPr>
            </w:pPr>
            <w:r>
              <w:rPr>
                <w:kern w:val="0"/>
                <w:sz w:val="18"/>
                <w:szCs w:val="18"/>
              </w:rPr>
              <w:t>课堂</w:t>
            </w:r>
          </w:p>
          <w:p>
            <w:pPr>
              <w:widowControl/>
              <w:adjustRightInd w:val="0"/>
              <w:jc w:val="center"/>
              <w:rPr>
                <w:kern w:val="0"/>
                <w:sz w:val="18"/>
                <w:szCs w:val="18"/>
              </w:rPr>
            </w:pPr>
            <w:r>
              <w:rPr>
                <w:kern w:val="0"/>
                <w:sz w:val="18"/>
                <w:szCs w:val="18"/>
              </w:rPr>
              <w:t>情况</w:t>
            </w:r>
          </w:p>
        </w:tc>
        <w:tc>
          <w:tcPr>
            <w:tcW w:w="254" w:type="pct"/>
            <w:tcBorders>
              <w:top w:val="nil"/>
              <w:left w:val="nil"/>
              <w:bottom w:val="single" w:color="auto" w:sz="4" w:space="0"/>
              <w:right w:val="single" w:color="auto" w:sz="4" w:space="0"/>
            </w:tcBorders>
            <w:shd w:val="clear" w:color="auto" w:fill="auto"/>
            <w:vAlign w:val="center"/>
          </w:tcPr>
          <w:p>
            <w:pPr>
              <w:widowControl/>
              <w:adjustRightInd w:val="0"/>
              <w:jc w:val="center"/>
              <w:rPr>
                <w:kern w:val="0"/>
                <w:sz w:val="18"/>
                <w:szCs w:val="18"/>
              </w:rPr>
            </w:pPr>
            <w:r>
              <w:rPr>
                <w:kern w:val="0"/>
                <w:sz w:val="18"/>
                <w:szCs w:val="18"/>
              </w:rPr>
              <w:t>分组实验</w:t>
            </w:r>
          </w:p>
        </w:tc>
        <w:tc>
          <w:tcPr>
            <w:tcW w:w="235" w:type="pct"/>
            <w:tcBorders>
              <w:top w:val="nil"/>
              <w:left w:val="nil"/>
              <w:bottom w:val="single" w:color="auto" w:sz="4" w:space="0"/>
              <w:right w:val="single" w:color="auto" w:sz="4" w:space="0"/>
            </w:tcBorders>
            <w:shd w:val="clear" w:color="auto" w:fill="auto"/>
            <w:vAlign w:val="center"/>
          </w:tcPr>
          <w:p>
            <w:pPr>
              <w:widowControl/>
              <w:adjustRightInd w:val="0"/>
              <w:jc w:val="center"/>
              <w:rPr>
                <w:kern w:val="0"/>
                <w:sz w:val="18"/>
                <w:szCs w:val="18"/>
              </w:rPr>
            </w:pPr>
            <w:r>
              <w:rPr>
                <w:kern w:val="0"/>
                <w:sz w:val="18"/>
                <w:szCs w:val="18"/>
              </w:rPr>
              <w:t>专题调研报告</w:t>
            </w:r>
          </w:p>
        </w:tc>
        <w:tc>
          <w:tcPr>
            <w:tcW w:w="364" w:type="pct"/>
            <w:tcBorders>
              <w:top w:val="nil"/>
              <w:left w:val="nil"/>
              <w:bottom w:val="single" w:color="auto" w:sz="4" w:space="0"/>
              <w:right w:val="single" w:color="auto" w:sz="4" w:space="0"/>
            </w:tcBorders>
            <w:shd w:val="clear" w:color="auto" w:fill="auto"/>
            <w:vAlign w:val="center"/>
          </w:tcPr>
          <w:p>
            <w:pPr>
              <w:widowControl/>
              <w:adjustRightInd w:val="0"/>
              <w:jc w:val="center"/>
              <w:rPr>
                <w:kern w:val="0"/>
                <w:sz w:val="18"/>
                <w:szCs w:val="18"/>
              </w:rPr>
            </w:pPr>
            <w:r>
              <w:rPr>
                <w:kern w:val="0"/>
                <w:sz w:val="18"/>
                <w:szCs w:val="18"/>
              </w:rPr>
              <w:t>期末</w:t>
            </w:r>
          </w:p>
          <w:p>
            <w:pPr>
              <w:widowControl/>
              <w:adjustRightInd w:val="0"/>
              <w:jc w:val="center"/>
              <w:rPr>
                <w:kern w:val="0"/>
                <w:sz w:val="18"/>
                <w:szCs w:val="18"/>
              </w:rPr>
            </w:pPr>
            <w:r>
              <w:rPr>
                <w:kern w:val="0"/>
                <w:sz w:val="18"/>
                <w:szCs w:val="18"/>
              </w:rPr>
              <w:t>考试</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kern w:val="0"/>
                <w:sz w:val="18"/>
                <w:szCs w:val="18"/>
              </w:rPr>
            </w:pPr>
            <w:r>
              <w:rPr>
                <w:kern w:val="0"/>
                <w:sz w:val="18"/>
                <w:szCs w:val="18"/>
              </w:rPr>
              <w:t>课堂</w:t>
            </w:r>
          </w:p>
          <w:p>
            <w:pPr>
              <w:widowControl/>
              <w:adjustRightInd w:val="0"/>
              <w:jc w:val="center"/>
              <w:rPr>
                <w:kern w:val="0"/>
                <w:sz w:val="18"/>
                <w:szCs w:val="18"/>
              </w:rPr>
            </w:pPr>
            <w:r>
              <w:rPr>
                <w:kern w:val="0"/>
                <w:sz w:val="18"/>
                <w:szCs w:val="18"/>
              </w:rPr>
              <w:t>情况</w:t>
            </w:r>
          </w:p>
        </w:tc>
        <w:tc>
          <w:tcPr>
            <w:tcW w:w="2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kern w:val="0"/>
                <w:sz w:val="18"/>
                <w:szCs w:val="18"/>
              </w:rPr>
            </w:pPr>
            <w:r>
              <w:rPr>
                <w:kern w:val="0"/>
                <w:sz w:val="18"/>
                <w:szCs w:val="18"/>
              </w:rPr>
              <w:t>分组实验</w:t>
            </w:r>
          </w:p>
        </w:tc>
        <w:tc>
          <w:tcPr>
            <w:tcW w:w="26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kern w:val="0"/>
                <w:sz w:val="18"/>
                <w:szCs w:val="18"/>
              </w:rPr>
            </w:pPr>
            <w:r>
              <w:rPr>
                <w:kern w:val="0"/>
                <w:sz w:val="18"/>
                <w:szCs w:val="18"/>
              </w:rPr>
              <w:t>专题调研报告</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kern w:val="0"/>
                <w:sz w:val="18"/>
                <w:szCs w:val="18"/>
              </w:rPr>
            </w:pPr>
            <w:r>
              <w:rPr>
                <w:kern w:val="0"/>
                <w:sz w:val="18"/>
                <w:szCs w:val="18"/>
              </w:rPr>
              <w:t>期末</w:t>
            </w:r>
          </w:p>
          <w:p>
            <w:pPr>
              <w:widowControl/>
              <w:adjustRightInd w:val="0"/>
              <w:jc w:val="center"/>
              <w:rPr>
                <w:kern w:val="0"/>
                <w:sz w:val="18"/>
                <w:szCs w:val="18"/>
              </w:rPr>
            </w:pPr>
            <w:r>
              <w:rPr>
                <w:kern w:val="0"/>
                <w:sz w:val="18"/>
                <w:szCs w:val="18"/>
              </w:rPr>
              <w:t>考试</w:t>
            </w:r>
          </w:p>
        </w:tc>
      </w:tr>
      <w:tr>
        <w:tblPrEx>
          <w:tblCellMar>
            <w:top w:w="0" w:type="dxa"/>
            <w:left w:w="108" w:type="dxa"/>
            <w:bottom w:w="0" w:type="dxa"/>
            <w:right w:w="108" w:type="dxa"/>
          </w:tblCellMar>
        </w:tblPrEx>
        <w:trPr>
          <w:trHeight w:val="1020" w:hRule="atLeast"/>
          <w:jc w:val="center"/>
        </w:trPr>
        <w:tc>
          <w:tcPr>
            <w:tcW w:w="868" w:type="pct"/>
            <w:tcBorders>
              <w:top w:val="nil"/>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1</w:t>
            </w:r>
          </w:p>
        </w:tc>
        <w:tc>
          <w:tcPr>
            <w:tcW w:w="868"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18"/>
                <w:szCs w:val="18"/>
              </w:rPr>
            </w:pPr>
            <w:r>
              <w:rPr>
                <w:sz w:val="18"/>
                <w:szCs w:val="18"/>
              </w:rPr>
              <w:t>0.7</w:t>
            </w:r>
          </w:p>
        </w:tc>
        <w:tc>
          <w:tcPr>
            <w:tcW w:w="259" w:type="pct"/>
            <w:tcBorders>
              <w:top w:val="single" w:color="auto" w:sz="4" w:space="0"/>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0.2</w:t>
            </w:r>
          </w:p>
        </w:tc>
        <w:tc>
          <w:tcPr>
            <w:tcW w:w="370" w:type="pct"/>
            <w:tcBorders>
              <w:top w:val="single" w:color="auto" w:sz="4" w:space="0"/>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0.1</w:t>
            </w:r>
          </w:p>
        </w:tc>
        <w:tc>
          <w:tcPr>
            <w:tcW w:w="229" w:type="pct"/>
            <w:tcBorders>
              <w:top w:val="single" w:color="auto" w:sz="4" w:space="0"/>
              <w:left w:val="nil"/>
              <w:bottom w:val="single" w:color="auto" w:sz="4" w:space="0"/>
              <w:right w:val="single" w:color="auto" w:sz="4" w:space="0"/>
            </w:tcBorders>
            <w:shd w:val="clear" w:color="auto" w:fill="auto"/>
            <w:noWrap/>
            <w:vAlign w:val="center"/>
          </w:tcPr>
          <w:p>
            <w:pPr>
              <w:jc w:val="center"/>
              <w:rPr>
                <w:sz w:val="18"/>
                <w:szCs w:val="18"/>
              </w:rPr>
            </w:pPr>
          </w:p>
        </w:tc>
        <w:tc>
          <w:tcPr>
            <w:tcW w:w="231" w:type="pct"/>
            <w:tcBorders>
              <w:top w:val="single" w:color="auto" w:sz="4" w:space="0"/>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0.7</w:t>
            </w:r>
          </w:p>
        </w:tc>
        <w:tc>
          <w:tcPr>
            <w:tcW w:w="235" w:type="pct"/>
            <w:tcBorders>
              <w:top w:val="single" w:color="auto" w:sz="4" w:space="0"/>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0.14</w:t>
            </w:r>
          </w:p>
        </w:tc>
        <w:tc>
          <w:tcPr>
            <w:tcW w:w="254" w:type="pct"/>
            <w:tcBorders>
              <w:top w:val="single" w:color="auto" w:sz="4" w:space="0"/>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0.07</w:t>
            </w:r>
          </w:p>
        </w:tc>
        <w:tc>
          <w:tcPr>
            <w:tcW w:w="235" w:type="pct"/>
            <w:tcBorders>
              <w:top w:val="single" w:color="auto" w:sz="4" w:space="0"/>
              <w:left w:val="nil"/>
              <w:bottom w:val="single" w:color="auto" w:sz="4" w:space="0"/>
              <w:right w:val="single" w:color="auto" w:sz="4" w:space="0"/>
            </w:tcBorders>
            <w:shd w:val="clear" w:color="auto" w:fill="auto"/>
            <w:noWrap/>
            <w:vAlign w:val="center"/>
          </w:tcPr>
          <w:p>
            <w:pPr>
              <w:jc w:val="center"/>
              <w:rPr>
                <w:sz w:val="18"/>
                <w:szCs w:val="18"/>
              </w:rPr>
            </w:pPr>
          </w:p>
        </w:tc>
        <w:tc>
          <w:tcPr>
            <w:tcW w:w="364" w:type="pct"/>
            <w:tcBorders>
              <w:top w:val="single" w:color="auto" w:sz="4" w:space="0"/>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0.49</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1</w:t>
            </w:r>
          </w:p>
        </w:tc>
        <w:tc>
          <w:tcPr>
            <w:tcW w:w="28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0.32</w:t>
            </w:r>
          </w:p>
        </w:tc>
        <w:tc>
          <w:tcPr>
            <w:tcW w:w="26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1</w:t>
            </w:r>
          </w:p>
        </w:tc>
      </w:tr>
      <w:tr>
        <w:tblPrEx>
          <w:tblCellMar>
            <w:top w:w="0" w:type="dxa"/>
            <w:left w:w="108" w:type="dxa"/>
            <w:bottom w:w="0" w:type="dxa"/>
            <w:right w:w="108" w:type="dxa"/>
          </w:tblCellMar>
        </w:tblPrEx>
        <w:trPr>
          <w:trHeight w:val="694" w:hRule="atLeast"/>
          <w:jc w:val="center"/>
        </w:trPr>
        <w:tc>
          <w:tcPr>
            <w:tcW w:w="868" w:type="pct"/>
            <w:tcBorders>
              <w:top w:val="nil"/>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2</w:t>
            </w:r>
          </w:p>
        </w:tc>
        <w:tc>
          <w:tcPr>
            <w:tcW w:w="868" w:type="pct"/>
            <w:tcBorders>
              <w:top w:val="nil"/>
              <w:left w:val="single" w:color="auto" w:sz="4" w:space="0"/>
              <w:bottom w:val="single" w:color="auto" w:sz="4" w:space="0"/>
              <w:right w:val="single" w:color="auto" w:sz="4" w:space="0"/>
            </w:tcBorders>
            <w:shd w:val="clear" w:color="auto" w:fill="auto"/>
            <w:noWrap/>
            <w:vAlign w:val="center"/>
          </w:tcPr>
          <w:p>
            <w:pPr>
              <w:jc w:val="center"/>
              <w:rPr>
                <w:sz w:val="18"/>
                <w:szCs w:val="18"/>
              </w:rPr>
            </w:pPr>
            <w:r>
              <w:rPr>
                <w:sz w:val="18"/>
                <w:szCs w:val="18"/>
              </w:rPr>
              <w:t>0.15</w:t>
            </w:r>
          </w:p>
        </w:tc>
        <w:tc>
          <w:tcPr>
            <w:tcW w:w="259" w:type="pct"/>
            <w:tcBorders>
              <w:top w:val="nil"/>
              <w:left w:val="nil"/>
              <w:bottom w:val="single" w:color="auto" w:sz="4" w:space="0"/>
              <w:right w:val="single" w:color="auto" w:sz="4" w:space="0"/>
            </w:tcBorders>
            <w:shd w:val="clear" w:color="auto" w:fill="auto"/>
            <w:noWrap/>
            <w:vAlign w:val="center"/>
          </w:tcPr>
          <w:p>
            <w:pPr>
              <w:jc w:val="center"/>
              <w:rPr>
                <w:sz w:val="18"/>
                <w:szCs w:val="18"/>
              </w:rPr>
            </w:pPr>
          </w:p>
        </w:tc>
        <w:tc>
          <w:tcPr>
            <w:tcW w:w="370" w:type="pct"/>
            <w:tcBorders>
              <w:top w:val="nil"/>
              <w:left w:val="nil"/>
              <w:bottom w:val="single" w:color="auto" w:sz="4" w:space="0"/>
              <w:right w:val="single" w:color="auto" w:sz="4" w:space="0"/>
            </w:tcBorders>
            <w:shd w:val="clear" w:color="auto" w:fill="auto"/>
            <w:noWrap/>
            <w:vAlign w:val="center"/>
          </w:tcPr>
          <w:p>
            <w:pPr>
              <w:jc w:val="center"/>
              <w:rPr>
                <w:sz w:val="18"/>
                <w:szCs w:val="18"/>
              </w:rPr>
            </w:pPr>
          </w:p>
        </w:tc>
        <w:tc>
          <w:tcPr>
            <w:tcW w:w="229" w:type="pct"/>
            <w:tcBorders>
              <w:top w:val="nil"/>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1</w:t>
            </w:r>
          </w:p>
        </w:tc>
        <w:tc>
          <w:tcPr>
            <w:tcW w:w="231" w:type="pct"/>
            <w:tcBorders>
              <w:top w:val="nil"/>
              <w:left w:val="nil"/>
              <w:bottom w:val="single" w:color="auto" w:sz="4" w:space="0"/>
              <w:right w:val="single" w:color="auto" w:sz="4" w:space="0"/>
            </w:tcBorders>
            <w:shd w:val="clear" w:color="auto" w:fill="auto"/>
            <w:noWrap/>
            <w:vAlign w:val="center"/>
          </w:tcPr>
          <w:p>
            <w:pPr>
              <w:jc w:val="center"/>
              <w:rPr>
                <w:sz w:val="18"/>
                <w:szCs w:val="18"/>
              </w:rPr>
            </w:pPr>
          </w:p>
        </w:tc>
        <w:tc>
          <w:tcPr>
            <w:tcW w:w="235" w:type="pct"/>
            <w:tcBorders>
              <w:top w:val="nil"/>
              <w:left w:val="nil"/>
              <w:bottom w:val="single" w:color="auto" w:sz="4" w:space="0"/>
              <w:right w:val="single" w:color="auto" w:sz="4" w:space="0"/>
            </w:tcBorders>
            <w:shd w:val="clear" w:color="auto" w:fill="auto"/>
            <w:noWrap/>
            <w:vAlign w:val="center"/>
          </w:tcPr>
          <w:p>
            <w:pPr>
              <w:jc w:val="center"/>
              <w:rPr>
                <w:sz w:val="18"/>
                <w:szCs w:val="18"/>
              </w:rPr>
            </w:pPr>
          </w:p>
        </w:tc>
        <w:tc>
          <w:tcPr>
            <w:tcW w:w="254" w:type="pct"/>
            <w:tcBorders>
              <w:top w:val="nil"/>
              <w:left w:val="nil"/>
              <w:bottom w:val="single" w:color="auto" w:sz="4" w:space="0"/>
              <w:right w:val="single" w:color="auto" w:sz="4" w:space="0"/>
            </w:tcBorders>
            <w:shd w:val="clear" w:color="auto" w:fill="auto"/>
            <w:noWrap/>
            <w:vAlign w:val="center"/>
          </w:tcPr>
          <w:p>
            <w:pPr>
              <w:jc w:val="center"/>
              <w:rPr>
                <w:sz w:val="18"/>
                <w:szCs w:val="18"/>
              </w:rPr>
            </w:pPr>
          </w:p>
        </w:tc>
        <w:tc>
          <w:tcPr>
            <w:tcW w:w="235" w:type="pct"/>
            <w:tcBorders>
              <w:top w:val="nil"/>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0.15</w:t>
            </w:r>
          </w:p>
        </w:tc>
        <w:tc>
          <w:tcPr>
            <w:tcW w:w="364" w:type="pct"/>
            <w:tcBorders>
              <w:top w:val="nil"/>
              <w:left w:val="nil"/>
              <w:bottom w:val="single" w:color="auto" w:sz="4" w:space="0"/>
              <w:right w:val="single" w:color="auto" w:sz="4" w:space="0"/>
            </w:tcBorders>
            <w:shd w:val="clear" w:color="auto" w:fill="auto"/>
            <w:noWrap/>
            <w:vAlign w:val="center"/>
          </w:tcPr>
          <w:p>
            <w:pPr>
              <w:jc w:val="center"/>
              <w:rPr>
                <w:sz w:val="18"/>
                <w:szCs w:val="18"/>
              </w:rPr>
            </w:pP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p>
        </w:tc>
        <w:tc>
          <w:tcPr>
            <w:tcW w:w="28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p>
        </w:tc>
        <w:tc>
          <w:tcPr>
            <w:tcW w:w="26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1</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p>
        </w:tc>
      </w:tr>
      <w:tr>
        <w:tblPrEx>
          <w:tblCellMar>
            <w:top w:w="0" w:type="dxa"/>
            <w:left w:w="108" w:type="dxa"/>
            <w:bottom w:w="0" w:type="dxa"/>
            <w:right w:w="108" w:type="dxa"/>
          </w:tblCellMar>
        </w:tblPrEx>
        <w:trPr>
          <w:trHeight w:val="690" w:hRule="atLeast"/>
          <w:jc w:val="center"/>
        </w:trPr>
        <w:tc>
          <w:tcPr>
            <w:tcW w:w="868" w:type="pct"/>
            <w:tcBorders>
              <w:top w:val="nil"/>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3</w:t>
            </w:r>
          </w:p>
        </w:tc>
        <w:tc>
          <w:tcPr>
            <w:tcW w:w="868" w:type="pct"/>
            <w:tcBorders>
              <w:top w:val="nil"/>
              <w:left w:val="single" w:color="auto" w:sz="4" w:space="0"/>
              <w:bottom w:val="single" w:color="auto" w:sz="4" w:space="0"/>
              <w:right w:val="single" w:color="auto" w:sz="4" w:space="0"/>
            </w:tcBorders>
            <w:shd w:val="clear" w:color="auto" w:fill="auto"/>
            <w:noWrap/>
            <w:vAlign w:val="center"/>
          </w:tcPr>
          <w:p>
            <w:pPr>
              <w:jc w:val="center"/>
              <w:rPr>
                <w:sz w:val="18"/>
                <w:szCs w:val="18"/>
              </w:rPr>
            </w:pPr>
            <w:r>
              <w:rPr>
                <w:sz w:val="18"/>
                <w:szCs w:val="18"/>
              </w:rPr>
              <w:t>0.15</w:t>
            </w:r>
          </w:p>
        </w:tc>
        <w:tc>
          <w:tcPr>
            <w:tcW w:w="259" w:type="pct"/>
            <w:tcBorders>
              <w:top w:val="nil"/>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　</w:t>
            </w:r>
          </w:p>
        </w:tc>
        <w:tc>
          <w:tcPr>
            <w:tcW w:w="370" w:type="pct"/>
            <w:tcBorders>
              <w:top w:val="nil"/>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1</w:t>
            </w:r>
          </w:p>
        </w:tc>
        <w:tc>
          <w:tcPr>
            <w:tcW w:w="229" w:type="pct"/>
            <w:tcBorders>
              <w:top w:val="nil"/>
              <w:left w:val="nil"/>
              <w:bottom w:val="single" w:color="auto" w:sz="4" w:space="0"/>
              <w:right w:val="single" w:color="auto" w:sz="4" w:space="0"/>
            </w:tcBorders>
            <w:shd w:val="clear" w:color="auto" w:fill="auto"/>
            <w:noWrap/>
            <w:vAlign w:val="center"/>
          </w:tcPr>
          <w:p>
            <w:pPr>
              <w:jc w:val="center"/>
              <w:rPr>
                <w:sz w:val="18"/>
                <w:szCs w:val="18"/>
              </w:rPr>
            </w:pPr>
          </w:p>
        </w:tc>
        <w:tc>
          <w:tcPr>
            <w:tcW w:w="231" w:type="pct"/>
            <w:tcBorders>
              <w:top w:val="nil"/>
              <w:left w:val="nil"/>
              <w:bottom w:val="single" w:color="auto" w:sz="4" w:space="0"/>
              <w:right w:val="single" w:color="auto" w:sz="4" w:space="0"/>
            </w:tcBorders>
            <w:shd w:val="clear" w:color="auto" w:fill="auto"/>
            <w:noWrap/>
            <w:vAlign w:val="center"/>
          </w:tcPr>
          <w:p>
            <w:pPr>
              <w:jc w:val="center"/>
              <w:rPr>
                <w:sz w:val="18"/>
                <w:szCs w:val="18"/>
              </w:rPr>
            </w:pPr>
          </w:p>
        </w:tc>
        <w:tc>
          <w:tcPr>
            <w:tcW w:w="235" w:type="pct"/>
            <w:tcBorders>
              <w:top w:val="nil"/>
              <w:left w:val="nil"/>
              <w:bottom w:val="single" w:color="auto" w:sz="4" w:space="0"/>
              <w:right w:val="single" w:color="auto" w:sz="4" w:space="0"/>
            </w:tcBorders>
            <w:shd w:val="clear" w:color="auto" w:fill="auto"/>
            <w:noWrap/>
            <w:vAlign w:val="center"/>
          </w:tcPr>
          <w:p>
            <w:pPr>
              <w:jc w:val="center"/>
              <w:rPr>
                <w:sz w:val="18"/>
                <w:szCs w:val="18"/>
              </w:rPr>
            </w:pPr>
          </w:p>
        </w:tc>
        <w:tc>
          <w:tcPr>
            <w:tcW w:w="254" w:type="pct"/>
            <w:tcBorders>
              <w:top w:val="nil"/>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0.15</w:t>
            </w:r>
          </w:p>
        </w:tc>
        <w:tc>
          <w:tcPr>
            <w:tcW w:w="235" w:type="pct"/>
            <w:tcBorders>
              <w:top w:val="nil"/>
              <w:left w:val="nil"/>
              <w:bottom w:val="single" w:color="auto" w:sz="4" w:space="0"/>
              <w:right w:val="single" w:color="auto" w:sz="4" w:space="0"/>
            </w:tcBorders>
            <w:shd w:val="clear" w:color="auto" w:fill="auto"/>
            <w:noWrap/>
            <w:vAlign w:val="center"/>
          </w:tcPr>
          <w:p>
            <w:pPr>
              <w:jc w:val="center"/>
              <w:rPr>
                <w:sz w:val="18"/>
                <w:szCs w:val="18"/>
              </w:rPr>
            </w:pPr>
          </w:p>
        </w:tc>
        <w:tc>
          <w:tcPr>
            <w:tcW w:w="364" w:type="pct"/>
            <w:tcBorders>
              <w:top w:val="nil"/>
              <w:left w:val="nil"/>
              <w:bottom w:val="single" w:color="auto" w:sz="4" w:space="0"/>
              <w:right w:val="single" w:color="auto" w:sz="4" w:space="0"/>
            </w:tcBorders>
            <w:shd w:val="clear" w:color="auto" w:fill="auto"/>
            <w:noWrap/>
            <w:vAlign w:val="center"/>
          </w:tcPr>
          <w:p>
            <w:pPr>
              <w:jc w:val="center"/>
              <w:rPr>
                <w:sz w:val="18"/>
                <w:szCs w:val="18"/>
              </w:rPr>
            </w:pP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p>
        </w:tc>
        <w:tc>
          <w:tcPr>
            <w:tcW w:w="28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0.68</w:t>
            </w:r>
          </w:p>
        </w:tc>
        <w:tc>
          <w:tcPr>
            <w:tcW w:w="26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p>
        </w:tc>
      </w:tr>
      <w:tr>
        <w:tblPrEx>
          <w:tblCellMar>
            <w:top w:w="0" w:type="dxa"/>
            <w:left w:w="108" w:type="dxa"/>
            <w:bottom w:w="0" w:type="dxa"/>
            <w:right w:w="108" w:type="dxa"/>
          </w:tblCellMar>
        </w:tblPrEx>
        <w:trPr>
          <w:trHeight w:val="1026" w:hRule="atLeast"/>
          <w:jc w:val="center"/>
        </w:trPr>
        <w:tc>
          <w:tcPr>
            <w:tcW w:w="2825" w:type="pct"/>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kern w:val="0"/>
                <w:sz w:val="18"/>
                <w:szCs w:val="18"/>
              </w:rPr>
            </w:pPr>
            <w:r>
              <w:rPr>
                <w:kern w:val="0"/>
                <w:sz w:val="18"/>
                <w:szCs w:val="18"/>
              </w:rPr>
              <w:t>各环节对课程目标达成的贡献率（</w:t>
            </w:r>
            <w:r>
              <w:rPr>
                <w:i/>
                <w:kern w:val="0"/>
                <w:sz w:val="18"/>
                <w:szCs w:val="18"/>
              </w:rPr>
              <w:t>M</w:t>
            </w:r>
            <w:r>
              <w:rPr>
                <w:i/>
                <w:kern w:val="0"/>
                <w:sz w:val="18"/>
                <w:szCs w:val="18"/>
                <w:vertAlign w:val="subscript"/>
              </w:rPr>
              <w:t>k</w:t>
            </w:r>
            <w:r>
              <w:rPr>
                <w:kern w:val="0"/>
                <w:sz w:val="18"/>
                <w:szCs w:val="18"/>
              </w:rPr>
              <w:t>）</w:t>
            </w:r>
          </w:p>
        </w:tc>
        <w:tc>
          <w:tcPr>
            <w:tcW w:w="23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18"/>
                <w:szCs w:val="18"/>
              </w:rPr>
            </w:pPr>
            <w:r>
              <w:rPr>
                <w:sz w:val="18"/>
                <w:szCs w:val="18"/>
              </w:rPr>
              <w:t>0.14</w:t>
            </w:r>
          </w:p>
        </w:tc>
        <w:tc>
          <w:tcPr>
            <w:tcW w:w="254" w:type="pct"/>
            <w:tcBorders>
              <w:top w:val="single" w:color="auto" w:sz="4" w:space="0"/>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0.22</w:t>
            </w:r>
          </w:p>
        </w:tc>
        <w:tc>
          <w:tcPr>
            <w:tcW w:w="235" w:type="pct"/>
            <w:tcBorders>
              <w:top w:val="single" w:color="auto" w:sz="4" w:space="0"/>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0.15</w:t>
            </w:r>
          </w:p>
        </w:tc>
        <w:tc>
          <w:tcPr>
            <w:tcW w:w="364" w:type="pct"/>
            <w:tcBorders>
              <w:top w:val="single" w:color="auto" w:sz="4" w:space="0"/>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0.49</w:t>
            </w:r>
          </w:p>
        </w:tc>
        <w:tc>
          <w:tcPr>
            <w:tcW w:w="108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教师出题或布置作业时</w:t>
            </w:r>
          </w:p>
          <w:p>
            <w:pPr>
              <w:jc w:val="center"/>
              <w:rPr>
                <w:sz w:val="18"/>
                <w:szCs w:val="18"/>
              </w:rPr>
            </w:pPr>
            <w:r>
              <w:rPr>
                <w:sz w:val="18"/>
                <w:szCs w:val="18"/>
              </w:rPr>
              <w:t>要尽量做到按照以上比例布局</w:t>
            </w:r>
          </w:p>
        </w:tc>
      </w:tr>
    </w:tbl>
    <w:p>
      <w:pPr>
        <w:sectPr>
          <w:pgSz w:w="16838" w:h="11906" w:orient="landscape"/>
          <w:pgMar w:top="1797" w:right="1440" w:bottom="1797" w:left="1440" w:header="851" w:footer="992" w:gutter="0"/>
          <w:pgNumType w:fmt="decimal"/>
          <w:cols w:space="425" w:num="1"/>
          <w:docGrid w:type="lines" w:linePitch="312" w:charSpace="0"/>
        </w:sectPr>
      </w:pPr>
    </w:p>
    <w:p>
      <w:pPr>
        <w:spacing w:line="360" w:lineRule="auto"/>
        <w:ind w:firstLine="420" w:firstLineChars="200"/>
        <w:rPr>
          <w:szCs w:val="21"/>
        </w:rPr>
      </w:pPr>
      <w:r>
        <w:rPr>
          <w:rFonts w:hint="eastAsia"/>
          <w:szCs w:val="21"/>
        </w:rPr>
        <w:t>采用达成值计算法，辅以对学生的问卷调查法。</w:t>
      </w:r>
    </w:p>
    <w:p>
      <w:pPr>
        <w:spacing w:line="360" w:lineRule="auto"/>
        <w:ind w:firstLine="422" w:firstLineChars="200"/>
        <w:rPr>
          <w:b/>
          <w:bCs/>
          <w:szCs w:val="21"/>
        </w:rPr>
      </w:pPr>
      <w:r>
        <w:rPr>
          <w:rFonts w:hint="eastAsia"/>
          <w:b/>
          <w:bCs/>
          <w:szCs w:val="21"/>
        </w:rPr>
        <w:t>课程目标定量评价：</w:t>
      </w:r>
    </w:p>
    <w:p>
      <w:pPr>
        <w:spacing w:line="360" w:lineRule="auto"/>
        <w:ind w:firstLine="420" w:firstLineChars="200"/>
        <w:rPr>
          <w:szCs w:val="21"/>
        </w:rPr>
      </w:pPr>
      <w:r>
        <w:rPr>
          <w:szCs w:val="21"/>
        </w:rPr>
        <w:t>达成值计算法结合上表权重分配，采用</w:t>
      </w:r>
      <w:r>
        <w:rPr>
          <w:rFonts w:hint="eastAsia"/>
          <w:szCs w:val="21"/>
        </w:rPr>
        <w:t>下表进行计算。</w:t>
      </w:r>
    </w:p>
    <w:p>
      <w:pPr>
        <w:spacing w:line="360" w:lineRule="auto"/>
        <w:ind w:firstLine="420" w:firstLineChars="200"/>
        <w:rPr>
          <w:szCs w:val="21"/>
        </w:rPr>
      </w:pPr>
      <w:r>
        <w:rPr>
          <w:szCs w:val="21"/>
        </w:rPr>
        <w:t>单一课程目标达成度评价采用下式：</w:t>
      </w:r>
    </w:p>
    <w:p>
      <w:pPr>
        <w:spacing w:line="360" w:lineRule="auto"/>
        <w:ind w:firstLine="420" w:firstLineChars="200"/>
        <w:rPr>
          <w:szCs w:val="21"/>
        </w:rPr>
      </w:pPr>
      <w:r>
        <w:rPr>
          <w:position w:val="-30"/>
          <w:szCs w:val="21"/>
        </w:rPr>
        <w:object>
          <v:shape id="_x0000_i1067" o:spt="75" type="#_x0000_t75" style="height:36pt;width:165.5pt;" o:ole="t" filled="f" o:preferrelative="t" stroked="f" coordsize="21600,21600">
            <v:path/>
            <v:fill on="f" focussize="0,0"/>
            <v:stroke on="f" joinstyle="miter"/>
            <v:imagedata r:id="rId145" o:title=""/>
            <o:lock v:ext="edit" aspectratio="t"/>
            <w10:wrap type="none"/>
            <w10:anchorlock/>
          </v:shape>
          <o:OLEObject Type="Embed" ProgID="Equation.3" ShapeID="_x0000_i1067" DrawAspect="Content" ObjectID="_1468075767" r:id="rId198">
            <o:LockedField>false</o:LockedField>
          </o:OLEObject>
        </w:object>
      </w:r>
    </w:p>
    <w:p>
      <w:pPr>
        <w:spacing w:line="360" w:lineRule="auto"/>
        <w:ind w:firstLine="420" w:firstLineChars="200"/>
        <w:rPr>
          <w:szCs w:val="21"/>
        </w:rPr>
      </w:pPr>
      <w:r>
        <w:rPr>
          <w:szCs w:val="21"/>
        </w:rPr>
        <w:t>总的课程目标达成度评价采用下式：</w:t>
      </w:r>
    </w:p>
    <w:p>
      <w:pPr>
        <w:spacing w:line="360" w:lineRule="auto"/>
        <w:ind w:firstLine="420" w:firstLineChars="200"/>
        <w:rPr>
          <w:szCs w:val="21"/>
        </w:rPr>
      </w:pPr>
      <w:r>
        <w:rPr>
          <w:position w:val="-30"/>
          <w:szCs w:val="21"/>
        </w:rPr>
        <w:object>
          <v:shape id="_x0000_i1068" o:spt="75" type="#_x0000_t75" style="height:36pt;width:151pt;" o:ole="t" filled="f" o:preferrelative="t" stroked="f" coordsize="21600,21600">
            <v:path/>
            <v:fill on="f" focussize="0,0"/>
            <v:stroke on="f" joinstyle="miter"/>
            <v:imagedata r:id="rId147" o:title=""/>
            <o:lock v:ext="edit" aspectratio="t"/>
            <w10:wrap type="none"/>
            <w10:anchorlock/>
          </v:shape>
          <o:OLEObject Type="Embed" ProgID="Equation.3" ShapeID="_x0000_i1068" DrawAspect="Content" ObjectID="_1468075768" r:id="rId199">
            <o:LockedField>false</o:LockedField>
          </o:OLEObject>
        </w:object>
      </w:r>
    </w:p>
    <w:p>
      <w:pPr>
        <w:spacing w:line="360" w:lineRule="auto"/>
        <w:ind w:firstLine="420" w:firstLineChars="200"/>
        <w:rPr>
          <w:szCs w:val="21"/>
        </w:rPr>
      </w:pPr>
      <w:r>
        <w:rPr>
          <w:szCs w:val="21"/>
        </w:rPr>
        <w:t>以上公式中：</w:t>
      </w:r>
    </w:p>
    <w:p>
      <w:pPr>
        <w:spacing w:line="360" w:lineRule="auto"/>
        <w:ind w:firstLine="420" w:firstLineChars="200"/>
        <w:rPr>
          <w:szCs w:val="21"/>
        </w:rPr>
      </w:pPr>
      <w:r>
        <w:rPr>
          <w:i/>
          <w:szCs w:val="21"/>
        </w:rPr>
        <w:t>k</w:t>
      </w:r>
      <w:r>
        <w:rPr>
          <w:szCs w:val="21"/>
        </w:rPr>
        <w:t>表示不同的评价方式，</w:t>
      </w:r>
      <w:r>
        <w:rPr>
          <w:i/>
          <w:szCs w:val="21"/>
        </w:rPr>
        <w:t>i</w:t>
      </w:r>
      <w:r>
        <w:rPr>
          <w:szCs w:val="21"/>
        </w:rPr>
        <w:t>表示不同的课程目标。</w:t>
      </w:r>
    </w:p>
    <w:p>
      <w:pPr>
        <w:spacing w:line="360" w:lineRule="auto"/>
        <w:ind w:firstLine="420" w:firstLineChars="200"/>
      </w:pPr>
      <w:r>
        <w:rPr>
          <w:position w:val="-10"/>
        </w:rPr>
        <w:object>
          <v:shape id="_x0000_i1069" o:spt="75" type="#_x0000_t75" style="height:14.5pt;width:14.5pt;" o:ole="t" filled="f" o:preferrelative="t" stroked="f" coordsize="21600,21600">
            <v:path/>
            <v:fill on="f" focussize="0,0"/>
            <v:stroke on="f" joinstyle="miter"/>
            <v:imagedata r:id="rId149" o:title=""/>
            <o:lock v:ext="edit" aspectratio="t"/>
            <w10:wrap type="none"/>
            <w10:anchorlock/>
          </v:shape>
          <o:OLEObject Type="Embed" ProgID="Equation.3" ShapeID="_x0000_i1069" DrawAspect="Content" ObjectID="_1468075769" r:id="rId200">
            <o:LockedField>false</o:LockedField>
          </o:OLEObject>
        </w:object>
      </w:r>
      <w:r>
        <w:t>表示第</w:t>
      </w:r>
      <w:r>
        <w:rPr>
          <w:i/>
        </w:rPr>
        <w:t>k</w:t>
      </w:r>
      <w:r>
        <w:t>种评价方式期末评价成绩平均分，均为百分制；</w:t>
      </w:r>
    </w:p>
    <w:p>
      <w:pPr>
        <w:spacing w:line="360" w:lineRule="auto"/>
        <w:ind w:firstLine="420" w:firstLineChars="200"/>
      </w:pPr>
      <w:r>
        <w:rPr>
          <w:position w:val="-10"/>
        </w:rPr>
        <w:object>
          <v:shape id="_x0000_i1070" o:spt="75" type="#_x0000_t75" style="height:14.5pt;width:72pt;" o:ole="t" filled="f" o:preferrelative="t" stroked="f" coordsize="21600,21600">
            <v:path/>
            <v:fill on="f" focussize="0,0"/>
            <v:stroke on="f" joinstyle="miter"/>
            <v:imagedata r:id="rId151" o:title=""/>
            <o:lock v:ext="edit" aspectratio="t"/>
            <w10:wrap type="none"/>
            <w10:anchorlock/>
          </v:shape>
          <o:OLEObject Type="Embed" ProgID="Equation.3" ShapeID="_x0000_i1070" DrawAspect="Content" ObjectID="_1468075770" r:id="rId201">
            <o:LockedField>false</o:LockedField>
          </o:OLEObject>
        </w:object>
      </w:r>
      <w:r>
        <w:t>是第</w:t>
      </w:r>
      <w:r>
        <w:rPr>
          <w:i/>
        </w:rPr>
        <w:t>k</w:t>
      </w:r>
      <w:r>
        <w:t>种评价方式通过第</w:t>
      </w:r>
      <w:r>
        <w:rPr>
          <w:i/>
        </w:rPr>
        <w:t>i</w:t>
      </w:r>
      <w:r>
        <w:t>个课程目标反映在总的课程目标评分占比；</w:t>
      </w:r>
    </w:p>
    <w:p>
      <w:pPr>
        <w:spacing w:line="360" w:lineRule="auto"/>
        <w:ind w:firstLine="420" w:firstLineChars="200"/>
        <w:rPr>
          <w:szCs w:val="21"/>
        </w:rPr>
      </w:pPr>
      <w:r>
        <w:rPr>
          <w:position w:val="-10"/>
        </w:rPr>
        <w:object>
          <v:shape id="_x0000_i1071" o:spt="75" type="#_x0000_t75" style="height:14.5pt;width:14.5pt;" o:ole="t" filled="f" o:preferrelative="t" stroked="f" coordsize="21600,21600">
            <v:path/>
            <v:fill on="f" focussize="0,0"/>
            <v:stroke on="f" joinstyle="miter"/>
            <v:imagedata r:id="rId153" o:title=""/>
            <o:lock v:ext="edit" aspectratio="t"/>
            <w10:wrap type="none"/>
            <w10:anchorlock/>
          </v:shape>
          <o:OLEObject Type="Embed" ProgID="Equation.3" ShapeID="_x0000_i1071" DrawAspect="Content" ObjectID="_1468075771" r:id="rId202">
            <o:LockedField>false</o:LockedField>
          </o:OLEObject>
        </w:object>
      </w:r>
      <w:r>
        <w:t>表示第</w:t>
      </w:r>
      <w:r>
        <w:rPr>
          <w:i/>
        </w:rPr>
        <w:t>k</w:t>
      </w:r>
      <w:r>
        <w:t>种评价方式对第</w:t>
      </w:r>
      <w:r>
        <w:rPr>
          <w:i/>
        </w:rPr>
        <w:t>i</w:t>
      </w:r>
      <w:r>
        <w:t>个课程目标百分占比；</w:t>
      </w:r>
    </w:p>
    <w:p>
      <w:pPr>
        <w:spacing w:line="360" w:lineRule="auto"/>
        <w:ind w:firstLine="420" w:firstLineChars="200"/>
      </w:pPr>
      <w:r>
        <w:rPr>
          <w:position w:val="-10"/>
        </w:rPr>
        <w:object>
          <v:shape id="_x0000_i1072" o:spt="75" type="#_x0000_t75" style="height:14.5pt;width:14.5pt;" o:ole="t" filled="f" o:preferrelative="t" stroked="f" coordsize="21600,21600">
            <v:path/>
            <v:fill on="f" focussize="0,0"/>
            <v:stroke on="f" joinstyle="miter"/>
            <v:imagedata r:id="rId155" o:title=""/>
            <o:lock v:ext="edit" aspectratio="t"/>
            <w10:wrap type="none"/>
            <w10:anchorlock/>
          </v:shape>
          <o:OLEObject Type="Embed" ProgID="Equation.3" ShapeID="_x0000_i1072" DrawAspect="Content" ObjectID="_1468075772" r:id="rId203">
            <o:LockedField>false</o:LockedField>
          </o:OLEObject>
        </w:object>
      </w:r>
      <w:r>
        <w:t>表示第</w:t>
      </w:r>
      <w:r>
        <w:rPr>
          <w:i/>
        </w:rPr>
        <w:t>i</w:t>
      </w:r>
      <w:r>
        <w:t>个课程目标在课程总评价中的占比；</w:t>
      </w:r>
    </w:p>
    <w:p>
      <w:pPr>
        <w:spacing w:line="360" w:lineRule="auto"/>
        <w:ind w:firstLine="422" w:firstLineChars="200"/>
        <w:rPr>
          <w:b/>
          <w:bCs/>
          <w:position w:val="-10"/>
          <w:szCs w:val="22"/>
        </w:rPr>
      </w:pPr>
      <w:r>
        <w:rPr>
          <w:rFonts w:hint="eastAsia"/>
          <w:b/>
          <w:bCs/>
          <w:position w:val="-10"/>
          <w:szCs w:val="22"/>
        </w:rPr>
        <w:t>课程目标定性评价：</w:t>
      </w:r>
    </w:p>
    <w:p>
      <w:pPr>
        <w:spacing w:line="360" w:lineRule="auto"/>
        <w:ind w:firstLine="420" w:firstLineChars="200"/>
        <w:rPr>
          <w:rFonts w:ascii="宋体" w:hAnsi="宋体" w:cs="宋体"/>
          <w:szCs w:val="21"/>
        </w:rPr>
      </w:pPr>
      <w:r>
        <w:rPr>
          <w:rFonts w:hint="eastAsia" w:ascii="宋体" w:hAnsi="宋体" w:cs="宋体"/>
          <w:szCs w:val="21"/>
        </w:rPr>
        <w:t>针对每门课的课程目标，直接设计问题，并要求学生明确给出目标能力达到的程度“很好（0.95）、较好（0.75）、中（0.60）、较差（0.45）、很差（0.25）”，根据各区段统计比例与括号中的目标分值加权后求和得出定性评价的结果。</w:t>
      </w:r>
    </w:p>
    <w:p>
      <w:pPr>
        <w:spacing w:line="360" w:lineRule="auto"/>
        <w:ind w:firstLine="422" w:firstLineChars="200"/>
        <w:rPr>
          <w:b/>
          <w:bCs/>
          <w:position w:val="-10"/>
          <w:szCs w:val="22"/>
        </w:rPr>
      </w:pPr>
      <w:r>
        <w:rPr>
          <w:rFonts w:hint="eastAsia"/>
          <w:b/>
          <w:bCs/>
          <w:position w:val="-10"/>
          <w:szCs w:val="22"/>
        </w:rPr>
        <w:t>课程目标达成结果：</w:t>
      </w:r>
    </w:p>
    <w:p>
      <w:pPr>
        <w:spacing w:line="360" w:lineRule="auto"/>
        <w:ind w:firstLine="420" w:firstLineChars="200"/>
        <w:rPr>
          <w:rFonts w:ascii="宋体" w:hAnsi="宋体" w:cs="宋体"/>
          <w:szCs w:val="21"/>
        </w:rPr>
      </w:pPr>
      <w:r>
        <w:rPr>
          <w:rFonts w:hint="eastAsia" w:ascii="宋体" w:hAnsi="宋体" w:cs="宋体"/>
          <w:szCs w:val="21"/>
        </w:rPr>
        <w:t>同一课程目标的评价，取定性评价和定量评价的平均值，作为最终评价结果。</w:t>
      </w:r>
    </w:p>
    <w:p>
      <w:pPr>
        <w:spacing w:line="360" w:lineRule="auto"/>
        <w:ind w:firstLine="420" w:firstLineChars="200"/>
        <w:rPr>
          <w:position w:val="-10"/>
          <w:szCs w:val="22"/>
        </w:rPr>
      </w:pPr>
      <w:r>
        <w:rPr>
          <w:rFonts w:hint="eastAsia"/>
          <w:position w:val="-10"/>
          <w:szCs w:val="22"/>
        </w:rPr>
        <w:t>课程目标达成度大于等于0.71为一级达成，大于等于0.65为二级达成。</w:t>
      </w:r>
    </w:p>
    <w:p>
      <w:pPr>
        <w:widowControl/>
        <w:jc w:val="left"/>
        <w:rPr>
          <w:rFonts w:eastAsia="黑体"/>
          <w:szCs w:val="24"/>
        </w:rPr>
      </w:pPr>
    </w:p>
    <w:p>
      <w:pPr>
        <w:tabs>
          <w:tab w:val="left" w:pos="420"/>
        </w:tabs>
        <w:adjustRightInd w:val="0"/>
        <w:snapToGrid w:val="0"/>
        <w:spacing w:line="360" w:lineRule="auto"/>
        <w:ind w:left="420" w:hanging="420"/>
        <w:rPr>
          <w:rFonts w:eastAsia="黑体"/>
          <w:szCs w:val="24"/>
        </w:rPr>
      </w:pPr>
      <w:r>
        <w:rPr>
          <w:rFonts w:hint="eastAsia" w:eastAsia="黑体"/>
          <w:szCs w:val="24"/>
        </w:rPr>
        <w:t>十一、各环节评价标准</w:t>
      </w:r>
    </w:p>
    <w:p>
      <w:pPr>
        <w:spacing w:line="360" w:lineRule="auto"/>
        <w:ind w:firstLine="420" w:firstLineChars="200"/>
        <w:rPr>
          <w:szCs w:val="21"/>
        </w:rPr>
      </w:pPr>
      <w:r>
        <w:rPr>
          <w:rFonts w:hint="eastAsia"/>
          <w:szCs w:val="21"/>
        </w:rPr>
        <w:t>本课程允许教师在各评价环节根据具体情况采取多样化、个性化的考核手段，其评价标准应当在《</w:t>
      </w:r>
      <w:r>
        <w:rPr>
          <w:rFonts w:hint="eastAsia" w:ascii="宋体" w:hAnsi="宋体"/>
          <w:szCs w:val="21"/>
        </w:rPr>
        <w:t>SIE-CT-01：</w:t>
      </w:r>
      <w:r>
        <w:rPr>
          <w:rFonts w:hint="eastAsia"/>
          <w:szCs w:val="21"/>
        </w:rPr>
        <w:t>授课计划》中明确并向学生公布，教学过程中的考核评价应当严格按照标准完成。</w:t>
      </w:r>
    </w:p>
    <w:p>
      <w:pPr>
        <w:tabs>
          <w:tab w:val="left" w:pos="420"/>
        </w:tabs>
        <w:adjustRightInd w:val="0"/>
        <w:snapToGrid w:val="0"/>
        <w:spacing w:line="360" w:lineRule="auto"/>
        <w:ind w:left="420" w:hanging="420"/>
        <w:rPr>
          <w:color w:val="0000FF"/>
        </w:rPr>
      </w:pPr>
    </w:p>
    <w:p>
      <w:pPr>
        <w:tabs>
          <w:tab w:val="left" w:pos="420"/>
        </w:tabs>
        <w:adjustRightInd w:val="0"/>
        <w:snapToGrid w:val="0"/>
        <w:spacing w:line="360" w:lineRule="auto"/>
        <w:ind w:left="420" w:hanging="420"/>
        <w:rPr>
          <w:rFonts w:eastAsia="黑体"/>
          <w:szCs w:val="24"/>
        </w:rPr>
      </w:pPr>
      <w:r>
        <w:rPr>
          <w:rFonts w:hint="eastAsia" w:eastAsia="黑体"/>
          <w:szCs w:val="24"/>
        </w:rPr>
        <w:t>十二、课程目标达成评价结果用于持续改进</w:t>
      </w:r>
    </w:p>
    <w:p>
      <w:pPr>
        <w:spacing w:line="360" w:lineRule="auto"/>
        <w:ind w:firstLine="420" w:firstLineChars="200"/>
        <w:rPr>
          <w:szCs w:val="21"/>
        </w:rPr>
      </w:pPr>
      <w:r>
        <w:rPr>
          <w:rFonts w:hint="eastAsia"/>
          <w:szCs w:val="21"/>
        </w:rPr>
        <w:t>课程目标达成评价结果将用于后续教学过程的持续改进。</w:t>
      </w:r>
    </w:p>
    <w:p>
      <w:pPr>
        <w:spacing w:line="360" w:lineRule="auto"/>
        <w:ind w:firstLine="420" w:firstLineChars="200"/>
        <w:rPr>
          <w:szCs w:val="21"/>
        </w:rPr>
      </w:pPr>
      <w:r>
        <w:rPr>
          <w:rFonts w:hint="eastAsia"/>
          <w:szCs w:val="21"/>
        </w:rPr>
        <w:t>针对课程目标达成评价中发现的问题与不足，重点是达成值相对较低的项，在本次授课总结中应由授课教师分析具体原因，并给出改进建议。后续任课教师应当针对以前的问题和建议，在授课计划中做好落实改进计划，并在授课过程中予以落实。</w:t>
      </w:r>
      <w:r>
        <w:br w:type="page"/>
      </w:r>
    </w:p>
    <w:p>
      <w:pPr>
        <w:pStyle w:val="18"/>
        <w:spacing w:before="240" w:after="360"/>
      </w:pPr>
      <w:bookmarkStart w:id="17" w:name="_Toc19693"/>
      <w:r>
        <w:rPr>
          <w:rFonts w:hint="eastAsia"/>
        </w:rPr>
        <w:t>《微惯性集成测量系统》</w:t>
      </w:r>
      <w:r>
        <w:rPr>
          <w:rFonts w:hint="eastAsia"/>
          <w:szCs w:val="24"/>
        </w:rPr>
        <w:t>教学大纲</w:t>
      </w:r>
      <w:bookmarkEnd w:id="17"/>
    </w:p>
    <w:p>
      <w:pPr>
        <w:adjustRightInd w:val="0"/>
        <w:snapToGrid w:val="0"/>
        <w:spacing w:line="360" w:lineRule="auto"/>
        <w:rPr>
          <w:bCs/>
          <w:kern w:val="0"/>
        </w:rPr>
      </w:pPr>
      <w:r>
        <w:rPr>
          <w:rFonts w:hint="eastAsia" w:eastAsia="黑体"/>
          <w:szCs w:val="21"/>
        </w:rPr>
        <w:t>课程编号：</w:t>
      </w:r>
      <w:r>
        <w:rPr>
          <w:rFonts w:eastAsia="黑体"/>
          <w:szCs w:val="21"/>
        </w:rPr>
        <w:t>Y06060015</w:t>
      </w:r>
    </w:p>
    <w:p>
      <w:pPr>
        <w:adjustRightInd w:val="0"/>
        <w:snapToGrid w:val="0"/>
        <w:spacing w:line="360" w:lineRule="auto"/>
        <w:rPr>
          <w:snapToGrid w:val="0"/>
          <w:kern w:val="0"/>
          <w:szCs w:val="21"/>
        </w:rPr>
      </w:pPr>
      <w:r>
        <w:rPr>
          <w:rFonts w:hint="eastAsia" w:eastAsia="黑体"/>
          <w:szCs w:val="21"/>
        </w:rPr>
        <w:t>课程名称：</w:t>
      </w:r>
      <w:r>
        <w:rPr>
          <w:szCs w:val="21"/>
        </w:rPr>
        <w:t>微惯性集成测量系统</w:t>
      </w:r>
      <w:r>
        <w:rPr>
          <w:szCs w:val="21"/>
        </w:rPr>
        <w:tab/>
      </w:r>
      <w:r>
        <w:rPr>
          <w:szCs w:val="21"/>
        </w:rPr>
        <w:tab/>
      </w:r>
      <w:r>
        <w:rPr>
          <w:szCs w:val="21"/>
        </w:rPr>
        <w:tab/>
      </w:r>
      <w:r>
        <w:rPr>
          <w:szCs w:val="21"/>
        </w:rPr>
        <w:tab/>
      </w:r>
      <w:r>
        <w:rPr>
          <w:rFonts w:hint="eastAsia" w:eastAsia="黑体"/>
          <w:szCs w:val="21"/>
        </w:rPr>
        <w:t>开课单位：</w:t>
      </w:r>
      <w:r>
        <w:rPr>
          <w:rFonts w:hint="eastAsia"/>
          <w:szCs w:val="21"/>
        </w:rPr>
        <w:t>仪器与电子学院</w:t>
      </w:r>
      <w:r>
        <w:rPr>
          <w:rFonts w:eastAsia="黑体"/>
          <w:szCs w:val="21"/>
        </w:rPr>
        <w:tab/>
      </w:r>
    </w:p>
    <w:p>
      <w:pPr>
        <w:adjustRightInd w:val="0"/>
        <w:snapToGrid w:val="0"/>
        <w:spacing w:line="360" w:lineRule="auto"/>
        <w:rPr>
          <w:rFonts w:eastAsia="黑体"/>
          <w:szCs w:val="21"/>
        </w:rPr>
      </w:pPr>
      <w:r>
        <w:rPr>
          <w:rFonts w:hint="eastAsia" w:eastAsia="黑体"/>
          <w:szCs w:val="21"/>
        </w:rPr>
        <w:t>总学时：</w:t>
      </w:r>
      <w:r>
        <w:rPr>
          <w:szCs w:val="21"/>
        </w:rPr>
        <w:t>32</w:t>
      </w:r>
      <w:r>
        <w:rPr>
          <w:rFonts w:hint="eastAsia" w:ascii="宋体" w:hAnsi="宋体" w:cs="宋体"/>
          <w:szCs w:val="21"/>
        </w:rPr>
        <w:t>（</w:t>
      </w:r>
      <w:r>
        <w:rPr>
          <w:szCs w:val="21"/>
        </w:rPr>
        <w:t>实验12学时</w:t>
      </w:r>
      <w:r>
        <w:rPr>
          <w:rFonts w:hint="eastAsia"/>
          <w:szCs w:val="21"/>
        </w:rPr>
        <w:t>）</w:t>
      </w:r>
      <w:r>
        <w:rPr>
          <w:rFonts w:eastAsia="黑体"/>
          <w:szCs w:val="21"/>
        </w:rPr>
        <w:tab/>
      </w:r>
      <w:r>
        <w:rPr>
          <w:rFonts w:eastAsia="黑体"/>
          <w:szCs w:val="21"/>
        </w:rPr>
        <w:tab/>
      </w:r>
      <w:r>
        <w:rPr>
          <w:rFonts w:eastAsia="黑体"/>
          <w:szCs w:val="21"/>
        </w:rPr>
        <w:tab/>
      </w:r>
      <w:r>
        <w:rPr>
          <w:rFonts w:eastAsia="黑体"/>
          <w:szCs w:val="21"/>
        </w:rPr>
        <w:tab/>
      </w:r>
      <w:r>
        <w:rPr>
          <w:rFonts w:hint="eastAsia" w:eastAsia="黑体"/>
          <w:szCs w:val="21"/>
        </w:rPr>
        <w:t>学分：2</w:t>
      </w:r>
    </w:p>
    <w:p>
      <w:pPr>
        <w:adjustRightInd w:val="0"/>
        <w:snapToGrid w:val="0"/>
        <w:spacing w:line="360" w:lineRule="auto"/>
        <w:rPr>
          <w:rFonts w:eastAsia="黑体"/>
          <w:szCs w:val="21"/>
        </w:rPr>
      </w:pPr>
      <w:r>
        <w:rPr>
          <w:rFonts w:hint="eastAsia" w:eastAsia="黑体"/>
          <w:szCs w:val="21"/>
        </w:rPr>
        <w:t>适用专业：</w:t>
      </w:r>
      <w:r>
        <w:rPr>
          <w:rFonts w:hint="eastAsia" w:ascii="宋体" w:hAnsi="宋体" w:cs="宋体"/>
        </w:rPr>
        <w:t>测控技术与仪器专业、</w:t>
      </w:r>
      <w:r>
        <w:rPr>
          <w:rFonts w:hint="eastAsia" w:ascii="宋体" w:hAnsi="宋体" w:cs="宋体"/>
          <w:lang w:eastAsia="zh-CN"/>
        </w:rPr>
        <w:t>智能感知工程</w:t>
      </w:r>
      <w:r>
        <w:rPr>
          <w:rFonts w:hint="eastAsia" w:ascii="宋体" w:hAnsi="宋体" w:cs="宋体"/>
        </w:rPr>
        <w:t>专业</w:t>
      </w:r>
    </w:p>
    <w:p>
      <w:pPr>
        <w:adjustRightInd w:val="0"/>
        <w:snapToGrid w:val="0"/>
        <w:spacing w:line="360" w:lineRule="auto"/>
        <w:rPr>
          <w:rFonts w:ascii="宋体" w:hAnsi="宋体" w:cs="宋体"/>
        </w:rPr>
      </w:pPr>
      <w:r>
        <w:rPr>
          <w:rFonts w:hint="eastAsia" w:eastAsia="黑体"/>
          <w:szCs w:val="21"/>
        </w:rPr>
        <w:t>先修课程：</w:t>
      </w:r>
      <w:r>
        <w:rPr>
          <w:rFonts w:hint="eastAsia" w:ascii="宋体" w:hAnsi="宋体" w:cs="宋体"/>
        </w:rPr>
        <w:t>高等数学、传感器原理及其应用、电子技术</w:t>
      </w:r>
    </w:p>
    <w:p>
      <w:pPr>
        <w:adjustRightInd w:val="0"/>
        <w:snapToGrid w:val="0"/>
        <w:spacing w:line="360" w:lineRule="auto"/>
        <w:rPr>
          <w:rFonts w:ascii="宋体" w:cs="宋体"/>
        </w:rPr>
      </w:pPr>
      <w:r>
        <w:rPr>
          <w:rFonts w:hint="eastAsia" w:eastAsia="黑体"/>
        </w:rPr>
        <w:t>大纲撰写人：</w:t>
      </w:r>
      <w:r>
        <w:rPr>
          <w:rFonts w:hint="eastAsia"/>
        </w:rPr>
        <w:t>李杰</w:t>
      </w:r>
    </w:p>
    <w:p>
      <w:pPr>
        <w:adjustRightInd w:val="0"/>
        <w:snapToGrid w:val="0"/>
        <w:spacing w:line="360" w:lineRule="auto"/>
        <w:rPr>
          <w:szCs w:val="21"/>
        </w:rPr>
      </w:pPr>
      <w:r>
        <w:rPr>
          <w:rFonts w:hint="eastAsia" w:eastAsia="黑体"/>
          <w:szCs w:val="21"/>
        </w:rPr>
        <w:t>大纲编写（修订）时间：</w:t>
      </w:r>
      <w:r>
        <w:rPr>
          <w:szCs w:val="21"/>
        </w:rPr>
        <w:t>2019年5月</w:t>
      </w:r>
    </w:p>
    <w:p>
      <w:pPr>
        <w:spacing w:line="360" w:lineRule="auto"/>
        <w:rPr>
          <w:b/>
          <w:bCs/>
        </w:rPr>
      </w:pPr>
    </w:p>
    <w:p>
      <w:pPr>
        <w:spacing w:line="360" w:lineRule="auto"/>
        <w:rPr>
          <w:rFonts w:ascii="黑体" w:hAnsi="黑体" w:eastAsia="黑体"/>
        </w:rPr>
      </w:pPr>
      <w:r>
        <w:rPr>
          <w:rFonts w:hint="eastAsia" w:ascii="黑体" w:hAnsi="黑体" w:eastAsia="黑体"/>
        </w:rPr>
        <w:t>一、课程在教学计划中的地位、作用</w:t>
      </w:r>
    </w:p>
    <w:p>
      <w:pPr>
        <w:spacing w:line="360" w:lineRule="auto"/>
        <w:ind w:firstLine="420" w:firstLineChars="200"/>
        <w:rPr>
          <w:rFonts w:ascii="宋体" w:hAnsi="宋体" w:cs="宋体"/>
          <w:snapToGrid w:val="0"/>
          <w:kern w:val="0"/>
        </w:rPr>
      </w:pPr>
      <w:r>
        <w:rPr>
          <w:szCs w:val="21"/>
        </w:rPr>
        <w:t>本课程是一门属于</w:t>
      </w:r>
      <w:r>
        <w:rPr>
          <w:rFonts w:hint="eastAsia"/>
          <w:szCs w:val="21"/>
        </w:rPr>
        <w:t>系统</w:t>
      </w:r>
      <w:r>
        <w:rPr>
          <w:szCs w:val="21"/>
        </w:rPr>
        <w:t>设计</w:t>
      </w:r>
      <w:r>
        <w:rPr>
          <w:rFonts w:hint="eastAsia"/>
          <w:szCs w:val="21"/>
        </w:rPr>
        <w:t>与应用</w:t>
      </w:r>
      <w:r>
        <w:rPr>
          <w:szCs w:val="21"/>
        </w:rPr>
        <w:t>类的专业课程，</w:t>
      </w:r>
      <w:r>
        <w:rPr>
          <w:rFonts w:hint="eastAsia" w:cs="宋体"/>
        </w:rPr>
        <w:t>是</w:t>
      </w:r>
      <w:r>
        <w:rPr>
          <w:rFonts w:hint="eastAsia" w:ascii="宋体" w:hAnsi="宋体" w:cs="宋体"/>
        </w:rPr>
        <w:t>测控技术及仪器专业、</w:t>
      </w:r>
      <w:r>
        <w:rPr>
          <w:rFonts w:hint="eastAsia" w:ascii="宋体" w:hAnsi="宋体" w:cs="宋体"/>
          <w:lang w:eastAsia="zh-CN"/>
        </w:rPr>
        <w:t>智能感知工程</w:t>
      </w:r>
      <w:r>
        <w:rPr>
          <w:rFonts w:hint="eastAsia" w:ascii="宋体" w:hAnsi="宋体" w:cs="宋体"/>
        </w:rPr>
        <w:t>专业的</w:t>
      </w:r>
      <w:r>
        <w:rPr>
          <w:rFonts w:hint="eastAsia"/>
          <w:szCs w:val="21"/>
        </w:rPr>
        <w:t>选修</w:t>
      </w:r>
      <w:r>
        <w:rPr>
          <w:szCs w:val="21"/>
        </w:rPr>
        <w:t>课程</w:t>
      </w:r>
      <w:r>
        <w:rPr>
          <w:rFonts w:hint="eastAsia" w:ascii="宋体" w:hAnsi="宋体" w:cs="宋体"/>
        </w:rPr>
        <w:t>。</w:t>
      </w:r>
      <w:r>
        <w:rPr>
          <w:szCs w:val="21"/>
        </w:rPr>
        <w:t>微惯性集成测量系统</w:t>
      </w:r>
      <w:r>
        <w:rPr>
          <w:rFonts w:hint="eastAsia" w:cs="宋体"/>
        </w:rPr>
        <w:t>是</w:t>
      </w:r>
      <w:r>
        <w:rPr>
          <w:rFonts w:hint="eastAsia"/>
          <w:bCs/>
          <w:kern w:val="0"/>
        </w:rPr>
        <w:t>一门</w:t>
      </w:r>
      <w:r>
        <w:rPr>
          <w:rFonts w:hint="eastAsia" w:cs="宋体"/>
        </w:rPr>
        <w:t>联系</w:t>
      </w:r>
      <w:r>
        <w:rPr>
          <w:rFonts w:hint="eastAsia"/>
          <w:bCs/>
          <w:kern w:val="0"/>
        </w:rPr>
        <w:t>数学与自然科学基本理论、涉及多学科多领域的典型测控系统集成与应用课程</w:t>
      </w:r>
      <w:r>
        <w:rPr>
          <w:rFonts w:hint="eastAsia" w:cs="宋体"/>
        </w:rPr>
        <w:t>。该</w:t>
      </w:r>
      <w:r>
        <w:rPr>
          <w:szCs w:val="21"/>
        </w:rPr>
        <w:t>课程以提高学生对实际测控系统集成设计与测控技术应用能力为目的，</w:t>
      </w:r>
      <w:r>
        <w:rPr>
          <w:rFonts w:hint="eastAsia" w:cs="宋体"/>
        </w:rPr>
        <w:t>主要任务是讲授</w:t>
      </w:r>
      <w:r>
        <w:rPr>
          <w:szCs w:val="21"/>
        </w:rPr>
        <w:t>微惯性集成测量系统的</w:t>
      </w:r>
      <w:r>
        <w:rPr>
          <w:rFonts w:hint="eastAsia"/>
          <w:szCs w:val="21"/>
        </w:rPr>
        <w:t>工作</w:t>
      </w:r>
      <w:r>
        <w:rPr>
          <w:szCs w:val="21"/>
        </w:rPr>
        <w:t>原理</w:t>
      </w:r>
      <w:r>
        <w:rPr>
          <w:rFonts w:hint="eastAsia"/>
          <w:szCs w:val="21"/>
        </w:rPr>
        <w:t>及</w:t>
      </w:r>
      <w:r>
        <w:rPr>
          <w:szCs w:val="21"/>
        </w:rPr>
        <w:t>设计方法</w:t>
      </w:r>
      <w:r>
        <w:rPr>
          <w:rFonts w:hint="eastAsia" w:cs="宋体"/>
        </w:rPr>
        <w:t>。通过该课程的学习使学生</w:t>
      </w:r>
      <w:r>
        <w:rPr>
          <w:szCs w:val="21"/>
        </w:rPr>
        <w:t>掌握微惯性集成测量系统的</w:t>
      </w:r>
      <w:r>
        <w:rPr>
          <w:rFonts w:hint="eastAsia"/>
          <w:szCs w:val="21"/>
        </w:rPr>
        <w:t>基本理论与</w:t>
      </w:r>
      <w:r>
        <w:rPr>
          <w:szCs w:val="21"/>
        </w:rPr>
        <w:t>设计方法，</w:t>
      </w:r>
      <w:r>
        <w:rPr>
          <w:rFonts w:hint="eastAsia"/>
          <w:szCs w:val="21"/>
        </w:rPr>
        <w:t>使学生</w:t>
      </w:r>
      <w:r>
        <w:rPr>
          <w:szCs w:val="21"/>
        </w:rPr>
        <w:t>能够</w:t>
      </w:r>
      <w:r>
        <w:rPr>
          <w:rFonts w:hint="eastAsia"/>
          <w:szCs w:val="21"/>
        </w:rPr>
        <w:t>根据实际工程应用需求正确分析设计和测试评价</w:t>
      </w:r>
      <w:r>
        <w:rPr>
          <w:szCs w:val="21"/>
        </w:rPr>
        <w:t>微惯性集成测量系统</w:t>
      </w:r>
      <w:r>
        <w:rPr>
          <w:rFonts w:hint="eastAsia" w:ascii="宋体" w:hAnsi="宋体" w:cs="宋体"/>
          <w:snapToGrid w:val="0"/>
          <w:kern w:val="0"/>
        </w:rPr>
        <w:t>。</w:t>
      </w:r>
    </w:p>
    <w:p/>
    <w:p>
      <w:pPr>
        <w:spacing w:line="360" w:lineRule="auto"/>
        <w:rPr>
          <w:rFonts w:ascii="黑体" w:hAnsi="黑体" w:eastAsia="黑体"/>
        </w:rPr>
      </w:pPr>
      <w:r>
        <w:rPr>
          <w:rFonts w:hint="eastAsia" w:ascii="黑体" w:hAnsi="黑体" w:eastAsia="黑体"/>
        </w:rPr>
        <w:t>二、课程目标</w:t>
      </w:r>
    </w:p>
    <w:p>
      <w:pPr>
        <w:spacing w:line="360" w:lineRule="auto"/>
        <w:jc w:val="left"/>
      </w:pPr>
      <w:r>
        <w:rPr>
          <w:rFonts w:hint="eastAsia"/>
        </w:rPr>
        <w:t>测控技术与仪器专业：</w:t>
      </w:r>
    </w:p>
    <w:tbl>
      <w:tblPr>
        <w:tblStyle w:val="19"/>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4000"/>
        <w:gridCol w:w="390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shd w:val="clear" w:color="auto" w:fill="auto"/>
            <w:vAlign w:val="center"/>
          </w:tcPr>
          <w:p>
            <w:pPr>
              <w:spacing w:before="120" w:beforeLines="50" w:line="360" w:lineRule="auto"/>
              <w:jc w:val="center"/>
              <w:rPr>
                <w:sz w:val="18"/>
                <w:szCs w:val="18"/>
              </w:rPr>
            </w:pPr>
            <w:r>
              <w:rPr>
                <w:sz w:val="18"/>
                <w:szCs w:val="18"/>
              </w:rPr>
              <w:t>序号</w:t>
            </w:r>
          </w:p>
        </w:tc>
        <w:tc>
          <w:tcPr>
            <w:tcW w:w="2345" w:type="pct"/>
            <w:shd w:val="clear" w:color="auto" w:fill="auto"/>
            <w:vAlign w:val="center"/>
          </w:tcPr>
          <w:p>
            <w:pPr>
              <w:spacing w:before="120" w:beforeLines="50" w:line="360" w:lineRule="auto"/>
              <w:jc w:val="center"/>
              <w:rPr>
                <w:sz w:val="18"/>
                <w:szCs w:val="18"/>
              </w:rPr>
            </w:pPr>
            <w:r>
              <w:rPr>
                <w:sz w:val="18"/>
                <w:szCs w:val="18"/>
              </w:rPr>
              <w:t>课程目标</w:t>
            </w:r>
          </w:p>
        </w:tc>
        <w:tc>
          <w:tcPr>
            <w:tcW w:w="2288" w:type="pct"/>
            <w:shd w:val="clear" w:color="auto" w:fill="auto"/>
            <w:vAlign w:val="center"/>
          </w:tcPr>
          <w:p>
            <w:pPr>
              <w:spacing w:before="120" w:beforeLines="50" w:line="360" w:lineRule="auto"/>
              <w:jc w:val="center"/>
              <w:rPr>
                <w:sz w:val="18"/>
                <w:szCs w:val="18"/>
              </w:rPr>
            </w:pPr>
            <w:r>
              <w:rPr>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49" w:hRule="atLeast"/>
        </w:trPr>
        <w:tc>
          <w:tcPr>
            <w:tcW w:w="367" w:type="pct"/>
            <w:shd w:val="clear" w:color="auto" w:fill="auto"/>
            <w:vAlign w:val="center"/>
          </w:tcPr>
          <w:p>
            <w:pPr>
              <w:spacing w:line="360" w:lineRule="auto"/>
              <w:jc w:val="center"/>
              <w:rPr>
                <w:sz w:val="18"/>
                <w:szCs w:val="18"/>
              </w:rPr>
            </w:pPr>
            <w:r>
              <w:rPr>
                <w:rFonts w:hint="eastAsia"/>
                <w:sz w:val="18"/>
                <w:szCs w:val="18"/>
              </w:rPr>
              <w:t>1</w:t>
            </w:r>
          </w:p>
        </w:tc>
        <w:tc>
          <w:tcPr>
            <w:tcW w:w="2345" w:type="pct"/>
            <w:shd w:val="clear" w:color="auto" w:fill="auto"/>
          </w:tcPr>
          <w:p>
            <w:pPr>
              <w:spacing w:line="360" w:lineRule="auto"/>
              <w:rPr>
                <w:sz w:val="18"/>
                <w:szCs w:val="18"/>
              </w:rPr>
            </w:pPr>
            <w:r>
              <w:rPr>
                <w:rFonts w:hint="eastAsia"/>
                <w:sz w:val="18"/>
                <w:szCs w:val="18"/>
              </w:rPr>
              <w:t>能够应用微惯性集成测量原理对不同应用领域和背景所需惯性参数测试复杂工程问题进行分解，并识别出系统集成设计过程中的关键特征和参数。</w:t>
            </w:r>
          </w:p>
        </w:tc>
        <w:tc>
          <w:tcPr>
            <w:tcW w:w="2288" w:type="pct"/>
            <w:shd w:val="clear" w:color="auto" w:fill="auto"/>
          </w:tcPr>
          <w:p>
            <w:pPr>
              <w:spacing w:line="360" w:lineRule="auto"/>
              <w:rPr>
                <w:sz w:val="18"/>
                <w:szCs w:val="18"/>
              </w:rPr>
            </w:pPr>
            <w:r>
              <w:rPr>
                <w:rFonts w:hint="eastAsia"/>
                <w:b/>
                <w:sz w:val="18"/>
                <w:szCs w:val="18"/>
              </w:rPr>
              <w:t>指标点2-1 问题识别：</w:t>
            </w:r>
            <w:r>
              <w:rPr>
                <w:rFonts w:hint="eastAsia"/>
                <w:sz w:val="18"/>
                <w:szCs w:val="18"/>
              </w:rPr>
              <w:t>能应用科学原理对测控技术与仪器专业复杂工程问题进行分解，并识别其中的关键特征和参数。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26" w:hRule="atLeast"/>
        </w:trPr>
        <w:tc>
          <w:tcPr>
            <w:tcW w:w="367" w:type="pct"/>
            <w:shd w:val="clear" w:color="auto" w:fill="auto"/>
            <w:vAlign w:val="center"/>
          </w:tcPr>
          <w:p>
            <w:pPr>
              <w:spacing w:line="360" w:lineRule="auto"/>
              <w:jc w:val="center"/>
              <w:rPr>
                <w:sz w:val="18"/>
                <w:szCs w:val="18"/>
              </w:rPr>
            </w:pPr>
            <w:r>
              <w:rPr>
                <w:rFonts w:hint="eastAsia"/>
                <w:sz w:val="18"/>
                <w:szCs w:val="18"/>
              </w:rPr>
              <w:t>2</w:t>
            </w:r>
          </w:p>
        </w:tc>
        <w:tc>
          <w:tcPr>
            <w:tcW w:w="2345" w:type="pct"/>
            <w:shd w:val="clear" w:color="auto" w:fill="auto"/>
          </w:tcPr>
          <w:p>
            <w:pPr>
              <w:spacing w:line="360" w:lineRule="auto"/>
              <w:rPr>
                <w:sz w:val="18"/>
                <w:szCs w:val="18"/>
              </w:rPr>
            </w:pPr>
            <w:r>
              <w:rPr>
                <w:rFonts w:hint="eastAsia"/>
                <w:sz w:val="18"/>
                <w:szCs w:val="18"/>
              </w:rPr>
              <w:t>了解微惯性集成测量技术与系统领域背景及经典案例，掌握</w:t>
            </w:r>
            <w:r>
              <w:rPr>
                <w:bCs/>
                <w:snapToGrid w:val="0"/>
                <w:kern w:val="0"/>
                <w:sz w:val="18"/>
                <w:szCs w:val="18"/>
              </w:rPr>
              <w:t>微惯性集成测量系统基本工作原理</w:t>
            </w:r>
            <w:r>
              <w:rPr>
                <w:rFonts w:hint="eastAsia"/>
                <w:bCs/>
                <w:snapToGrid w:val="0"/>
                <w:kern w:val="0"/>
                <w:sz w:val="18"/>
                <w:szCs w:val="18"/>
              </w:rPr>
              <w:t>，及</w:t>
            </w:r>
            <w:r>
              <w:rPr>
                <w:sz w:val="18"/>
                <w:szCs w:val="18"/>
              </w:rPr>
              <w:t>系统器件级、组件级与系统级的主要特性参数</w:t>
            </w:r>
            <w:r>
              <w:rPr>
                <w:rFonts w:hint="eastAsia"/>
                <w:sz w:val="18"/>
                <w:szCs w:val="18"/>
              </w:rPr>
              <w:t>，能够针对复杂工程问题提出具体的微惯性集成测量系统研究思路和分析方法，并完成微惯性测量集成系统设计与测试评估。</w:t>
            </w:r>
          </w:p>
        </w:tc>
        <w:tc>
          <w:tcPr>
            <w:tcW w:w="2288" w:type="pct"/>
            <w:shd w:val="clear" w:color="auto" w:fill="auto"/>
          </w:tcPr>
          <w:p>
            <w:pPr>
              <w:spacing w:line="360" w:lineRule="auto"/>
              <w:rPr>
                <w:sz w:val="18"/>
                <w:szCs w:val="18"/>
              </w:rPr>
            </w:pPr>
            <w:r>
              <w:rPr>
                <w:rFonts w:hint="eastAsia"/>
                <w:b/>
                <w:sz w:val="18"/>
                <w:szCs w:val="18"/>
              </w:rPr>
              <w:t>指标点4-1 领域现状认知能力：</w:t>
            </w:r>
            <w:r>
              <w:rPr>
                <w:rFonts w:hint="eastAsia"/>
                <w:sz w:val="18"/>
                <w:szCs w:val="18"/>
              </w:rPr>
              <w:t>了解测控技术与仪器专业领域背景及经典案例，能够针对复杂工程问题提出研究思路和分析方法，并有意识地将实验结果用于指导解决方案的改善和优化。</w:t>
            </w:r>
          </w:p>
        </w:tc>
      </w:tr>
    </w:tbl>
    <w:p/>
    <w:p/>
    <w:p>
      <w:pPr>
        <w:spacing w:line="360" w:lineRule="auto"/>
        <w:jc w:val="left"/>
      </w:pPr>
      <w:r>
        <w:rPr>
          <w:rFonts w:hint="eastAsia"/>
          <w:lang w:eastAsia="zh-CN"/>
        </w:rPr>
        <w:t>智能感知工程</w:t>
      </w:r>
      <w:r>
        <w:rPr>
          <w:rFonts w:hint="eastAsia"/>
        </w:rPr>
        <w:t>专业：</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4000"/>
        <w:gridCol w:w="390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367" w:type="pct"/>
            <w:shd w:val="clear" w:color="auto" w:fill="auto"/>
            <w:vAlign w:val="center"/>
          </w:tcPr>
          <w:p>
            <w:pPr>
              <w:spacing w:before="120" w:beforeLines="50" w:line="360" w:lineRule="auto"/>
              <w:jc w:val="center"/>
              <w:rPr>
                <w:rFonts w:ascii="宋体" w:hAnsi="宋体"/>
                <w:sz w:val="18"/>
                <w:szCs w:val="18"/>
              </w:rPr>
            </w:pPr>
            <w:r>
              <w:rPr>
                <w:rFonts w:ascii="宋体" w:hAnsi="宋体"/>
                <w:sz w:val="18"/>
                <w:szCs w:val="18"/>
              </w:rPr>
              <w:t>序号</w:t>
            </w:r>
          </w:p>
        </w:tc>
        <w:tc>
          <w:tcPr>
            <w:tcW w:w="2345" w:type="pct"/>
            <w:shd w:val="clear" w:color="auto" w:fill="auto"/>
            <w:vAlign w:val="center"/>
          </w:tcPr>
          <w:p>
            <w:pPr>
              <w:spacing w:before="120" w:beforeLines="50" w:line="360" w:lineRule="auto"/>
              <w:jc w:val="center"/>
              <w:rPr>
                <w:rFonts w:ascii="宋体" w:hAnsi="宋体"/>
                <w:sz w:val="18"/>
                <w:szCs w:val="18"/>
              </w:rPr>
            </w:pPr>
            <w:r>
              <w:rPr>
                <w:rFonts w:ascii="宋体" w:hAnsi="宋体"/>
                <w:sz w:val="18"/>
                <w:szCs w:val="18"/>
              </w:rPr>
              <w:t>课程目标</w:t>
            </w:r>
          </w:p>
        </w:tc>
        <w:tc>
          <w:tcPr>
            <w:tcW w:w="2288" w:type="pct"/>
            <w:shd w:val="clear" w:color="auto" w:fill="auto"/>
            <w:vAlign w:val="center"/>
          </w:tcPr>
          <w:p>
            <w:pPr>
              <w:spacing w:before="120" w:beforeLines="50" w:line="360" w:lineRule="auto"/>
              <w:jc w:val="center"/>
              <w:rPr>
                <w:rFonts w:ascii="宋体" w:hAnsi="宋体"/>
                <w:sz w:val="18"/>
                <w:szCs w:val="18"/>
              </w:rPr>
            </w:pPr>
            <w:r>
              <w:rPr>
                <w:rFonts w:ascii="宋体" w:hAnsi="宋体"/>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67" w:type="pct"/>
            <w:shd w:val="clear" w:color="auto" w:fill="auto"/>
            <w:vAlign w:val="center"/>
          </w:tcPr>
          <w:p>
            <w:pPr>
              <w:spacing w:line="360" w:lineRule="auto"/>
              <w:jc w:val="center"/>
              <w:rPr>
                <w:rFonts w:ascii="宋体" w:hAnsi="宋体"/>
                <w:sz w:val="18"/>
                <w:szCs w:val="18"/>
              </w:rPr>
            </w:pPr>
            <w:r>
              <w:rPr>
                <w:rFonts w:hint="eastAsia" w:ascii="宋体" w:hAnsi="宋体"/>
                <w:sz w:val="18"/>
                <w:szCs w:val="18"/>
              </w:rPr>
              <w:t>1</w:t>
            </w:r>
          </w:p>
        </w:tc>
        <w:tc>
          <w:tcPr>
            <w:tcW w:w="2345" w:type="pct"/>
            <w:shd w:val="clear" w:color="auto" w:fill="auto"/>
          </w:tcPr>
          <w:p>
            <w:pPr>
              <w:spacing w:line="360" w:lineRule="auto"/>
              <w:rPr>
                <w:rFonts w:ascii="宋体" w:hAnsi="宋体"/>
                <w:sz w:val="18"/>
                <w:szCs w:val="18"/>
              </w:rPr>
            </w:pPr>
            <w:r>
              <w:rPr>
                <w:rFonts w:hint="eastAsia" w:ascii="宋体" w:hAnsi="宋体"/>
                <w:sz w:val="18"/>
                <w:szCs w:val="18"/>
              </w:rPr>
              <w:t>能够应用微惯性集成测量原理对不同应用领域和背景所需惯性参数测试复杂工程问题进行分解；能够准确描述捷联姿态；能够识别出系统集成设计过程中</w:t>
            </w:r>
            <w:r>
              <w:rPr>
                <w:rFonts w:ascii="宋体" w:hAnsi="宋体"/>
                <w:sz w:val="18"/>
                <w:szCs w:val="18"/>
              </w:rPr>
              <w:t>系统器件级、组件级与系统级的</w:t>
            </w:r>
            <w:r>
              <w:rPr>
                <w:rFonts w:hint="eastAsia" w:ascii="宋体" w:hAnsi="宋体"/>
                <w:sz w:val="18"/>
                <w:szCs w:val="18"/>
              </w:rPr>
              <w:t>关键特征和参数，并准确建立导航方程和完成求解。</w:t>
            </w:r>
          </w:p>
        </w:tc>
        <w:tc>
          <w:tcPr>
            <w:tcW w:w="2288" w:type="pct"/>
            <w:shd w:val="clear" w:color="auto" w:fill="auto"/>
          </w:tcPr>
          <w:p>
            <w:pPr>
              <w:spacing w:line="360" w:lineRule="auto"/>
              <w:rPr>
                <w:rFonts w:ascii="宋体" w:hAnsi="宋体"/>
                <w:sz w:val="18"/>
                <w:szCs w:val="18"/>
              </w:rPr>
            </w:pPr>
            <w:r>
              <w:rPr>
                <w:rFonts w:ascii="宋体" w:hAnsi="宋体"/>
                <w:b/>
                <w:kern w:val="0"/>
                <w:sz w:val="18"/>
                <w:szCs w:val="18"/>
              </w:rPr>
              <w:t>指标点2-1 问题识别：</w:t>
            </w:r>
            <w:r>
              <w:rPr>
                <w:bCs/>
                <w:sz w:val="18"/>
                <w:szCs w:val="18"/>
              </w:rPr>
              <w:t>能应用科学原理对智能感知工程专业复杂工程问题进行分解，并识别其中的关键特征和参数。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26" w:hRule="atLeast"/>
          <w:jc w:val="center"/>
        </w:trPr>
        <w:tc>
          <w:tcPr>
            <w:tcW w:w="367" w:type="pct"/>
            <w:shd w:val="clear" w:color="auto" w:fill="auto"/>
            <w:vAlign w:val="center"/>
          </w:tcPr>
          <w:p>
            <w:pPr>
              <w:spacing w:line="360" w:lineRule="auto"/>
              <w:jc w:val="center"/>
              <w:rPr>
                <w:rFonts w:ascii="宋体" w:hAnsi="宋体"/>
                <w:sz w:val="18"/>
                <w:szCs w:val="18"/>
              </w:rPr>
            </w:pPr>
            <w:r>
              <w:rPr>
                <w:rFonts w:hint="eastAsia" w:ascii="宋体" w:hAnsi="宋体"/>
                <w:sz w:val="18"/>
                <w:szCs w:val="18"/>
              </w:rPr>
              <w:t>2</w:t>
            </w:r>
          </w:p>
        </w:tc>
        <w:tc>
          <w:tcPr>
            <w:tcW w:w="2345" w:type="pct"/>
            <w:shd w:val="clear" w:color="auto" w:fill="auto"/>
          </w:tcPr>
          <w:p>
            <w:pPr>
              <w:spacing w:line="360" w:lineRule="auto"/>
              <w:rPr>
                <w:rFonts w:ascii="宋体" w:hAnsi="宋体"/>
                <w:sz w:val="18"/>
                <w:szCs w:val="18"/>
              </w:rPr>
            </w:pPr>
            <w:r>
              <w:rPr>
                <w:rFonts w:hint="eastAsia" w:ascii="宋体" w:hAnsi="宋体"/>
                <w:sz w:val="18"/>
                <w:szCs w:val="18"/>
              </w:rPr>
              <w:t>了解微惯性集成测量技术与系统领域背景及经典案例；能够针对复杂工程问题提出具体的微惯性集成测量系统研究思路和分析方法，并完成微惯性测量集成系统设计与测试评估。</w:t>
            </w:r>
          </w:p>
        </w:tc>
        <w:tc>
          <w:tcPr>
            <w:tcW w:w="2288" w:type="pct"/>
            <w:shd w:val="clear" w:color="auto" w:fill="auto"/>
          </w:tcPr>
          <w:p>
            <w:pPr>
              <w:spacing w:line="360" w:lineRule="auto"/>
              <w:rPr>
                <w:rFonts w:ascii="宋体" w:hAnsi="宋体"/>
                <w:sz w:val="18"/>
                <w:szCs w:val="18"/>
              </w:rPr>
            </w:pPr>
            <w:r>
              <w:rPr>
                <w:rFonts w:ascii="宋体" w:hAnsi="宋体"/>
                <w:b/>
                <w:kern w:val="0"/>
                <w:sz w:val="18"/>
                <w:szCs w:val="18"/>
              </w:rPr>
              <w:t xml:space="preserve">指标点4-1 </w:t>
            </w:r>
            <w:r>
              <w:rPr>
                <w:rFonts w:hint="eastAsia" w:ascii="宋体" w:hAnsi="宋体"/>
                <w:b/>
                <w:kern w:val="0"/>
                <w:sz w:val="18"/>
                <w:szCs w:val="18"/>
              </w:rPr>
              <w:t>领域现状认知能力</w:t>
            </w:r>
            <w:r>
              <w:rPr>
                <w:rFonts w:ascii="宋体" w:hAnsi="宋体"/>
                <w:kern w:val="0"/>
                <w:sz w:val="18"/>
                <w:szCs w:val="18"/>
              </w:rPr>
              <w:t>：</w:t>
            </w:r>
            <w:r>
              <w:rPr>
                <w:bCs/>
                <w:sz w:val="18"/>
                <w:szCs w:val="18"/>
              </w:rPr>
              <w:t>了解智能感知工程专业领域背景及经典案例，能够针对复杂工程问题提出研究思路和分析方法，并有意识地将实验结果用于指导解决方案的改善和优化。</w:t>
            </w:r>
          </w:p>
        </w:tc>
      </w:tr>
    </w:tbl>
    <w:p>
      <w:pPr>
        <w:spacing w:line="360" w:lineRule="auto"/>
        <w:ind w:firstLine="420" w:firstLineChars="200"/>
      </w:pPr>
    </w:p>
    <w:p>
      <w:pPr>
        <w:spacing w:line="360" w:lineRule="auto"/>
        <w:rPr>
          <w:rFonts w:ascii="黑体" w:hAnsi="黑体" w:eastAsia="黑体"/>
        </w:rPr>
      </w:pPr>
      <w:r>
        <w:rPr>
          <w:rFonts w:hint="eastAsia" w:ascii="黑体" w:hAnsi="黑体" w:eastAsia="黑体"/>
        </w:rPr>
        <w:t>三、基本要求</w:t>
      </w:r>
    </w:p>
    <w:p>
      <w:pPr>
        <w:spacing w:line="360" w:lineRule="auto"/>
        <w:ind w:firstLine="420" w:firstLineChars="200"/>
        <w:rPr>
          <w:bCs/>
          <w:kern w:val="0"/>
        </w:rPr>
      </w:pPr>
      <w:r>
        <w:rPr>
          <w:bCs/>
          <w:kern w:val="0"/>
        </w:rPr>
        <w:t>1</w:t>
      </w:r>
      <w:r>
        <w:rPr>
          <w:rFonts w:hint="eastAsia"/>
          <w:bCs/>
          <w:kern w:val="0"/>
        </w:rPr>
        <w:t>、</w:t>
      </w:r>
      <w:r>
        <w:rPr>
          <w:bCs/>
          <w:kern w:val="0"/>
        </w:rPr>
        <w:t>本课程为专业课，要求先修</w:t>
      </w:r>
      <w:r>
        <w:rPr>
          <w:rFonts w:hint="eastAsia"/>
          <w:bCs/>
          <w:kern w:val="0"/>
        </w:rPr>
        <w:t>高等数学、传感器原理及其应用、数字电子技术等相关课程</w:t>
      </w:r>
      <w:r>
        <w:rPr>
          <w:bCs/>
          <w:kern w:val="0"/>
        </w:rPr>
        <w:t>，</w:t>
      </w:r>
      <w:r>
        <w:rPr>
          <w:rFonts w:hint="eastAsia"/>
          <w:bCs/>
          <w:kern w:val="0"/>
        </w:rPr>
        <w:t>是一门联系数学和自然科学基本理论、涉及多学科多领域的理论与工程实际紧密结合的课程，通过本课程的学习，培养学生的思维推理能力和分析运算能力和</w:t>
      </w:r>
      <w:r>
        <w:rPr>
          <w:bCs/>
          <w:kern w:val="0"/>
        </w:rPr>
        <w:t>对</w:t>
      </w:r>
      <w:r>
        <w:rPr>
          <w:rFonts w:hint="eastAsia"/>
          <w:bCs/>
          <w:kern w:val="0"/>
        </w:rPr>
        <w:t>惯性测量</w:t>
      </w:r>
      <w:r>
        <w:rPr>
          <w:bCs/>
          <w:kern w:val="0"/>
        </w:rPr>
        <w:t>系统的分析设计能力</w:t>
      </w:r>
      <w:r>
        <w:rPr>
          <w:rFonts w:hint="eastAsia"/>
          <w:bCs/>
          <w:kern w:val="0"/>
        </w:rPr>
        <w:t>，提高学生利用惯性测量方法解决具体工程问题的能力，锻炼学生对复杂工程问题的解决能力。</w:t>
      </w:r>
    </w:p>
    <w:p>
      <w:pPr>
        <w:spacing w:line="360" w:lineRule="auto"/>
        <w:ind w:firstLine="420" w:firstLineChars="200"/>
        <w:rPr>
          <w:bCs/>
          <w:kern w:val="0"/>
        </w:rPr>
      </w:pPr>
      <w:r>
        <w:rPr>
          <w:rFonts w:hint="eastAsia"/>
          <w:bCs/>
          <w:kern w:val="0"/>
        </w:rPr>
        <w:t>2、</w:t>
      </w:r>
      <w:r>
        <w:rPr>
          <w:bCs/>
          <w:kern w:val="0"/>
        </w:rPr>
        <w:t>在教学中应注重基本概念与基础知识的传授，</w:t>
      </w:r>
      <w:r>
        <w:rPr>
          <w:rFonts w:hint="eastAsia"/>
          <w:bCs/>
          <w:kern w:val="0"/>
        </w:rPr>
        <w:t>理论与实践并重，</w:t>
      </w:r>
      <w:r>
        <w:rPr>
          <w:bCs/>
          <w:kern w:val="0"/>
        </w:rPr>
        <w:t>同时运用类比式和启发式教学，使学生掌握最重要的“</w:t>
      </w:r>
      <w:r>
        <w:rPr>
          <w:rFonts w:hint="eastAsia"/>
          <w:bCs/>
          <w:kern w:val="0"/>
        </w:rPr>
        <w:t>微惯性</w:t>
      </w:r>
      <w:r>
        <w:rPr>
          <w:bCs/>
          <w:kern w:val="0"/>
        </w:rPr>
        <w:t>集成测量”概念，</w:t>
      </w:r>
      <w:r>
        <w:rPr>
          <w:rFonts w:hint="eastAsia"/>
          <w:bCs/>
          <w:kern w:val="0"/>
        </w:rPr>
        <w:t>了解</w:t>
      </w:r>
      <w:r>
        <w:rPr>
          <w:bCs/>
          <w:kern w:val="0"/>
        </w:rPr>
        <w:t>微惯性系统的集成设计方法与手段，</w:t>
      </w:r>
      <w:r>
        <w:rPr>
          <w:rFonts w:hint="eastAsia"/>
          <w:bCs/>
          <w:kern w:val="0"/>
        </w:rPr>
        <w:t>在课堂讲授环节和实验环节中将数学运算和数学变换视为基本工具，重点放在对数学理论分析结果的工程物理意义的解释与应用上，</w:t>
      </w:r>
      <w:r>
        <w:rPr>
          <w:bCs/>
          <w:kern w:val="0"/>
        </w:rPr>
        <w:t>以培养学生对</w:t>
      </w:r>
      <w:r>
        <w:rPr>
          <w:rFonts w:hint="eastAsia"/>
          <w:bCs/>
          <w:kern w:val="0"/>
        </w:rPr>
        <w:t>微惯性测量系统</w:t>
      </w:r>
      <w:r>
        <w:rPr>
          <w:bCs/>
          <w:kern w:val="0"/>
        </w:rPr>
        <w:t>的分析设计能力。</w:t>
      </w:r>
    </w:p>
    <w:p>
      <w:pPr>
        <w:spacing w:line="360" w:lineRule="auto"/>
        <w:ind w:firstLine="420" w:firstLineChars="200"/>
        <w:rPr>
          <w:bCs/>
          <w:kern w:val="0"/>
        </w:rPr>
      </w:pPr>
      <w:r>
        <w:rPr>
          <w:rFonts w:hint="eastAsia"/>
          <w:bCs/>
          <w:kern w:val="0"/>
        </w:rPr>
        <w:t>3、</w:t>
      </w:r>
      <w:r>
        <w:rPr>
          <w:bCs/>
          <w:kern w:val="0"/>
        </w:rPr>
        <w:t>教师通过微惯性集成测量系统原理、组成、及设计方法的教学，结合实例，提高学生对惯性测控系统的实际分析与设计能力</w:t>
      </w:r>
      <w:r>
        <w:rPr>
          <w:rFonts w:hint="eastAsia"/>
          <w:bCs/>
          <w:kern w:val="0"/>
        </w:rPr>
        <w:t>；</w:t>
      </w:r>
      <w:r>
        <w:rPr>
          <w:bCs/>
          <w:kern w:val="0"/>
        </w:rPr>
        <w:t>学生通过实验</w:t>
      </w:r>
      <w:r>
        <w:rPr>
          <w:rFonts w:hint="eastAsia"/>
          <w:bCs/>
          <w:kern w:val="0"/>
        </w:rPr>
        <w:t>了解</w:t>
      </w:r>
      <w:r>
        <w:rPr>
          <w:bCs/>
          <w:kern w:val="0"/>
        </w:rPr>
        <w:t>微惯性器件、组件与系统的主要特性参数及其测试方法，</w:t>
      </w:r>
      <w:r>
        <w:rPr>
          <w:rFonts w:hint="eastAsia"/>
          <w:bCs/>
          <w:kern w:val="0"/>
        </w:rPr>
        <w:t>能够</w:t>
      </w:r>
      <w:r>
        <w:rPr>
          <w:bCs/>
          <w:kern w:val="0"/>
        </w:rPr>
        <w:t>根据实际应用需求，选择运用合适的微惯性器件</w:t>
      </w:r>
      <w:r>
        <w:rPr>
          <w:rFonts w:hint="eastAsia"/>
          <w:bCs/>
          <w:kern w:val="0"/>
        </w:rPr>
        <w:t>进行</w:t>
      </w:r>
      <w:r>
        <w:rPr>
          <w:bCs/>
          <w:kern w:val="0"/>
        </w:rPr>
        <w:t>微惯性</w:t>
      </w:r>
      <w:r>
        <w:rPr>
          <w:rFonts w:hint="eastAsia"/>
          <w:bCs/>
          <w:kern w:val="0"/>
        </w:rPr>
        <w:t>集成测量</w:t>
      </w:r>
      <w:r>
        <w:rPr>
          <w:bCs/>
          <w:kern w:val="0"/>
        </w:rPr>
        <w:t>系统</w:t>
      </w:r>
      <w:r>
        <w:rPr>
          <w:rFonts w:hint="eastAsia"/>
          <w:bCs/>
          <w:kern w:val="0"/>
        </w:rPr>
        <w:t>设计</w:t>
      </w:r>
      <w:r>
        <w:rPr>
          <w:bCs/>
          <w:kern w:val="0"/>
        </w:rPr>
        <w:t>。</w:t>
      </w:r>
    </w:p>
    <w:p>
      <w:pPr>
        <w:spacing w:line="360" w:lineRule="auto"/>
        <w:ind w:firstLine="420" w:firstLineChars="200"/>
        <w:rPr>
          <w:bCs/>
          <w:kern w:val="0"/>
        </w:rPr>
      </w:pPr>
      <w:r>
        <w:rPr>
          <w:bCs/>
          <w:kern w:val="0"/>
        </w:rPr>
        <w:t>4</w:t>
      </w:r>
      <w:r>
        <w:rPr>
          <w:rFonts w:hint="eastAsia"/>
          <w:bCs/>
          <w:kern w:val="0"/>
        </w:rPr>
        <w:t>、</w:t>
      </w:r>
      <w:r>
        <w:rPr>
          <w:bCs/>
          <w:kern w:val="0"/>
        </w:rPr>
        <w:t>微惯性集成测量系统</w:t>
      </w:r>
      <w:r>
        <w:rPr>
          <w:rFonts w:hint="eastAsia"/>
          <w:bCs/>
          <w:kern w:val="0"/>
        </w:rPr>
        <w:t>是测控技术</w:t>
      </w:r>
      <w:r>
        <w:rPr>
          <w:bCs/>
          <w:kern w:val="0"/>
        </w:rPr>
        <w:t>在导航定位领域的一种典型应用，因此应重点培养学生对微惯性</w:t>
      </w:r>
      <w:r>
        <w:rPr>
          <w:rFonts w:hint="eastAsia"/>
          <w:bCs/>
          <w:kern w:val="0"/>
        </w:rPr>
        <w:t>集成测量</w:t>
      </w:r>
      <w:r>
        <w:rPr>
          <w:bCs/>
          <w:kern w:val="0"/>
        </w:rPr>
        <w:t>系统的分析</w:t>
      </w:r>
      <w:r>
        <w:rPr>
          <w:rFonts w:hint="eastAsia"/>
          <w:bCs/>
          <w:kern w:val="0"/>
        </w:rPr>
        <w:t>与</w:t>
      </w:r>
      <w:r>
        <w:rPr>
          <w:bCs/>
          <w:kern w:val="0"/>
        </w:rPr>
        <w:t>设计能力，</w:t>
      </w:r>
      <w:r>
        <w:rPr>
          <w:rFonts w:hint="eastAsia"/>
          <w:bCs/>
          <w:kern w:val="0"/>
        </w:rPr>
        <w:t>以及</w:t>
      </w:r>
      <w:r>
        <w:rPr>
          <w:bCs/>
          <w:kern w:val="0"/>
        </w:rPr>
        <w:t>将理论知识运用到实际系统中的技能</w:t>
      </w:r>
      <w:r>
        <w:rPr>
          <w:rFonts w:hint="eastAsia"/>
          <w:bCs/>
          <w:kern w:val="0"/>
        </w:rPr>
        <w:t>。</w:t>
      </w:r>
    </w:p>
    <w:p>
      <w:pPr>
        <w:spacing w:line="360" w:lineRule="auto"/>
        <w:ind w:firstLine="420" w:firstLineChars="200"/>
        <w:rPr>
          <w:bCs/>
          <w:kern w:val="0"/>
        </w:rPr>
      </w:pPr>
      <w:r>
        <w:rPr>
          <w:bCs/>
          <w:kern w:val="0"/>
        </w:rPr>
        <w:t>5</w:t>
      </w:r>
      <w:r>
        <w:rPr>
          <w:rFonts w:hint="eastAsia"/>
          <w:bCs/>
          <w:kern w:val="0"/>
        </w:rPr>
        <w:t>、</w:t>
      </w:r>
      <w:r>
        <w:rPr>
          <w:bCs/>
          <w:kern w:val="0"/>
        </w:rPr>
        <w:t>本课程是一门实践性很强的课程。要求学生通过实验环节把所学的内容巩固和掌握，要求在CAI教室进行授课</w:t>
      </w:r>
      <w:r>
        <w:rPr>
          <w:rFonts w:hint="eastAsia"/>
          <w:bCs/>
          <w:kern w:val="0"/>
        </w:rPr>
        <w:t>，并且教学和实验交替进行，并且辅以针对具体工程问题的综合性报告环节，以提高学生对理论知识的综合运用能力。</w:t>
      </w:r>
    </w:p>
    <w:p>
      <w:pPr>
        <w:spacing w:line="360" w:lineRule="auto"/>
        <w:ind w:firstLine="420" w:firstLineChars="200"/>
        <w:rPr>
          <w:bCs/>
          <w:kern w:val="0"/>
        </w:rPr>
      </w:pPr>
      <w:r>
        <w:rPr>
          <w:rFonts w:hint="eastAsia"/>
          <w:bCs/>
          <w:kern w:val="0"/>
        </w:rPr>
        <w:t>6、深度和广度说明：</w:t>
      </w:r>
      <w:r>
        <w:rPr>
          <w:bCs/>
          <w:kern w:val="0"/>
        </w:rPr>
        <w:t>对微惯性集成测量系统的</w:t>
      </w:r>
      <w:r>
        <w:rPr>
          <w:rFonts w:hint="eastAsia"/>
          <w:bCs/>
          <w:kern w:val="0"/>
        </w:rPr>
        <w:t>基本</w:t>
      </w:r>
      <w:r>
        <w:rPr>
          <w:bCs/>
          <w:kern w:val="0"/>
        </w:rPr>
        <w:t>工作原理、组成结构、设计方法、测试与评价等内容</w:t>
      </w:r>
      <w:r>
        <w:rPr>
          <w:rFonts w:hint="eastAsia"/>
          <w:bCs/>
          <w:kern w:val="0"/>
        </w:rPr>
        <w:t>进行</w:t>
      </w:r>
      <w:r>
        <w:rPr>
          <w:bCs/>
          <w:kern w:val="0"/>
        </w:rPr>
        <w:t>深入讲解，对微惯性器件工作原理只做简单</w:t>
      </w:r>
      <w:r>
        <w:rPr>
          <w:rFonts w:hint="eastAsia"/>
          <w:bCs/>
          <w:kern w:val="0"/>
        </w:rPr>
        <w:t>说明</w:t>
      </w:r>
      <w:r>
        <w:rPr>
          <w:bCs/>
          <w:kern w:val="0"/>
        </w:rPr>
        <w:t>，对国内外典型微惯性器件与系统</w:t>
      </w:r>
      <w:r>
        <w:rPr>
          <w:rFonts w:hint="eastAsia"/>
          <w:bCs/>
          <w:kern w:val="0"/>
        </w:rPr>
        <w:t>应涵盖广些，对</w:t>
      </w:r>
      <w:r>
        <w:rPr>
          <w:bCs/>
          <w:kern w:val="0"/>
        </w:rPr>
        <w:t>微惯性集成测量系统的</w:t>
      </w:r>
      <w:r>
        <w:rPr>
          <w:rFonts w:hint="eastAsia"/>
          <w:bCs/>
          <w:kern w:val="0"/>
        </w:rPr>
        <w:t>设计与应用应</w:t>
      </w:r>
      <w:r>
        <w:rPr>
          <w:bCs/>
          <w:kern w:val="0"/>
        </w:rPr>
        <w:t>重点</w:t>
      </w:r>
      <w:r>
        <w:rPr>
          <w:rFonts w:hint="eastAsia"/>
          <w:bCs/>
          <w:kern w:val="0"/>
        </w:rPr>
        <w:t>讲解，对微惯性器件的设计了解即可；</w:t>
      </w:r>
      <w:r>
        <w:rPr>
          <w:bCs/>
          <w:kern w:val="0"/>
        </w:rPr>
        <w:t>微惯性集成测量原理是进行系统设计与测试分析的基础与核心，在整个微惯性集成测量系统的设计与应用中占有非常重要的地位，因此教师要重点讲授以使学生完全掌握</w:t>
      </w:r>
      <w:r>
        <w:rPr>
          <w:rFonts w:hint="eastAsia"/>
          <w:bCs/>
          <w:kern w:val="0"/>
        </w:rPr>
        <w:t>，并重点讲授其工程实践意义；</w:t>
      </w:r>
      <w:r>
        <w:rPr>
          <w:bCs/>
          <w:kern w:val="0"/>
        </w:rPr>
        <w:t>为了提高学生的学习兴趣，并取得良好的教学效果，教师在知识讲解的过程中要充分利用问题引导、案例分析等多种教学方法，以进一步提高教学质量。</w:t>
      </w:r>
    </w:p>
    <w:p>
      <w:pPr>
        <w:spacing w:line="360" w:lineRule="auto"/>
        <w:ind w:firstLine="420" w:firstLineChars="200"/>
        <w:rPr>
          <w:bCs/>
          <w:kern w:val="0"/>
        </w:rPr>
      </w:pPr>
      <w:r>
        <w:rPr>
          <w:rFonts w:hint="eastAsia"/>
          <w:bCs/>
          <w:kern w:val="0"/>
        </w:rPr>
        <w:t>7、</w:t>
      </w:r>
      <w:r>
        <w:rPr>
          <w:bCs/>
          <w:kern w:val="0"/>
        </w:rPr>
        <w:t>偏差说明：为了鼓励教师引入个人授课风格或者适应技术发展的紧迫性，本课程允许教师授课内容做适当调整，最大正偏差为</w:t>
      </w:r>
      <w:r>
        <w:rPr>
          <w:rFonts w:hint="eastAsia"/>
          <w:bCs/>
          <w:kern w:val="0"/>
        </w:rPr>
        <w:t>10%，不允许负偏差。正偏差通过压缩同等内容的学时数来完成。特殊情况，最大正偏差和置换偏差累计可达到20%，但在开课前要申请专业责任人批准。（正偏差指大纲知识点不变，新增知识点；负偏差是大纲知识点减少；置换偏差是指大纲中部分知识点被其它类似知识点替换）。</w:t>
      </w:r>
    </w:p>
    <w:p>
      <w:pPr>
        <w:ind w:firstLine="420" w:firstLineChars="200"/>
      </w:pPr>
    </w:p>
    <w:p>
      <w:pPr>
        <w:spacing w:line="360" w:lineRule="auto"/>
        <w:rPr>
          <w:rFonts w:ascii="黑体" w:hAnsi="黑体" w:eastAsia="黑体"/>
        </w:rPr>
      </w:pPr>
      <w:r>
        <w:rPr>
          <w:rFonts w:hint="eastAsia" w:ascii="黑体" w:hAnsi="黑体" w:eastAsia="黑体"/>
        </w:rPr>
        <w:t>四、教学内容和教学方法</w:t>
      </w:r>
    </w:p>
    <w:p>
      <w:pPr>
        <w:spacing w:line="360" w:lineRule="auto"/>
        <w:ind w:firstLine="420" w:firstLineChars="200"/>
        <w:rPr>
          <w:bCs/>
          <w:kern w:val="0"/>
        </w:rPr>
      </w:pPr>
      <w:r>
        <w:rPr>
          <w:rFonts w:hint="eastAsia"/>
          <w:bCs/>
          <w:kern w:val="0"/>
        </w:rPr>
        <w:t>本课程重点讲授的内容包括：</w:t>
      </w:r>
      <w:r>
        <w:rPr>
          <w:bCs/>
          <w:kern w:val="0"/>
        </w:rPr>
        <w:t>微惯性集成测量系统基本原理</w:t>
      </w:r>
      <w:r>
        <w:rPr>
          <w:rFonts w:hint="eastAsia"/>
          <w:bCs/>
          <w:kern w:val="0"/>
        </w:rPr>
        <w:t>、</w:t>
      </w:r>
      <w:r>
        <w:rPr>
          <w:bCs/>
          <w:kern w:val="0"/>
        </w:rPr>
        <w:t>组成</w:t>
      </w:r>
      <w:r>
        <w:rPr>
          <w:rFonts w:hint="eastAsia"/>
          <w:bCs/>
          <w:kern w:val="0"/>
        </w:rPr>
        <w:t>结构、</w:t>
      </w:r>
      <w:r>
        <w:rPr>
          <w:bCs/>
          <w:kern w:val="0"/>
        </w:rPr>
        <w:t>设计方法</w:t>
      </w:r>
      <w:r>
        <w:rPr>
          <w:rFonts w:hint="eastAsia"/>
          <w:bCs/>
          <w:kern w:val="0"/>
        </w:rPr>
        <w:t>、及</w:t>
      </w:r>
      <w:r>
        <w:rPr>
          <w:bCs/>
          <w:kern w:val="0"/>
        </w:rPr>
        <w:t>器件级</w:t>
      </w:r>
      <w:r>
        <w:rPr>
          <w:rFonts w:hint="eastAsia"/>
          <w:bCs/>
          <w:kern w:val="0"/>
        </w:rPr>
        <w:t>/</w:t>
      </w:r>
      <w:r>
        <w:rPr>
          <w:bCs/>
          <w:kern w:val="0"/>
        </w:rPr>
        <w:t>组件级</w:t>
      </w:r>
      <w:r>
        <w:rPr>
          <w:rFonts w:hint="eastAsia"/>
          <w:bCs/>
          <w:kern w:val="0"/>
        </w:rPr>
        <w:t>/</w:t>
      </w:r>
      <w:r>
        <w:rPr>
          <w:bCs/>
          <w:kern w:val="0"/>
        </w:rPr>
        <w:t>系统级</w:t>
      </w:r>
      <w:r>
        <w:rPr>
          <w:rFonts w:hint="eastAsia"/>
          <w:bCs/>
          <w:kern w:val="0"/>
        </w:rPr>
        <w:t>的</w:t>
      </w:r>
      <w:r>
        <w:rPr>
          <w:bCs/>
          <w:kern w:val="0"/>
        </w:rPr>
        <w:t>特性参数测试标定方法</w:t>
      </w:r>
      <w:r>
        <w:rPr>
          <w:rFonts w:hint="eastAsia"/>
          <w:bCs/>
          <w:kern w:val="0"/>
        </w:rPr>
        <w:t>。</w:t>
      </w:r>
    </w:p>
    <w:p>
      <w:pPr>
        <w:spacing w:line="360" w:lineRule="auto"/>
        <w:ind w:firstLine="420" w:firstLineChars="200"/>
        <w:rPr>
          <w:bCs/>
          <w:kern w:val="0"/>
        </w:rPr>
      </w:pPr>
      <w:r>
        <w:rPr>
          <w:bCs/>
          <w:kern w:val="0"/>
        </w:rPr>
        <w:t>本课程在教学方法上，充分利用各种媒体教学手段，采取课堂教学、多媒体课件、验证性实验、课外分组实验方式有机结合，提高教学效率。</w:t>
      </w:r>
    </w:p>
    <w:p>
      <w:pPr>
        <w:spacing w:line="360" w:lineRule="auto"/>
        <w:ind w:firstLine="420" w:firstLineChars="200"/>
        <w:rPr>
          <w:bCs/>
          <w:kern w:val="0"/>
        </w:rPr>
      </w:pPr>
      <w:r>
        <w:rPr>
          <w:bCs/>
          <w:kern w:val="0"/>
        </w:rPr>
        <w:t>1）</w:t>
      </w:r>
      <w:r>
        <w:rPr>
          <w:rFonts w:hint="eastAsia"/>
          <w:bCs/>
          <w:kern w:val="0"/>
        </w:rPr>
        <w:t>利用</w:t>
      </w:r>
      <w:r>
        <w:rPr>
          <w:bCs/>
          <w:kern w:val="0"/>
        </w:rPr>
        <w:t>CAI</w:t>
      </w:r>
      <w:r>
        <w:rPr>
          <w:rFonts w:hint="eastAsia"/>
          <w:bCs/>
          <w:kern w:val="0"/>
        </w:rPr>
        <w:t>形式讲授，辅以重要知识点的板书推导与分析，引导学生理解分析思路；</w:t>
      </w:r>
    </w:p>
    <w:p>
      <w:pPr>
        <w:spacing w:line="360" w:lineRule="auto"/>
        <w:ind w:firstLine="420" w:firstLineChars="200"/>
        <w:rPr>
          <w:bCs/>
          <w:kern w:val="0"/>
        </w:rPr>
      </w:pPr>
      <w:r>
        <w:rPr>
          <w:bCs/>
          <w:kern w:val="0"/>
        </w:rPr>
        <w:t>2）</w:t>
      </w:r>
      <w:r>
        <w:rPr>
          <w:rFonts w:hint="eastAsia"/>
          <w:bCs/>
          <w:kern w:val="0"/>
        </w:rPr>
        <w:t>讲授过程和综合性报告中应注重工程实例分析，使学生在运用数学工具分析问题时理解其实际工程含义；</w:t>
      </w:r>
    </w:p>
    <w:p>
      <w:pPr>
        <w:spacing w:line="360" w:lineRule="auto"/>
        <w:ind w:firstLine="420" w:firstLineChars="200"/>
        <w:rPr>
          <w:bCs/>
          <w:kern w:val="0"/>
        </w:rPr>
      </w:pPr>
      <w:r>
        <w:rPr>
          <w:bCs/>
          <w:kern w:val="0"/>
        </w:rPr>
        <w:t>3）</w:t>
      </w:r>
      <w:r>
        <w:rPr>
          <w:rFonts w:hint="eastAsia"/>
          <w:bCs/>
          <w:kern w:val="0"/>
        </w:rPr>
        <w:t>理论讲授和实验中应穿插</w:t>
      </w:r>
      <w:r>
        <w:rPr>
          <w:bCs/>
          <w:kern w:val="0"/>
        </w:rPr>
        <w:t>Matlab</w:t>
      </w:r>
      <w:r>
        <w:rPr>
          <w:rFonts w:hint="eastAsia"/>
          <w:bCs/>
          <w:kern w:val="0"/>
        </w:rPr>
        <w:t>计算机辅助分析和应用知识的介绍。</w:t>
      </w:r>
    </w:p>
    <w:p>
      <w:pPr>
        <w:spacing w:line="360" w:lineRule="auto"/>
        <w:ind w:firstLine="420" w:firstLineChars="200"/>
        <w:rPr>
          <w:rFonts w:ascii="黑体" w:hAnsi="宋体" w:eastAsia="黑体" w:cs="黑体"/>
          <w:snapToGrid w:val="0"/>
          <w:kern w:val="0"/>
        </w:rPr>
      </w:pPr>
      <w:r>
        <w:rPr>
          <w:rFonts w:hint="eastAsia" w:ascii="黑体" w:hAnsi="宋体" w:eastAsia="黑体" w:cs="黑体"/>
          <w:snapToGrid w:val="0"/>
          <w:kern w:val="0"/>
        </w:rPr>
        <w:t>1 微惯性集成测量系统导论（</w:t>
      </w:r>
      <w:r>
        <w:rPr>
          <w:rFonts w:ascii="黑体" w:hAnsi="宋体" w:eastAsia="黑体" w:cs="黑体"/>
          <w:snapToGrid w:val="0"/>
          <w:kern w:val="0"/>
        </w:rPr>
        <w:t>3</w:t>
      </w:r>
      <w:r>
        <w:rPr>
          <w:rFonts w:hint="eastAsia" w:ascii="黑体" w:hAnsi="宋体" w:eastAsia="黑体" w:cs="黑体"/>
          <w:snapToGrid w:val="0"/>
          <w:kern w:val="0"/>
        </w:rPr>
        <w:t>学时）</w:t>
      </w:r>
    </w:p>
    <w:p>
      <w:pPr>
        <w:spacing w:line="360" w:lineRule="auto"/>
        <w:ind w:left="426"/>
        <w:rPr>
          <w:snapToGrid w:val="0"/>
          <w:kern w:val="0"/>
          <w:szCs w:val="21"/>
        </w:rPr>
      </w:pPr>
      <w:r>
        <w:rPr>
          <w:snapToGrid w:val="0"/>
          <w:kern w:val="0"/>
          <w:szCs w:val="21"/>
        </w:rPr>
        <w:t>1.1、本课程在专业课程体系中的地位和作用介绍；</w:t>
      </w:r>
    </w:p>
    <w:p>
      <w:pPr>
        <w:spacing w:line="360" w:lineRule="auto"/>
        <w:ind w:left="426"/>
        <w:rPr>
          <w:snapToGrid w:val="0"/>
          <w:kern w:val="0"/>
          <w:szCs w:val="21"/>
        </w:rPr>
      </w:pPr>
      <w:r>
        <w:rPr>
          <w:snapToGrid w:val="0"/>
          <w:kern w:val="0"/>
          <w:szCs w:val="21"/>
        </w:rPr>
        <w:t>1.2、课程内容、学习方法、讲授方式、评价方式介绍；</w:t>
      </w:r>
    </w:p>
    <w:p>
      <w:pPr>
        <w:spacing w:line="360" w:lineRule="auto"/>
        <w:ind w:left="426"/>
        <w:rPr>
          <w:snapToGrid w:val="0"/>
          <w:kern w:val="0"/>
          <w:szCs w:val="21"/>
        </w:rPr>
      </w:pPr>
      <w:r>
        <w:rPr>
          <w:snapToGrid w:val="0"/>
          <w:kern w:val="0"/>
          <w:szCs w:val="21"/>
        </w:rPr>
        <w:t>1.3、了解</w:t>
      </w:r>
      <w:r>
        <w:rPr>
          <w:bCs/>
          <w:snapToGrid w:val="0"/>
          <w:kern w:val="0"/>
          <w:szCs w:val="21"/>
        </w:rPr>
        <w:t>惯性技术和微惯性器件的发展历程</w:t>
      </w:r>
      <w:r>
        <w:rPr>
          <w:snapToGrid w:val="0"/>
          <w:kern w:val="0"/>
          <w:szCs w:val="21"/>
        </w:rPr>
        <w:t>、</w:t>
      </w:r>
      <w:r>
        <w:rPr>
          <w:bCs/>
          <w:snapToGrid w:val="0"/>
          <w:kern w:val="0"/>
          <w:szCs w:val="21"/>
        </w:rPr>
        <w:t>发展现状及</w:t>
      </w:r>
      <w:r>
        <w:rPr>
          <w:snapToGrid w:val="0"/>
          <w:kern w:val="0"/>
          <w:szCs w:val="21"/>
        </w:rPr>
        <w:t>发展方向。</w:t>
      </w:r>
    </w:p>
    <w:p>
      <w:pPr>
        <w:spacing w:line="360" w:lineRule="auto"/>
        <w:ind w:firstLine="422" w:firstLineChars="200"/>
        <w:rPr>
          <w:rFonts w:ascii="宋体" w:hAnsi="宋体" w:cs="宋体"/>
          <w:snapToGrid w:val="0"/>
          <w:kern w:val="0"/>
        </w:rPr>
      </w:pPr>
      <w:r>
        <w:rPr>
          <w:rFonts w:hint="eastAsia" w:ascii="宋体" w:hAnsi="宋体" w:cs="宋体"/>
          <w:b/>
          <w:snapToGrid w:val="0"/>
          <w:kern w:val="0"/>
        </w:rPr>
        <w:t>重点：</w:t>
      </w:r>
      <w:r>
        <w:rPr>
          <w:rFonts w:hint="eastAsia" w:ascii="宋体" w:hAnsi="宋体" w:cs="宋体"/>
          <w:snapToGrid w:val="0"/>
          <w:kern w:val="0"/>
        </w:rPr>
        <w:t>惯性技术的原理与特点；微惯性器件的原理与特性。</w:t>
      </w:r>
    </w:p>
    <w:p>
      <w:pPr>
        <w:spacing w:line="360" w:lineRule="auto"/>
        <w:ind w:firstLine="422" w:firstLineChars="200"/>
        <w:rPr>
          <w:rFonts w:ascii="宋体" w:hAnsi="宋体" w:cs="宋体"/>
          <w:snapToGrid w:val="0"/>
          <w:kern w:val="0"/>
        </w:rPr>
      </w:pPr>
      <w:r>
        <w:rPr>
          <w:rFonts w:hint="eastAsia" w:ascii="宋体" w:hAnsi="宋体" w:cs="宋体"/>
          <w:b/>
          <w:snapToGrid w:val="0"/>
          <w:kern w:val="0"/>
        </w:rPr>
        <w:t>难点：</w:t>
      </w:r>
      <w:r>
        <w:rPr>
          <w:rFonts w:hint="eastAsia" w:ascii="宋体" w:hAnsi="宋体" w:cs="宋体"/>
          <w:snapToGrid w:val="0"/>
          <w:kern w:val="0"/>
        </w:rPr>
        <w:t>惯性技术和微惯性器件的发展方向与实际应用。</w:t>
      </w:r>
    </w:p>
    <w:p>
      <w:pPr>
        <w:spacing w:line="360" w:lineRule="auto"/>
        <w:ind w:firstLine="422" w:firstLineChars="200"/>
        <w:rPr>
          <w:rFonts w:ascii="宋体" w:hAnsi="宋体" w:cs="宋体"/>
          <w:snapToGrid w:val="0"/>
          <w:kern w:val="0"/>
        </w:rPr>
      </w:pPr>
      <w:r>
        <w:rPr>
          <w:rFonts w:hint="eastAsia" w:ascii="宋体" w:hAnsi="宋体" w:cs="宋体"/>
          <w:b/>
          <w:snapToGrid w:val="0"/>
          <w:kern w:val="0"/>
        </w:rPr>
        <w:t>课程思政元素：</w:t>
      </w:r>
      <w:r>
        <w:rPr>
          <w:rFonts w:hint="eastAsia" w:ascii="宋体" w:hAnsi="宋体" w:cs="宋体"/>
          <w:snapToGrid w:val="0"/>
          <w:kern w:val="0"/>
        </w:rPr>
        <w:t>结合微惯性集成测量系统的分类、原理及发展，引导学生深入理解马克思辩证唯物主义的系统观中坚持用联系的、发展的、全面的观点看世界，并用发展的眼光看待问题。</w:t>
      </w:r>
    </w:p>
    <w:p>
      <w:pPr>
        <w:spacing w:line="360" w:lineRule="auto"/>
        <w:ind w:firstLine="422" w:firstLineChars="200"/>
        <w:rPr>
          <w:rFonts w:ascii="宋体" w:hAnsi="宋体" w:cs="宋体"/>
          <w:snapToGrid w:val="0"/>
          <w:kern w:val="0"/>
        </w:rPr>
      </w:pPr>
      <w:r>
        <w:rPr>
          <w:rFonts w:hint="eastAsia" w:ascii="宋体" w:hAnsi="宋体" w:cs="宋体"/>
          <w:b/>
          <w:snapToGrid w:val="0"/>
          <w:kern w:val="0"/>
        </w:rPr>
        <w:t>教学方式：</w:t>
      </w:r>
      <w:r>
        <w:rPr>
          <w:rFonts w:hint="eastAsia" w:ascii="宋体" w:hAnsi="宋体" w:cs="宋体"/>
          <w:snapToGrid w:val="0"/>
          <w:kern w:val="0"/>
        </w:rPr>
        <w:t>课堂教学</w:t>
      </w:r>
      <w:r>
        <w:rPr>
          <w:rFonts w:ascii="宋体" w:hAnsi="宋体" w:cs="宋体"/>
          <w:snapToGrid w:val="0"/>
          <w:kern w:val="0"/>
        </w:rPr>
        <w:t>3</w:t>
      </w:r>
      <w:r>
        <w:rPr>
          <w:rFonts w:hint="eastAsia" w:ascii="宋体" w:hAnsi="宋体" w:cs="宋体"/>
          <w:snapToGrid w:val="0"/>
          <w:kern w:val="0"/>
        </w:rPr>
        <w:t>学时。</w:t>
      </w:r>
    </w:p>
    <w:p>
      <w:pPr>
        <w:spacing w:line="360" w:lineRule="auto"/>
        <w:ind w:firstLine="420" w:firstLineChars="200"/>
        <w:rPr>
          <w:rFonts w:ascii="宋体" w:hAnsi="宋体" w:cs="宋体"/>
          <w:bCs/>
          <w:snapToGrid w:val="0"/>
          <w:kern w:val="0"/>
        </w:rPr>
      </w:pPr>
      <w:r>
        <w:rPr>
          <w:rFonts w:cs="宋体"/>
          <w:bCs/>
          <w:snapToGrid w:val="0"/>
          <w:kern w:val="0"/>
          <w:szCs w:val="21"/>
        </w:rPr>
        <w:t>本章内容支撑课程目标</w:t>
      </w:r>
      <w:r>
        <w:rPr>
          <w:rFonts w:hint="eastAsia" w:cs="宋体"/>
          <w:bCs/>
          <w:snapToGrid w:val="0"/>
          <w:kern w:val="0"/>
          <w:szCs w:val="21"/>
        </w:rPr>
        <w:t>1。</w:t>
      </w:r>
    </w:p>
    <w:p>
      <w:pPr>
        <w:spacing w:line="360" w:lineRule="auto"/>
        <w:ind w:firstLine="420" w:firstLineChars="200"/>
        <w:rPr>
          <w:rFonts w:ascii="黑体" w:hAnsi="宋体" w:eastAsia="黑体" w:cs="黑体"/>
          <w:snapToGrid w:val="0"/>
          <w:kern w:val="0"/>
        </w:rPr>
      </w:pPr>
      <w:r>
        <w:rPr>
          <w:rFonts w:hint="eastAsia" w:ascii="黑体" w:hAnsi="宋体" w:eastAsia="黑体" w:cs="黑体"/>
          <w:snapToGrid w:val="0"/>
          <w:kern w:val="0"/>
        </w:rPr>
        <w:t>2 微惯性集成测量系统基础知识（3学时）</w:t>
      </w:r>
    </w:p>
    <w:p>
      <w:pPr>
        <w:spacing w:line="360" w:lineRule="auto"/>
        <w:ind w:left="426"/>
        <w:rPr>
          <w:snapToGrid w:val="0"/>
          <w:kern w:val="0"/>
          <w:szCs w:val="21"/>
        </w:rPr>
      </w:pPr>
      <w:r>
        <w:rPr>
          <w:snapToGrid w:val="0"/>
          <w:kern w:val="0"/>
          <w:szCs w:val="21"/>
        </w:rPr>
        <w:t>2.1、了解地球形状的不同近似模型及重力场特性；</w:t>
      </w:r>
    </w:p>
    <w:p>
      <w:pPr>
        <w:spacing w:line="360" w:lineRule="auto"/>
        <w:ind w:left="426"/>
        <w:rPr>
          <w:snapToGrid w:val="0"/>
          <w:kern w:val="0"/>
          <w:szCs w:val="21"/>
        </w:rPr>
      </w:pPr>
      <w:r>
        <w:rPr>
          <w:snapToGrid w:val="0"/>
          <w:kern w:val="0"/>
          <w:szCs w:val="21"/>
        </w:rPr>
        <w:t>2.2、理解垂线与纬度的概念；</w:t>
      </w:r>
    </w:p>
    <w:p>
      <w:pPr>
        <w:spacing w:line="360" w:lineRule="auto"/>
        <w:ind w:left="426"/>
        <w:rPr>
          <w:snapToGrid w:val="0"/>
          <w:kern w:val="0"/>
          <w:szCs w:val="21"/>
        </w:rPr>
      </w:pPr>
      <w:r>
        <w:rPr>
          <w:snapToGrid w:val="0"/>
          <w:kern w:val="0"/>
          <w:szCs w:val="21"/>
        </w:rPr>
        <w:t>2.3、了解地球的自转运动及自转角速度；</w:t>
      </w:r>
    </w:p>
    <w:p>
      <w:pPr>
        <w:spacing w:line="360" w:lineRule="auto"/>
        <w:ind w:left="426"/>
        <w:rPr>
          <w:snapToGrid w:val="0"/>
          <w:kern w:val="0"/>
          <w:szCs w:val="21"/>
        </w:rPr>
      </w:pPr>
      <w:r>
        <w:rPr>
          <w:snapToGrid w:val="0"/>
          <w:kern w:val="0"/>
          <w:szCs w:val="21"/>
        </w:rPr>
        <w:t>2.4、</w:t>
      </w:r>
      <w:r>
        <w:rPr>
          <w:rFonts w:hint="eastAsia"/>
          <w:snapToGrid w:val="0"/>
          <w:kern w:val="0"/>
          <w:szCs w:val="21"/>
        </w:rPr>
        <w:t>应用</w:t>
      </w:r>
      <w:r>
        <w:rPr>
          <w:snapToGrid w:val="0"/>
          <w:kern w:val="0"/>
          <w:szCs w:val="21"/>
        </w:rPr>
        <w:t>微惯性集成测量系统常用坐标系；</w:t>
      </w:r>
    </w:p>
    <w:p>
      <w:pPr>
        <w:spacing w:line="360" w:lineRule="auto"/>
        <w:ind w:left="426"/>
        <w:rPr>
          <w:snapToGrid w:val="0"/>
          <w:kern w:val="0"/>
          <w:szCs w:val="21"/>
        </w:rPr>
      </w:pPr>
      <w:r>
        <w:rPr>
          <w:snapToGrid w:val="0"/>
          <w:kern w:val="0"/>
          <w:szCs w:val="21"/>
        </w:rPr>
        <w:t>2.5、</w:t>
      </w:r>
      <w:r>
        <w:rPr>
          <w:rFonts w:hint="eastAsia"/>
          <w:snapToGrid w:val="0"/>
          <w:kern w:val="0"/>
          <w:szCs w:val="21"/>
        </w:rPr>
        <w:t>学会</w:t>
      </w:r>
      <w:r>
        <w:rPr>
          <w:snapToGrid w:val="0"/>
          <w:kern w:val="0"/>
          <w:szCs w:val="21"/>
        </w:rPr>
        <w:t>不同坐标系之间的关系及变换方法；</w:t>
      </w:r>
    </w:p>
    <w:p>
      <w:pPr>
        <w:spacing w:line="360" w:lineRule="auto"/>
        <w:ind w:left="426"/>
        <w:rPr>
          <w:snapToGrid w:val="0"/>
          <w:kern w:val="0"/>
          <w:szCs w:val="21"/>
        </w:rPr>
      </w:pPr>
      <w:r>
        <w:rPr>
          <w:snapToGrid w:val="0"/>
          <w:kern w:val="0"/>
          <w:szCs w:val="21"/>
        </w:rPr>
        <w:t>2.6、理解哥氏加速度、绝对加速度与比力加速度的概念</w:t>
      </w:r>
      <w:r>
        <w:rPr>
          <w:rFonts w:hint="eastAsia"/>
          <w:snapToGrid w:val="0"/>
          <w:kern w:val="0"/>
          <w:szCs w:val="21"/>
        </w:rPr>
        <w:t>。</w:t>
      </w:r>
    </w:p>
    <w:p>
      <w:pPr>
        <w:spacing w:line="360" w:lineRule="auto"/>
        <w:ind w:left="424" w:leftChars="202"/>
        <w:rPr>
          <w:rFonts w:ascii="宋体" w:hAnsi="宋体" w:cs="宋体"/>
          <w:snapToGrid w:val="0"/>
          <w:kern w:val="0"/>
        </w:rPr>
      </w:pPr>
      <w:r>
        <w:rPr>
          <w:rFonts w:hint="eastAsia" w:ascii="宋体" w:hAnsi="宋体" w:cs="宋体"/>
          <w:b/>
          <w:snapToGrid w:val="0"/>
          <w:kern w:val="0"/>
        </w:rPr>
        <w:t>重点：</w:t>
      </w:r>
      <w:r>
        <w:rPr>
          <w:snapToGrid w:val="0"/>
          <w:kern w:val="0"/>
          <w:szCs w:val="21"/>
        </w:rPr>
        <w:t>微惯性集成测量系统常用坐标系</w:t>
      </w:r>
      <w:r>
        <w:rPr>
          <w:rFonts w:hint="eastAsia"/>
          <w:snapToGrid w:val="0"/>
          <w:kern w:val="0"/>
          <w:szCs w:val="21"/>
        </w:rPr>
        <w:t>及不同坐标系之间的变换方法。</w:t>
      </w:r>
    </w:p>
    <w:p>
      <w:pPr>
        <w:spacing w:line="360" w:lineRule="auto"/>
        <w:ind w:left="424" w:leftChars="202"/>
        <w:rPr>
          <w:snapToGrid w:val="0"/>
          <w:kern w:val="0"/>
          <w:szCs w:val="21"/>
        </w:rPr>
      </w:pPr>
      <w:r>
        <w:rPr>
          <w:rFonts w:hint="eastAsia" w:ascii="宋体" w:hAnsi="宋体" w:cs="宋体"/>
          <w:b/>
          <w:snapToGrid w:val="0"/>
          <w:kern w:val="0"/>
        </w:rPr>
        <w:t>难点：</w:t>
      </w:r>
      <w:r>
        <w:rPr>
          <w:snapToGrid w:val="0"/>
          <w:kern w:val="0"/>
          <w:szCs w:val="21"/>
        </w:rPr>
        <w:t>哥氏加速度</w:t>
      </w:r>
      <w:r>
        <w:rPr>
          <w:rFonts w:hint="eastAsia"/>
          <w:snapToGrid w:val="0"/>
          <w:kern w:val="0"/>
          <w:szCs w:val="21"/>
        </w:rPr>
        <w:t>的概念与计算</w:t>
      </w:r>
      <w:r>
        <w:rPr>
          <w:rFonts w:hint="eastAsia" w:ascii="宋体" w:hAnsi="宋体" w:cs="宋体"/>
          <w:snapToGrid w:val="0"/>
          <w:kern w:val="0"/>
        </w:rPr>
        <w:t>；</w:t>
      </w:r>
      <w:r>
        <w:rPr>
          <w:snapToGrid w:val="0"/>
          <w:kern w:val="0"/>
          <w:szCs w:val="21"/>
        </w:rPr>
        <w:t>绝对加速度与比力加速度</w:t>
      </w:r>
      <w:r>
        <w:rPr>
          <w:rFonts w:hint="eastAsia"/>
          <w:snapToGrid w:val="0"/>
          <w:kern w:val="0"/>
          <w:szCs w:val="21"/>
        </w:rPr>
        <w:t>的概念及计算。</w:t>
      </w:r>
    </w:p>
    <w:p>
      <w:pPr>
        <w:spacing w:line="360" w:lineRule="auto"/>
        <w:ind w:left="424" w:leftChars="202"/>
        <w:rPr>
          <w:snapToGrid w:val="0"/>
          <w:kern w:val="0"/>
          <w:szCs w:val="21"/>
        </w:rPr>
      </w:pPr>
      <w:r>
        <w:rPr>
          <w:rFonts w:hint="eastAsia" w:ascii="宋体" w:hAnsi="宋体" w:cs="宋体"/>
          <w:b/>
          <w:snapToGrid w:val="0"/>
          <w:kern w:val="0"/>
        </w:rPr>
        <w:t>课程思政元素：</w:t>
      </w:r>
      <w:r>
        <w:rPr>
          <w:rFonts w:hint="eastAsia" w:ascii="宋体" w:hAnsi="宋体" w:cs="宋体"/>
          <w:snapToGrid w:val="0"/>
          <w:kern w:val="0"/>
        </w:rPr>
        <w:t>结合地球及重力场客观规律特性、不同坐标系转换关系，引导学生深入理解马克思辩证唯物主义的系统观中普遍联系的观点、个体与整体的关系，体现马克思主义的理论自信，并尊重客观规律，从实际出发，努力认识和把握事物的发展规律。</w:t>
      </w:r>
    </w:p>
    <w:p>
      <w:pPr>
        <w:spacing w:line="360" w:lineRule="auto"/>
        <w:ind w:firstLine="422" w:firstLineChars="200"/>
        <w:rPr>
          <w:rFonts w:ascii="宋体" w:hAnsi="宋体" w:cs="宋体"/>
          <w:snapToGrid w:val="0"/>
          <w:kern w:val="0"/>
        </w:rPr>
      </w:pPr>
      <w:r>
        <w:rPr>
          <w:rFonts w:hint="eastAsia" w:ascii="宋体" w:hAnsi="宋体" w:cs="宋体"/>
          <w:b/>
          <w:snapToGrid w:val="0"/>
          <w:kern w:val="0"/>
        </w:rPr>
        <w:t>教学方式：</w:t>
      </w:r>
      <w:r>
        <w:rPr>
          <w:rFonts w:hint="eastAsia" w:ascii="宋体" w:hAnsi="宋体" w:cs="宋体"/>
          <w:snapToGrid w:val="0"/>
          <w:kern w:val="0"/>
        </w:rPr>
        <w:t>课堂讲授3学时。</w:t>
      </w:r>
    </w:p>
    <w:p>
      <w:pPr>
        <w:spacing w:line="360" w:lineRule="auto"/>
        <w:ind w:firstLine="420" w:firstLineChars="200"/>
        <w:rPr>
          <w:rFonts w:ascii="宋体" w:hAnsi="宋体" w:cs="宋体"/>
          <w:bCs/>
          <w:snapToGrid w:val="0"/>
          <w:kern w:val="0"/>
        </w:rPr>
      </w:pPr>
      <w:r>
        <w:rPr>
          <w:rFonts w:cs="宋体"/>
          <w:bCs/>
          <w:snapToGrid w:val="0"/>
          <w:kern w:val="0"/>
          <w:szCs w:val="21"/>
        </w:rPr>
        <w:t>本章内容支撑课程目标</w:t>
      </w:r>
      <w:r>
        <w:rPr>
          <w:rFonts w:hint="eastAsia" w:cs="宋体"/>
          <w:bCs/>
          <w:snapToGrid w:val="0"/>
          <w:kern w:val="0"/>
          <w:szCs w:val="21"/>
        </w:rPr>
        <w:t>1。</w:t>
      </w:r>
    </w:p>
    <w:p>
      <w:pPr>
        <w:spacing w:line="360" w:lineRule="auto"/>
        <w:ind w:firstLine="420" w:firstLineChars="200"/>
        <w:rPr>
          <w:rFonts w:ascii="黑体" w:hAnsi="宋体" w:eastAsia="黑体" w:cs="黑体"/>
          <w:snapToGrid w:val="0"/>
          <w:kern w:val="0"/>
        </w:rPr>
      </w:pPr>
      <w:r>
        <w:rPr>
          <w:rFonts w:hint="eastAsia" w:ascii="黑体" w:hAnsi="宋体" w:eastAsia="黑体" w:cs="黑体"/>
          <w:snapToGrid w:val="0"/>
          <w:kern w:val="0"/>
        </w:rPr>
        <w:t>3 微惯性集成测量系统基本原理（6学时）</w:t>
      </w:r>
    </w:p>
    <w:p>
      <w:pPr>
        <w:spacing w:line="360" w:lineRule="auto"/>
        <w:ind w:left="426"/>
        <w:rPr>
          <w:bCs/>
          <w:snapToGrid w:val="0"/>
          <w:kern w:val="0"/>
          <w:szCs w:val="21"/>
        </w:rPr>
      </w:pPr>
      <w:r>
        <w:rPr>
          <w:bCs/>
          <w:snapToGrid w:val="0"/>
          <w:kern w:val="0"/>
          <w:szCs w:val="21"/>
        </w:rPr>
        <w:t>3.1、理解二维捷联式微惯性集成测量系统基本工作原理；</w:t>
      </w:r>
    </w:p>
    <w:p>
      <w:pPr>
        <w:spacing w:line="360" w:lineRule="auto"/>
        <w:ind w:left="426"/>
        <w:rPr>
          <w:bCs/>
          <w:snapToGrid w:val="0"/>
          <w:kern w:val="0"/>
          <w:szCs w:val="21"/>
        </w:rPr>
      </w:pPr>
      <w:r>
        <w:rPr>
          <w:bCs/>
          <w:snapToGrid w:val="0"/>
          <w:kern w:val="0"/>
          <w:szCs w:val="21"/>
        </w:rPr>
        <w:t>3.2、</w:t>
      </w:r>
      <w:r>
        <w:rPr>
          <w:rFonts w:hint="eastAsia"/>
          <w:bCs/>
          <w:snapToGrid w:val="0"/>
          <w:kern w:val="0"/>
          <w:szCs w:val="21"/>
        </w:rPr>
        <w:t>理解</w:t>
      </w:r>
      <w:r>
        <w:rPr>
          <w:bCs/>
          <w:snapToGrid w:val="0"/>
          <w:kern w:val="0"/>
          <w:szCs w:val="21"/>
        </w:rPr>
        <w:t>三维捷联式微惯性集成测量系统基本工作原理；</w:t>
      </w:r>
    </w:p>
    <w:p>
      <w:pPr>
        <w:spacing w:line="360" w:lineRule="auto"/>
        <w:ind w:left="426"/>
        <w:rPr>
          <w:bCs/>
          <w:snapToGrid w:val="0"/>
          <w:kern w:val="0"/>
          <w:szCs w:val="21"/>
        </w:rPr>
      </w:pPr>
      <w:r>
        <w:rPr>
          <w:bCs/>
          <w:snapToGrid w:val="0"/>
          <w:kern w:val="0"/>
          <w:szCs w:val="21"/>
        </w:rPr>
        <w:t>3.3、</w:t>
      </w:r>
      <w:r>
        <w:rPr>
          <w:rFonts w:hint="eastAsia"/>
          <w:bCs/>
          <w:snapToGrid w:val="0"/>
          <w:kern w:val="0"/>
          <w:szCs w:val="21"/>
        </w:rPr>
        <w:t>掌握</w:t>
      </w:r>
      <w:r>
        <w:rPr>
          <w:bCs/>
          <w:snapToGrid w:val="0"/>
          <w:kern w:val="0"/>
          <w:szCs w:val="21"/>
        </w:rPr>
        <w:t>捷联式微惯性集成测量系统机械编排方法；</w:t>
      </w:r>
    </w:p>
    <w:p>
      <w:pPr>
        <w:spacing w:line="360" w:lineRule="auto"/>
        <w:ind w:left="426"/>
        <w:rPr>
          <w:bCs/>
          <w:snapToGrid w:val="0"/>
          <w:kern w:val="0"/>
          <w:szCs w:val="21"/>
        </w:rPr>
      </w:pPr>
      <w:r>
        <w:rPr>
          <w:bCs/>
          <w:snapToGrid w:val="0"/>
          <w:kern w:val="0"/>
          <w:szCs w:val="21"/>
        </w:rPr>
        <w:t>3.4、</w:t>
      </w:r>
      <w:r>
        <w:rPr>
          <w:rFonts w:hint="eastAsia"/>
          <w:bCs/>
          <w:snapToGrid w:val="0"/>
          <w:kern w:val="0"/>
          <w:szCs w:val="21"/>
        </w:rPr>
        <w:t>掌握</w:t>
      </w:r>
      <w:r>
        <w:rPr>
          <w:bCs/>
          <w:snapToGrid w:val="0"/>
          <w:kern w:val="0"/>
          <w:szCs w:val="21"/>
        </w:rPr>
        <w:t>捷联姿态表示方法；</w:t>
      </w:r>
    </w:p>
    <w:p>
      <w:pPr>
        <w:spacing w:line="360" w:lineRule="auto"/>
        <w:ind w:left="426"/>
        <w:rPr>
          <w:bCs/>
          <w:snapToGrid w:val="0"/>
          <w:kern w:val="0"/>
          <w:szCs w:val="21"/>
        </w:rPr>
      </w:pPr>
      <w:r>
        <w:rPr>
          <w:bCs/>
          <w:snapToGrid w:val="0"/>
          <w:kern w:val="0"/>
          <w:szCs w:val="21"/>
        </w:rPr>
        <w:t>3.5、</w:t>
      </w:r>
      <w:r>
        <w:rPr>
          <w:rFonts w:hint="eastAsia"/>
          <w:bCs/>
          <w:snapToGrid w:val="0"/>
          <w:kern w:val="0"/>
          <w:szCs w:val="21"/>
        </w:rPr>
        <w:t>掌握</w:t>
      </w:r>
      <w:r>
        <w:rPr>
          <w:bCs/>
          <w:snapToGrid w:val="0"/>
          <w:kern w:val="0"/>
          <w:szCs w:val="21"/>
        </w:rPr>
        <w:t>捷联姿态矩阵更新方法；</w:t>
      </w:r>
    </w:p>
    <w:p>
      <w:pPr>
        <w:spacing w:line="360" w:lineRule="auto"/>
        <w:ind w:left="426"/>
        <w:rPr>
          <w:bCs/>
          <w:snapToGrid w:val="0"/>
          <w:kern w:val="0"/>
          <w:szCs w:val="21"/>
        </w:rPr>
      </w:pPr>
      <w:r>
        <w:rPr>
          <w:bCs/>
          <w:snapToGrid w:val="0"/>
          <w:kern w:val="0"/>
          <w:szCs w:val="21"/>
        </w:rPr>
        <w:t>3.6、</w:t>
      </w:r>
      <w:r>
        <w:rPr>
          <w:rFonts w:hint="eastAsia"/>
          <w:bCs/>
          <w:snapToGrid w:val="0"/>
          <w:kern w:val="0"/>
          <w:szCs w:val="21"/>
        </w:rPr>
        <w:t>掌握</w:t>
      </w:r>
      <w:r>
        <w:rPr>
          <w:bCs/>
          <w:snapToGrid w:val="0"/>
          <w:kern w:val="0"/>
          <w:szCs w:val="21"/>
        </w:rPr>
        <w:t>导航方程计算方法；</w:t>
      </w:r>
    </w:p>
    <w:p>
      <w:pPr>
        <w:spacing w:line="360" w:lineRule="auto"/>
        <w:ind w:left="426"/>
        <w:rPr>
          <w:bCs/>
          <w:snapToGrid w:val="0"/>
          <w:kern w:val="0"/>
          <w:szCs w:val="21"/>
        </w:rPr>
      </w:pPr>
      <w:r>
        <w:rPr>
          <w:bCs/>
          <w:snapToGrid w:val="0"/>
          <w:kern w:val="0"/>
          <w:szCs w:val="21"/>
        </w:rPr>
        <w:t>3.7、了解微惯性集成测量系统初始对准方法。</w:t>
      </w:r>
    </w:p>
    <w:p>
      <w:pPr>
        <w:spacing w:line="360" w:lineRule="auto"/>
        <w:ind w:left="424" w:leftChars="202"/>
        <w:rPr>
          <w:rFonts w:ascii="宋体" w:hAnsi="宋体" w:cs="宋体"/>
          <w:snapToGrid w:val="0"/>
          <w:kern w:val="0"/>
        </w:rPr>
      </w:pPr>
      <w:r>
        <w:rPr>
          <w:rFonts w:hint="eastAsia" w:ascii="宋体" w:hAnsi="宋体" w:cs="宋体"/>
          <w:b/>
          <w:snapToGrid w:val="0"/>
          <w:kern w:val="0"/>
        </w:rPr>
        <w:t>重点：</w:t>
      </w:r>
      <w:r>
        <w:rPr>
          <w:bCs/>
          <w:snapToGrid w:val="0"/>
          <w:kern w:val="0"/>
          <w:szCs w:val="21"/>
        </w:rPr>
        <w:t>三维捷联式微惯性集成测量系统基本工作原理</w:t>
      </w:r>
      <w:r>
        <w:rPr>
          <w:rFonts w:hint="eastAsia"/>
          <w:bCs/>
          <w:snapToGrid w:val="0"/>
          <w:kern w:val="0"/>
          <w:szCs w:val="21"/>
        </w:rPr>
        <w:t>及</w:t>
      </w:r>
      <w:r>
        <w:rPr>
          <w:bCs/>
          <w:snapToGrid w:val="0"/>
          <w:kern w:val="0"/>
          <w:szCs w:val="21"/>
        </w:rPr>
        <w:t>捷联姿态矩阵更新方法</w:t>
      </w:r>
      <w:r>
        <w:rPr>
          <w:rFonts w:hint="eastAsia" w:ascii="宋体" w:hAnsi="宋体" w:cs="宋体"/>
          <w:snapToGrid w:val="0"/>
          <w:kern w:val="0"/>
        </w:rPr>
        <w:t>。</w:t>
      </w:r>
    </w:p>
    <w:p>
      <w:pPr>
        <w:spacing w:line="360" w:lineRule="auto"/>
        <w:ind w:firstLine="422" w:firstLineChars="200"/>
        <w:rPr>
          <w:rFonts w:ascii="宋体" w:hAnsi="宋体" w:cs="宋体"/>
          <w:snapToGrid w:val="0"/>
          <w:kern w:val="0"/>
        </w:rPr>
      </w:pPr>
      <w:r>
        <w:rPr>
          <w:rFonts w:hint="eastAsia" w:ascii="宋体" w:hAnsi="宋体" w:cs="宋体"/>
          <w:b/>
          <w:snapToGrid w:val="0"/>
          <w:kern w:val="0"/>
        </w:rPr>
        <w:t>难点：</w:t>
      </w:r>
      <w:r>
        <w:rPr>
          <w:bCs/>
          <w:snapToGrid w:val="0"/>
          <w:kern w:val="0"/>
          <w:szCs w:val="21"/>
        </w:rPr>
        <w:t>捷联式微惯性集成测量系统机械编排</w:t>
      </w:r>
      <w:r>
        <w:rPr>
          <w:rFonts w:hint="eastAsia"/>
          <w:bCs/>
          <w:snapToGrid w:val="0"/>
          <w:kern w:val="0"/>
          <w:szCs w:val="21"/>
        </w:rPr>
        <w:t>及导航计算方法</w:t>
      </w:r>
      <w:r>
        <w:rPr>
          <w:rFonts w:hint="eastAsia" w:ascii="宋体" w:hAnsi="宋体" w:cs="宋体"/>
          <w:snapToGrid w:val="0"/>
          <w:kern w:val="0"/>
        </w:rPr>
        <w:t>。</w:t>
      </w:r>
    </w:p>
    <w:p>
      <w:pPr>
        <w:spacing w:line="360" w:lineRule="auto"/>
        <w:ind w:firstLine="422" w:firstLineChars="200"/>
        <w:rPr>
          <w:rFonts w:ascii="宋体" w:hAnsi="宋体" w:cs="宋体"/>
          <w:b/>
          <w:bCs/>
          <w:snapToGrid w:val="0"/>
          <w:kern w:val="0"/>
        </w:rPr>
      </w:pPr>
      <w:r>
        <w:rPr>
          <w:rFonts w:hint="eastAsia" w:ascii="宋体" w:hAnsi="宋体" w:cs="宋体"/>
          <w:b/>
          <w:snapToGrid w:val="0"/>
          <w:kern w:val="0"/>
        </w:rPr>
        <w:t>课程思政元素：</w:t>
      </w:r>
      <w:r>
        <w:rPr>
          <w:rFonts w:hint="eastAsia" w:ascii="宋体" w:hAnsi="宋体" w:cs="宋体"/>
          <w:snapToGrid w:val="0"/>
          <w:kern w:val="0"/>
        </w:rPr>
        <w:t>结合</w:t>
      </w:r>
      <w:r>
        <w:rPr>
          <w:bCs/>
          <w:snapToGrid w:val="0"/>
          <w:kern w:val="0"/>
          <w:szCs w:val="21"/>
        </w:rPr>
        <w:t>微惯性集成测量系统基本工作原理</w:t>
      </w:r>
      <w:r>
        <w:rPr>
          <w:rFonts w:hint="eastAsia" w:ascii="宋体" w:hAnsi="宋体" w:cs="宋体"/>
          <w:snapToGrid w:val="0"/>
          <w:kern w:val="0"/>
        </w:rPr>
        <w:t>、</w:t>
      </w:r>
      <w:r>
        <w:rPr>
          <w:bCs/>
          <w:snapToGrid w:val="0"/>
          <w:kern w:val="0"/>
          <w:szCs w:val="21"/>
        </w:rPr>
        <w:t>捷联姿态矩阵更新方法</w:t>
      </w:r>
      <w:r>
        <w:rPr>
          <w:rFonts w:hint="eastAsia" w:ascii="宋体" w:hAnsi="宋体" w:cs="宋体"/>
          <w:snapToGrid w:val="0"/>
          <w:kern w:val="0"/>
        </w:rPr>
        <w:t>，引导学生深入理解马克思主义的系统观中量变与质变的辩</w:t>
      </w:r>
      <w:r>
        <w:rPr>
          <w:rFonts w:hint="eastAsia"/>
          <w:bCs/>
          <w:snapToGrid w:val="0"/>
          <w:kern w:val="0"/>
          <w:szCs w:val="21"/>
        </w:rPr>
        <w:t>证关系。</w:t>
      </w:r>
      <w:r>
        <w:rPr>
          <w:bCs/>
          <w:snapToGrid w:val="0"/>
          <w:kern w:val="0"/>
          <w:szCs w:val="21"/>
        </w:rPr>
        <w:t>量变和质变是不同的，是事物发展中的两种状态，两种形式，但二者又是统一的。它们的统一表现在量变和质变</w:t>
      </w:r>
      <w:r>
        <w:fldChar w:fldCharType="begin"/>
      </w:r>
      <w:r>
        <w:instrText xml:space="preserve"> HYPERLINK "http://www.so.com/s?q=%E7%9B%B8%E4%BA%92%E4%BE%9D%E8%B5%96&amp;ie=utf-8&amp;src=internal_wenda_recommend_textn" \t "https://wenda.so.com/q/_blank" </w:instrText>
      </w:r>
      <w:r>
        <w:fldChar w:fldCharType="separate"/>
      </w:r>
      <w:r>
        <w:rPr>
          <w:rFonts w:hint="eastAsia"/>
          <w:bCs/>
          <w:snapToGrid w:val="0"/>
          <w:kern w:val="0"/>
          <w:szCs w:val="21"/>
        </w:rPr>
        <w:t>相互依赖</w:t>
      </w:r>
      <w:r>
        <w:rPr>
          <w:rFonts w:hint="eastAsia"/>
          <w:bCs/>
          <w:snapToGrid w:val="0"/>
          <w:kern w:val="0"/>
          <w:szCs w:val="21"/>
        </w:rPr>
        <w:fldChar w:fldCharType="end"/>
      </w:r>
      <w:r>
        <w:rPr>
          <w:rFonts w:hint="eastAsia"/>
          <w:bCs/>
          <w:snapToGrid w:val="0"/>
          <w:kern w:val="0"/>
          <w:szCs w:val="21"/>
        </w:rPr>
        <w:t>相互转化、相互引起、相互渗透等</w:t>
      </w:r>
      <w:r>
        <w:fldChar w:fldCharType="begin"/>
      </w:r>
      <w:r>
        <w:instrText xml:space="preserve"> HYPERLINK "http://www.so.com/s?q=%E6%96%B9%E9%9D%A2&amp;ie=utf-8&amp;src=internal_wenda_recommend_textn" \t "https://wenda.so.com/q/_blank" </w:instrText>
      </w:r>
      <w:r>
        <w:fldChar w:fldCharType="separate"/>
      </w:r>
      <w:r>
        <w:rPr>
          <w:rFonts w:hint="eastAsia"/>
          <w:bCs/>
          <w:snapToGrid w:val="0"/>
          <w:kern w:val="0"/>
          <w:szCs w:val="21"/>
        </w:rPr>
        <w:t>方面</w:t>
      </w:r>
      <w:r>
        <w:rPr>
          <w:rFonts w:hint="eastAsia"/>
          <w:bCs/>
          <w:snapToGrid w:val="0"/>
          <w:kern w:val="0"/>
          <w:szCs w:val="21"/>
        </w:rPr>
        <w:fldChar w:fldCharType="end"/>
      </w:r>
      <w:r>
        <w:rPr>
          <w:rFonts w:hint="eastAsia"/>
          <w:bCs/>
          <w:snapToGrid w:val="0"/>
          <w:kern w:val="0"/>
          <w:szCs w:val="21"/>
        </w:rPr>
        <w:t>：量变是质变的必要准备；质变是量变的必然结果。</w:t>
      </w:r>
    </w:p>
    <w:p>
      <w:pPr>
        <w:spacing w:line="360" w:lineRule="auto"/>
        <w:ind w:firstLine="422" w:firstLineChars="200"/>
        <w:rPr>
          <w:rFonts w:ascii="宋体" w:hAnsi="宋体" w:cs="宋体"/>
          <w:snapToGrid w:val="0"/>
          <w:kern w:val="0"/>
        </w:rPr>
      </w:pPr>
      <w:r>
        <w:rPr>
          <w:rFonts w:hint="eastAsia" w:ascii="宋体" w:hAnsi="宋体" w:cs="宋体"/>
          <w:b/>
          <w:snapToGrid w:val="0"/>
          <w:kern w:val="0"/>
        </w:rPr>
        <w:t>教学方式：</w:t>
      </w:r>
      <w:r>
        <w:rPr>
          <w:rFonts w:hint="eastAsia" w:ascii="宋体" w:hAnsi="宋体" w:cs="宋体"/>
          <w:snapToGrid w:val="0"/>
          <w:kern w:val="0"/>
        </w:rPr>
        <w:t>课堂讲授</w:t>
      </w:r>
      <w:r>
        <w:rPr>
          <w:rFonts w:ascii="宋体" w:hAnsi="宋体" w:cs="宋体"/>
          <w:snapToGrid w:val="0"/>
          <w:kern w:val="0"/>
        </w:rPr>
        <w:t>6</w:t>
      </w:r>
      <w:r>
        <w:rPr>
          <w:rFonts w:hint="eastAsia" w:ascii="宋体" w:hAnsi="宋体" w:cs="宋体"/>
          <w:snapToGrid w:val="0"/>
          <w:kern w:val="0"/>
        </w:rPr>
        <w:t>学时。</w:t>
      </w:r>
    </w:p>
    <w:p>
      <w:pPr>
        <w:spacing w:line="360" w:lineRule="auto"/>
        <w:ind w:firstLine="420" w:firstLineChars="200"/>
        <w:rPr>
          <w:rFonts w:ascii="宋体" w:hAnsi="宋体" w:cs="宋体"/>
          <w:bCs/>
          <w:snapToGrid w:val="0"/>
          <w:kern w:val="0"/>
        </w:rPr>
      </w:pPr>
      <w:r>
        <w:rPr>
          <w:rFonts w:cs="宋体"/>
          <w:bCs/>
          <w:snapToGrid w:val="0"/>
          <w:kern w:val="0"/>
          <w:szCs w:val="21"/>
        </w:rPr>
        <w:t>本章内容支撑课程目标</w:t>
      </w:r>
      <w:r>
        <w:rPr>
          <w:rFonts w:hint="eastAsia" w:cs="宋体"/>
          <w:bCs/>
          <w:snapToGrid w:val="0"/>
          <w:kern w:val="0"/>
          <w:szCs w:val="21"/>
        </w:rPr>
        <w:t>1、2。</w:t>
      </w:r>
    </w:p>
    <w:p>
      <w:pPr>
        <w:spacing w:line="360" w:lineRule="auto"/>
        <w:ind w:firstLine="420" w:firstLineChars="200"/>
        <w:rPr>
          <w:rFonts w:ascii="黑体" w:hAnsi="宋体" w:eastAsia="黑体" w:cs="黑体"/>
          <w:snapToGrid w:val="0"/>
          <w:kern w:val="0"/>
        </w:rPr>
      </w:pPr>
      <w:r>
        <w:rPr>
          <w:rFonts w:hint="eastAsia" w:ascii="黑体" w:hAnsi="宋体" w:eastAsia="黑体" w:cs="黑体"/>
          <w:snapToGrid w:val="0"/>
          <w:kern w:val="0"/>
        </w:rPr>
        <w:t>4 微惯性集成测量系统组成与设计方法（4学时）</w:t>
      </w:r>
    </w:p>
    <w:p>
      <w:pPr>
        <w:tabs>
          <w:tab w:val="left" w:pos="900"/>
        </w:tabs>
        <w:spacing w:line="360" w:lineRule="auto"/>
        <w:ind w:left="426"/>
        <w:rPr>
          <w:bCs/>
          <w:snapToGrid w:val="0"/>
          <w:kern w:val="0"/>
          <w:szCs w:val="21"/>
        </w:rPr>
      </w:pPr>
      <w:r>
        <w:rPr>
          <w:bCs/>
          <w:snapToGrid w:val="0"/>
          <w:kern w:val="0"/>
          <w:szCs w:val="21"/>
        </w:rPr>
        <w:t>4.1、了解微惯性集成测量系统基本组成；</w:t>
      </w:r>
    </w:p>
    <w:p>
      <w:pPr>
        <w:tabs>
          <w:tab w:val="left" w:pos="900"/>
        </w:tabs>
        <w:spacing w:line="360" w:lineRule="auto"/>
        <w:ind w:left="426"/>
        <w:rPr>
          <w:bCs/>
          <w:snapToGrid w:val="0"/>
          <w:kern w:val="0"/>
          <w:szCs w:val="21"/>
        </w:rPr>
      </w:pPr>
      <w:r>
        <w:rPr>
          <w:bCs/>
          <w:snapToGrid w:val="0"/>
          <w:kern w:val="0"/>
          <w:szCs w:val="21"/>
        </w:rPr>
        <w:t>4.2、</w:t>
      </w:r>
      <w:r>
        <w:rPr>
          <w:rFonts w:hint="eastAsia"/>
          <w:bCs/>
          <w:snapToGrid w:val="0"/>
          <w:kern w:val="0"/>
          <w:szCs w:val="21"/>
        </w:rPr>
        <w:t>运用</w:t>
      </w:r>
      <w:r>
        <w:rPr>
          <w:bCs/>
          <w:snapToGrid w:val="0"/>
          <w:kern w:val="0"/>
          <w:szCs w:val="21"/>
        </w:rPr>
        <w:t>微惯性集成测量单元配置方法；</w:t>
      </w:r>
    </w:p>
    <w:p>
      <w:pPr>
        <w:spacing w:line="360" w:lineRule="auto"/>
        <w:ind w:left="426"/>
        <w:rPr>
          <w:bCs/>
          <w:snapToGrid w:val="0"/>
          <w:kern w:val="0"/>
          <w:szCs w:val="21"/>
        </w:rPr>
      </w:pPr>
      <w:r>
        <w:rPr>
          <w:bCs/>
          <w:snapToGrid w:val="0"/>
          <w:kern w:val="0"/>
          <w:szCs w:val="21"/>
        </w:rPr>
        <w:t>4.3、</w:t>
      </w:r>
      <w:r>
        <w:rPr>
          <w:rFonts w:hint="eastAsia"/>
          <w:bCs/>
          <w:snapToGrid w:val="0"/>
          <w:kern w:val="0"/>
          <w:szCs w:val="21"/>
        </w:rPr>
        <w:t>运用</w:t>
      </w:r>
      <w:r>
        <w:rPr>
          <w:bCs/>
          <w:snapToGrid w:val="0"/>
          <w:kern w:val="0"/>
          <w:szCs w:val="21"/>
        </w:rPr>
        <w:t>微惯性传感器接口电路的基本功能及设计方法；</w:t>
      </w:r>
    </w:p>
    <w:p>
      <w:pPr>
        <w:tabs>
          <w:tab w:val="left" w:pos="900"/>
        </w:tabs>
        <w:spacing w:line="360" w:lineRule="auto"/>
        <w:ind w:left="426"/>
        <w:rPr>
          <w:bCs/>
          <w:snapToGrid w:val="0"/>
          <w:kern w:val="0"/>
          <w:szCs w:val="21"/>
        </w:rPr>
      </w:pPr>
      <w:r>
        <w:rPr>
          <w:bCs/>
          <w:snapToGrid w:val="0"/>
          <w:kern w:val="0"/>
          <w:szCs w:val="21"/>
        </w:rPr>
        <w:t>4.4、</w:t>
      </w:r>
      <w:r>
        <w:rPr>
          <w:rFonts w:hint="eastAsia"/>
          <w:bCs/>
          <w:snapToGrid w:val="0"/>
          <w:kern w:val="0"/>
          <w:szCs w:val="21"/>
        </w:rPr>
        <w:t>了解</w:t>
      </w:r>
      <w:r>
        <w:rPr>
          <w:bCs/>
          <w:snapToGrid w:val="0"/>
          <w:kern w:val="0"/>
          <w:szCs w:val="21"/>
        </w:rPr>
        <w:t>姿态计算机的基本功能及设计方法；</w:t>
      </w:r>
    </w:p>
    <w:p>
      <w:pPr>
        <w:tabs>
          <w:tab w:val="left" w:pos="900"/>
        </w:tabs>
        <w:spacing w:line="360" w:lineRule="auto"/>
        <w:ind w:left="426"/>
        <w:rPr>
          <w:bCs/>
          <w:snapToGrid w:val="0"/>
          <w:kern w:val="0"/>
          <w:szCs w:val="21"/>
        </w:rPr>
      </w:pPr>
      <w:r>
        <w:rPr>
          <w:bCs/>
          <w:snapToGrid w:val="0"/>
          <w:kern w:val="0"/>
          <w:szCs w:val="21"/>
        </w:rPr>
        <w:t>4.5、</w:t>
      </w:r>
      <w:r>
        <w:rPr>
          <w:rFonts w:hint="eastAsia"/>
          <w:bCs/>
          <w:snapToGrid w:val="0"/>
          <w:kern w:val="0"/>
          <w:szCs w:val="21"/>
        </w:rPr>
        <w:t>了解</w:t>
      </w:r>
      <w:r>
        <w:rPr>
          <w:bCs/>
          <w:snapToGrid w:val="0"/>
          <w:kern w:val="0"/>
          <w:szCs w:val="21"/>
        </w:rPr>
        <w:t>导航计算机的基本功能及设计方法；</w:t>
      </w:r>
    </w:p>
    <w:p>
      <w:pPr>
        <w:tabs>
          <w:tab w:val="left" w:pos="900"/>
        </w:tabs>
        <w:spacing w:line="360" w:lineRule="auto"/>
        <w:ind w:left="426"/>
        <w:rPr>
          <w:bCs/>
          <w:snapToGrid w:val="0"/>
          <w:kern w:val="0"/>
          <w:szCs w:val="21"/>
        </w:rPr>
      </w:pPr>
      <w:r>
        <w:rPr>
          <w:bCs/>
          <w:snapToGrid w:val="0"/>
          <w:kern w:val="0"/>
          <w:szCs w:val="21"/>
        </w:rPr>
        <w:t>4.6、了解系统工程应用的其它关键技术。</w:t>
      </w:r>
    </w:p>
    <w:p>
      <w:pPr>
        <w:spacing w:line="360" w:lineRule="auto"/>
        <w:ind w:left="424" w:leftChars="202"/>
        <w:rPr>
          <w:rFonts w:ascii="宋体" w:hAnsi="宋体" w:cs="宋体"/>
          <w:snapToGrid w:val="0"/>
          <w:kern w:val="0"/>
        </w:rPr>
      </w:pPr>
      <w:r>
        <w:rPr>
          <w:rFonts w:hint="eastAsia" w:ascii="宋体" w:hAnsi="宋体" w:cs="宋体"/>
          <w:b/>
          <w:snapToGrid w:val="0"/>
          <w:kern w:val="0"/>
        </w:rPr>
        <w:t>重点：</w:t>
      </w:r>
      <w:r>
        <w:rPr>
          <w:rFonts w:hint="eastAsia" w:ascii="宋体" w:hAnsi="宋体" w:cs="宋体"/>
          <w:snapToGrid w:val="0"/>
          <w:kern w:val="0"/>
        </w:rPr>
        <w:t>从数学概念、物理概念及工程概念出发，能够熟练</w:t>
      </w:r>
      <w:r>
        <w:rPr>
          <w:rFonts w:hint="eastAsia"/>
          <w:bCs/>
          <w:snapToGrid w:val="0"/>
          <w:kern w:val="0"/>
          <w:szCs w:val="21"/>
        </w:rPr>
        <w:t>运用</w:t>
      </w:r>
      <w:r>
        <w:rPr>
          <w:bCs/>
          <w:snapToGrid w:val="0"/>
          <w:kern w:val="0"/>
          <w:szCs w:val="21"/>
        </w:rPr>
        <w:t>微惯性传感器接口电路的基本功能及设计方法</w:t>
      </w:r>
      <w:r>
        <w:rPr>
          <w:rFonts w:hint="eastAsia"/>
          <w:bCs/>
          <w:snapToGrid w:val="0"/>
          <w:kern w:val="0"/>
          <w:szCs w:val="21"/>
        </w:rPr>
        <w:t>；了解导航计算机的基本功能及关键技术。</w:t>
      </w:r>
    </w:p>
    <w:p>
      <w:pPr>
        <w:spacing w:line="360" w:lineRule="auto"/>
        <w:ind w:left="424" w:leftChars="202"/>
        <w:rPr>
          <w:bCs/>
          <w:snapToGrid w:val="0"/>
          <w:kern w:val="0"/>
          <w:szCs w:val="21"/>
        </w:rPr>
      </w:pPr>
      <w:r>
        <w:rPr>
          <w:rFonts w:hint="eastAsia" w:ascii="宋体" w:hAnsi="宋体" w:cs="宋体"/>
          <w:b/>
          <w:snapToGrid w:val="0"/>
          <w:kern w:val="0"/>
        </w:rPr>
        <w:t>难点：</w:t>
      </w:r>
      <w:r>
        <w:rPr>
          <w:rFonts w:hint="eastAsia"/>
          <w:bCs/>
          <w:snapToGrid w:val="0"/>
          <w:kern w:val="0"/>
          <w:szCs w:val="21"/>
        </w:rPr>
        <w:t>熟练运用</w:t>
      </w:r>
      <w:r>
        <w:rPr>
          <w:bCs/>
          <w:snapToGrid w:val="0"/>
          <w:kern w:val="0"/>
          <w:szCs w:val="21"/>
        </w:rPr>
        <w:t>微惯性集成测量单元配置方法</w:t>
      </w:r>
      <w:r>
        <w:rPr>
          <w:rFonts w:hint="eastAsia"/>
          <w:bCs/>
          <w:snapToGrid w:val="0"/>
          <w:kern w:val="0"/>
          <w:szCs w:val="21"/>
        </w:rPr>
        <w:t>；微惯性集成测量单元在实际工程中的应用。</w:t>
      </w:r>
    </w:p>
    <w:p>
      <w:pPr>
        <w:spacing w:line="360" w:lineRule="auto"/>
        <w:ind w:firstLine="422" w:firstLineChars="200"/>
        <w:rPr>
          <w:rFonts w:ascii="宋体" w:hAnsi="宋体" w:cs="宋体"/>
          <w:snapToGrid w:val="0"/>
          <w:kern w:val="0"/>
        </w:rPr>
      </w:pPr>
      <w:r>
        <w:rPr>
          <w:rFonts w:hint="eastAsia" w:ascii="宋体" w:hAnsi="宋体" w:cs="宋体"/>
          <w:b/>
          <w:snapToGrid w:val="0"/>
          <w:kern w:val="0"/>
        </w:rPr>
        <w:t>课程思政元素：</w:t>
      </w:r>
      <w:r>
        <w:rPr>
          <w:rFonts w:hint="eastAsia" w:ascii="宋体" w:hAnsi="宋体" w:cs="宋体"/>
          <w:snapToGrid w:val="0"/>
          <w:kern w:val="0"/>
        </w:rPr>
        <w:t>结合</w:t>
      </w:r>
      <w:r>
        <w:rPr>
          <w:bCs/>
          <w:snapToGrid w:val="0"/>
          <w:kern w:val="0"/>
          <w:szCs w:val="21"/>
        </w:rPr>
        <w:t>微惯性集成测量系统</w:t>
      </w:r>
      <w:r>
        <w:rPr>
          <w:rFonts w:hint="eastAsia"/>
          <w:bCs/>
          <w:snapToGrid w:val="0"/>
          <w:kern w:val="0"/>
          <w:szCs w:val="21"/>
        </w:rPr>
        <w:t>和导航计算机</w:t>
      </w:r>
      <w:r>
        <w:rPr>
          <w:bCs/>
          <w:snapToGrid w:val="0"/>
          <w:kern w:val="0"/>
          <w:szCs w:val="21"/>
        </w:rPr>
        <w:t>基本</w:t>
      </w:r>
      <w:r>
        <w:rPr>
          <w:rFonts w:hint="eastAsia"/>
          <w:bCs/>
          <w:snapToGrid w:val="0"/>
          <w:kern w:val="0"/>
          <w:szCs w:val="21"/>
        </w:rPr>
        <w:t>组成功能与配置设计方法</w:t>
      </w:r>
      <w:r>
        <w:rPr>
          <w:rFonts w:hint="eastAsia" w:ascii="宋体" w:hAnsi="宋体" w:cs="宋体"/>
          <w:snapToGrid w:val="0"/>
          <w:kern w:val="0"/>
        </w:rPr>
        <w:t>，引导学生深入理解马克思主义的方法论中矛盾的普遍性。要求我们承认矛盾的普遍性与客观性，敢于承认、揭露矛盾，还要善于全面分析矛盾，坚持两分法，防止片面性。</w:t>
      </w:r>
    </w:p>
    <w:p>
      <w:pPr>
        <w:spacing w:line="360" w:lineRule="auto"/>
        <w:ind w:firstLine="422" w:firstLineChars="200"/>
        <w:rPr>
          <w:rFonts w:ascii="宋体" w:hAnsi="宋体" w:cs="宋体"/>
          <w:snapToGrid w:val="0"/>
          <w:kern w:val="0"/>
        </w:rPr>
      </w:pPr>
      <w:r>
        <w:rPr>
          <w:rFonts w:hint="eastAsia" w:ascii="宋体" w:hAnsi="宋体" w:cs="宋体"/>
          <w:b/>
          <w:snapToGrid w:val="0"/>
          <w:kern w:val="0"/>
        </w:rPr>
        <w:t>教学方式：</w:t>
      </w:r>
      <w:r>
        <w:rPr>
          <w:rFonts w:hint="eastAsia" w:ascii="宋体" w:hAnsi="宋体" w:cs="宋体"/>
          <w:snapToGrid w:val="0"/>
          <w:kern w:val="0"/>
        </w:rPr>
        <w:t>课堂讲授4学时，实验教学3学时。</w:t>
      </w:r>
    </w:p>
    <w:p>
      <w:pPr>
        <w:spacing w:line="360" w:lineRule="auto"/>
        <w:ind w:firstLine="420" w:firstLineChars="200"/>
        <w:rPr>
          <w:rFonts w:ascii="宋体" w:hAnsi="宋体" w:cs="宋体"/>
          <w:bCs/>
          <w:snapToGrid w:val="0"/>
          <w:kern w:val="0"/>
        </w:rPr>
      </w:pPr>
      <w:r>
        <w:rPr>
          <w:rFonts w:cs="宋体"/>
          <w:bCs/>
          <w:snapToGrid w:val="0"/>
          <w:kern w:val="0"/>
          <w:szCs w:val="21"/>
        </w:rPr>
        <w:t>本章内容支撑课程目标</w:t>
      </w:r>
      <w:r>
        <w:rPr>
          <w:rFonts w:hint="eastAsia" w:cs="宋体"/>
          <w:bCs/>
          <w:snapToGrid w:val="0"/>
          <w:kern w:val="0"/>
          <w:szCs w:val="21"/>
        </w:rPr>
        <w:t>1、2。</w:t>
      </w:r>
    </w:p>
    <w:p>
      <w:pPr>
        <w:spacing w:line="360" w:lineRule="auto"/>
        <w:ind w:firstLine="420" w:firstLineChars="200"/>
        <w:rPr>
          <w:rFonts w:ascii="黑体" w:hAnsi="宋体" w:eastAsia="黑体" w:cs="黑体"/>
          <w:snapToGrid w:val="0"/>
          <w:kern w:val="0"/>
        </w:rPr>
      </w:pPr>
      <w:r>
        <w:rPr>
          <w:rFonts w:hint="eastAsia" w:ascii="黑体" w:hAnsi="宋体" w:eastAsia="黑体" w:cs="黑体"/>
          <w:snapToGrid w:val="0"/>
          <w:kern w:val="0"/>
        </w:rPr>
        <w:t>5 连微惯性集成测量系统测试与评估（4学时）</w:t>
      </w:r>
    </w:p>
    <w:p>
      <w:pPr>
        <w:tabs>
          <w:tab w:val="left" w:pos="900"/>
        </w:tabs>
        <w:spacing w:line="360" w:lineRule="auto"/>
        <w:ind w:left="426"/>
        <w:rPr>
          <w:bCs/>
          <w:snapToGrid w:val="0"/>
          <w:kern w:val="0"/>
          <w:szCs w:val="21"/>
        </w:rPr>
      </w:pPr>
      <w:r>
        <w:rPr>
          <w:bCs/>
          <w:snapToGrid w:val="0"/>
          <w:kern w:val="0"/>
          <w:szCs w:val="21"/>
        </w:rPr>
        <w:t>5.1、理解测试评估的目的和意义；</w:t>
      </w:r>
    </w:p>
    <w:p>
      <w:pPr>
        <w:tabs>
          <w:tab w:val="left" w:pos="900"/>
        </w:tabs>
        <w:spacing w:line="360" w:lineRule="auto"/>
        <w:ind w:left="426"/>
        <w:rPr>
          <w:bCs/>
          <w:snapToGrid w:val="0"/>
          <w:kern w:val="0"/>
          <w:szCs w:val="21"/>
        </w:rPr>
      </w:pPr>
      <w:r>
        <w:rPr>
          <w:bCs/>
          <w:snapToGrid w:val="0"/>
          <w:kern w:val="0"/>
          <w:szCs w:val="21"/>
        </w:rPr>
        <w:t>5.2、了解常用惯性测试设备；</w:t>
      </w:r>
    </w:p>
    <w:p>
      <w:pPr>
        <w:tabs>
          <w:tab w:val="left" w:pos="900"/>
        </w:tabs>
        <w:spacing w:line="360" w:lineRule="auto"/>
        <w:ind w:left="426"/>
        <w:rPr>
          <w:bCs/>
          <w:snapToGrid w:val="0"/>
          <w:kern w:val="0"/>
          <w:szCs w:val="21"/>
        </w:rPr>
      </w:pPr>
      <w:r>
        <w:rPr>
          <w:bCs/>
          <w:snapToGrid w:val="0"/>
          <w:kern w:val="0"/>
          <w:szCs w:val="21"/>
        </w:rPr>
        <w:t>5.3、</w:t>
      </w:r>
      <w:r>
        <w:rPr>
          <w:rFonts w:hint="eastAsia"/>
          <w:bCs/>
          <w:snapToGrid w:val="0"/>
          <w:kern w:val="0"/>
          <w:szCs w:val="21"/>
        </w:rPr>
        <w:t>掌握</w:t>
      </w:r>
      <w:r>
        <w:rPr>
          <w:bCs/>
          <w:snapToGrid w:val="0"/>
          <w:kern w:val="0"/>
          <w:szCs w:val="21"/>
        </w:rPr>
        <w:t>微陀螺仪主要特性参数的测试与评估方法；</w:t>
      </w:r>
    </w:p>
    <w:p>
      <w:pPr>
        <w:tabs>
          <w:tab w:val="left" w:pos="900"/>
        </w:tabs>
        <w:spacing w:line="360" w:lineRule="auto"/>
        <w:ind w:left="426"/>
        <w:rPr>
          <w:bCs/>
          <w:snapToGrid w:val="0"/>
          <w:kern w:val="0"/>
          <w:szCs w:val="21"/>
        </w:rPr>
      </w:pPr>
      <w:r>
        <w:rPr>
          <w:bCs/>
          <w:snapToGrid w:val="0"/>
          <w:kern w:val="0"/>
          <w:szCs w:val="21"/>
        </w:rPr>
        <w:t>5.4、</w:t>
      </w:r>
      <w:r>
        <w:rPr>
          <w:rFonts w:hint="eastAsia"/>
          <w:bCs/>
          <w:snapToGrid w:val="0"/>
          <w:kern w:val="0"/>
          <w:szCs w:val="21"/>
        </w:rPr>
        <w:t>掌握</w:t>
      </w:r>
      <w:r>
        <w:rPr>
          <w:bCs/>
          <w:snapToGrid w:val="0"/>
          <w:kern w:val="0"/>
          <w:szCs w:val="21"/>
        </w:rPr>
        <w:t>微加速度计主要特性参数的测试与评估方法；</w:t>
      </w:r>
    </w:p>
    <w:p>
      <w:pPr>
        <w:tabs>
          <w:tab w:val="left" w:pos="900"/>
        </w:tabs>
        <w:spacing w:line="360" w:lineRule="auto"/>
        <w:ind w:left="426"/>
        <w:rPr>
          <w:bCs/>
          <w:snapToGrid w:val="0"/>
          <w:kern w:val="0"/>
          <w:szCs w:val="21"/>
        </w:rPr>
      </w:pPr>
      <w:r>
        <w:rPr>
          <w:bCs/>
          <w:snapToGrid w:val="0"/>
          <w:kern w:val="0"/>
          <w:szCs w:val="21"/>
        </w:rPr>
        <w:t>5.5、</w:t>
      </w:r>
      <w:r>
        <w:rPr>
          <w:rFonts w:hint="eastAsia"/>
          <w:bCs/>
          <w:snapToGrid w:val="0"/>
          <w:kern w:val="0"/>
          <w:szCs w:val="21"/>
        </w:rPr>
        <w:t>掌握</w:t>
      </w:r>
      <w:r>
        <w:rPr>
          <w:bCs/>
          <w:snapToGrid w:val="0"/>
          <w:kern w:val="0"/>
          <w:szCs w:val="21"/>
        </w:rPr>
        <w:t>微惯性测量单元的测试与评估方法；</w:t>
      </w:r>
    </w:p>
    <w:p>
      <w:pPr>
        <w:spacing w:line="360" w:lineRule="auto"/>
        <w:ind w:left="426"/>
        <w:rPr>
          <w:bCs/>
          <w:snapToGrid w:val="0"/>
          <w:kern w:val="0"/>
          <w:szCs w:val="21"/>
        </w:rPr>
      </w:pPr>
      <w:r>
        <w:rPr>
          <w:bCs/>
          <w:snapToGrid w:val="0"/>
          <w:kern w:val="0"/>
          <w:szCs w:val="21"/>
        </w:rPr>
        <w:t>5.6、</w:t>
      </w:r>
      <w:r>
        <w:rPr>
          <w:rFonts w:hint="eastAsia"/>
          <w:bCs/>
          <w:snapToGrid w:val="0"/>
          <w:kern w:val="0"/>
          <w:szCs w:val="21"/>
        </w:rPr>
        <w:t>应用</w:t>
      </w:r>
      <w:r>
        <w:rPr>
          <w:bCs/>
          <w:snapToGrid w:val="0"/>
          <w:kern w:val="0"/>
          <w:szCs w:val="21"/>
        </w:rPr>
        <w:t>微惯性集成测量系统的测试与评估方法。</w:t>
      </w:r>
    </w:p>
    <w:p>
      <w:pPr>
        <w:spacing w:line="360" w:lineRule="auto"/>
        <w:ind w:left="424" w:leftChars="202"/>
        <w:rPr>
          <w:rFonts w:ascii="宋体" w:hAnsi="宋体" w:cs="宋体"/>
          <w:snapToGrid w:val="0"/>
          <w:kern w:val="0"/>
        </w:rPr>
      </w:pPr>
      <w:r>
        <w:rPr>
          <w:rFonts w:hint="eastAsia" w:ascii="宋体" w:hAnsi="宋体" w:cs="宋体"/>
          <w:b/>
          <w:snapToGrid w:val="0"/>
          <w:kern w:val="0"/>
        </w:rPr>
        <w:t>重点：</w:t>
      </w:r>
      <w:r>
        <w:rPr>
          <w:rFonts w:hint="eastAsia"/>
          <w:bCs/>
          <w:snapToGrid w:val="0"/>
          <w:kern w:val="0"/>
          <w:szCs w:val="21"/>
        </w:rPr>
        <w:t>掌握陀螺仪、加速度计主要特性参数的测试与评估方法；掌握</w:t>
      </w:r>
      <w:r>
        <w:rPr>
          <w:bCs/>
          <w:snapToGrid w:val="0"/>
          <w:kern w:val="0"/>
          <w:szCs w:val="21"/>
        </w:rPr>
        <w:t>微惯性测量单元的测试与评估方法</w:t>
      </w:r>
      <w:r>
        <w:rPr>
          <w:rFonts w:hint="eastAsia"/>
          <w:bCs/>
          <w:snapToGrid w:val="0"/>
          <w:kern w:val="0"/>
          <w:szCs w:val="21"/>
        </w:rPr>
        <w:t>。</w:t>
      </w:r>
    </w:p>
    <w:p>
      <w:pPr>
        <w:spacing w:line="360" w:lineRule="auto"/>
        <w:ind w:left="424" w:leftChars="202"/>
        <w:rPr>
          <w:bCs/>
          <w:snapToGrid w:val="0"/>
          <w:kern w:val="0"/>
          <w:szCs w:val="21"/>
        </w:rPr>
      </w:pPr>
      <w:r>
        <w:rPr>
          <w:rFonts w:hint="eastAsia" w:ascii="宋体" w:hAnsi="宋体" w:cs="宋体"/>
          <w:b/>
          <w:snapToGrid w:val="0"/>
          <w:kern w:val="0"/>
        </w:rPr>
        <w:t>难点：</w:t>
      </w:r>
      <w:r>
        <w:rPr>
          <w:rFonts w:hint="eastAsia"/>
          <w:bCs/>
          <w:snapToGrid w:val="0"/>
          <w:kern w:val="0"/>
          <w:szCs w:val="21"/>
        </w:rPr>
        <w:t>对</w:t>
      </w:r>
      <w:r>
        <w:rPr>
          <w:bCs/>
          <w:snapToGrid w:val="0"/>
          <w:kern w:val="0"/>
          <w:szCs w:val="21"/>
        </w:rPr>
        <w:t>微惯性集成测量系统的测试与评估方法</w:t>
      </w:r>
      <w:r>
        <w:rPr>
          <w:rFonts w:hint="eastAsia"/>
          <w:bCs/>
          <w:snapToGrid w:val="0"/>
          <w:kern w:val="0"/>
          <w:szCs w:val="21"/>
        </w:rPr>
        <w:t>进行实际操作与测试。</w:t>
      </w:r>
    </w:p>
    <w:p>
      <w:pPr>
        <w:spacing w:line="360" w:lineRule="auto"/>
        <w:ind w:firstLine="422" w:firstLineChars="200"/>
        <w:rPr>
          <w:rFonts w:ascii="宋体" w:hAnsi="宋体" w:cs="宋体"/>
          <w:snapToGrid w:val="0"/>
          <w:kern w:val="0"/>
        </w:rPr>
      </w:pPr>
      <w:r>
        <w:rPr>
          <w:rFonts w:hint="eastAsia" w:ascii="宋体" w:hAnsi="宋体" w:cs="宋体"/>
          <w:b/>
          <w:snapToGrid w:val="0"/>
          <w:kern w:val="0"/>
        </w:rPr>
        <w:t>课程思政元素：</w:t>
      </w:r>
      <w:r>
        <w:rPr>
          <w:rFonts w:hint="eastAsia" w:ascii="宋体" w:hAnsi="宋体" w:cs="宋体"/>
          <w:snapToGrid w:val="0"/>
          <w:kern w:val="0"/>
        </w:rPr>
        <w:t>结合</w:t>
      </w:r>
      <w:r>
        <w:rPr>
          <w:bCs/>
          <w:snapToGrid w:val="0"/>
          <w:kern w:val="0"/>
          <w:szCs w:val="21"/>
        </w:rPr>
        <w:t>微惯性集成测量系统</w:t>
      </w:r>
      <w:r>
        <w:rPr>
          <w:rFonts w:hint="eastAsia"/>
          <w:bCs/>
          <w:snapToGrid w:val="0"/>
          <w:kern w:val="0"/>
          <w:szCs w:val="21"/>
        </w:rPr>
        <w:t>中的各种测试与评估方法</w:t>
      </w:r>
      <w:r>
        <w:rPr>
          <w:rFonts w:hint="eastAsia" w:ascii="宋体" w:hAnsi="宋体" w:cs="宋体"/>
          <w:snapToGrid w:val="0"/>
          <w:kern w:val="0"/>
        </w:rPr>
        <w:t>，引导学生深入理解马克思主义的辩证法中理论与实践的辩证统一关系，必须从实际出发，坚持一般理论和具体实践相结合的原则，并且要有正确的实践方法和工作方法。</w:t>
      </w:r>
    </w:p>
    <w:p>
      <w:pPr>
        <w:spacing w:line="360" w:lineRule="auto"/>
        <w:ind w:firstLine="422" w:firstLineChars="200"/>
        <w:rPr>
          <w:rFonts w:ascii="宋体" w:hAnsi="宋体" w:cs="宋体"/>
          <w:snapToGrid w:val="0"/>
          <w:kern w:val="0"/>
        </w:rPr>
      </w:pPr>
      <w:r>
        <w:rPr>
          <w:rFonts w:hint="eastAsia" w:ascii="宋体" w:hAnsi="宋体" w:cs="宋体"/>
          <w:b/>
          <w:snapToGrid w:val="0"/>
          <w:kern w:val="0"/>
        </w:rPr>
        <w:t>教学方式：</w:t>
      </w:r>
      <w:r>
        <w:rPr>
          <w:rFonts w:hint="eastAsia" w:ascii="宋体" w:hAnsi="宋体" w:cs="宋体"/>
          <w:snapToGrid w:val="0"/>
          <w:kern w:val="0"/>
        </w:rPr>
        <w:t>课堂讲授4学时，实验教学9学时。</w:t>
      </w:r>
    </w:p>
    <w:p>
      <w:pPr>
        <w:spacing w:line="360" w:lineRule="auto"/>
        <w:ind w:firstLine="420" w:firstLineChars="200"/>
        <w:rPr>
          <w:rFonts w:ascii="宋体" w:hAnsi="宋体" w:cs="宋体"/>
          <w:bCs/>
          <w:snapToGrid w:val="0"/>
          <w:kern w:val="0"/>
        </w:rPr>
      </w:pPr>
      <w:r>
        <w:rPr>
          <w:rFonts w:cs="宋体"/>
          <w:bCs/>
          <w:snapToGrid w:val="0"/>
          <w:kern w:val="0"/>
          <w:szCs w:val="21"/>
        </w:rPr>
        <w:t>本章内容支撑课程目标</w:t>
      </w:r>
      <w:r>
        <w:rPr>
          <w:rFonts w:hint="eastAsia" w:cs="宋体"/>
          <w:bCs/>
          <w:snapToGrid w:val="0"/>
          <w:kern w:val="0"/>
          <w:szCs w:val="21"/>
        </w:rPr>
        <w:t>1、2。</w:t>
      </w:r>
    </w:p>
    <w:p/>
    <w:p>
      <w:pPr>
        <w:spacing w:line="360" w:lineRule="auto"/>
        <w:rPr>
          <w:rFonts w:ascii="黑体" w:hAnsi="黑体" w:eastAsia="黑体"/>
        </w:rPr>
      </w:pPr>
      <w:r>
        <w:rPr>
          <w:rFonts w:hint="eastAsia" w:ascii="黑体" w:hAnsi="黑体" w:eastAsia="黑体"/>
        </w:rPr>
        <w:t>五、实验内容</w:t>
      </w:r>
    </w:p>
    <w:p>
      <w:pPr>
        <w:spacing w:line="360" w:lineRule="auto"/>
        <w:ind w:firstLine="424"/>
        <w:rPr>
          <w:rFonts w:ascii="宋体" w:hAnsi="宋体" w:cs="宋体"/>
          <w:kern w:val="0"/>
        </w:rPr>
      </w:pPr>
      <w:r>
        <w:rPr>
          <w:rFonts w:hint="eastAsia" w:ascii="宋体" w:hAnsi="宋体" w:cs="宋体"/>
          <w:kern w:val="0"/>
        </w:rPr>
        <w:t>实验环节主要是演示和验证性操作，要求具备实验条件，即具备常用的惯性测试设备；要求学生了解转台等常用惯性测试设备功能；掌握微惯性集成测量系统器件级、组件级与系统级的主要特性参数概念，会选择合适的惯性测试设备设计相应特性参数的测试标定方案；掌握针对实际应用选择合适微惯性器件进行系统集成设计与测试评估的思路与方法。</w:t>
      </w:r>
    </w:p>
    <w:p>
      <w:pPr>
        <w:spacing w:line="360" w:lineRule="auto"/>
        <w:ind w:firstLine="424"/>
        <w:rPr>
          <w:rFonts w:ascii="黑体" w:hAnsi="宋体" w:eastAsia="黑体"/>
          <w:snapToGrid w:val="0"/>
          <w:kern w:val="0"/>
        </w:rPr>
      </w:pPr>
      <w:r>
        <w:rPr>
          <w:rFonts w:hint="eastAsia" w:ascii="黑体" w:hAnsi="宋体" w:eastAsia="黑体" w:cs="黑体"/>
          <w:snapToGrid w:val="0"/>
          <w:kern w:val="0"/>
        </w:rPr>
        <w:t>实验一 微加速度计零偏与标度因数测试（3学时）</w:t>
      </w:r>
    </w:p>
    <w:p>
      <w:pPr>
        <w:spacing w:line="360" w:lineRule="auto"/>
        <w:ind w:firstLine="420" w:firstLineChars="200"/>
        <w:rPr>
          <w:kern w:val="0"/>
          <w:szCs w:val="21"/>
        </w:rPr>
      </w:pPr>
      <w:r>
        <w:rPr>
          <w:rFonts w:hint="eastAsia" w:ascii="宋体" w:hAnsi="宋体" w:cs="宋体"/>
          <w:snapToGrid w:val="0"/>
          <w:kern w:val="0"/>
        </w:rPr>
        <w:t>内容：</w:t>
      </w:r>
      <w:r>
        <w:rPr>
          <w:kern w:val="0"/>
          <w:szCs w:val="21"/>
        </w:rPr>
        <w:t>理解微加速度计主要静态特性参数概念的内涵，熟悉常用惯性测试设备，学习利用光学分度头或转台测试标定微加速度计零偏与标度因数的方法与流程，并对微加速度计的零偏与标度因数进行测试标定。</w:t>
      </w:r>
    </w:p>
    <w:p>
      <w:pPr>
        <w:spacing w:line="360" w:lineRule="auto"/>
        <w:ind w:firstLine="420" w:firstLineChars="200"/>
        <w:rPr>
          <w:rFonts w:ascii="宋体"/>
          <w:snapToGrid w:val="0"/>
          <w:kern w:val="0"/>
        </w:rPr>
      </w:pPr>
      <w:r>
        <w:rPr>
          <w:rFonts w:hint="eastAsia" w:ascii="宋体" w:hAnsi="宋体" w:cs="宋体"/>
          <w:snapToGrid w:val="0"/>
          <w:kern w:val="0"/>
        </w:rPr>
        <w:t>基本要求：</w:t>
      </w:r>
    </w:p>
    <w:p>
      <w:pPr>
        <w:spacing w:line="360" w:lineRule="auto"/>
        <w:ind w:left="424" w:leftChars="202"/>
        <w:rPr>
          <w:snapToGrid w:val="0"/>
          <w:kern w:val="0"/>
          <w:szCs w:val="21"/>
        </w:rPr>
      </w:pPr>
      <w:r>
        <w:rPr>
          <w:snapToGrid w:val="0"/>
          <w:kern w:val="0"/>
          <w:szCs w:val="21"/>
        </w:rPr>
        <w:t>1、理解微惯性加速度计</w:t>
      </w:r>
      <w:r>
        <w:rPr>
          <w:kern w:val="0"/>
          <w:szCs w:val="21"/>
        </w:rPr>
        <w:t>零偏与标度因数概念的内涵</w:t>
      </w:r>
      <w:r>
        <w:rPr>
          <w:rFonts w:hint="eastAsia"/>
          <w:kern w:val="0"/>
          <w:szCs w:val="21"/>
        </w:rPr>
        <w:t>；</w:t>
      </w:r>
    </w:p>
    <w:p>
      <w:pPr>
        <w:spacing w:line="360" w:lineRule="auto"/>
        <w:ind w:left="424" w:leftChars="202"/>
        <w:rPr>
          <w:snapToGrid w:val="0"/>
          <w:kern w:val="0"/>
          <w:szCs w:val="21"/>
        </w:rPr>
      </w:pPr>
      <w:r>
        <w:rPr>
          <w:snapToGrid w:val="0"/>
          <w:kern w:val="0"/>
          <w:szCs w:val="21"/>
        </w:rPr>
        <w:t>2、</w:t>
      </w:r>
      <w:r>
        <w:rPr>
          <w:rFonts w:hint="eastAsia"/>
          <w:snapToGrid w:val="0"/>
          <w:kern w:val="0"/>
          <w:szCs w:val="21"/>
        </w:rPr>
        <w:t>能够</w:t>
      </w:r>
      <w:r>
        <w:rPr>
          <w:kern w:val="0"/>
          <w:szCs w:val="21"/>
        </w:rPr>
        <w:t>利用光学分度头或转台设计微加速度计零偏与标度因数的测试标定方案</w:t>
      </w:r>
      <w:r>
        <w:rPr>
          <w:rFonts w:hint="eastAsia"/>
          <w:kern w:val="0"/>
          <w:szCs w:val="21"/>
        </w:rPr>
        <w:t>；</w:t>
      </w:r>
    </w:p>
    <w:p>
      <w:pPr>
        <w:spacing w:line="360" w:lineRule="auto"/>
        <w:ind w:left="424" w:leftChars="202"/>
        <w:rPr>
          <w:kern w:val="0"/>
          <w:szCs w:val="21"/>
        </w:rPr>
      </w:pPr>
      <w:r>
        <w:rPr>
          <w:snapToGrid w:val="0"/>
          <w:kern w:val="0"/>
          <w:szCs w:val="21"/>
        </w:rPr>
        <w:t>3、完成</w:t>
      </w:r>
      <w:r>
        <w:rPr>
          <w:kern w:val="0"/>
          <w:szCs w:val="21"/>
        </w:rPr>
        <w:t>加速度计零偏与标度因数的多位置测试标定实验及数据处理</w:t>
      </w:r>
      <w:r>
        <w:rPr>
          <w:rFonts w:hint="eastAsia"/>
          <w:kern w:val="0"/>
          <w:szCs w:val="21"/>
        </w:rPr>
        <w:t>。</w:t>
      </w:r>
    </w:p>
    <w:p>
      <w:pPr>
        <w:spacing w:line="360" w:lineRule="auto"/>
        <w:ind w:firstLine="420" w:firstLineChars="200"/>
        <w:rPr>
          <w:rFonts w:ascii="宋体"/>
          <w:snapToGrid w:val="0"/>
          <w:kern w:val="0"/>
        </w:rPr>
      </w:pPr>
      <w:r>
        <w:rPr>
          <w:rFonts w:cs="宋体"/>
          <w:bCs/>
          <w:snapToGrid w:val="0"/>
          <w:kern w:val="0"/>
          <w:szCs w:val="21"/>
        </w:rPr>
        <w:t>本章内容支撑课程目标</w:t>
      </w:r>
      <w:r>
        <w:rPr>
          <w:rFonts w:hint="eastAsia" w:cs="宋体"/>
          <w:bCs/>
          <w:snapToGrid w:val="0"/>
          <w:kern w:val="0"/>
          <w:szCs w:val="21"/>
        </w:rPr>
        <w:t>1。</w:t>
      </w:r>
    </w:p>
    <w:p>
      <w:pPr>
        <w:spacing w:line="360" w:lineRule="auto"/>
        <w:ind w:firstLine="420" w:firstLineChars="200"/>
        <w:rPr>
          <w:rFonts w:ascii="黑体" w:hAnsi="宋体" w:eastAsia="黑体"/>
          <w:snapToGrid w:val="0"/>
          <w:kern w:val="0"/>
        </w:rPr>
      </w:pPr>
      <w:r>
        <w:rPr>
          <w:rFonts w:hint="eastAsia" w:ascii="黑体" w:hAnsi="宋体" w:eastAsia="黑体" w:cs="黑体"/>
          <w:snapToGrid w:val="0"/>
          <w:kern w:val="0"/>
        </w:rPr>
        <w:t>实验二 微陀螺仪零偏稳定性测试（3学时）</w:t>
      </w:r>
    </w:p>
    <w:p>
      <w:pPr>
        <w:spacing w:line="360" w:lineRule="auto"/>
        <w:ind w:firstLine="420" w:firstLineChars="200"/>
        <w:rPr>
          <w:szCs w:val="21"/>
        </w:rPr>
      </w:pPr>
      <w:r>
        <w:rPr>
          <w:rFonts w:hint="eastAsia" w:ascii="宋体" w:hAnsi="宋体" w:cs="宋体"/>
          <w:snapToGrid w:val="0"/>
          <w:kern w:val="0"/>
        </w:rPr>
        <w:t>内容：</w:t>
      </w:r>
      <w:r>
        <w:rPr>
          <w:szCs w:val="21"/>
        </w:rPr>
        <w:t>理解微陀螺仪零偏相关特性参数概念，熟悉常用惯性测试设备，</w:t>
      </w:r>
      <w:r>
        <w:rPr>
          <w:rFonts w:hint="eastAsia"/>
          <w:szCs w:val="21"/>
        </w:rPr>
        <w:t>学会</w:t>
      </w:r>
      <w:r>
        <w:rPr>
          <w:szCs w:val="21"/>
        </w:rPr>
        <w:t>利用水平台或转台等测试设备测试标定微陀螺仪零偏稳定性的方法，完成微陀螺仪零偏稳定性测试标定。</w:t>
      </w:r>
    </w:p>
    <w:p>
      <w:pPr>
        <w:spacing w:line="360" w:lineRule="auto"/>
        <w:ind w:firstLine="420" w:firstLineChars="200"/>
        <w:rPr>
          <w:rFonts w:ascii="宋体"/>
          <w:snapToGrid w:val="0"/>
          <w:kern w:val="0"/>
        </w:rPr>
      </w:pPr>
      <w:r>
        <w:rPr>
          <w:rFonts w:hint="eastAsia" w:ascii="宋体" w:hAnsi="宋体" w:cs="宋体"/>
          <w:snapToGrid w:val="0"/>
          <w:kern w:val="0"/>
        </w:rPr>
        <w:t>基本要求：</w:t>
      </w:r>
    </w:p>
    <w:p>
      <w:pPr>
        <w:widowControl/>
        <w:numPr>
          <w:ilvl w:val="0"/>
          <w:numId w:val="6"/>
        </w:numPr>
        <w:spacing w:line="360" w:lineRule="auto"/>
        <w:ind w:left="422" w:leftChars="201" w:firstLine="0"/>
        <w:jc w:val="left"/>
        <w:rPr>
          <w:kern w:val="0"/>
          <w:szCs w:val="21"/>
        </w:rPr>
      </w:pPr>
      <w:r>
        <w:rPr>
          <w:kern w:val="0"/>
          <w:szCs w:val="21"/>
        </w:rPr>
        <w:t>理解微惯性陀螺仪零偏稳定性概念的内涵；</w:t>
      </w:r>
    </w:p>
    <w:p>
      <w:pPr>
        <w:widowControl/>
        <w:numPr>
          <w:ilvl w:val="0"/>
          <w:numId w:val="6"/>
        </w:numPr>
        <w:spacing w:line="360" w:lineRule="auto"/>
        <w:ind w:left="422" w:leftChars="201" w:firstLine="0"/>
        <w:jc w:val="left"/>
        <w:rPr>
          <w:kern w:val="0"/>
          <w:szCs w:val="21"/>
        </w:rPr>
      </w:pPr>
      <w:r>
        <w:rPr>
          <w:szCs w:val="21"/>
        </w:rPr>
        <w:t>学会利用水平台或转台设计微陀螺仪零偏稳定性的测试标定方案；</w:t>
      </w:r>
    </w:p>
    <w:p>
      <w:pPr>
        <w:widowControl/>
        <w:numPr>
          <w:ilvl w:val="0"/>
          <w:numId w:val="6"/>
        </w:numPr>
        <w:spacing w:line="360" w:lineRule="auto"/>
        <w:ind w:left="422" w:leftChars="201" w:firstLine="0"/>
        <w:jc w:val="left"/>
        <w:rPr>
          <w:kern w:val="0"/>
          <w:szCs w:val="21"/>
        </w:rPr>
      </w:pPr>
      <w:r>
        <w:rPr>
          <w:szCs w:val="21"/>
        </w:rPr>
        <w:t>完成微陀螺仪零偏稳定性测试标定实验</w:t>
      </w:r>
      <w:r>
        <w:rPr>
          <w:kern w:val="0"/>
          <w:szCs w:val="21"/>
        </w:rPr>
        <w:t>及数据处理。</w:t>
      </w:r>
    </w:p>
    <w:p>
      <w:pPr>
        <w:spacing w:line="360" w:lineRule="auto"/>
        <w:ind w:firstLine="420" w:firstLineChars="200"/>
        <w:rPr>
          <w:rFonts w:ascii="宋体"/>
          <w:snapToGrid w:val="0"/>
          <w:kern w:val="0"/>
        </w:rPr>
      </w:pPr>
      <w:r>
        <w:rPr>
          <w:rFonts w:cs="宋体"/>
          <w:bCs/>
          <w:snapToGrid w:val="0"/>
          <w:kern w:val="0"/>
          <w:szCs w:val="21"/>
        </w:rPr>
        <w:t>本章内容支撑课程目标</w:t>
      </w:r>
      <w:r>
        <w:rPr>
          <w:rFonts w:hint="eastAsia" w:cs="宋体"/>
          <w:bCs/>
          <w:snapToGrid w:val="0"/>
          <w:kern w:val="0"/>
          <w:szCs w:val="21"/>
        </w:rPr>
        <w:t>1。</w:t>
      </w:r>
    </w:p>
    <w:p>
      <w:pPr>
        <w:spacing w:line="360" w:lineRule="auto"/>
        <w:ind w:left="424" w:leftChars="202"/>
        <w:rPr>
          <w:kern w:val="0"/>
          <w:szCs w:val="21"/>
        </w:rPr>
      </w:pPr>
      <w:r>
        <w:rPr>
          <w:rFonts w:hint="eastAsia" w:ascii="黑体" w:hAnsi="宋体" w:eastAsia="黑体" w:cs="黑体"/>
          <w:snapToGrid w:val="0"/>
          <w:kern w:val="0"/>
        </w:rPr>
        <w:t xml:space="preserve">实验三 </w:t>
      </w:r>
      <w:r>
        <w:rPr>
          <w:rFonts w:eastAsia="黑体"/>
          <w:snapToGrid w:val="0"/>
          <w:kern w:val="0"/>
          <w:szCs w:val="21"/>
        </w:rPr>
        <w:t>微惯性集成测量组合主要特性参数测试（3学时）</w:t>
      </w:r>
    </w:p>
    <w:p>
      <w:pPr>
        <w:spacing w:line="360" w:lineRule="auto"/>
        <w:ind w:firstLine="420" w:firstLineChars="200"/>
        <w:rPr>
          <w:szCs w:val="21"/>
        </w:rPr>
      </w:pPr>
      <w:r>
        <w:rPr>
          <w:rFonts w:hint="eastAsia" w:ascii="宋体" w:hAnsi="宋体" w:cs="宋体"/>
          <w:snapToGrid w:val="0"/>
          <w:kern w:val="0"/>
        </w:rPr>
        <w:t>内容：</w:t>
      </w:r>
      <w:r>
        <w:rPr>
          <w:kern w:val="0"/>
          <w:szCs w:val="21"/>
        </w:rPr>
        <w:t>掌握</w:t>
      </w:r>
      <w:r>
        <w:rPr>
          <w:szCs w:val="21"/>
        </w:rPr>
        <w:t>微惯性集成测量组合主要特性参数的概念，熟悉常用惯性测试设备，掌握运用常用惯性测试设备对微惯性集成测量组合主要特性参数测试标定的方法。</w:t>
      </w:r>
    </w:p>
    <w:p>
      <w:pPr>
        <w:spacing w:line="360" w:lineRule="auto"/>
        <w:ind w:firstLine="420" w:firstLineChars="200"/>
        <w:rPr>
          <w:rFonts w:ascii="宋体"/>
          <w:snapToGrid w:val="0"/>
          <w:kern w:val="0"/>
        </w:rPr>
      </w:pPr>
      <w:r>
        <w:rPr>
          <w:rFonts w:hint="eastAsia" w:ascii="宋体" w:hAnsi="宋体" w:cs="宋体"/>
          <w:snapToGrid w:val="0"/>
          <w:kern w:val="0"/>
        </w:rPr>
        <w:t>基本要求：</w:t>
      </w:r>
    </w:p>
    <w:p>
      <w:pPr>
        <w:tabs>
          <w:tab w:val="left" w:pos="720"/>
        </w:tabs>
        <w:spacing w:line="360" w:lineRule="auto"/>
        <w:ind w:left="424" w:leftChars="202"/>
        <w:rPr>
          <w:szCs w:val="21"/>
        </w:rPr>
      </w:pPr>
      <w:r>
        <w:rPr>
          <w:kern w:val="0"/>
          <w:szCs w:val="21"/>
        </w:rPr>
        <w:t>1、</w:t>
      </w:r>
      <w:r>
        <w:rPr>
          <w:szCs w:val="21"/>
        </w:rPr>
        <w:t>掌握微惯性集成测量组合零偏与标度系数矩阵等特性参数的概念与内涵</w:t>
      </w:r>
      <w:r>
        <w:rPr>
          <w:rFonts w:hint="eastAsia"/>
          <w:szCs w:val="21"/>
        </w:rPr>
        <w:t>；</w:t>
      </w:r>
    </w:p>
    <w:p>
      <w:pPr>
        <w:tabs>
          <w:tab w:val="left" w:pos="720"/>
        </w:tabs>
        <w:spacing w:line="360" w:lineRule="auto"/>
        <w:ind w:left="424" w:leftChars="202"/>
        <w:rPr>
          <w:szCs w:val="21"/>
        </w:rPr>
      </w:pPr>
      <w:r>
        <w:rPr>
          <w:szCs w:val="21"/>
        </w:rPr>
        <w:t>2、掌握微惯性集成测量组合主要特性参数测试标定方案的设计方法</w:t>
      </w:r>
      <w:r>
        <w:rPr>
          <w:rFonts w:hint="eastAsia"/>
          <w:szCs w:val="21"/>
        </w:rPr>
        <w:t>；</w:t>
      </w:r>
    </w:p>
    <w:p>
      <w:pPr>
        <w:tabs>
          <w:tab w:val="left" w:pos="720"/>
        </w:tabs>
        <w:spacing w:line="360" w:lineRule="auto"/>
        <w:ind w:left="424" w:leftChars="202"/>
        <w:rPr>
          <w:kern w:val="0"/>
          <w:szCs w:val="21"/>
        </w:rPr>
      </w:pPr>
      <w:r>
        <w:rPr>
          <w:szCs w:val="21"/>
        </w:rPr>
        <w:t>3、完成微惯性集成测量组合主要特性参数的测试标定试验及数据分析处理</w:t>
      </w:r>
      <w:r>
        <w:rPr>
          <w:rFonts w:hint="eastAsia"/>
          <w:szCs w:val="21"/>
        </w:rPr>
        <w:t>。</w:t>
      </w:r>
    </w:p>
    <w:p>
      <w:pPr>
        <w:spacing w:line="360" w:lineRule="auto"/>
        <w:ind w:firstLine="420" w:firstLineChars="200"/>
        <w:rPr>
          <w:rFonts w:ascii="宋体"/>
          <w:snapToGrid w:val="0"/>
          <w:kern w:val="0"/>
        </w:rPr>
      </w:pPr>
      <w:r>
        <w:rPr>
          <w:rFonts w:cs="宋体"/>
          <w:bCs/>
          <w:snapToGrid w:val="0"/>
          <w:kern w:val="0"/>
          <w:szCs w:val="21"/>
        </w:rPr>
        <w:t>本章内容支撑课程目标</w:t>
      </w:r>
      <w:r>
        <w:rPr>
          <w:rFonts w:hint="eastAsia" w:cs="宋体"/>
          <w:bCs/>
          <w:snapToGrid w:val="0"/>
          <w:kern w:val="0"/>
          <w:szCs w:val="21"/>
        </w:rPr>
        <w:t>1、2。</w:t>
      </w:r>
    </w:p>
    <w:p>
      <w:pPr>
        <w:spacing w:line="360" w:lineRule="auto"/>
        <w:ind w:left="424" w:leftChars="202"/>
        <w:rPr>
          <w:rFonts w:ascii="黑体" w:hAnsi="宋体" w:eastAsia="黑体"/>
          <w:snapToGrid w:val="0"/>
          <w:kern w:val="0"/>
        </w:rPr>
      </w:pPr>
      <w:r>
        <w:rPr>
          <w:rFonts w:hint="eastAsia" w:ascii="黑体" w:hAnsi="宋体" w:eastAsia="黑体" w:cs="黑体"/>
          <w:snapToGrid w:val="0"/>
          <w:kern w:val="0"/>
        </w:rPr>
        <w:t xml:space="preserve">实验四 </w:t>
      </w:r>
      <w:r>
        <w:rPr>
          <w:rFonts w:eastAsia="黑体"/>
          <w:snapToGrid w:val="0"/>
          <w:kern w:val="0"/>
          <w:szCs w:val="21"/>
        </w:rPr>
        <w:t>基于微惯性器件的倾角集成测量系统测试（3学时）</w:t>
      </w:r>
    </w:p>
    <w:p>
      <w:pPr>
        <w:spacing w:line="360" w:lineRule="auto"/>
        <w:ind w:firstLine="420" w:firstLineChars="200"/>
        <w:rPr>
          <w:kern w:val="0"/>
          <w:szCs w:val="21"/>
        </w:rPr>
      </w:pPr>
      <w:r>
        <w:rPr>
          <w:rFonts w:hint="eastAsia" w:ascii="宋体" w:hAnsi="宋体" w:cs="宋体"/>
          <w:snapToGrid w:val="0"/>
          <w:kern w:val="0"/>
        </w:rPr>
        <w:t>内容：</w:t>
      </w:r>
      <w:r>
        <w:rPr>
          <w:kern w:val="0"/>
          <w:szCs w:val="21"/>
        </w:rPr>
        <w:t>了解倾角测量系统的功能及主要性能指标，理解基于微惯性器件的倾角集成测量系统基本工作原理，学习利用微惯性器件进行倾角集成测量系统的设计方法，并完成倾角集成测量系统测试。</w:t>
      </w:r>
    </w:p>
    <w:p>
      <w:pPr>
        <w:spacing w:line="360" w:lineRule="auto"/>
        <w:ind w:firstLine="420" w:firstLineChars="200"/>
        <w:rPr>
          <w:rFonts w:ascii="宋体"/>
          <w:snapToGrid w:val="0"/>
          <w:kern w:val="0"/>
        </w:rPr>
      </w:pPr>
      <w:r>
        <w:rPr>
          <w:rFonts w:hint="eastAsia" w:ascii="宋体" w:hAnsi="宋体" w:cs="宋体"/>
          <w:snapToGrid w:val="0"/>
          <w:kern w:val="0"/>
        </w:rPr>
        <w:t>基本要求：</w:t>
      </w:r>
    </w:p>
    <w:p>
      <w:pPr>
        <w:tabs>
          <w:tab w:val="left" w:pos="720"/>
        </w:tabs>
        <w:spacing w:line="360" w:lineRule="auto"/>
        <w:ind w:left="424" w:leftChars="202"/>
        <w:rPr>
          <w:snapToGrid w:val="0"/>
          <w:kern w:val="0"/>
          <w:szCs w:val="21"/>
        </w:rPr>
      </w:pPr>
      <w:r>
        <w:rPr>
          <w:snapToGrid w:val="0"/>
          <w:kern w:val="0"/>
          <w:szCs w:val="21"/>
        </w:rPr>
        <w:t>1、理解基于微惯性器件的倾角集成测量系统基本原理</w:t>
      </w:r>
      <w:r>
        <w:rPr>
          <w:rFonts w:hint="eastAsia"/>
          <w:snapToGrid w:val="0"/>
          <w:kern w:val="0"/>
          <w:szCs w:val="21"/>
        </w:rPr>
        <w:t>；</w:t>
      </w:r>
    </w:p>
    <w:p>
      <w:pPr>
        <w:tabs>
          <w:tab w:val="left" w:pos="720"/>
        </w:tabs>
        <w:spacing w:line="360" w:lineRule="auto"/>
        <w:ind w:left="424" w:leftChars="202"/>
        <w:rPr>
          <w:snapToGrid w:val="0"/>
          <w:kern w:val="0"/>
          <w:szCs w:val="21"/>
        </w:rPr>
      </w:pPr>
      <w:r>
        <w:rPr>
          <w:snapToGrid w:val="0"/>
          <w:kern w:val="0"/>
          <w:szCs w:val="21"/>
        </w:rPr>
        <w:t>2、掌握利用微惯性器件设计倾角集成测量系统思路与方法</w:t>
      </w:r>
      <w:r>
        <w:rPr>
          <w:rFonts w:hint="eastAsia"/>
          <w:snapToGrid w:val="0"/>
          <w:kern w:val="0"/>
          <w:szCs w:val="21"/>
        </w:rPr>
        <w:t>；</w:t>
      </w:r>
    </w:p>
    <w:p>
      <w:pPr>
        <w:tabs>
          <w:tab w:val="left" w:pos="720"/>
        </w:tabs>
        <w:spacing w:line="360" w:lineRule="auto"/>
        <w:ind w:left="424" w:leftChars="202"/>
        <w:rPr>
          <w:snapToGrid w:val="0"/>
          <w:kern w:val="0"/>
          <w:szCs w:val="21"/>
        </w:rPr>
      </w:pPr>
      <w:r>
        <w:rPr>
          <w:snapToGrid w:val="0"/>
          <w:kern w:val="0"/>
          <w:szCs w:val="21"/>
        </w:rPr>
        <w:t>3、完成基于微惯性器件的倾角集成测量系统测试及数据分析处理</w:t>
      </w:r>
      <w:r>
        <w:rPr>
          <w:rFonts w:hint="eastAsia"/>
          <w:snapToGrid w:val="0"/>
          <w:kern w:val="0"/>
          <w:szCs w:val="21"/>
        </w:rPr>
        <w:t>。</w:t>
      </w:r>
    </w:p>
    <w:p>
      <w:pPr>
        <w:spacing w:line="360" w:lineRule="auto"/>
        <w:ind w:firstLine="420" w:firstLineChars="200"/>
        <w:rPr>
          <w:rFonts w:ascii="宋体"/>
          <w:snapToGrid w:val="0"/>
          <w:kern w:val="0"/>
        </w:rPr>
      </w:pPr>
      <w:r>
        <w:rPr>
          <w:rFonts w:cs="宋体"/>
          <w:bCs/>
          <w:snapToGrid w:val="0"/>
          <w:kern w:val="0"/>
          <w:szCs w:val="21"/>
        </w:rPr>
        <w:t>本章内容支撑课程目标</w:t>
      </w:r>
      <w:r>
        <w:rPr>
          <w:rFonts w:hint="eastAsia" w:cs="宋体"/>
          <w:bCs/>
          <w:snapToGrid w:val="0"/>
          <w:kern w:val="0"/>
          <w:szCs w:val="21"/>
        </w:rPr>
        <w:t>1、2。</w:t>
      </w:r>
    </w:p>
    <w:p>
      <w:pPr>
        <w:spacing w:line="360" w:lineRule="auto"/>
        <w:ind w:firstLine="424"/>
        <w:rPr>
          <w:rFonts w:ascii="宋体"/>
          <w:snapToGrid w:val="0"/>
          <w:kern w:val="0"/>
        </w:rPr>
      </w:pPr>
    </w:p>
    <w:p>
      <w:pPr>
        <w:spacing w:line="360" w:lineRule="auto"/>
        <w:rPr>
          <w:rFonts w:ascii="黑体" w:hAnsi="黑体" w:eastAsia="黑体"/>
        </w:rPr>
      </w:pPr>
      <w:r>
        <w:rPr>
          <w:rFonts w:hint="eastAsia" w:ascii="黑体" w:hAnsi="黑体" w:eastAsia="黑体"/>
        </w:rPr>
        <w:t>六、学时分配</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925"/>
        <w:gridCol w:w="1602"/>
        <w:gridCol w:w="1629"/>
        <w:gridCol w:w="137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301" w:type="pct"/>
            <w:vAlign w:val="center"/>
          </w:tcPr>
          <w:p>
            <w:pPr>
              <w:adjustRightInd w:val="0"/>
              <w:snapToGrid w:val="0"/>
              <w:jc w:val="center"/>
              <w:rPr>
                <w:kern w:val="0"/>
                <w:sz w:val="18"/>
                <w:szCs w:val="18"/>
              </w:rPr>
            </w:pPr>
            <w:r>
              <w:rPr>
                <w:kern w:val="0"/>
                <w:sz w:val="18"/>
                <w:szCs w:val="18"/>
              </w:rPr>
              <w:t>知识点及内容</w:t>
            </w:r>
          </w:p>
        </w:tc>
        <w:tc>
          <w:tcPr>
            <w:tcW w:w="939" w:type="pct"/>
            <w:vAlign w:val="center"/>
          </w:tcPr>
          <w:p>
            <w:pPr>
              <w:adjustRightInd w:val="0"/>
              <w:snapToGrid w:val="0"/>
              <w:jc w:val="center"/>
              <w:rPr>
                <w:kern w:val="0"/>
                <w:sz w:val="18"/>
                <w:szCs w:val="18"/>
              </w:rPr>
            </w:pPr>
            <w:r>
              <w:rPr>
                <w:kern w:val="0"/>
                <w:sz w:val="18"/>
                <w:szCs w:val="18"/>
              </w:rPr>
              <w:t>讲授（学时）</w:t>
            </w:r>
          </w:p>
        </w:tc>
        <w:tc>
          <w:tcPr>
            <w:tcW w:w="955" w:type="pct"/>
            <w:vAlign w:val="center"/>
          </w:tcPr>
          <w:p>
            <w:pPr>
              <w:adjustRightInd w:val="0"/>
              <w:snapToGrid w:val="0"/>
              <w:jc w:val="center"/>
              <w:rPr>
                <w:kern w:val="0"/>
                <w:sz w:val="18"/>
                <w:szCs w:val="18"/>
              </w:rPr>
            </w:pPr>
            <w:r>
              <w:rPr>
                <w:kern w:val="0"/>
                <w:sz w:val="18"/>
                <w:szCs w:val="18"/>
              </w:rPr>
              <w:t>实验（学时）</w:t>
            </w:r>
          </w:p>
        </w:tc>
        <w:tc>
          <w:tcPr>
            <w:tcW w:w="804" w:type="pct"/>
            <w:vAlign w:val="center"/>
          </w:tcPr>
          <w:p>
            <w:pPr>
              <w:adjustRightInd w:val="0"/>
              <w:snapToGrid w:val="0"/>
              <w:jc w:val="center"/>
              <w:rPr>
                <w:kern w:val="0"/>
                <w:sz w:val="18"/>
                <w:szCs w:val="18"/>
              </w:rPr>
            </w:pPr>
            <w:r>
              <w:rPr>
                <w:kern w:val="0"/>
                <w:sz w:val="18"/>
                <w:szCs w:val="18"/>
              </w:rPr>
              <w:t>小计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301" w:type="pct"/>
            <w:vAlign w:val="center"/>
          </w:tcPr>
          <w:p>
            <w:pPr>
              <w:adjustRightInd w:val="0"/>
              <w:snapToGrid w:val="0"/>
              <w:jc w:val="center"/>
              <w:rPr>
                <w:kern w:val="0"/>
                <w:sz w:val="18"/>
                <w:szCs w:val="18"/>
              </w:rPr>
            </w:pPr>
            <w:r>
              <w:rPr>
                <w:kern w:val="0"/>
                <w:sz w:val="18"/>
                <w:szCs w:val="18"/>
              </w:rPr>
              <w:t>1 绪论</w:t>
            </w:r>
          </w:p>
        </w:tc>
        <w:tc>
          <w:tcPr>
            <w:tcW w:w="939" w:type="pct"/>
            <w:vAlign w:val="center"/>
          </w:tcPr>
          <w:p>
            <w:pPr>
              <w:adjustRightInd w:val="0"/>
              <w:snapToGrid w:val="0"/>
              <w:jc w:val="center"/>
              <w:rPr>
                <w:kern w:val="0"/>
                <w:sz w:val="18"/>
                <w:szCs w:val="18"/>
              </w:rPr>
            </w:pPr>
            <w:r>
              <w:rPr>
                <w:kern w:val="0"/>
                <w:sz w:val="18"/>
                <w:szCs w:val="18"/>
              </w:rPr>
              <w:t>3</w:t>
            </w:r>
          </w:p>
        </w:tc>
        <w:tc>
          <w:tcPr>
            <w:tcW w:w="955" w:type="pct"/>
            <w:vAlign w:val="center"/>
          </w:tcPr>
          <w:p>
            <w:pPr>
              <w:adjustRightInd w:val="0"/>
              <w:snapToGrid w:val="0"/>
              <w:jc w:val="center"/>
              <w:rPr>
                <w:kern w:val="0"/>
                <w:sz w:val="18"/>
                <w:szCs w:val="18"/>
              </w:rPr>
            </w:pPr>
            <w:r>
              <w:rPr>
                <w:kern w:val="0"/>
                <w:sz w:val="18"/>
                <w:szCs w:val="18"/>
              </w:rPr>
              <w:t>0</w:t>
            </w:r>
          </w:p>
        </w:tc>
        <w:tc>
          <w:tcPr>
            <w:tcW w:w="804" w:type="pct"/>
            <w:vAlign w:val="center"/>
          </w:tcPr>
          <w:p>
            <w:pPr>
              <w:adjustRightInd w:val="0"/>
              <w:snapToGrid w:val="0"/>
              <w:jc w:val="center"/>
              <w:rPr>
                <w:kern w:val="0"/>
                <w:sz w:val="18"/>
                <w:szCs w:val="18"/>
              </w:rPr>
            </w:pPr>
            <w:r>
              <w:rPr>
                <w:kern w:val="0"/>
                <w:sz w:val="18"/>
                <w:szCs w:val="18"/>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301" w:type="pct"/>
            <w:vAlign w:val="center"/>
          </w:tcPr>
          <w:p>
            <w:pPr>
              <w:adjustRightInd w:val="0"/>
              <w:snapToGrid w:val="0"/>
              <w:jc w:val="center"/>
              <w:rPr>
                <w:kern w:val="0"/>
                <w:sz w:val="18"/>
                <w:szCs w:val="18"/>
              </w:rPr>
            </w:pPr>
            <w:r>
              <w:rPr>
                <w:kern w:val="0"/>
                <w:sz w:val="18"/>
                <w:szCs w:val="18"/>
              </w:rPr>
              <w:t>2 微惯性集成测量系统基础知识</w:t>
            </w:r>
          </w:p>
        </w:tc>
        <w:tc>
          <w:tcPr>
            <w:tcW w:w="939" w:type="pct"/>
            <w:vAlign w:val="center"/>
          </w:tcPr>
          <w:p>
            <w:pPr>
              <w:adjustRightInd w:val="0"/>
              <w:snapToGrid w:val="0"/>
              <w:jc w:val="center"/>
              <w:rPr>
                <w:kern w:val="0"/>
                <w:sz w:val="18"/>
                <w:szCs w:val="18"/>
              </w:rPr>
            </w:pPr>
            <w:r>
              <w:rPr>
                <w:kern w:val="0"/>
                <w:sz w:val="18"/>
                <w:szCs w:val="18"/>
              </w:rPr>
              <w:t>3</w:t>
            </w:r>
          </w:p>
        </w:tc>
        <w:tc>
          <w:tcPr>
            <w:tcW w:w="955" w:type="pct"/>
            <w:vAlign w:val="center"/>
          </w:tcPr>
          <w:p>
            <w:pPr>
              <w:adjustRightInd w:val="0"/>
              <w:snapToGrid w:val="0"/>
              <w:jc w:val="center"/>
              <w:rPr>
                <w:kern w:val="0"/>
                <w:sz w:val="18"/>
                <w:szCs w:val="18"/>
              </w:rPr>
            </w:pPr>
            <w:r>
              <w:rPr>
                <w:kern w:val="0"/>
                <w:sz w:val="18"/>
                <w:szCs w:val="18"/>
              </w:rPr>
              <w:t>0</w:t>
            </w:r>
          </w:p>
        </w:tc>
        <w:tc>
          <w:tcPr>
            <w:tcW w:w="804" w:type="pct"/>
            <w:vAlign w:val="center"/>
          </w:tcPr>
          <w:p>
            <w:pPr>
              <w:adjustRightInd w:val="0"/>
              <w:snapToGrid w:val="0"/>
              <w:jc w:val="center"/>
              <w:rPr>
                <w:kern w:val="0"/>
                <w:sz w:val="18"/>
                <w:szCs w:val="18"/>
              </w:rPr>
            </w:pPr>
            <w:r>
              <w:rPr>
                <w:kern w:val="0"/>
                <w:sz w:val="18"/>
                <w:szCs w:val="18"/>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301" w:type="pct"/>
            <w:vAlign w:val="center"/>
          </w:tcPr>
          <w:p>
            <w:pPr>
              <w:adjustRightInd w:val="0"/>
              <w:snapToGrid w:val="0"/>
              <w:jc w:val="center"/>
              <w:rPr>
                <w:kern w:val="0"/>
                <w:sz w:val="18"/>
                <w:szCs w:val="18"/>
              </w:rPr>
            </w:pPr>
            <w:r>
              <w:rPr>
                <w:kern w:val="0"/>
                <w:sz w:val="18"/>
                <w:szCs w:val="18"/>
              </w:rPr>
              <w:t>3 微惯性集成测量系统基本原理</w:t>
            </w:r>
          </w:p>
        </w:tc>
        <w:tc>
          <w:tcPr>
            <w:tcW w:w="939" w:type="pct"/>
            <w:vAlign w:val="center"/>
          </w:tcPr>
          <w:p>
            <w:pPr>
              <w:adjustRightInd w:val="0"/>
              <w:snapToGrid w:val="0"/>
              <w:jc w:val="center"/>
              <w:rPr>
                <w:kern w:val="0"/>
                <w:sz w:val="18"/>
                <w:szCs w:val="18"/>
              </w:rPr>
            </w:pPr>
            <w:r>
              <w:rPr>
                <w:kern w:val="0"/>
                <w:sz w:val="18"/>
                <w:szCs w:val="18"/>
              </w:rPr>
              <w:t>6</w:t>
            </w:r>
          </w:p>
        </w:tc>
        <w:tc>
          <w:tcPr>
            <w:tcW w:w="955" w:type="pct"/>
            <w:vAlign w:val="center"/>
          </w:tcPr>
          <w:p>
            <w:pPr>
              <w:adjustRightInd w:val="0"/>
              <w:snapToGrid w:val="0"/>
              <w:jc w:val="center"/>
              <w:rPr>
                <w:kern w:val="0"/>
                <w:sz w:val="18"/>
                <w:szCs w:val="18"/>
              </w:rPr>
            </w:pPr>
            <w:r>
              <w:rPr>
                <w:kern w:val="0"/>
                <w:sz w:val="18"/>
                <w:szCs w:val="18"/>
              </w:rPr>
              <w:t>0</w:t>
            </w:r>
          </w:p>
        </w:tc>
        <w:tc>
          <w:tcPr>
            <w:tcW w:w="804" w:type="pct"/>
            <w:vAlign w:val="center"/>
          </w:tcPr>
          <w:p>
            <w:pPr>
              <w:adjustRightInd w:val="0"/>
              <w:snapToGrid w:val="0"/>
              <w:jc w:val="center"/>
              <w:rPr>
                <w:kern w:val="0"/>
                <w:sz w:val="18"/>
                <w:szCs w:val="18"/>
              </w:rPr>
            </w:pPr>
            <w:r>
              <w:rPr>
                <w:kern w:val="0"/>
                <w:sz w:val="18"/>
                <w:szCs w:val="18"/>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301" w:type="pct"/>
            <w:vAlign w:val="center"/>
          </w:tcPr>
          <w:p>
            <w:pPr>
              <w:adjustRightInd w:val="0"/>
              <w:snapToGrid w:val="0"/>
              <w:jc w:val="center"/>
              <w:rPr>
                <w:kern w:val="0"/>
                <w:sz w:val="18"/>
                <w:szCs w:val="18"/>
              </w:rPr>
            </w:pPr>
            <w:r>
              <w:rPr>
                <w:kern w:val="0"/>
                <w:sz w:val="18"/>
                <w:szCs w:val="18"/>
              </w:rPr>
              <w:t>4 微惯性集成测量系统组成与设计方法</w:t>
            </w:r>
          </w:p>
        </w:tc>
        <w:tc>
          <w:tcPr>
            <w:tcW w:w="939" w:type="pct"/>
            <w:vAlign w:val="center"/>
          </w:tcPr>
          <w:p>
            <w:pPr>
              <w:adjustRightInd w:val="0"/>
              <w:snapToGrid w:val="0"/>
              <w:jc w:val="center"/>
              <w:rPr>
                <w:kern w:val="0"/>
                <w:sz w:val="18"/>
                <w:szCs w:val="18"/>
              </w:rPr>
            </w:pPr>
            <w:r>
              <w:rPr>
                <w:kern w:val="0"/>
                <w:sz w:val="18"/>
                <w:szCs w:val="18"/>
              </w:rPr>
              <w:t>4</w:t>
            </w:r>
          </w:p>
        </w:tc>
        <w:tc>
          <w:tcPr>
            <w:tcW w:w="955" w:type="pct"/>
            <w:vAlign w:val="center"/>
          </w:tcPr>
          <w:p>
            <w:pPr>
              <w:adjustRightInd w:val="0"/>
              <w:snapToGrid w:val="0"/>
              <w:jc w:val="center"/>
              <w:rPr>
                <w:kern w:val="0"/>
                <w:sz w:val="18"/>
                <w:szCs w:val="18"/>
              </w:rPr>
            </w:pPr>
            <w:r>
              <w:rPr>
                <w:kern w:val="0"/>
                <w:sz w:val="18"/>
                <w:szCs w:val="18"/>
              </w:rPr>
              <w:t>3</w:t>
            </w:r>
          </w:p>
        </w:tc>
        <w:tc>
          <w:tcPr>
            <w:tcW w:w="804" w:type="pct"/>
            <w:vAlign w:val="center"/>
          </w:tcPr>
          <w:p>
            <w:pPr>
              <w:adjustRightInd w:val="0"/>
              <w:snapToGrid w:val="0"/>
              <w:jc w:val="center"/>
              <w:rPr>
                <w:kern w:val="0"/>
                <w:sz w:val="18"/>
                <w:szCs w:val="18"/>
              </w:rPr>
            </w:pPr>
            <w:r>
              <w:rPr>
                <w:kern w:val="0"/>
                <w:sz w:val="18"/>
                <w:szCs w:val="18"/>
              </w:rPr>
              <w:t>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301" w:type="pct"/>
            <w:vAlign w:val="center"/>
          </w:tcPr>
          <w:p>
            <w:pPr>
              <w:adjustRightInd w:val="0"/>
              <w:snapToGrid w:val="0"/>
              <w:jc w:val="center"/>
              <w:rPr>
                <w:kern w:val="0"/>
                <w:sz w:val="18"/>
                <w:szCs w:val="18"/>
              </w:rPr>
            </w:pPr>
            <w:r>
              <w:rPr>
                <w:kern w:val="0"/>
                <w:sz w:val="18"/>
                <w:szCs w:val="18"/>
              </w:rPr>
              <w:t>5 微惯性集成测量系统测试与评估</w:t>
            </w:r>
          </w:p>
        </w:tc>
        <w:tc>
          <w:tcPr>
            <w:tcW w:w="939" w:type="pct"/>
            <w:vAlign w:val="center"/>
          </w:tcPr>
          <w:p>
            <w:pPr>
              <w:adjustRightInd w:val="0"/>
              <w:snapToGrid w:val="0"/>
              <w:jc w:val="center"/>
              <w:rPr>
                <w:kern w:val="0"/>
                <w:sz w:val="18"/>
                <w:szCs w:val="18"/>
              </w:rPr>
            </w:pPr>
            <w:r>
              <w:rPr>
                <w:kern w:val="0"/>
                <w:sz w:val="18"/>
                <w:szCs w:val="18"/>
              </w:rPr>
              <w:t>4</w:t>
            </w:r>
          </w:p>
        </w:tc>
        <w:tc>
          <w:tcPr>
            <w:tcW w:w="955" w:type="pct"/>
            <w:vAlign w:val="center"/>
          </w:tcPr>
          <w:p>
            <w:pPr>
              <w:adjustRightInd w:val="0"/>
              <w:snapToGrid w:val="0"/>
              <w:jc w:val="center"/>
              <w:rPr>
                <w:kern w:val="0"/>
                <w:sz w:val="18"/>
                <w:szCs w:val="18"/>
              </w:rPr>
            </w:pPr>
            <w:r>
              <w:rPr>
                <w:kern w:val="0"/>
                <w:sz w:val="18"/>
                <w:szCs w:val="18"/>
              </w:rPr>
              <w:t>9</w:t>
            </w:r>
          </w:p>
        </w:tc>
        <w:tc>
          <w:tcPr>
            <w:tcW w:w="804" w:type="pct"/>
            <w:vAlign w:val="center"/>
          </w:tcPr>
          <w:p>
            <w:pPr>
              <w:adjustRightInd w:val="0"/>
              <w:snapToGrid w:val="0"/>
              <w:jc w:val="center"/>
              <w:rPr>
                <w:kern w:val="0"/>
                <w:sz w:val="18"/>
                <w:szCs w:val="18"/>
              </w:rPr>
            </w:pPr>
            <w:r>
              <w:rPr>
                <w:kern w:val="0"/>
                <w:sz w:val="18"/>
                <w:szCs w:val="18"/>
              </w:rPr>
              <w:t>13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301" w:type="pct"/>
            <w:vAlign w:val="center"/>
          </w:tcPr>
          <w:p>
            <w:pPr>
              <w:adjustRightInd w:val="0"/>
              <w:snapToGrid w:val="0"/>
              <w:jc w:val="center"/>
              <w:rPr>
                <w:kern w:val="0"/>
                <w:sz w:val="18"/>
                <w:szCs w:val="18"/>
              </w:rPr>
            </w:pPr>
            <w:r>
              <w:rPr>
                <w:kern w:val="0"/>
                <w:sz w:val="18"/>
                <w:szCs w:val="18"/>
              </w:rPr>
              <w:t>合计</w:t>
            </w:r>
          </w:p>
        </w:tc>
        <w:tc>
          <w:tcPr>
            <w:tcW w:w="939" w:type="pct"/>
            <w:vAlign w:val="center"/>
          </w:tcPr>
          <w:p>
            <w:pPr>
              <w:adjustRightInd w:val="0"/>
              <w:snapToGrid w:val="0"/>
              <w:jc w:val="center"/>
              <w:rPr>
                <w:kern w:val="0"/>
                <w:sz w:val="18"/>
                <w:szCs w:val="18"/>
              </w:rPr>
            </w:pPr>
            <w:r>
              <w:rPr>
                <w:kern w:val="0"/>
                <w:sz w:val="18"/>
                <w:szCs w:val="18"/>
              </w:rPr>
              <w:t>20</w:t>
            </w:r>
          </w:p>
        </w:tc>
        <w:tc>
          <w:tcPr>
            <w:tcW w:w="955" w:type="pct"/>
            <w:vAlign w:val="center"/>
          </w:tcPr>
          <w:p>
            <w:pPr>
              <w:adjustRightInd w:val="0"/>
              <w:snapToGrid w:val="0"/>
              <w:jc w:val="center"/>
              <w:rPr>
                <w:kern w:val="0"/>
                <w:sz w:val="18"/>
                <w:szCs w:val="18"/>
              </w:rPr>
            </w:pPr>
            <w:r>
              <w:rPr>
                <w:kern w:val="0"/>
                <w:sz w:val="18"/>
                <w:szCs w:val="18"/>
              </w:rPr>
              <w:t>12</w:t>
            </w:r>
          </w:p>
        </w:tc>
        <w:tc>
          <w:tcPr>
            <w:tcW w:w="804" w:type="pct"/>
            <w:vAlign w:val="center"/>
          </w:tcPr>
          <w:p>
            <w:pPr>
              <w:adjustRightInd w:val="0"/>
              <w:snapToGrid w:val="0"/>
              <w:jc w:val="center"/>
              <w:rPr>
                <w:kern w:val="0"/>
                <w:sz w:val="18"/>
                <w:szCs w:val="18"/>
              </w:rPr>
            </w:pPr>
            <w:r>
              <w:rPr>
                <w:kern w:val="0"/>
                <w:sz w:val="18"/>
                <w:szCs w:val="18"/>
              </w:rPr>
              <w:t>32</w:t>
            </w:r>
          </w:p>
        </w:tc>
      </w:tr>
    </w:tbl>
    <w:p>
      <w:pPr>
        <w:rPr>
          <w:rFonts w:ascii="黑体" w:hAnsi="宋体" w:eastAsia="黑体"/>
          <w:kern w:val="0"/>
        </w:rPr>
      </w:pPr>
    </w:p>
    <w:p>
      <w:pPr>
        <w:spacing w:line="360" w:lineRule="auto"/>
        <w:rPr>
          <w:rFonts w:ascii="黑体" w:hAnsi="黑体" w:eastAsia="黑体"/>
        </w:rPr>
      </w:pPr>
      <w:r>
        <w:rPr>
          <w:rFonts w:hint="eastAsia" w:ascii="黑体" w:hAnsi="黑体" w:eastAsia="黑体"/>
        </w:rPr>
        <w:t>七、教材、补充教材及参考资料</w:t>
      </w:r>
    </w:p>
    <w:p>
      <w:pPr>
        <w:spacing w:line="360" w:lineRule="auto"/>
        <w:ind w:firstLine="420" w:firstLineChars="200"/>
        <w:rPr>
          <w:szCs w:val="21"/>
        </w:rPr>
      </w:pPr>
      <w:r>
        <w:rPr>
          <w:szCs w:val="21"/>
        </w:rPr>
        <w:t>1、刘俊等编著</w:t>
      </w:r>
      <w:r>
        <w:rPr>
          <w:rFonts w:hint="eastAsia"/>
          <w:szCs w:val="21"/>
        </w:rPr>
        <w:t>，</w:t>
      </w:r>
      <w:r>
        <w:rPr>
          <w:szCs w:val="21"/>
        </w:rPr>
        <w:t>《微惯性技术》</w:t>
      </w:r>
      <w:r>
        <w:rPr>
          <w:rFonts w:hint="eastAsia"/>
          <w:szCs w:val="21"/>
        </w:rPr>
        <w:t xml:space="preserve">，ISBN </w:t>
      </w:r>
      <w:r>
        <w:rPr>
          <w:szCs w:val="21"/>
        </w:rPr>
        <w:t>7121019167</w:t>
      </w:r>
      <w:r>
        <w:rPr>
          <w:rFonts w:hint="eastAsia" w:ascii="Arial" w:hAnsi="Arial" w:cs="Arial"/>
          <w:sz w:val="18"/>
          <w:szCs w:val="18"/>
          <w:shd w:val="clear" w:color="auto" w:fill="FFFFFF"/>
        </w:rPr>
        <w:t>，</w:t>
      </w:r>
      <w:r>
        <w:rPr>
          <w:szCs w:val="21"/>
        </w:rPr>
        <w:t>电子工业出版社</w:t>
      </w:r>
      <w:r>
        <w:rPr>
          <w:rFonts w:hint="eastAsia"/>
          <w:szCs w:val="21"/>
        </w:rPr>
        <w:t>。</w:t>
      </w:r>
    </w:p>
    <w:p>
      <w:pPr>
        <w:spacing w:line="360" w:lineRule="auto"/>
        <w:ind w:firstLine="420" w:firstLineChars="200"/>
        <w:rPr>
          <w:szCs w:val="21"/>
        </w:rPr>
      </w:pPr>
      <w:r>
        <w:rPr>
          <w:szCs w:val="21"/>
        </w:rPr>
        <w:t>2、丁衡高</w:t>
      </w:r>
      <w:r>
        <w:rPr>
          <w:rFonts w:hint="eastAsia"/>
          <w:szCs w:val="21"/>
        </w:rPr>
        <w:t>，</w:t>
      </w:r>
      <w:r>
        <w:rPr>
          <w:szCs w:val="21"/>
        </w:rPr>
        <w:t>《微型惯性器件及系统技术》</w:t>
      </w:r>
      <w:r>
        <w:rPr>
          <w:rFonts w:hint="eastAsia"/>
          <w:szCs w:val="21"/>
        </w:rPr>
        <w:t>，ISBN 9787118090826，</w:t>
      </w:r>
      <w:r>
        <w:rPr>
          <w:szCs w:val="21"/>
        </w:rPr>
        <w:t>国防工业出版社</w:t>
      </w:r>
      <w:r>
        <w:rPr>
          <w:rFonts w:hint="eastAsia"/>
          <w:szCs w:val="21"/>
        </w:rPr>
        <w:t>。</w:t>
      </w:r>
    </w:p>
    <w:p>
      <w:pPr>
        <w:spacing w:line="360" w:lineRule="auto"/>
        <w:ind w:firstLine="420" w:firstLineChars="200"/>
        <w:rPr>
          <w:szCs w:val="21"/>
        </w:rPr>
      </w:pPr>
      <w:r>
        <w:rPr>
          <w:szCs w:val="21"/>
        </w:rPr>
        <w:t>3、王寿荣</w:t>
      </w:r>
      <w:r>
        <w:rPr>
          <w:rFonts w:hint="eastAsia"/>
          <w:szCs w:val="21"/>
        </w:rPr>
        <w:t>，</w:t>
      </w:r>
      <w:r>
        <w:rPr>
          <w:szCs w:val="21"/>
        </w:rPr>
        <w:t>《硅微型惯性器件理论及应用》</w:t>
      </w:r>
      <w:r>
        <w:rPr>
          <w:rFonts w:hint="eastAsia"/>
          <w:szCs w:val="21"/>
        </w:rPr>
        <w:t>，ISBN 9787810506939，</w:t>
      </w:r>
      <w:r>
        <w:rPr>
          <w:szCs w:val="21"/>
        </w:rPr>
        <w:t>东南大学出版社</w:t>
      </w:r>
      <w:r>
        <w:rPr>
          <w:rFonts w:hint="eastAsia"/>
          <w:szCs w:val="21"/>
        </w:rPr>
        <w:t>。</w:t>
      </w:r>
    </w:p>
    <w:p>
      <w:pPr>
        <w:spacing w:line="360" w:lineRule="auto"/>
        <w:ind w:firstLine="420" w:firstLineChars="200"/>
        <w:rPr>
          <w:szCs w:val="21"/>
        </w:rPr>
      </w:pPr>
      <w:r>
        <w:rPr>
          <w:szCs w:val="21"/>
        </w:rPr>
        <w:t>4、秦永元</w:t>
      </w:r>
      <w:r>
        <w:rPr>
          <w:rFonts w:hint="eastAsia"/>
          <w:szCs w:val="21"/>
        </w:rPr>
        <w:t>，</w:t>
      </w:r>
      <w:r>
        <w:rPr>
          <w:szCs w:val="21"/>
        </w:rPr>
        <w:t>《惯性导航》</w:t>
      </w:r>
      <w:r>
        <w:rPr>
          <w:rFonts w:hint="eastAsia"/>
          <w:szCs w:val="21"/>
        </w:rPr>
        <w:t>，ISBN 9787030394651，</w:t>
      </w:r>
      <w:r>
        <w:rPr>
          <w:szCs w:val="21"/>
        </w:rPr>
        <w:t>北京，科学出版社</w:t>
      </w:r>
      <w:r>
        <w:rPr>
          <w:rFonts w:hint="eastAsia"/>
          <w:szCs w:val="21"/>
        </w:rPr>
        <w:t>。</w:t>
      </w:r>
    </w:p>
    <w:p>
      <w:pPr>
        <w:spacing w:line="360" w:lineRule="auto"/>
        <w:ind w:firstLine="420" w:firstLineChars="200"/>
        <w:rPr>
          <w:szCs w:val="21"/>
        </w:rPr>
      </w:pPr>
      <w:r>
        <w:rPr>
          <w:szCs w:val="21"/>
        </w:rPr>
        <w:t>5、邓正隆</w:t>
      </w:r>
      <w:r>
        <w:rPr>
          <w:rFonts w:hint="eastAsia"/>
          <w:szCs w:val="21"/>
        </w:rPr>
        <w:t>，</w:t>
      </w:r>
      <w:r>
        <w:rPr>
          <w:szCs w:val="21"/>
        </w:rPr>
        <w:t>《惯性技术》</w:t>
      </w:r>
      <w:r>
        <w:rPr>
          <w:rFonts w:hint="eastAsia"/>
          <w:szCs w:val="21"/>
        </w:rPr>
        <w:t>，ISBN 7560322441，</w:t>
      </w:r>
      <w:r>
        <w:rPr>
          <w:szCs w:val="21"/>
        </w:rPr>
        <w:t>哈尔滨工业大学出版社</w:t>
      </w:r>
      <w:r>
        <w:rPr>
          <w:rFonts w:hint="eastAsia"/>
          <w:szCs w:val="21"/>
        </w:rPr>
        <w:t>。</w:t>
      </w:r>
    </w:p>
    <w:p>
      <w:pPr>
        <w:spacing w:line="360" w:lineRule="auto"/>
        <w:ind w:firstLine="420" w:firstLineChars="200"/>
        <w:rPr>
          <w:szCs w:val="21"/>
        </w:rPr>
      </w:pPr>
      <w:r>
        <w:rPr>
          <w:szCs w:val="21"/>
        </w:rPr>
        <w:t>6、王新龙</w:t>
      </w:r>
      <w:r>
        <w:rPr>
          <w:rFonts w:hint="eastAsia"/>
          <w:szCs w:val="21"/>
        </w:rPr>
        <w:t>，</w:t>
      </w:r>
      <w:r>
        <w:rPr>
          <w:szCs w:val="21"/>
        </w:rPr>
        <w:t>《惯性导航基础》</w:t>
      </w:r>
      <w:r>
        <w:rPr>
          <w:rFonts w:hint="eastAsia"/>
          <w:szCs w:val="21"/>
        </w:rPr>
        <w:t>，ISBN 9787561236000</w:t>
      </w:r>
      <w:r>
        <w:rPr>
          <w:rFonts w:hint="eastAsia" w:ascii="Hiragino Sans GB" w:hAnsi="Hiragino Sans GB" w:cs="Hiragino Sans GB"/>
          <w:sz w:val="18"/>
          <w:szCs w:val="18"/>
          <w:shd w:val="clear" w:color="auto" w:fill="FFFFFF"/>
        </w:rPr>
        <w:t>，</w:t>
      </w:r>
      <w:r>
        <w:rPr>
          <w:szCs w:val="21"/>
        </w:rPr>
        <w:t>西北工业大学出版社</w:t>
      </w:r>
      <w:r>
        <w:rPr>
          <w:rFonts w:hint="eastAsia"/>
          <w:szCs w:val="21"/>
        </w:rPr>
        <w:t>。</w:t>
      </w:r>
    </w:p>
    <w:p>
      <w:pPr>
        <w:spacing w:line="360" w:lineRule="auto"/>
        <w:ind w:firstLine="420" w:firstLineChars="200"/>
        <w:rPr>
          <w:szCs w:val="21"/>
        </w:rPr>
      </w:pPr>
      <w:r>
        <w:rPr>
          <w:szCs w:val="21"/>
        </w:rPr>
        <w:t>7、邓志红</w:t>
      </w:r>
      <w:r>
        <w:rPr>
          <w:rFonts w:hint="eastAsia"/>
          <w:szCs w:val="21"/>
        </w:rPr>
        <w:t>，</w:t>
      </w:r>
      <w:r>
        <w:rPr>
          <w:szCs w:val="21"/>
        </w:rPr>
        <w:t>《惯性器件与惯性导航系统》</w:t>
      </w:r>
      <w:r>
        <w:rPr>
          <w:rFonts w:hint="eastAsia"/>
          <w:szCs w:val="21"/>
        </w:rPr>
        <w:t>，</w:t>
      </w:r>
      <w:r>
        <w:rPr>
          <w:szCs w:val="21"/>
        </w:rPr>
        <w:t>ISBN9787030346469</w:t>
      </w:r>
      <w:r>
        <w:rPr>
          <w:rFonts w:hint="eastAsia"/>
          <w:szCs w:val="21"/>
        </w:rPr>
        <w:t>，</w:t>
      </w:r>
      <w:r>
        <w:rPr>
          <w:szCs w:val="21"/>
        </w:rPr>
        <w:t>科学出版社</w:t>
      </w:r>
      <w:r>
        <w:rPr>
          <w:rFonts w:hint="eastAsia"/>
          <w:szCs w:val="21"/>
        </w:rPr>
        <w:t>。</w:t>
      </w:r>
    </w:p>
    <w:p>
      <w:pPr>
        <w:spacing w:line="360" w:lineRule="auto"/>
        <w:ind w:firstLine="420" w:firstLineChars="200"/>
        <w:rPr>
          <w:szCs w:val="21"/>
        </w:rPr>
      </w:pPr>
      <w:r>
        <w:rPr>
          <w:szCs w:val="21"/>
        </w:rPr>
        <w:t>8、高钟毓</w:t>
      </w:r>
      <w:r>
        <w:rPr>
          <w:rFonts w:hint="eastAsia"/>
          <w:szCs w:val="21"/>
        </w:rPr>
        <w:t>，</w:t>
      </w:r>
      <w:r>
        <w:rPr>
          <w:szCs w:val="21"/>
        </w:rPr>
        <w:t>《惯性导航系统技术》</w:t>
      </w:r>
      <w:r>
        <w:rPr>
          <w:rFonts w:hint="eastAsia"/>
          <w:szCs w:val="21"/>
        </w:rPr>
        <w:t>，</w:t>
      </w:r>
      <w:r>
        <w:rPr>
          <w:szCs w:val="21"/>
        </w:rPr>
        <w:t>ISBN9787302294009</w:t>
      </w:r>
      <w:r>
        <w:rPr>
          <w:rFonts w:hint="eastAsia"/>
          <w:szCs w:val="21"/>
        </w:rPr>
        <w:t>，</w:t>
      </w:r>
      <w:r>
        <w:rPr>
          <w:szCs w:val="21"/>
        </w:rPr>
        <w:t>清华大学出版社</w:t>
      </w:r>
      <w:r>
        <w:rPr>
          <w:rFonts w:hint="eastAsia"/>
          <w:szCs w:val="21"/>
        </w:rPr>
        <w:t>。</w:t>
      </w:r>
    </w:p>
    <w:p>
      <w:pPr>
        <w:adjustRightInd w:val="0"/>
        <w:snapToGrid w:val="0"/>
        <w:spacing w:line="360" w:lineRule="auto"/>
        <w:ind w:firstLine="420" w:firstLineChars="200"/>
        <w:rPr>
          <w:rFonts w:cs="宋体"/>
        </w:rPr>
      </w:pPr>
    </w:p>
    <w:p>
      <w:pPr>
        <w:adjustRightInd w:val="0"/>
        <w:snapToGrid w:val="0"/>
        <w:spacing w:line="360" w:lineRule="auto"/>
        <w:rPr>
          <w:rFonts w:eastAsia="黑体"/>
        </w:rPr>
      </w:pPr>
      <w:r>
        <w:rPr>
          <w:rFonts w:hint="eastAsia" w:eastAsia="黑体" w:cs="黑体"/>
        </w:rPr>
        <w:t>八、达成课程目标的途径和措施</w:t>
      </w:r>
    </w:p>
    <w:p>
      <w:pPr>
        <w:spacing w:line="360" w:lineRule="auto"/>
        <w:ind w:firstLine="420" w:firstLineChars="200"/>
        <w:rPr>
          <w:szCs w:val="21"/>
        </w:rPr>
      </w:pPr>
      <w:r>
        <w:rPr>
          <w:rFonts w:hint="eastAsia"/>
        </w:rPr>
        <w:t>1</w:t>
      </w:r>
      <w:r>
        <w:rPr>
          <w:rFonts w:hint="eastAsia" w:cs="宋体"/>
        </w:rPr>
        <w:t>、考核目标：</w:t>
      </w:r>
      <w:r>
        <w:rPr>
          <w:szCs w:val="21"/>
        </w:rPr>
        <w:t>在考核学生对微惯性集成测量系统基本知识、基本原理与组成的基础上，重点考核学生对微惯性集成测量系统的分析设计与测试评估能力。</w:t>
      </w:r>
    </w:p>
    <w:p>
      <w:pPr>
        <w:spacing w:line="360" w:lineRule="auto"/>
        <w:ind w:firstLine="420" w:firstLineChars="200"/>
      </w:pPr>
      <w:r>
        <w:rPr>
          <w:rFonts w:hint="eastAsia"/>
        </w:rPr>
        <w:t>2</w:t>
      </w:r>
      <w:r>
        <w:rPr>
          <w:rFonts w:hint="eastAsia" w:cs="宋体"/>
        </w:rPr>
        <w:t>、考核方式</w:t>
      </w:r>
      <w:r>
        <w:t>考试、实验、课外分组作业、课堂作业及课堂提问。</w:t>
      </w:r>
    </w:p>
    <w:p>
      <w:pPr>
        <w:spacing w:line="360" w:lineRule="auto"/>
        <w:ind w:firstLine="420" w:firstLineChars="200"/>
      </w:pPr>
      <w:r>
        <w:t>3</w:t>
      </w:r>
      <w:r>
        <w:rPr>
          <w:rFonts w:hint="eastAsia" w:cs="宋体"/>
        </w:rPr>
        <w:t>、</w:t>
      </w:r>
      <w:r>
        <w:rPr>
          <w:rFonts w:hint="eastAsia"/>
        </w:rPr>
        <w:t>评价环节对课程目标达成贡献率及支撑材料：</w:t>
      </w:r>
    </w:p>
    <w:tbl>
      <w:tblPr>
        <w:tblStyle w:val="19"/>
        <w:tblW w:w="5000" w:type="pct"/>
        <w:jc w:val="center"/>
        <w:tblLayout w:type="autofit"/>
        <w:tblCellMar>
          <w:top w:w="0" w:type="dxa"/>
          <w:left w:w="108" w:type="dxa"/>
          <w:bottom w:w="0" w:type="dxa"/>
          <w:right w:w="108" w:type="dxa"/>
        </w:tblCellMar>
      </w:tblPr>
      <w:tblGrid>
        <w:gridCol w:w="1503"/>
        <w:gridCol w:w="1436"/>
        <w:gridCol w:w="1436"/>
        <w:gridCol w:w="1438"/>
        <w:gridCol w:w="1438"/>
        <w:gridCol w:w="1277"/>
      </w:tblGrid>
      <w:tr>
        <w:tblPrEx>
          <w:tblCellMar>
            <w:top w:w="0" w:type="dxa"/>
            <w:left w:w="108" w:type="dxa"/>
            <w:bottom w:w="0" w:type="dxa"/>
            <w:right w:w="108" w:type="dxa"/>
          </w:tblCellMar>
        </w:tblPrEx>
        <w:trPr>
          <w:trHeight w:val="691" w:hRule="atLeast"/>
          <w:jc w:val="center"/>
        </w:trPr>
        <w:tc>
          <w:tcPr>
            <w:tcW w:w="881" w:type="pct"/>
            <w:tcBorders>
              <w:top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考察环节</w:t>
            </w:r>
          </w:p>
        </w:tc>
        <w:tc>
          <w:tcPr>
            <w:tcW w:w="84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课堂情况</w:t>
            </w:r>
          </w:p>
        </w:tc>
        <w:tc>
          <w:tcPr>
            <w:tcW w:w="84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作业</w:t>
            </w:r>
          </w:p>
        </w:tc>
        <w:tc>
          <w:tcPr>
            <w:tcW w:w="84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实验</w:t>
            </w:r>
          </w:p>
        </w:tc>
        <w:tc>
          <w:tcPr>
            <w:tcW w:w="84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分组大作业</w:t>
            </w:r>
          </w:p>
        </w:tc>
        <w:tc>
          <w:tcPr>
            <w:tcW w:w="749" w:type="pct"/>
            <w:tcBorders>
              <w:top w:val="single" w:color="auto" w:sz="4" w:space="0"/>
              <w:left w:val="single" w:color="auto" w:sz="4" w:space="0"/>
              <w:bottom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期末考试</w:t>
            </w:r>
          </w:p>
        </w:tc>
      </w:tr>
      <w:tr>
        <w:tblPrEx>
          <w:tblCellMar>
            <w:top w:w="0" w:type="dxa"/>
            <w:left w:w="108" w:type="dxa"/>
            <w:bottom w:w="0" w:type="dxa"/>
            <w:right w:w="108" w:type="dxa"/>
          </w:tblCellMar>
        </w:tblPrEx>
        <w:trPr>
          <w:trHeight w:val="794" w:hRule="atLeast"/>
          <w:jc w:val="center"/>
        </w:trPr>
        <w:tc>
          <w:tcPr>
            <w:tcW w:w="881" w:type="pct"/>
            <w:tcBorders>
              <w:top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课程目标达成</w:t>
            </w:r>
          </w:p>
          <w:p>
            <w:pPr>
              <w:jc w:val="center"/>
              <w:rPr>
                <w:rFonts w:ascii="宋体" w:hAnsi="宋体" w:cs="宋体"/>
                <w:kern w:val="0"/>
                <w:sz w:val="18"/>
                <w:szCs w:val="18"/>
              </w:rPr>
            </w:pPr>
            <w:r>
              <w:rPr>
                <w:rFonts w:hint="eastAsia" w:ascii="宋体" w:hAnsi="宋体" w:cs="宋体"/>
                <w:kern w:val="0"/>
                <w:sz w:val="18"/>
                <w:szCs w:val="18"/>
              </w:rPr>
              <w:t>的贡献率</w:t>
            </w:r>
          </w:p>
        </w:tc>
        <w:tc>
          <w:tcPr>
            <w:tcW w:w="842" w:type="pct"/>
            <w:tcBorders>
              <w:top w:val="single" w:color="auto" w:sz="4" w:space="0"/>
              <w:left w:val="single" w:color="auto" w:sz="4" w:space="0"/>
              <w:bottom w:val="single" w:color="auto" w:sz="4" w:space="0"/>
              <w:right w:val="single" w:color="auto" w:sz="4" w:space="0"/>
            </w:tcBorders>
            <w:vAlign w:val="center"/>
          </w:tcPr>
          <w:p>
            <w:pPr>
              <w:jc w:val="center"/>
              <w:rPr>
                <w:kern w:val="0"/>
                <w:sz w:val="18"/>
                <w:szCs w:val="18"/>
              </w:rPr>
            </w:pPr>
            <w:r>
              <w:rPr>
                <w:kern w:val="0"/>
                <w:sz w:val="18"/>
                <w:szCs w:val="18"/>
              </w:rPr>
              <w:t>0.10</w:t>
            </w:r>
          </w:p>
        </w:tc>
        <w:tc>
          <w:tcPr>
            <w:tcW w:w="842" w:type="pct"/>
            <w:tcBorders>
              <w:top w:val="single" w:color="auto" w:sz="4" w:space="0"/>
              <w:left w:val="single" w:color="auto" w:sz="4" w:space="0"/>
              <w:bottom w:val="single" w:color="auto" w:sz="4" w:space="0"/>
              <w:right w:val="single" w:color="auto" w:sz="4" w:space="0"/>
            </w:tcBorders>
            <w:vAlign w:val="center"/>
          </w:tcPr>
          <w:p>
            <w:pPr>
              <w:jc w:val="center"/>
              <w:rPr>
                <w:kern w:val="0"/>
                <w:sz w:val="18"/>
                <w:szCs w:val="18"/>
              </w:rPr>
            </w:pPr>
            <w:r>
              <w:rPr>
                <w:kern w:val="0"/>
                <w:sz w:val="18"/>
                <w:szCs w:val="18"/>
              </w:rPr>
              <w:t xml:space="preserve">0.10 </w:t>
            </w:r>
          </w:p>
        </w:tc>
        <w:tc>
          <w:tcPr>
            <w:tcW w:w="843" w:type="pct"/>
            <w:tcBorders>
              <w:top w:val="single" w:color="auto" w:sz="4" w:space="0"/>
              <w:left w:val="single" w:color="auto" w:sz="4" w:space="0"/>
              <w:bottom w:val="single" w:color="auto" w:sz="4" w:space="0"/>
              <w:right w:val="single" w:color="auto" w:sz="4" w:space="0"/>
            </w:tcBorders>
            <w:vAlign w:val="center"/>
          </w:tcPr>
          <w:p>
            <w:pPr>
              <w:jc w:val="center"/>
              <w:rPr>
                <w:kern w:val="0"/>
                <w:sz w:val="18"/>
                <w:szCs w:val="18"/>
              </w:rPr>
            </w:pPr>
            <w:r>
              <w:rPr>
                <w:kern w:val="0"/>
                <w:sz w:val="18"/>
                <w:szCs w:val="18"/>
              </w:rPr>
              <w:t xml:space="preserve">0.14 </w:t>
            </w:r>
          </w:p>
        </w:tc>
        <w:tc>
          <w:tcPr>
            <w:tcW w:w="843" w:type="pct"/>
            <w:tcBorders>
              <w:top w:val="single" w:color="auto" w:sz="4" w:space="0"/>
              <w:left w:val="single" w:color="auto" w:sz="4" w:space="0"/>
              <w:bottom w:val="single" w:color="auto" w:sz="4" w:space="0"/>
              <w:right w:val="single" w:color="auto" w:sz="4" w:space="0"/>
            </w:tcBorders>
            <w:vAlign w:val="center"/>
          </w:tcPr>
          <w:p>
            <w:pPr>
              <w:jc w:val="center"/>
              <w:rPr>
                <w:kern w:val="0"/>
                <w:sz w:val="18"/>
                <w:szCs w:val="18"/>
              </w:rPr>
            </w:pPr>
            <w:r>
              <w:rPr>
                <w:kern w:val="0"/>
                <w:sz w:val="18"/>
                <w:szCs w:val="18"/>
              </w:rPr>
              <w:t xml:space="preserve">0.10 </w:t>
            </w:r>
          </w:p>
        </w:tc>
        <w:tc>
          <w:tcPr>
            <w:tcW w:w="749" w:type="pct"/>
            <w:tcBorders>
              <w:top w:val="single" w:color="auto" w:sz="4" w:space="0"/>
              <w:left w:val="single" w:color="auto" w:sz="4" w:space="0"/>
              <w:bottom w:val="single" w:color="auto" w:sz="4" w:space="0"/>
            </w:tcBorders>
            <w:vAlign w:val="center"/>
          </w:tcPr>
          <w:p>
            <w:pPr>
              <w:jc w:val="center"/>
              <w:rPr>
                <w:kern w:val="0"/>
                <w:sz w:val="18"/>
                <w:szCs w:val="18"/>
              </w:rPr>
            </w:pPr>
            <w:r>
              <w:rPr>
                <w:kern w:val="0"/>
                <w:sz w:val="18"/>
                <w:szCs w:val="18"/>
              </w:rPr>
              <w:t xml:space="preserve">0.56 </w:t>
            </w:r>
          </w:p>
        </w:tc>
      </w:tr>
      <w:tr>
        <w:tblPrEx>
          <w:tblCellMar>
            <w:top w:w="0" w:type="dxa"/>
            <w:left w:w="108" w:type="dxa"/>
            <w:bottom w:w="0" w:type="dxa"/>
            <w:right w:w="108" w:type="dxa"/>
          </w:tblCellMar>
        </w:tblPrEx>
        <w:trPr>
          <w:trHeight w:val="1847" w:hRule="atLeast"/>
          <w:jc w:val="center"/>
        </w:trPr>
        <w:tc>
          <w:tcPr>
            <w:tcW w:w="881" w:type="pct"/>
            <w:tcBorders>
              <w:top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支撑材料</w:t>
            </w:r>
          </w:p>
        </w:tc>
        <w:tc>
          <w:tcPr>
            <w:tcW w:w="84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ascii="宋体" w:hAnsi="宋体"/>
                <w:kern w:val="0"/>
                <w:sz w:val="18"/>
                <w:szCs w:val="18"/>
              </w:rPr>
              <w:t>课堂评价标准，课堂提问记录，结合出勤率等</w:t>
            </w:r>
          </w:p>
        </w:tc>
        <w:tc>
          <w:tcPr>
            <w:tcW w:w="84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ascii="宋体" w:hAnsi="宋体"/>
                <w:kern w:val="0"/>
                <w:sz w:val="18"/>
                <w:szCs w:val="18"/>
              </w:rPr>
              <w:t>作业评价标准，典型作业拍照，或电子版</w:t>
            </w:r>
          </w:p>
        </w:tc>
        <w:tc>
          <w:tcPr>
            <w:tcW w:w="84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ascii="宋体" w:hAnsi="宋体"/>
                <w:kern w:val="0"/>
                <w:sz w:val="18"/>
                <w:szCs w:val="18"/>
              </w:rPr>
              <w:t>课内实验评价标准，实验课堂记录，典型实验报告</w:t>
            </w:r>
          </w:p>
        </w:tc>
        <w:tc>
          <w:tcPr>
            <w:tcW w:w="84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ascii="宋体" w:hAnsi="宋体"/>
                <w:kern w:val="0"/>
                <w:sz w:val="18"/>
                <w:szCs w:val="18"/>
              </w:rPr>
              <w:t>分组作业评价标准，验收记录</w:t>
            </w:r>
          </w:p>
        </w:tc>
        <w:tc>
          <w:tcPr>
            <w:tcW w:w="749" w:type="pct"/>
            <w:tcBorders>
              <w:top w:val="single" w:color="auto" w:sz="4" w:space="0"/>
              <w:left w:val="single" w:color="auto" w:sz="4" w:space="0"/>
              <w:bottom w:val="single" w:color="auto" w:sz="4" w:space="0"/>
            </w:tcBorders>
            <w:vAlign w:val="center"/>
          </w:tcPr>
          <w:p>
            <w:pPr>
              <w:jc w:val="center"/>
              <w:rPr>
                <w:rFonts w:ascii="宋体" w:hAnsi="宋体" w:cs="宋体"/>
                <w:kern w:val="0"/>
                <w:sz w:val="18"/>
                <w:szCs w:val="18"/>
              </w:rPr>
            </w:pPr>
            <w:r>
              <w:rPr>
                <w:rFonts w:ascii="宋体" w:hAnsi="宋体"/>
                <w:kern w:val="0"/>
                <w:sz w:val="18"/>
                <w:szCs w:val="18"/>
              </w:rPr>
              <w:t>试题评分标准，试卷</w:t>
            </w:r>
          </w:p>
        </w:tc>
      </w:tr>
    </w:tbl>
    <w:p>
      <w:pPr>
        <w:tabs>
          <w:tab w:val="left" w:pos="420"/>
        </w:tabs>
        <w:adjustRightInd w:val="0"/>
        <w:snapToGrid w:val="0"/>
        <w:spacing w:line="360" w:lineRule="auto"/>
        <w:ind w:left="420" w:hanging="420"/>
        <w:rPr>
          <w:rFonts w:eastAsia="黑体"/>
          <w:szCs w:val="24"/>
        </w:rPr>
      </w:pPr>
      <w:r>
        <w:rPr>
          <w:rFonts w:eastAsia="黑体"/>
          <w:szCs w:val="24"/>
        </w:rPr>
        <w:t>九</w:t>
      </w:r>
      <w:r>
        <w:rPr>
          <w:rFonts w:hint="eastAsia" w:eastAsia="黑体"/>
          <w:szCs w:val="24"/>
        </w:rPr>
        <w:t>、覆盖课程目标达成评价的知识点及权重</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562"/>
        <w:gridCol w:w="1179"/>
        <w:gridCol w:w="178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261" w:type="pct"/>
            <w:shd w:val="clear" w:color="auto" w:fill="auto"/>
            <w:vAlign w:val="center"/>
          </w:tcPr>
          <w:p>
            <w:pPr>
              <w:jc w:val="center"/>
              <w:rPr>
                <w:rFonts w:ascii="宋体" w:hAnsi="宋体"/>
                <w:sz w:val="18"/>
                <w:szCs w:val="18"/>
              </w:rPr>
            </w:pPr>
            <w:r>
              <w:rPr>
                <w:rFonts w:ascii="宋体" w:hAnsi="宋体"/>
                <w:sz w:val="18"/>
                <w:szCs w:val="18"/>
              </w:rPr>
              <w:t>知识点</w:t>
            </w:r>
          </w:p>
        </w:tc>
        <w:tc>
          <w:tcPr>
            <w:tcW w:w="691" w:type="pct"/>
            <w:shd w:val="clear" w:color="auto" w:fill="auto"/>
            <w:vAlign w:val="center"/>
          </w:tcPr>
          <w:p>
            <w:pPr>
              <w:jc w:val="center"/>
              <w:rPr>
                <w:rFonts w:ascii="宋体" w:hAnsi="宋体"/>
                <w:sz w:val="18"/>
                <w:szCs w:val="18"/>
              </w:rPr>
            </w:pPr>
            <w:r>
              <w:rPr>
                <w:rFonts w:ascii="宋体" w:hAnsi="宋体"/>
                <w:sz w:val="18"/>
                <w:szCs w:val="18"/>
              </w:rPr>
              <w:t>权重</w:t>
            </w:r>
          </w:p>
        </w:tc>
        <w:tc>
          <w:tcPr>
            <w:tcW w:w="1048" w:type="pct"/>
            <w:shd w:val="clear" w:color="auto" w:fill="auto"/>
            <w:vAlign w:val="center"/>
          </w:tcPr>
          <w:p>
            <w:pPr>
              <w:jc w:val="center"/>
              <w:rPr>
                <w:rFonts w:ascii="宋体" w:hAnsi="宋体"/>
                <w:sz w:val="18"/>
                <w:szCs w:val="18"/>
              </w:rPr>
            </w:pPr>
            <w:r>
              <w:rPr>
                <w:rFonts w:ascii="宋体" w:hAnsi="宋体"/>
                <w:sz w:val="18"/>
                <w:szCs w:val="18"/>
              </w:rPr>
              <w:t>支撑课程目标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261" w:type="pct"/>
            <w:shd w:val="clear" w:color="auto" w:fill="auto"/>
            <w:vAlign w:val="center"/>
          </w:tcPr>
          <w:p>
            <w:pPr>
              <w:jc w:val="left"/>
              <w:rPr>
                <w:rFonts w:ascii="宋体" w:hAnsi="宋体"/>
                <w:sz w:val="18"/>
                <w:szCs w:val="18"/>
              </w:rPr>
            </w:pPr>
            <w:r>
              <w:rPr>
                <w:rFonts w:hint="eastAsia" w:ascii="宋体" w:hAnsi="宋体"/>
                <w:sz w:val="18"/>
                <w:szCs w:val="18"/>
              </w:rPr>
              <w:t>1. 微惯性集成测量系统基本工作原理，选择并应用微惯性器件进行微惯性测量系统集成设计的思路与方法</w:t>
            </w:r>
          </w:p>
        </w:tc>
        <w:tc>
          <w:tcPr>
            <w:tcW w:w="691" w:type="pct"/>
            <w:shd w:val="clear" w:color="auto" w:fill="auto"/>
            <w:vAlign w:val="center"/>
          </w:tcPr>
          <w:p>
            <w:pPr>
              <w:ind w:firstLine="180" w:firstLineChars="100"/>
              <w:rPr>
                <w:sz w:val="18"/>
                <w:szCs w:val="18"/>
              </w:rPr>
            </w:pPr>
            <w:r>
              <w:rPr>
                <w:sz w:val="18"/>
                <w:szCs w:val="18"/>
              </w:rPr>
              <w:t>0.20</w:t>
            </w:r>
          </w:p>
        </w:tc>
        <w:tc>
          <w:tcPr>
            <w:tcW w:w="1048" w:type="pct"/>
            <w:shd w:val="clear" w:color="auto" w:fill="auto"/>
            <w:vAlign w:val="center"/>
          </w:tcPr>
          <w:p>
            <w:pPr>
              <w:jc w:val="center"/>
              <w:rPr>
                <w:sz w:val="18"/>
                <w:szCs w:val="18"/>
              </w:rPr>
            </w:pPr>
            <w:r>
              <w:rPr>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261" w:type="pct"/>
            <w:shd w:val="clear" w:color="auto" w:fill="auto"/>
            <w:vAlign w:val="center"/>
          </w:tcPr>
          <w:p>
            <w:pPr>
              <w:jc w:val="left"/>
              <w:rPr>
                <w:rFonts w:ascii="宋体" w:hAnsi="宋体"/>
                <w:sz w:val="18"/>
                <w:szCs w:val="18"/>
              </w:rPr>
            </w:pPr>
            <w:r>
              <w:rPr>
                <w:rFonts w:hint="eastAsia" w:ascii="宋体" w:hAnsi="宋体"/>
                <w:sz w:val="18"/>
                <w:szCs w:val="18"/>
              </w:rPr>
              <w:t>2. 捷联式微惯性集成测量系统机械编排方法</w:t>
            </w:r>
          </w:p>
        </w:tc>
        <w:tc>
          <w:tcPr>
            <w:tcW w:w="691" w:type="pct"/>
            <w:shd w:val="clear" w:color="auto" w:fill="auto"/>
            <w:vAlign w:val="center"/>
          </w:tcPr>
          <w:p>
            <w:pPr>
              <w:jc w:val="center"/>
              <w:rPr>
                <w:sz w:val="18"/>
                <w:szCs w:val="18"/>
              </w:rPr>
            </w:pPr>
            <w:r>
              <w:rPr>
                <w:sz w:val="18"/>
                <w:szCs w:val="18"/>
              </w:rPr>
              <w:t>0.10</w:t>
            </w:r>
          </w:p>
        </w:tc>
        <w:tc>
          <w:tcPr>
            <w:tcW w:w="1048" w:type="pct"/>
            <w:shd w:val="clear" w:color="auto" w:fill="auto"/>
            <w:vAlign w:val="center"/>
          </w:tcPr>
          <w:p>
            <w:pPr>
              <w:jc w:val="center"/>
              <w:rPr>
                <w:sz w:val="18"/>
                <w:szCs w:val="18"/>
              </w:rPr>
            </w:pPr>
            <w:r>
              <w:rPr>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261" w:type="pct"/>
            <w:shd w:val="clear" w:color="auto" w:fill="auto"/>
            <w:vAlign w:val="center"/>
          </w:tcPr>
          <w:p>
            <w:pPr>
              <w:jc w:val="left"/>
              <w:rPr>
                <w:rFonts w:ascii="宋体" w:hAnsi="宋体"/>
                <w:sz w:val="18"/>
                <w:szCs w:val="18"/>
              </w:rPr>
            </w:pPr>
            <w:r>
              <w:rPr>
                <w:rFonts w:hint="eastAsia" w:ascii="宋体" w:hAnsi="宋体"/>
                <w:sz w:val="18"/>
                <w:szCs w:val="18"/>
              </w:rPr>
              <w:t>3. 姿态矩阵更新方法和导航方程计算方法</w:t>
            </w:r>
          </w:p>
        </w:tc>
        <w:tc>
          <w:tcPr>
            <w:tcW w:w="691" w:type="pct"/>
            <w:shd w:val="clear" w:color="auto" w:fill="auto"/>
            <w:vAlign w:val="center"/>
          </w:tcPr>
          <w:p>
            <w:pPr>
              <w:jc w:val="center"/>
              <w:rPr>
                <w:sz w:val="18"/>
                <w:szCs w:val="18"/>
              </w:rPr>
            </w:pPr>
            <w:r>
              <w:rPr>
                <w:sz w:val="18"/>
                <w:szCs w:val="18"/>
              </w:rPr>
              <w:t>0.30</w:t>
            </w:r>
          </w:p>
        </w:tc>
        <w:tc>
          <w:tcPr>
            <w:tcW w:w="1048" w:type="pct"/>
            <w:shd w:val="clear" w:color="auto" w:fill="auto"/>
            <w:vAlign w:val="center"/>
          </w:tcPr>
          <w:p>
            <w:pPr>
              <w:jc w:val="center"/>
              <w:rPr>
                <w:sz w:val="18"/>
                <w:szCs w:val="18"/>
              </w:rPr>
            </w:pPr>
            <w:r>
              <w:rPr>
                <w:sz w:val="18"/>
                <w:szCs w:val="18"/>
              </w:rPr>
              <w:t>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261" w:type="pct"/>
            <w:shd w:val="clear" w:color="auto" w:fill="auto"/>
            <w:vAlign w:val="center"/>
          </w:tcPr>
          <w:p>
            <w:pPr>
              <w:jc w:val="left"/>
              <w:rPr>
                <w:rFonts w:ascii="宋体" w:hAnsi="宋体"/>
                <w:sz w:val="18"/>
                <w:szCs w:val="18"/>
              </w:rPr>
            </w:pPr>
            <w:r>
              <w:rPr>
                <w:rFonts w:hint="eastAsia" w:ascii="宋体" w:hAnsi="宋体"/>
                <w:sz w:val="18"/>
                <w:szCs w:val="18"/>
              </w:rPr>
              <w:t>4. 微惯性集成测量系统器件级、组件级与系统级的主要特性参数概念，利用常用惯性测试设备搭建测试平台，并设计测试方案，实现对相关参数测试。</w:t>
            </w:r>
          </w:p>
        </w:tc>
        <w:tc>
          <w:tcPr>
            <w:tcW w:w="691" w:type="pct"/>
            <w:shd w:val="clear" w:color="auto" w:fill="auto"/>
            <w:vAlign w:val="center"/>
          </w:tcPr>
          <w:p>
            <w:pPr>
              <w:jc w:val="center"/>
              <w:rPr>
                <w:sz w:val="18"/>
                <w:szCs w:val="18"/>
              </w:rPr>
            </w:pPr>
            <w:r>
              <w:rPr>
                <w:sz w:val="18"/>
                <w:szCs w:val="18"/>
              </w:rPr>
              <w:t>0.40</w:t>
            </w:r>
          </w:p>
        </w:tc>
        <w:tc>
          <w:tcPr>
            <w:tcW w:w="1048" w:type="pct"/>
            <w:shd w:val="clear" w:color="auto" w:fill="auto"/>
            <w:vAlign w:val="center"/>
          </w:tcPr>
          <w:p>
            <w:pPr>
              <w:jc w:val="center"/>
              <w:rPr>
                <w:sz w:val="18"/>
                <w:szCs w:val="18"/>
              </w:rPr>
            </w:pPr>
            <w:r>
              <w:rPr>
                <w:sz w:val="18"/>
                <w:szCs w:val="18"/>
              </w:rPr>
              <w:t>1,2</w:t>
            </w:r>
          </w:p>
        </w:tc>
      </w:tr>
    </w:tbl>
    <w:p/>
    <w:p>
      <w:pPr>
        <w:ind w:firstLine="420" w:firstLineChars="200"/>
        <w:rPr>
          <w:szCs w:val="21"/>
        </w:rPr>
        <w:sectPr>
          <w:headerReference r:id="rId50" w:type="first"/>
          <w:footerReference r:id="rId53" w:type="first"/>
          <w:headerReference r:id="rId48" w:type="default"/>
          <w:footerReference r:id="rId51" w:type="default"/>
          <w:headerReference r:id="rId49" w:type="even"/>
          <w:footerReference r:id="rId52" w:type="even"/>
          <w:pgSz w:w="11906" w:h="16838"/>
          <w:pgMar w:top="1440" w:right="1797" w:bottom="1440" w:left="1797" w:header="851" w:footer="992" w:gutter="0"/>
          <w:pgNumType w:fmt="decimal"/>
          <w:cols w:space="720" w:num="1"/>
          <w:docGrid w:linePitch="312" w:charSpace="0"/>
        </w:sectPr>
      </w:pPr>
      <w:r>
        <w:rPr>
          <w:rFonts w:hint="eastAsia"/>
        </w:rPr>
        <w:t>本课程不可以申请免修。</w:t>
      </w:r>
    </w:p>
    <w:p>
      <w:pPr>
        <w:tabs>
          <w:tab w:val="left" w:pos="420"/>
        </w:tabs>
        <w:adjustRightInd w:val="0"/>
        <w:snapToGrid w:val="0"/>
        <w:spacing w:line="360" w:lineRule="auto"/>
        <w:ind w:left="420" w:hanging="420"/>
        <w:rPr>
          <w:rFonts w:eastAsia="黑体"/>
          <w:szCs w:val="24"/>
        </w:rPr>
      </w:pPr>
      <w:r>
        <w:rPr>
          <w:rFonts w:hint="eastAsia" w:eastAsia="黑体"/>
          <w:szCs w:val="24"/>
        </w:rPr>
        <w:t>十、课程目标达成评价</w:t>
      </w:r>
    </w:p>
    <w:p>
      <w:pPr>
        <w:spacing w:line="360" w:lineRule="auto"/>
        <w:ind w:firstLine="420" w:firstLineChars="200"/>
        <w:jc w:val="center"/>
      </w:pPr>
      <w:r>
        <w:rPr>
          <w:rFonts w:hint="eastAsia"/>
        </w:rPr>
        <w:t>各环节对课程目标达成评价所使用到的权重占比分配及考核权重分配</w:t>
      </w:r>
    </w:p>
    <w:tbl>
      <w:tblPr>
        <w:tblStyle w:val="19"/>
        <w:tblW w:w="5000" w:type="pct"/>
        <w:tblInd w:w="0" w:type="dxa"/>
        <w:tblLayout w:type="autofit"/>
        <w:tblCellMar>
          <w:top w:w="0" w:type="dxa"/>
          <w:left w:w="108" w:type="dxa"/>
          <w:bottom w:w="0" w:type="dxa"/>
          <w:right w:w="108" w:type="dxa"/>
        </w:tblCellMar>
      </w:tblPr>
      <w:tblGrid>
        <w:gridCol w:w="782"/>
        <w:gridCol w:w="782"/>
        <w:gridCol w:w="782"/>
        <w:gridCol w:w="782"/>
        <w:gridCol w:w="782"/>
        <w:gridCol w:w="782"/>
        <w:gridCol w:w="794"/>
        <w:gridCol w:w="782"/>
        <w:gridCol w:w="782"/>
        <w:gridCol w:w="782"/>
        <w:gridCol w:w="782"/>
        <w:gridCol w:w="791"/>
        <w:gridCol w:w="924"/>
        <w:gridCol w:w="885"/>
        <w:gridCol w:w="888"/>
        <w:gridCol w:w="1036"/>
        <w:gridCol w:w="1036"/>
      </w:tblGrid>
      <w:tr>
        <w:trPr>
          <w:trHeight w:val="815" w:hRule="atLeast"/>
        </w:trPr>
        <w:tc>
          <w:tcPr>
            <w:tcW w:w="276"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课程目标</w:t>
            </w:r>
          </w:p>
        </w:tc>
        <w:tc>
          <w:tcPr>
            <w:tcW w:w="276"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知识面比例（本列总和为1）</w:t>
            </w:r>
            <w:r>
              <w:rPr>
                <w:rFonts w:hint="eastAsia" w:ascii="宋体" w:hAnsi="宋体" w:cs="宋体"/>
                <w:kern w:val="0"/>
                <w:sz w:val="18"/>
                <w:szCs w:val="18"/>
              </w:rPr>
              <w:br w:type="textWrapping"/>
            </w:r>
            <w:r>
              <w:rPr>
                <w:rFonts w:hint="eastAsia" w:ascii="宋体" w:hAnsi="宋体" w:cs="宋体"/>
                <w:i/>
                <w:iCs/>
                <w:kern w:val="0"/>
                <w:sz w:val="18"/>
                <w:szCs w:val="18"/>
              </w:rPr>
              <w:t>P</w:t>
            </w:r>
            <w:r>
              <w:rPr>
                <w:rFonts w:hint="eastAsia" w:ascii="宋体" w:hAnsi="宋体" w:cs="宋体"/>
                <w:i/>
                <w:iCs/>
                <w:kern w:val="0"/>
                <w:sz w:val="18"/>
                <w:szCs w:val="18"/>
                <w:vertAlign w:val="subscript"/>
              </w:rPr>
              <w:t>i</w:t>
            </w:r>
          </w:p>
        </w:tc>
        <w:tc>
          <w:tcPr>
            <w:tcW w:w="1384" w:type="pct"/>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各环节评价比例分配</w:t>
            </w:r>
            <w:r>
              <w:rPr>
                <w:rFonts w:hint="eastAsia" w:ascii="宋体" w:hAnsi="宋体" w:cs="宋体"/>
                <w:kern w:val="0"/>
                <w:sz w:val="18"/>
                <w:szCs w:val="18"/>
              </w:rPr>
              <w:br w:type="textWrapping"/>
            </w:r>
            <w:r>
              <w:rPr>
                <w:rFonts w:hint="eastAsia" w:ascii="宋体" w:hAnsi="宋体" w:cs="宋体"/>
                <w:kern w:val="0"/>
                <w:sz w:val="18"/>
                <w:szCs w:val="18"/>
              </w:rPr>
              <w:t>（每行总和为1）</w:t>
            </w:r>
            <w:r>
              <w:rPr>
                <w:rFonts w:hint="eastAsia" w:ascii="宋体" w:hAnsi="宋体" w:cs="宋体"/>
                <w:kern w:val="0"/>
                <w:sz w:val="18"/>
                <w:szCs w:val="18"/>
              </w:rPr>
              <w:br w:type="textWrapping"/>
            </w:r>
            <w:r>
              <w:rPr>
                <w:rFonts w:hint="eastAsia" w:ascii="宋体" w:hAnsi="宋体" w:cs="宋体"/>
                <w:i/>
                <w:iCs/>
                <w:kern w:val="0"/>
                <w:sz w:val="18"/>
                <w:szCs w:val="18"/>
              </w:rPr>
              <w:t>W</w:t>
            </w:r>
            <w:r>
              <w:rPr>
                <w:rFonts w:hint="eastAsia" w:ascii="宋体" w:hAnsi="宋体" w:cs="宋体"/>
                <w:i/>
                <w:iCs/>
                <w:kern w:val="0"/>
                <w:sz w:val="18"/>
                <w:szCs w:val="18"/>
                <w:vertAlign w:val="subscript"/>
              </w:rPr>
              <w:t>ik</w:t>
            </w:r>
          </w:p>
        </w:tc>
        <w:tc>
          <w:tcPr>
            <w:tcW w:w="1383" w:type="pct"/>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各环节在课程达成中的占比</w:t>
            </w:r>
            <w:r>
              <w:rPr>
                <w:rFonts w:hint="eastAsia" w:ascii="宋体" w:hAnsi="宋体" w:cs="宋体"/>
                <w:kern w:val="0"/>
                <w:sz w:val="18"/>
                <w:szCs w:val="18"/>
              </w:rPr>
              <w:br w:type="textWrapping"/>
            </w:r>
            <w:r>
              <w:rPr>
                <w:rFonts w:hint="eastAsia" w:ascii="宋体" w:hAnsi="宋体" w:cs="宋体"/>
                <w:kern w:val="0"/>
                <w:sz w:val="18"/>
                <w:szCs w:val="18"/>
              </w:rPr>
              <w:t>（所有行列总和为1）</w:t>
            </w:r>
            <w:r>
              <w:rPr>
                <w:rFonts w:hint="eastAsia" w:ascii="宋体" w:hAnsi="宋体" w:cs="宋体"/>
                <w:kern w:val="0"/>
                <w:sz w:val="18"/>
                <w:szCs w:val="18"/>
              </w:rPr>
              <w:br w:type="textWrapping"/>
            </w:r>
            <w:r>
              <w:rPr>
                <w:rFonts w:hint="eastAsia" w:ascii="宋体" w:hAnsi="宋体" w:cs="宋体"/>
                <w:i/>
                <w:iCs/>
                <w:kern w:val="0"/>
                <w:sz w:val="18"/>
                <w:szCs w:val="18"/>
              </w:rPr>
              <w:t>S</w:t>
            </w:r>
            <w:r>
              <w:rPr>
                <w:rFonts w:hint="eastAsia" w:ascii="宋体" w:hAnsi="宋体" w:cs="宋体"/>
                <w:i/>
                <w:iCs/>
                <w:kern w:val="0"/>
                <w:sz w:val="18"/>
                <w:szCs w:val="18"/>
                <w:vertAlign w:val="subscript"/>
              </w:rPr>
              <w:t>ik</w:t>
            </w:r>
            <w:r>
              <w:rPr>
                <w:rFonts w:hint="eastAsia" w:ascii="宋体" w:hAnsi="宋体" w:cs="宋体"/>
                <w:i/>
                <w:iCs/>
                <w:kern w:val="0"/>
                <w:sz w:val="18"/>
                <w:szCs w:val="18"/>
              </w:rPr>
              <w:t>=P</w:t>
            </w:r>
            <w:r>
              <w:rPr>
                <w:rFonts w:hint="eastAsia" w:ascii="宋体" w:hAnsi="宋体" w:cs="宋体"/>
                <w:i/>
                <w:iCs/>
                <w:kern w:val="0"/>
                <w:sz w:val="18"/>
                <w:szCs w:val="18"/>
                <w:vertAlign w:val="subscript"/>
              </w:rPr>
              <w:t>i</w:t>
            </w:r>
            <w:r>
              <w:rPr>
                <w:rFonts w:hint="eastAsia" w:ascii="宋体" w:hAnsi="宋体" w:cs="宋体"/>
                <w:i/>
                <w:iCs/>
                <w:kern w:val="0"/>
                <w:sz w:val="18"/>
                <w:szCs w:val="18"/>
              </w:rPr>
              <w:t>*W</w:t>
            </w:r>
            <w:r>
              <w:rPr>
                <w:rFonts w:hint="eastAsia" w:ascii="宋体" w:hAnsi="宋体" w:cs="宋体"/>
                <w:i/>
                <w:iCs/>
                <w:kern w:val="0"/>
                <w:sz w:val="18"/>
                <w:szCs w:val="18"/>
                <w:vertAlign w:val="subscript"/>
              </w:rPr>
              <w:t>ik</w:t>
            </w:r>
          </w:p>
        </w:tc>
        <w:tc>
          <w:tcPr>
            <w:tcW w:w="1681" w:type="pct"/>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kern w:val="0"/>
                <w:sz w:val="18"/>
                <w:szCs w:val="18"/>
              </w:rPr>
            </w:pPr>
            <w:r>
              <w:rPr>
                <w:rFonts w:hint="eastAsia" w:ascii="宋体" w:hAnsi="宋体" w:cs="宋体"/>
                <w:kern w:val="0"/>
                <w:sz w:val="18"/>
                <w:szCs w:val="18"/>
              </w:rPr>
              <w:t>各环节课程目标考核权重分布</w:t>
            </w:r>
            <w:r>
              <w:rPr>
                <w:rFonts w:hint="eastAsia" w:ascii="宋体" w:hAnsi="宋体" w:cs="宋体"/>
                <w:kern w:val="0"/>
                <w:sz w:val="18"/>
                <w:szCs w:val="18"/>
              </w:rPr>
              <w:br w:type="textWrapping"/>
            </w:r>
            <w:r>
              <w:rPr>
                <w:rFonts w:hint="eastAsia" w:ascii="宋体" w:hAnsi="宋体" w:cs="宋体"/>
                <w:kern w:val="0"/>
                <w:sz w:val="18"/>
                <w:szCs w:val="18"/>
              </w:rPr>
              <w:t>（每一列总和为1）</w:t>
            </w:r>
            <w:r>
              <w:rPr>
                <w:rFonts w:hint="eastAsia" w:ascii="宋体" w:hAnsi="宋体" w:cs="宋体"/>
                <w:kern w:val="0"/>
                <w:sz w:val="18"/>
                <w:szCs w:val="18"/>
              </w:rPr>
              <w:br w:type="textWrapping"/>
            </w:r>
            <w:r>
              <w:rPr>
                <w:rFonts w:hint="eastAsia" w:ascii="宋体" w:hAnsi="宋体" w:cs="宋体"/>
                <w:i/>
                <w:iCs/>
                <w:kern w:val="0"/>
                <w:sz w:val="18"/>
                <w:szCs w:val="18"/>
              </w:rPr>
              <w:t>E</w:t>
            </w:r>
            <w:r>
              <w:rPr>
                <w:rFonts w:hint="eastAsia" w:ascii="宋体" w:hAnsi="宋体" w:cs="宋体"/>
                <w:i/>
                <w:iCs/>
                <w:kern w:val="0"/>
                <w:sz w:val="18"/>
                <w:szCs w:val="18"/>
                <w:vertAlign w:val="subscript"/>
              </w:rPr>
              <w:t>ik</w:t>
            </w:r>
            <w:r>
              <w:rPr>
                <w:rFonts w:hint="eastAsia" w:ascii="宋体" w:hAnsi="宋体" w:cs="宋体"/>
                <w:i/>
                <w:iCs/>
                <w:kern w:val="0"/>
                <w:sz w:val="18"/>
                <w:szCs w:val="18"/>
              </w:rPr>
              <w:t>=S</w:t>
            </w:r>
            <w:r>
              <w:rPr>
                <w:rFonts w:hint="eastAsia" w:ascii="宋体" w:hAnsi="宋体" w:cs="宋体"/>
                <w:i/>
                <w:iCs/>
                <w:kern w:val="0"/>
                <w:sz w:val="18"/>
                <w:szCs w:val="18"/>
                <w:vertAlign w:val="subscript"/>
              </w:rPr>
              <w:t>ik</w:t>
            </w:r>
            <w:r>
              <w:rPr>
                <w:rFonts w:hint="eastAsia" w:ascii="宋体" w:hAnsi="宋体" w:cs="宋体"/>
                <w:i/>
                <w:iCs/>
                <w:kern w:val="0"/>
                <w:sz w:val="18"/>
                <w:szCs w:val="18"/>
              </w:rPr>
              <w:t>/M</w:t>
            </w:r>
            <w:r>
              <w:rPr>
                <w:rFonts w:hint="eastAsia" w:ascii="宋体" w:hAnsi="宋体" w:cs="宋体"/>
                <w:i/>
                <w:iCs/>
                <w:kern w:val="0"/>
                <w:sz w:val="18"/>
                <w:szCs w:val="18"/>
                <w:vertAlign w:val="subscript"/>
              </w:rPr>
              <w:t>ik</w:t>
            </w:r>
          </w:p>
        </w:tc>
      </w:tr>
      <w:tr>
        <w:tblPrEx>
          <w:tblCellMar>
            <w:top w:w="0" w:type="dxa"/>
            <w:left w:w="108" w:type="dxa"/>
            <w:bottom w:w="0" w:type="dxa"/>
            <w:right w:w="108" w:type="dxa"/>
          </w:tblCellMar>
        </w:tblPrEx>
        <w:trPr>
          <w:trHeight w:val="810" w:hRule="atLeast"/>
        </w:trPr>
        <w:tc>
          <w:tcPr>
            <w:tcW w:w="276" w:type="pct"/>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18"/>
                <w:szCs w:val="18"/>
              </w:rPr>
            </w:pPr>
          </w:p>
        </w:tc>
        <w:tc>
          <w:tcPr>
            <w:tcW w:w="276" w:type="pct"/>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18"/>
                <w:szCs w:val="18"/>
              </w:rPr>
            </w:pPr>
          </w:p>
        </w:tc>
        <w:tc>
          <w:tcPr>
            <w:tcW w:w="276" w:type="pct"/>
            <w:tcBorders>
              <w:top w:val="nil"/>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课堂</w:t>
            </w:r>
          </w:p>
          <w:p>
            <w:pPr>
              <w:jc w:val="center"/>
              <w:rPr>
                <w:rFonts w:ascii="宋体" w:hAnsi="宋体" w:cs="宋体"/>
                <w:kern w:val="0"/>
                <w:sz w:val="18"/>
                <w:szCs w:val="18"/>
              </w:rPr>
            </w:pPr>
            <w:r>
              <w:rPr>
                <w:rFonts w:hint="eastAsia" w:ascii="宋体" w:hAnsi="宋体" w:cs="宋体"/>
                <w:kern w:val="0"/>
                <w:sz w:val="18"/>
                <w:szCs w:val="18"/>
              </w:rPr>
              <w:t>情况</w:t>
            </w:r>
          </w:p>
        </w:tc>
        <w:tc>
          <w:tcPr>
            <w:tcW w:w="276" w:type="pct"/>
            <w:tcBorders>
              <w:top w:val="nil"/>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作业</w:t>
            </w:r>
          </w:p>
        </w:tc>
        <w:tc>
          <w:tcPr>
            <w:tcW w:w="276" w:type="pct"/>
            <w:tcBorders>
              <w:top w:val="nil"/>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实验</w:t>
            </w:r>
          </w:p>
        </w:tc>
        <w:tc>
          <w:tcPr>
            <w:tcW w:w="276" w:type="pct"/>
            <w:tcBorders>
              <w:top w:val="nil"/>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分组大作业</w:t>
            </w:r>
          </w:p>
        </w:tc>
        <w:tc>
          <w:tcPr>
            <w:tcW w:w="278" w:type="pct"/>
            <w:tcBorders>
              <w:top w:val="nil"/>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期末考试</w:t>
            </w:r>
          </w:p>
        </w:tc>
        <w:tc>
          <w:tcPr>
            <w:tcW w:w="276" w:type="pct"/>
            <w:tcBorders>
              <w:top w:val="nil"/>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课堂</w:t>
            </w:r>
          </w:p>
          <w:p>
            <w:pPr>
              <w:jc w:val="center"/>
              <w:rPr>
                <w:rFonts w:ascii="宋体" w:hAnsi="宋体" w:cs="宋体"/>
                <w:kern w:val="0"/>
                <w:sz w:val="18"/>
                <w:szCs w:val="18"/>
              </w:rPr>
            </w:pPr>
            <w:r>
              <w:rPr>
                <w:rFonts w:hint="eastAsia" w:ascii="宋体" w:hAnsi="宋体" w:cs="宋体"/>
                <w:kern w:val="0"/>
                <w:sz w:val="18"/>
                <w:szCs w:val="18"/>
              </w:rPr>
              <w:t>情况</w:t>
            </w:r>
          </w:p>
        </w:tc>
        <w:tc>
          <w:tcPr>
            <w:tcW w:w="276" w:type="pct"/>
            <w:tcBorders>
              <w:top w:val="nil"/>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作业</w:t>
            </w:r>
          </w:p>
        </w:tc>
        <w:tc>
          <w:tcPr>
            <w:tcW w:w="276" w:type="pct"/>
            <w:tcBorders>
              <w:top w:val="nil"/>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实验</w:t>
            </w:r>
          </w:p>
        </w:tc>
        <w:tc>
          <w:tcPr>
            <w:tcW w:w="276" w:type="pct"/>
            <w:tcBorders>
              <w:top w:val="nil"/>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分组大作业</w:t>
            </w:r>
          </w:p>
        </w:tc>
        <w:tc>
          <w:tcPr>
            <w:tcW w:w="277" w:type="pct"/>
            <w:tcBorders>
              <w:top w:val="nil"/>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期末考试</w:t>
            </w:r>
          </w:p>
        </w:tc>
        <w:tc>
          <w:tcPr>
            <w:tcW w:w="326" w:type="pct"/>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课堂</w:t>
            </w:r>
          </w:p>
          <w:p>
            <w:pPr>
              <w:jc w:val="center"/>
              <w:rPr>
                <w:rFonts w:ascii="宋体" w:hAnsi="宋体" w:cs="宋体"/>
                <w:kern w:val="0"/>
                <w:sz w:val="18"/>
                <w:szCs w:val="18"/>
              </w:rPr>
            </w:pPr>
            <w:r>
              <w:rPr>
                <w:rFonts w:hint="eastAsia" w:ascii="宋体" w:hAnsi="宋体" w:cs="宋体"/>
                <w:kern w:val="0"/>
                <w:sz w:val="18"/>
                <w:szCs w:val="18"/>
              </w:rPr>
              <w:t>情况</w:t>
            </w:r>
          </w:p>
        </w:tc>
        <w:tc>
          <w:tcPr>
            <w:tcW w:w="312" w:type="pct"/>
            <w:tcBorders>
              <w:top w:val="nil"/>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作业</w:t>
            </w:r>
          </w:p>
        </w:tc>
        <w:tc>
          <w:tcPr>
            <w:tcW w:w="313" w:type="pct"/>
            <w:tcBorders>
              <w:top w:val="nil"/>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实验</w:t>
            </w:r>
          </w:p>
        </w:tc>
        <w:tc>
          <w:tcPr>
            <w:tcW w:w="365" w:type="pct"/>
            <w:tcBorders>
              <w:top w:val="nil"/>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分组大</w:t>
            </w:r>
          </w:p>
          <w:p>
            <w:pPr>
              <w:jc w:val="center"/>
              <w:rPr>
                <w:rFonts w:ascii="宋体" w:hAnsi="宋体" w:cs="宋体"/>
                <w:kern w:val="0"/>
                <w:sz w:val="18"/>
                <w:szCs w:val="18"/>
              </w:rPr>
            </w:pPr>
            <w:r>
              <w:rPr>
                <w:rFonts w:hint="eastAsia" w:ascii="宋体" w:hAnsi="宋体" w:cs="宋体"/>
                <w:kern w:val="0"/>
                <w:sz w:val="18"/>
                <w:szCs w:val="18"/>
              </w:rPr>
              <w:t>作业</w:t>
            </w:r>
          </w:p>
        </w:tc>
        <w:tc>
          <w:tcPr>
            <w:tcW w:w="365" w:type="pct"/>
            <w:tcBorders>
              <w:top w:val="nil"/>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期末考试</w:t>
            </w:r>
          </w:p>
        </w:tc>
      </w:tr>
      <w:tr>
        <w:tblPrEx>
          <w:tblCellMar>
            <w:top w:w="0" w:type="dxa"/>
            <w:left w:w="108" w:type="dxa"/>
            <w:bottom w:w="0" w:type="dxa"/>
            <w:right w:w="108" w:type="dxa"/>
          </w:tblCellMar>
        </w:tblPrEx>
        <w:trPr>
          <w:trHeight w:val="615" w:hRule="atLeast"/>
        </w:trPr>
        <w:tc>
          <w:tcPr>
            <w:tcW w:w="276" w:type="pct"/>
            <w:tcBorders>
              <w:top w:val="nil"/>
              <w:left w:val="single" w:color="auto" w:sz="4" w:space="0"/>
              <w:bottom w:val="single" w:color="auto" w:sz="4" w:space="0"/>
              <w:right w:val="single" w:color="auto" w:sz="4" w:space="0"/>
            </w:tcBorders>
            <w:vAlign w:val="center"/>
          </w:tcPr>
          <w:p>
            <w:pPr>
              <w:jc w:val="center"/>
              <w:rPr>
                <w:kern w:val="0"/>
                <w:sz w:val="18"/>
                <w:szCs w:val="18"/>
              </w:rPr>
            </w:pPr>
            <w:r>
              <w:rPr>
                <w:kern w:val="0"/>
                <w:sz w:val="18"/>
                <w:szCs w:val="18"/>
              </w:rPr>
              <w:t>1</w:t>
            </w:r>
          </w:p>
        </w:tc>
        <w:tc>
          <w:tcPr>
            <w:tcW w:w="276" w:type="pct"/>
            <w:tcBorders>
              <w:top w:val="nil"/>
              <w:left w:val="nil"/>
              <w:bottom w:val="single" w:color="auto" w:sz="4" w:space="0"/>
              <w:right w:val="single" w:color="auto" w:sz="4" w:space="0"/>
            </w:tcBorders>
            <w:noWrap/>
            <w:vAlign w:val="center"/>
          </w:tcPr>
          <w:p>
            <w:pPr>
              <w:jc w:val="center"/>
              <w:rPr>
                <w:kern w:val="0"/>
                <w:sz w:val="18"/>
                <w:szCs w:val="18"/>
              </w:rPr>
            </w:pPr>
            <w:r>
              <w:rPr>
                <w:kern w:val="0"/>
                <w:sz w:val="18"/>
                <w:szCs w:val="18"/>
              </w:rPr>
              <w:t>0.</w:t>
            </w:r>
            <w:r>
              <w:rPr>
                <w:rFonts w:hint="eastAsia"/>
                <w:kern w:val="0"/>
                <w:sz w:val="18"/>
                <w:szCs w:val="18"/>
              </w:rPr>
              <w:t>6</w:t>
            </w:r>
            <w:r>
              <w:rPr>
                <w:kern w:val="0"/>
                <w:sz w:val="18"/>
                <w:szCs w:val="18"/>
              </w:rPr>
              <w:t>0</w:t>
            </w:r>
          </w:p>
        </w:tc>
        <w:tc>
          <w:tcPr>
            <w:tcW w:w="276" w:type="pct"/>
            <w:tcBorders>
              <w:top w:val="nil"/>
              <w:left w:val="nil"/>
              <w:bottom w:val="single" w:color="auto" w:sz="4" w:space="0"/>
              <w:right w:val="single" w:color="auto" w:sz="4" w:space="0"/>
            </w:tcBorders>
            <w:noWrap/>
            <w:vAlign w:val="center"/>
          </w:tcPr>
          <w:p>
            <w:pPr>
              <w:jc w:val="center"/>
              <w:rPr>
                <w:kern w:val="0"/>
                <w:sz w:val="18"/>
                <w:szCs w:val="18"/>
              </w:rPr>
            </w:pPr>
            <w:r>
              <w:rPr>
                <w:rFonts w:hint="eastAsia"/>
                <w:kern w:val="0"/>
                <w:sz w:val="18"/>
                <w:szCs w:val="18"/>
              </w:rPr>
              <w:t>0.1</w:t>
            </w:r>
            <w:r>
              <w:rPr>
                <w:kern w:val="0"/>
                <w:sz w:val="18"/>
                <w:szCs w:val="18"/>
              </w:rPr>
              <w:t>0</w:t>
            </w:r>
          </w:p>
        </w:tc>
        <w:tc>
          <w:tcPr>
            <w:tcW w:w="276" w:type="pct"/>
            <w:tcBorders>
              <w:top w:val="nil"/>
              <w:left w:val="nil"/>
              <w:bottom w:val="single" w:color="auto" w:sz="4" w:space="0"/>
              <w:right w:val="single" w:color="auto" w:sz="4" w:space="0"/>
            </w:tcBorders>
            <w:noWrap/>
            <w:vAlign w:val="center"/>
          </w:tcPr>
          <w:p>
            <w:pPr>
              <w:jc w:val="center"/>
              <w:rPr>
                <w:kern w:val="0"/>
                <w:sz w:val="18"/>
                <w:szCs w:val="18"/>
              </w:rPr>
            </w:pPr>
            <w:r>
              <w:rPr>
                <w:kern w:val="0"/>
                <w:sz w:val="18"/>
                <w:szCs w:val="18"/>
              </w:rPr>
              <w:t>0.</w:t>
            </w:r>
            <w:r>
              <w:rPr>
                <w:rFonts w:hint="eastAsia"/>
                <w:kern w:val="0"/>
                <w:sz w:val="18"/>
                <w:szCs w:val="18"/>
              </w:rPr>
              <w:t>1</w:t>
            </w:r>
            <w:r>
              <w:rPr>
                <w:kern w:val="0"/>
                <w:sz w:val="18"/>
                <w:szCs w:val="18"/>
              </w:rPr>
              <w:t>0</w:t>
            </w:r>
          </w:p>
        </w:tc>
        <w:tc>
          <w:tcPr>
            <w:tcW w:w="276" w:type="pct"/>
            <w:tcBorders>
              <w:top w:val="nil"/>
              <w:left w:val="nil"/>
              <w:bottom w:val="single" w:color="auto" w:sz="4" w:space="0"/>
              <w:right w:val="single" w:color="auto" w:sz="4" w:space="0"/>
            </w:tcBorders>
            <w:noWrap/>
            <w:vAlign w:val="center"/>
          </w:tcPr>
          <w:p>
            <w:pPr>
              <w:jc w:val="center"/>
              <w:rPr>
                <w:kern w:val="0"/>
                <w:sz w:val="18"/>
                <w:szCs w:val="18"/>
              </w:rPr>
            </w:pPr>
            <w:r>
              <w:rPr>
                <w:kern w:val="0"/>
                <w:sz w:val="18"/>
                <w:szCs w:val="18"/>
              </w:rPr>
              <w:t>0.10</w:t>
            </w:r>
          </w:p>
        </w:tc>
        <w:tc>
          <w:tcPr>
            <w:tcW w:w="276" w:type="pct"/>
            <w:tcBorders>
              <w:top w:val="nil"/>
              <w:left w:val="nil"/>
              <w:bottom w:val="single" w:color="auto" w:sz="4" w:space="0"/>
              <w:right w:val="single" w:color="auto" w:sz="4" w:space="0"/>
            </w:tcBorders>
            <w:noWrap/>
            <w:vAlign w:val="center"/>
          </w:tcPr>
          <w:p>
            <w:pPr>
              <w:jc w:val="center"/>
              <w:rPr>
                <w:kern w:val="0"/>
                <w:sz w:val="18"/>
                <w:szCs w:val="18"/>
              </w:rPr>
            </w:pPr>
            <w:r>
              <w:rPr>
                <w:kern w:val="0"/>
                <w:sz w:val="18"/>
                <w:szCs w:val="18"/>
              </w:rPr>
              <w:t>0.10</w:t>
            </w:r>
          </w:p>
        </w:tc>
        <w:tc>
          <w:tcPr>
            <w:tcW w:w="278" w:type="pct"/>
            <w:tcBorders>
              <w:top w:val="nil"/>
              <w:left w:val="nil"/>
              <w:bottom w:val="single" w:color="auto" w:sz="4" w:space="0"/>
              <w:right w:val="single" w:color="auto" w:sz="4" w:space="0"/>
            </w:tcBorders>
            <w:noWrap/>
            <w:vAlign w:val="center"/>
          </w:tcPr>
          <w:p>
            <w:pPr>
              <w:jc w:val="center"/>
              <w:rPr>
                <w:kern w:val="0"/>
                <w:sz w:val="18"/>
                <w:szCs w:val="18"/>
              </w:rPr>
            </w:pPr>
            <w:r>
              <w:rPr>
                <w:kern w:val="0"/>
                <w:sz w:val="18"/>
                <w:szCs w:val="18"/>
              </w:rPr>
              <w:t>0.</w:t>
            </w:r>
            <w:r>
              <w:rPr>
                <w:rFonts w:hint="eastAsia"/>
                <w:kern w:val="0"/>
                <w:sz w:val="18"/>
                <w:szCs w:val="18"/>
              </w:rPr>
              <w:t>6</w:t>
            </w:r>
            <w:r>
              <w:rPr>
                <w:kern w:val="0"/>
                <w:sz w:val="18"/>
                <w:szCs w:val="18"/>
              </w:rPr>
              <w:t>0</w:t>
            </w:r>
          </w:p>
        </w:tc>
        <w:tc>
          <w:tcPr>
            <w:tcW w:w="276" w:type="pct"/>
            <w:tcBorders>
              <w:top w:val="nil"/>
              <w:left w:val="nil"/>
              <w:bottom w:val="single" w:color="auto" w:sz="4" w:space="0"/>
              <w:right w:val="single" w:color="auto" w:sz="4" w:space="0"/>
            </w:tcBorders>
            <w:noWrap/>
            <w:vAlign w:val="center"/>
          </w:tcPr>
          <w:p>
            <w:pPr>
              <w:jc w:val="center"/>
              <w:rPr>
                <w:kern w:val="0"/>
                <w:sz w:val="18"/>
                <w:szCs w:val="18"/>
              </w:rPr>
            </w:pPr>
            <w:r>
              <w:rPr>
                <w:sz w:val="18"/>
                <w:szCs w:val="18"/>
              </w:rPr>
              <w:t>0.0</w:t>
            </w:r>
            <w:r>
              <w:rPr>
                <w:rFonts w:hint="eastAsia"/>
                <w:sz w:val="18"/>
                <w:szCs w:val="18"/>
              </w:rPr>
              <w:t>6</w:t>
            </w:r>
          </w:p>
        </w:tc>
        <w:tc>
          <w:tcPr>
            <w:tcW w:w="276" w:type="pct"/>
            <w:tcBorders>
              <w:top w:val="nil"/>
              <w:left w:val="nil"/>
              <w:bottom w:val="single" w:color="auto" w:sz="4" w:space="0"/>
              <w:right w:val="single" w:color="auto" w:sz="4" w:space="0"/>
            </w:tcBorders>
            <w:noWrap/>
            <w:vAlign w:val="center"/>
          </w:tcPr>
          <w:p>
            <w:pPr>
              <w:jc w:val="center"/>
              <w:rPr>
                <w:kern w:val="0"/>
                <w:sz w:val="18"/>
                <w:szCs w:val="18"/>
              </w:rPr>
            </w:pPr>
            <w:r>
              <w:rPr>
                <w:rFonts w:hint="eastAsia"/>
                <w:sz w:val="18"/>
                <w:szCs w:val="18"/>
              </w:rPr>
              <w:t>0.06</w:t>
            </w:r>
          </w:p>
        </w:tc>
        <w:tc>
          <w:tcPr>
            <w:tcW w:w="276" w:type="pct"/>
            <w:tcBorders>
              <w:top w:val="nil"/>
              <w:left w:val="nil"/>
              <w:bottom w:val="single" w:color="auto" w:sz="4" w:space="0"/>
              <w:right w:val="single" w:color="auto" w:sz="4" w:space="0"/>
            </w:tcBorders>
            <w:noWrap/>
            <w:vAlign w:val="center"/>
          </w:tcPr>
          <w:p>
            <w:pPr>
              <w:jc w:val="center"/>
              <w:rPr>
                <w:kern w:val="0"/>
                <w:sz w:val="18"/>
                <w:szCs w:val="18"/>
              </w:rPr>
            </w:pPr>
            <w:r>
              <w:rPr>
                <w:sz w:val="18"/>
                <w:szCs w:val="18"/>
              </w:rPr>
              <w:t>0.</w:t>
            </w:r>
            <w:r>
              <w:rPr>
                <w:rFonts w:hint="eastAsia"/>
                <w:sz w:val="18"/>
                <w:szCs w:val="18"/>
              </w:rPr>
              <w:t>06</w:t>
            </w:r>
          </w:p>
        </w:tc>
        <w:tc>
          <w:tcPr>
            <w:tcW w:w="276" w:type="pct"/>
            <w:tcBorders>
              <w:top w:val="nil"/>
              <w:left w:val="nil"/>
              <w:bottom w:val="single" w:color="auto" w:sz="4" w:space="0"/>
              <w:right w:val="single" w:color="auto" w:sz="4" w:space="0"/>
            </w:tcBorders>
            <w:noWrap/>
            <w:vAlign w:val="center"/>
          </w:tcPr>
          <w:p>
            <w:pPr>
              <w:jc w:val="center"/>
              <w:rPr>
                <w:kern w:val="0"/>
                <w:sz w:val="18"/>
                <w:szCs w:val="18"/>
              </w:rPr>
            </w:pPr>
            <w:r>
              <w:rPr>
                <w:sz w:val="18"/>
                <w:szCs w:val="18"/>
              </w:rPr>
              <w:t>0.</w:t>
            </w:r>
            <w:r>
              <w:rPr>
                <w:rFonts w:hint="eastAsia"/>
                <w:sz w:val="18"/>
                <w:szCs w:val="18"/>
              </w:rPr>
              <w:t>06</w:t>
            </w:r>
          </w:p>
        </w:tc>
        <w:tc>
          <w:tcPr>
            <w:tcW w:w="277" w:type="pct"/>
            <w:tcBorders>
              <w:top w:val="nil"/>
              <w:left w:val="nil"/>
              <w:bottom w:val="single" w:color="auto" w:sz="4" w:space="0"/>
              <w:right w:val="single" w:color="auto" w:sz="4" w:space="0"/>
            </w:tcBorders>
            <w:noWrap/>
            <w:vAlign w:val="center"/>
          </w:tcPr>
          <w:p>
            <w:pPr>
              <w:jc w:val="center"/>
              <w:rPr>
                <w:kern w:val="0"/>
                <w:sz w:val="18"/>
                <w:szCs w:val="18"/>
              </w:rPr>
            </w:pPr>
            <w:r>
              <w:rPr>
                <w:sz w:val="18"/>
                <w:szCs w:val="18"/>
              </w:rPr>
              <w:t>0.</w:t>
            </w:r>
            <w:r>
              <w:rPr>
                <w:rFonts w:hint="eastAsia"/>
                <w:sz w:val="18"/>
                <w:szCs w:val="18"/>
              </w:rPr>
              <w:t>36</w:t>
            </w:r>
          </w:p>
        </w:tc>
        <w:tc>
          <w:tcPr>
            <w:tcW w:w="326" w:type="pct"/>
            <w:tcBorders>
              <w:top w:val="single" w:color="auto" w:sz="4" w:space="0"/>
              <w:left w:val="single" w:color="auto" w:sz="4" w:space="0"/>
              <w:bottom w:val="single" w:color="auto" w:sz="4" w:space="0"/>
              <w:right w:val="single" w:color="auto" w:sz="4" w:space="0"/>
            </w:tcBorders>
            <w:vAlign w:val="center"/>
          </w:tcPr>
          <w:p>
            <w:pPr>
              <w:jc w:val="center"/>
              <w:rPr>
                <w:kern w:val="0"/>
                <w:sz w:val="18"/>
                <w:szCs w:val="18"/>
              </w:rPr>
            </w:pPr>
            <w:r>
              <w:rPr>
                <w:rFonts w:hint="eastAsia"/>
                <w:kern w:val="0"/>
                <w:sz w:val="18"/>
                <w:szCs w:val="18"/>
              </w:rPr>
              <w:t>0.6</w:t>
            </w:r>
            <w:r>
              <w:rPr>
                <w:kern w:val="0"/>
                <w:sz w:val="18"/>
                <w:szCs w:val="18"/>
              </w:rPr>
              <w:t>0</w:t>
            </w:r>
          </w:p>
        </w:tc>
        <w:tc>
          <w:tcPr>
            <w:tcW w:w="312" w:type="pct"/>
            <w:tcBorders>
              <w:top w:val="nil"/>
              <w:left w:val="nil"/>
              <w:bottom w:val="single" w:color="auto" w:sz="4" w:space="0"/>
              <w:right w:val="single" w:color="auto" w:sz="4" w:space="0"/>
            </w:tcBorders>
            <w:noWrap/>
            <w:vAlign w:val="center"/>
          </w:tcPr>
          <w:p>
            <w:pPr>
              <w:jc w:val="center"/>
              <w:rPr>
                <w:kern w:val="0"/>
                <w:sz w:val="18"/>
                <w:szCs w:val="18"/>
              </w:rPr>
            </w:pPr>
            <w:r>
              <w:rPr>
                <w:rFonts w:hint="eastAsia"/>
                <w:kern w:val="0"/>
                <w:sz w:val="18"/>
                <w:szCs w:val="18"/>
              </w:rPr>
              <w:t>0.6</w:t>
            </w:r>
            <w:r>
              <w:rPr>
                <w:kern w:val="0"/>
                <w:sz w:val="18"/>
                <w:szCs w:val="18"/>
              </w:rPr>
              <w:t>0</w:t>
            </w:r>
          </w:p>
        </w:tc>
        <w:tc>
          <w:tcPr>
            <w:tcW w:w="313" w:type="pct"/>
            <w:tcBorders>
              <w:top w:val="nil"/>
              <w:left w:val="nil"/>
              <w:bottom w:val="single" w:color="auto" w:sz="4" w:space="0"/>
              <w:right w:val="single" w:color="auto" w:sz="4" w:space="0"/>
            </w:tcBorders>
            <w:noWrap/>
            <w:vAlign w:val="center"/>
          </w:tcPr>
          <w:p>
            <w:pPr>
              <w:jc w:val="center"/>
              <w:rPr>
                <w:kern w:val="0"/>
                <w:sz w:val="18"/>
                <w:szCs w:val="18"/>
              </w:rPr>
            </w:pPr>
            <w:r>
              <w:rPr>
                <w:rFonts w:hint="eastAsia"/>
                <w:kern w:val="0"/>
                <w:sz w:val="18"/>
                <w:szCs w:val="18"/>
              </w:rPr>
              <w:t>0.43</w:t>
            </w:r>
          </w:p>
        </w:tc>
        <w:tc>
          <w:tcPr>
            <w:tcW w:w="365" w:type="pct"/>
            <w:tcBorders>
              <w:top w:val="nil"/>
              <w:left w:val="nil"/>
              <w:bottom w:val="single" w:color="auto" w:sz="4" w:space="0"/>
              <w:right w:val="single" w:color="auto" w:sz="4" w:space="0"/>
            </w:tcBorders>
            <w:noWrap/>
            <w:vAlign w:val="center"/>
          </w:tcPr>
          <w:p>
            <w:pPr>
              <w:jc w:val="center"/>
              <w:rPr>
                <w:kern w:val="0"/>
                <w:sz w:val="18"/>
                <w:szCs w:val="18"/>
              </w:rPr>
            </w:pPr>
            <w:r>
              <w:rPr>
                <w:kern w:val="0"/>
                <w:sz w:val="18"/>
                <w:szCs w:val="18"/>
              </w:rPr>
              <w:t>0.</w:t>
            </w:r>
            <w:r>
              <w:rPr>
                <w:rFonts w:hint="eastAsia"/>
                <w:kern w:val="0"/>
                <w:sz w:val="18"/>
                <w:szCs w:val="18"/>
              </w:rPr>
              <w:t>6</w:t>
            </w:r>
            <w:r>
              <w:rPr>
                <w:kern w:val="0"/>
                <w:sz w:val="18"/>
                <w:szCs w:val="18"/>
              </w:rPr>
              <w:t>0</w:t>
            </w:r>
          </w:p>
        </w:tc>
        <w:tc>
          <w:tcPr>
            <w:tcW w:w="365" w:type="pct"/>
            <w:tcBorders>
              <w:top w:val="nil"/>
              <w:left w:val="nil"/>
              <w:bottom w:val="single" w:color="auto" w:sz="4" w:space="0"/>
              <w:right w:val="single" w:color="auto" w:sz="4" w:space="0"/>
            </w:tcBorders>
            <w:noWrap/>
            <w:vAlign w:val="center"/>
          </w:tcPr>
          <w:p>
            <w:pPr>
              <w:jc w:val="center"/>
              <w:rPr>
                <w:kern w:val="0"/>
                <w:sz w:val="18"/>
                <w:szCs w:val="18"/>
              </w:rPr>
            </w:pPr>
            <w:r>
              <w:rPr>
                <w:kern w:val="0"/>
                <w:sz w:val="18"/>
                <w:szCs w:val="18"/>
              </w:rPr>
              <w:t>0.</w:t>
            </w:r>
            <w:r>
              <w:rPr>
                <w:rFonts w:hint="eastAsia"/>
                <w:kern w:val="0"/>
                <w:sz w:val="18"/>
                <w:szCs w:val="18"/>
              </w:rPr>
              <w:t>64</w:t>
            </w:r>
          </w:p>
        </w:tc>
      </w:tr>
      <w:tr>
        <w:tblPrEx>
          <w:tblCellMar>
            <w:top w:w="0" w:type="dxa"/>
            <w:left w:w="108" w:type="dxa"/>
            <w:bottom w:w="0" w:type="dxa"/>
            <w:right w:w="108" w:type="dxa"/>
          </w:tblCellMar>
        </w:tblPrEx>
        <w:trPr>
          <w:trHeight w:val="565" w:hRule="atLeast"/>
        </w:trPr>
        <w:tc>
          <w:tcPr>
            <w:tcW w:w="276" w:type="pct"/>
            <w:tcBorders>
              <w:top w:val="nil"/>
              <w:left w:val="single" w:color="auto" w:sz="4" w:space="0"/>
              <w:bottom w:val="single" w:color="auto" w:sz="4" w:space="0"/>
              <w:right w:val="single" w:color="auto" w:sz="4" w:space="0"/>
            </w:tcBorders>
            <w:vAlign w:val="center"/>
          </w:tcPr>
          <w:p>
            <w:pPr>
              <w:jc w:val="center"/>
              <w:rPr>
                <w:kern w:val="0"/>
                <w:sz w:val="18"/>
                <w:szCs w:val="18"/>
              </w:rPr>
            </w:pPr>
            <w:r>
              <w:rPr>
                <w:kern w:val="0"/>
                <w:sz w:val="18"/>
                <w:szCs w:val="18"/>
              </w:rPr>
              <w:t>2</w:t>
            </w:r>
          </w:p>
        </w:tc>
        <w:tc>
          <w:tcPr>
            <w:tcW w:w="276" w:type="pct"/>
            <w:tcBorders>
              <w:top w:val="nil"/>
              <w:left w:val="nil"/>
              <w:bottom w:val="single" w:color="auto" w:sz="4" w:space="0"/>
              <w:right w:val="single" w:color="auto" w:sz="4" w:space="0"/>
            </w:tcBorders>
            <w:noWrap/>
            <w:vAlign w:val="center"/>
          </w:tcPr>
          <w:p>
            <w:pPr>
              <w:jc w:val="center"/>
              <w:rPr>
                <w:kern w:val="0"/>
                <w:sz w:val="18"/>
                <w:szCs w:val="18"/>
              </w:rPr>
            </w:pPr>
            <w:r>
              <w:rPr>
                <w:kern w:val="0"/>
                <w:sz w:val="18"/>
                <w:szCs w:val="18"/>
              </w:rPr>
              <w:t>0.</w:t>
            </w:r>
            <w:r>
              <w:rPr>
                <w:rFonts w:hint="eastAsia"/>
                <w:kern w:val="0"/>
                <w:sz w:val="18"/>
                <w:szCs w:val="18"/>
              </w:rPr>
              <w:t>4</w:t>
            </w:r>
            <w:r>
              <w:rPr>
                <w:kern w:val="0"/>
                <w:sz w:val="18"/>
                <w:szCs w:val="18"/>
              </w:rPr>
              <w:t>0</w:t>
            </w:r>
          </w:p>
        </w:tc>
        <w:tc>
          <w:tcPr>
            <w:tcW w:w="276" w:type="pct"/>
            <w:tcBorders>
              <w:top w:val="nil"/>
              <w:left w:val="nil"/>
              <w:bottom w:val="single" w:color="auto" w:sz="4" w:space="0"/>
              <w:right w:val="single" w:color="auto" w:sz="4" w:space="0"/>
            </w:tcBorders>
            <w:noWrap/>
            <w:vAlign w:val="center"/>
          </w:tcPr>
          <w:p>
            <w:pPr>
              <w:jc w:val="center"/>
              <w:rPr>
                <w:kern w:val="0"/>
                <w:sz w:val="18"/>
                <w:szCs w:val="18"/>
              </w:rPr>
            </w:pPr>
            <w:r>
              <w:rPr>
                <w:rFonts w:hint="eastAsia"/>
                <w:kern w:val="0"/>
                <w:sz w:val="18"/>
                <w:szCs w:val="18"/>
              </w:rPr>
              <w:t>0.1</w:t>
            </w:r>
            <w:r>
              <w:rPr>
                <w:kern w:val="0"/>
                <w:sz w:val="18"/>
                <w:szCs w:val="18"/>
              </w:rPr>
              <w:t>0</w:t>
            </w:r>
          </w:p>
        </w:tc>
        <w:tc>
          <w:tcPr>
            <w:tcW w:w="276" w:type="pct"/>
            <w:tcBorders>
              <w:top w:val="nil"/>
              <w:left w:val="nil"/>
              <w:bottom w:val="single" w:color="auto" w:sz="4" w:space="0"/>
              <w:right w:val="single" w:color="auto" w:sz="4" w:space="0"/>
            </w:tcBorders>
            <w:noWrap/>
            <w:vAlign w:val="center"/>
          </w:tcPr>
          <w:p>
            <w:pPr>
              <w:jc w:val="center"/>
              <w:rPr>
                <w:kern w:val="0"/>
                <w:sz w:val="18"/>
                <w:szCs w:val="18"/>
              </w:rPr>
            </w:pPr>
            <w:r>
              <w:rPr>
                <w:rFonts w:hint="eastAsia"/>
                <w:kern w:val="0"/>
                <w:sz w:val="18"/>
                <w:szCs w:val="18"/>
              </w:rPr>
              <w:t>0.1</w:t>
            </w:r>
            <w:r>
              <w:rPr>
                <w:kern w:val="0"/>
                <w:sz w:val="18"/>
                <w:szCs w:val="18"/>
              </w:rPr>
              <w:t>0</w:t>
            </w:r>
          </w:p>
        </w:tc>
        <w:tc>
          <w:tcPr>
            <w:tcW w:w="276" w:type="pct"/>
            <w:tcBorders>
              <w:top w:val="nil"/>
              <w:left w:val="nil"/>
              <w:bottom w:val="single" w:color="auto" w:sz="4" w:space="0"/>
              <w:right w:val="single" w:color="auto" w:sz="4" w:space="0"/>
            </w:tcBorders>
            <w:noWrap/>
            <w:vAlign w:val="center"/>
          </w:tcPr>
          <w:p>
            <w:pPr>
              <w:jc w:val="center"/>
              <w:rPr>
                <w:kern w:val="0"/>
                <w:sz w:val="18"/>
                <w:szCs w:val="18"/>
              </w:rPr>
            </w:pPr>
            <w:r>
              <w:rPr>
                <w:kern w:val="0"/>
                <w:sz w:val="18"/>
                <w:szCs w:val="18"/>
              </w:rPr>
              <w:t>0.</w:t>
            </w:r>
            <w:r>
              <w:rPr>
                <w:rFonts w:hint="eastAsia"/>
                <w:kern w:val="0"/>
                <w:sz w:val="18"/>
                <w:szCs w:val="18"/>
              </w:rPr>
              <w:t>2</w:t>
            </w:r>
            <w:r>
              <w:rPr>
                <w:kern w:val="0"/>
                <w:sz w:val="18"/>
                <w:szCs w:val="18"/>
              </w:rPr>
              <w:t>0</w:t>
            </w:r>
          </w:p>
        </w:tc>
        <w:tc>
          <w:tcPr>
            <w:tcW w:w="276" w:type="pct"/>
            <w:tcBorders>
              <w:top w:val="nil"/>
              <w:left w:val="nil"/>
              <w:bottom w:val="single" w:color="auto" w:sz="4" w:space="0"/>
              <w:right w:val="single" w:color="auto" w:sz="4" w:space="0"/>
            </w:tcBorders>
            <w:noWrap/>
            <w:vAlign w:val="center"/>
          </w:tcPr>
          <w:p>
            <w:pPr>
              <w:jc w:val="center"/>
              <w:rPr>
                <w:kern w:val="0"/>
                <w:sz w:val="18"/>
                <w:szCs w:val="18"/>
              </w:rPr>
            </w:pPr>
            <w:r>
              <w:rPr>
                <w:kern w:val="0"/>
                <w:sz w:val="18"/>
                <w:szCs w:val="18"/>
              </w:rPr>
              <w:t>0.</w:t>
            </w:r>
            <w:r>
              <w:rPr>
                <w:rFonts w:hint="eastAsia"/>
                <w:kern w:val="0"/>
                <w:sz w:val="18"/>
                <w:szCs w:val="18"/>
              </w:rPr>
              <w:t>1</w:t>
            </w:r>
            <w:r>
              <w:rPr>
                <w:kern w:val="0"/>
                <w:sz w:val="18"/>
                <w:szCs w:val="18"/>
              </w:rPr>
              <w:t>0</w:t>
            </w:r>
          </w:p>
        </w:tc>
        <w:tc>
          <w:tcPr>
            <w:tcW w:w="278" w:type="pct"/>
            <w:tcBorders>
              <w:top w:val="nil"/>
              <w:left w:val="nil"/>
              <w:bottom w:val="single" w:color="auto" w:sz="4" w:space="0"/>
              <w:right w:val="single" w:color="auto" w:sz="4" w:space="0"/>
            </w:tcBorders>
            <w:noWrap/>
            <w:vAlign w:val="center"/>
          </w:tcPr>
          <w:p>
            <w:pPr>
              <w:jc w:val="center"/>
              <w:rPr>
                <w:kern w:val="0"/>
                <w:sz w:val="18"/>
                <w:szCs w:val="18"/>
              </w:rPr>
            </w:pPr>
            <w:r>
              <w:rPr>
                <w:kern w:val="0"/>
                <w:sz w:val="18"/>
                <w:szCs w:val="18"/>
              </w:rPr>
              <w:t>0.</w:t>
            </w:r>
            <w:r>
              <w:rPr>
                <w:rFonts w:hint="eastAsia"/>
                <w:kern w:val="0"/>
                <w:sz w:val="18"/>
                <w:szCs w:val="18"/>
              </w:rPr>
              <w:t>5</w:t>
            </w:r>
            <w:r>
              <w:rPr>
                <w:kern w:val="0"/>
                <w:sz w:val="18"/>
                <w:szCs w:val="18"/>
              </w:rPr>
              <w:t>0</w:t>
            </w:r>
          </w:p>
        </w:tc>
        <w:tc>
          <w:tcPr>
            <w:tcW w:w="276" w:type="pct"/>
            <w:tcBorders>
              <w:top w:val="nil"/>
              <w:left w:val="nil"/>
              <w:bottom w:val="single" w:color="auto" w:sz="4" w:space="0"/>
              <w:right w:val="single" w:color="auto" w:sz="4" w:space="0"/>
            </w:tcBorders>
            <w:noWrap/>
            <w:vAlign w:val="center"/>
          </w:tcPr>
          <w:p>
            <w:pPr>
              <w:jc w:val="center"/>
              <w:rPr>
                <w:kern w:val="0"/>
                <w:sz w:val="18"/>
                <w:szCs w:val="18"/>
              </w:rPr>
            </w:pPr>
            <w:r>
              <w:rPr>
                <w:sz w:val="18"/>
                <w:szCs w:val="18"/>
              </w:rPr>
              <w:t>0.0</w:t>
            </w:r>
            <w:r>
              <w:rPr>
                <w:rFonts w:hint="eastAsia"/>
                <w:sz w:val="18"/>
                <w:szCs w:val="18"/>
              </w:rPr>
              <w:t>4</w:t>
            </w:r>
          </w:p>
        </w:tc>
        <w:tc>
          <w:tcPr>
            <w:tcW w:w="276" w:type="pct"/>
            <w:tcBorders>
              <w:top w:val="nil"/>
              <w:left w:val="nil"/>
              <w:bottom w:val="single" w:color="auto" w:sz="4" w:space="0"/>
              <w:right w:val="single" w:color="auto" w:sz="4" w:space="0"/>
            </w:tcBorders>
            <w:noWrap/>
            <w:vAlign w:val="center"/>
          </w:tcPr>
          <w:p>
            <w:pPr>
              <w:jc w:val="center"/>
              <w:rPr>
                <w:kern w:val="0"/>
                <w:sz w:val="18"/>
                <w:szCs w:val="18"/>
              </w:rPr>
            </w:pPr>
            <w:r>
              <w:rPr>
                <w:sz w:val="18"/>
                <w:szCs w:val="18"/>
              </w:rPr>
              <w:t>0.0</w:t>
            </w:r>
            <w:r>
              <w:rPr>
                <w:rFonts w:hint="eastAsia"/>
                <w:sz w:val="18"/>
                <w:szCs w:val="18"/>
              </w:rPr>
              <w:t>4</w:t>
            </w:r>
          </w:p>
        </w:tc>
        <w:tc>
          <w:tcPr>
            <w:tcW w:w="276" w:type="pct"/>
            <w:tcBorders>
              <w:top w:val="nil"/>
              <w:left w:val="nil"/>
              <w:bottom w:val="single" w:color="auto" w:sz="4" w:space="0"/>
              <w:right w:val="single" w:color="auto" w:sz="4" w:space="0"/>
            </w:tcBorders>
            <w:noWrap/>
            <w:vAlign w:val="center"/>
          </w:tcPr>
          <w:p>
            <w:pPr>
              <w:jc w:val="center"/>
              <w:rPr>
                <w:kern w:val="0"/>
                <w:sz w:val="18"/>
                <w:szCs w:val="18"/>
              </w:rPr>
            </w:pPr>
            <w:r>
              <w:rPr>
                <w:rFonts w:hint="eastAsia"/>
                <w:kern w:val="0"/>
                <w:sz w:val="18"/>
                <w:szCs w:val="18"/>
              </w:rPr>
              <w:t>0.08</w:t>
            </w:r>
          </w:p>
        </w:tc>
        <w:tc>
          <w:tcPr>
            <w:tcW w:w="276" w:type="pct"/>
            <w:tcBorders>
              <w:top w:val="nil"/>
              <w:left w:val="nil"/>
              <w:bottom w:val="single" w:color="auto" w:sz="4" w:space="0"/>
              <w:right w:val="single" w:color="auto" w:sz="4" w:space="0"/>
            </w:tcBorders>
            <w:noWrap/>
            <w:vAlign w:val="center"/>
          </w:tcPr>
          <w:p>
            <w:pPr>
              <w:jc w:val="center"/>
              <w:rPr>
                <w:kern w:val="0"/>
                <w:sz w:val="18"/>
                <w:szCs w:val="18"/>
              </w:rPr>
            </w:pPr>
            <w:r>
              <w:rPr>
                <w:sz w:val="18"/>
                <w:szCs w:val="18"/>
              </w:rPr>
              <w:t>0.</w:t>
            </w:r>
            <w:r>
              <w:rPr>
                <w:rFonts w:hint="eastAsia"/>
                <w:sz w:val="18"/>
                <w:szCs w:val="18"/>
              </w:rPr>
              <w:t>04</w:t>
            </w:r>
          </w:p>
        </w:tc>
        <w:tc>
          <w:tcPr>
            <w:tcW w:w="277" w:type="pct"/>
            <w:tcBorders>
              <w:top w:val="nil"/>
              <w:left w:val="nil"/>
              <w:bottom w:val="single" w:color="auto" w:sz="4" w:space="0"/>
              <w:right w:val="single" w:color="auto" w:sz="4" w:space="0"/>
            </w:tcBorders>
            <w:noWrap/>
            <w:vAlign w:val="center"/>
          </w:tcPr>
          <w:p>
            <w:pPr>
              <w:jc w:val="center"/>
              <w:rPr>
                <w:kern w:val="0"/>
                <w:sz w:val="18"/>
                <w:szCs w:val="18"/>
              </w:rPr>
            </w:pPr>
            <w:r>
              <w:rPr>
                <w:sz w:val="18"/>
                <w:szCs w:val="18"/>
              </w:rPr>
              <w:t>0.</w:t>
            </w:r>
            <w:r>
              <w:rPr>
                <w:rFonts w:hint="eastAsia"/>
                <w:sz w:val="18"/>
                <w:szCs w:val="18"/>
              </w:rPr>
              <w:t>2</w:t>
            </w:r>
            <w:r>
              <w:rPr>
                <w:sz w:val="18"/>
                <w:szCs w:val="18"/>
              </w:rPr>
              <w:t>0</w:t>
            </w:r>
          </w:p>
        </w:tc>
        <w:tc>
          <w:tcPr>
            <w:tcW w:w="326" w:type="pct"/>
            <w:tcBorders>
              <w:top w:val="single" w:color="auto" w:sz="4" w:space="0"/>
              <w:left w:val="single" w:color="auto" w:sz="4" w:space="0"/>
              <w:bottom w:val="single" w:color="auto" w:sz="4" w:space="0"/>
              <w:right w:val="single" w:color="auto" w:sz="4" w:space="0"/>
            </w:tcBorders>
            <w:vAlign w:val="center"/>
          </w:tcPr>
          <w:p>
            <w:pPr>
              <w:jc w:val="center"/>
              <w:rPr>
                <w:kern w:val="0"/>
                <w:sz w:val="18"/>
                <w:szCs w:val="18"/>
              </w:rPr>
            </w:pPr>
            <w:r>
              <w:rPr>
                <w:rFonts w:hint="eastAsia"/>
                <w:kern w:val="0"/>
                <w:sz w:val="18"/>
                <w:szCs w:val="18"/>
              </w:rPr>
              <w:t>0.4</w:t>
            </w:r>
            <w:r>
              <w:rPr>
                <w:kern w:val="0"/>
                <w:sz w:val="18"/>
                <w:szCs w:val="18"/>
              </w:rPr>
              <w:t>0</w:t>
            </w:r>
          </w:p>
        </w:tc>
        <w:tc>
          <w:tcPr>
            <w:tcW w:w="312" w:type="pct"/>
            <w:tcBorders>
              <w:top w:val="nil"/>
              <w:left w:val="nil"/>
              <w:bottom w:val="single" w:color="auto" w:sz="4" w:space="0"/>
              <w:right w:val="single" w:color="auto" w:sz="4" w:space="0"/>
            </w:tcBorders>
            <w:noWrap/>
            <w:vAlign w:val="center"/>
          </w:tcPr>
          <w:p>
            <w:pPr>
              <w:jc w:val="center"/>
              <w:rPr>
                <w:kern w:val="0"/>
                <w:sz w:val="18"/>
                <w:szCs w:val="18"/>
              </w:rPr>
            </w:pPr>
            <w:r>
              <w:rPr>
                <w:kern w:val="0"/>
                <w:sz w:val="18"/>
                <w:szCs w:val="18"/>
              </w:rPr>
              <w:t>0.</w:t>
            </w:r>
            <w:r>
              <w:rPr>
                <w:rFonts w:hint="eastAsia"/>
                <w:kern w:val="0"/>
                <w:sz w:val="18"/>
                <w:szCs w:val="18"/>
              </w:rPr>
              <w:t>4</w:t>
            </w:r>
            <w:r>
              <w:rPr>
                <w:kern w:val="0"/>
                <w:sz w:val="18"/>
                <w:szCs w:val="18"/>
              </w:rPr>
              <w:t>0</w:t>
            </w:r>
          </w:p>
        </w:tc>
        <w:tc>
          <w:tcPr>
            <w:tcW w:w="313" w:type="pct"/>
            <w:tcBorders>
              <w:top w:val="nil"/>
              <w:left w:val="nil"/>
              <w:bottom w:val="single" w:color="auto" w:sz="4" w:space="0"/>
              <w:right w:val="single" w:color="auto" w:sz="4" w:space="0"/>
            </w:tcBorders>
            <w:noWrap/>
            <w:vAlign w:val="center"/>
          </w:tcPr>
          <w:p>
            <w:pPr>
              <w:jc w:val="center"/>
              <w:rPr>
                <w:kern w:val="0"/>
                <w:sz w:val="18"/>
                <w:szCs w:val="18"/>
              </w:rPr>
            </w:pPr>
            <w:r>
              <w:rPr>
                <w:kern w:val="0"/>
                <w:sz w:val="18"/>
                <w:szCs w:val="18"/>
              </w:rPr>
              <w:t>0.</w:t>
            </w:r>
            <w:r>
              <w:rPr>
                <w:rFonts w:hint="eastAsia"/>
                <w:kern w:val="0"/>
                <w:sz w:val="18"/>
                <w:szCs w:val="18"/>
              </w:rPr>
              <w:t>57</w:t>
            </w:r>
          </w:p>
        </w:tc>
        <w:tc>
          <w:tcPr>
            <w:tcW w:w="365" w:type="pct"/>
            <w:tcBorders>
              <w:top w:val="nil"/>
              <w:left w:val="nil"/>
              <w:bottom w:val="single" w:color="auto" w:sz="4" w:space="0"/>
              <w:right w:val="single" w:color="auto" w:sz="4" w:space="0"/>
            </w:tcBorders>
            <w:noWrap/>
            <w:vAlign w:val="center"/>
          </w:tcPr>
          <w:p>
            <w:pPr>
              <w:jc w:val="center"/>
              <w:rPr>
                <w:kern w:val="0"/>
                <w:sz w:val="18"/>
                <w:szCs w:val="18"/>
              </w:rPr>
            </w:pPr>
            <w:r>
              <w:rPr>
                <w:kern w:val="0"/>
                <w:sz w:val="18"/>
                <w:szCs w:val="18"/>
              </w:rPr>
              <w:t>0.</w:t>
            </w:r>
            <w:r>
              <w:rPr>
                <w:rFonts w:hint="eastAsia"/>
                <w:kern w:val="0"/>
                <w:sz w:val="18"/>
                <w:szCs w:val="18"/>
              </w:rPr>
              <w:t>4</w:t>
            </w:r>
            <w:r>
              <w:rPr>
                <w:kern w:val="0"/>
                <w:sz w:val="18"/>
                <w:szCs w:val="18"/>
              </w:rPr>
              <w:t>0</w:t>
            </w:r>
          </w:p>
        </w:tc>
        <w:tc>
          <w:tcPr>
            <w:tcW w:w="365" w:type="pct"/>
            <w:tcBorders>
              <w:top w:val="nil"/>
              <w:left w:val="nil"/>
              <w:bottom w:val="single" w:color="auto" w:sz="4" w:space="0"/>
              <w:right w:val="single" w:color="auto" w:sz="4" w:space="0"/>
            </w:tcBorders>
            <w:noWrap/>
            <w:vAlign w:val="center"/>
          </w:tcPr>
          <w:p>
            <w:pPr>
              <w:jc w:val="center"/>
              <w:rPr>
                <w:kern w:val="0"/>
                <w:sz w:val="18"/>
                <w:szCs w:val="18"/>
              </w:rPr>
            </w:pPr>
            <w:r>
              <w:rPr>
                <w:kern w:val="0"/>
                <w:sz w:val="18"/>
                <w:szCs w:val="18"/>
              </w:rPr>
              <w:t>0.</w:t>
            </w:r>
            <w:r>
              <w:rPr>
                <w:rFonts w:hint="eastAsia"/>
                <w:kern w:val="0"/>
                <w:sz w:val="18"/>
                <w:szCs w:val="18"/>
              </w:rPr>
              <w:t>36</w:t>
            </w:r>
          </w:p>
        </w:tc>
      </w:tr>
      <w:tr>
        <w:tblPrEx>
          <w:tblCellMar>
            <w:top w:w="0" w:type="dxa"/>
            <w:left w:w="108" w:type="dxa"/>
            <w:bottom w:w="0" w:type="dxa"/>
            <w:right w:w="108" w:type="dxa"/>
          </w:tblCellMar>
        </w:tblPrEx>
        <w:trPr>
          <w:trHeight w:val="555" w:hRule="atLeast"/>
        </w:trPr>
        <w:tc>
          <w:tcPr>
            <w:tcW w:w="276"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kern w:val="0"/>
                <w:sz w:val="18"/>
                <w:szCs w:val="18"/>
              </w:rPr>
            </w:pPr>
          </w:p>
        </w:tc>
        <w:tc>
          <w:tcPr>
            <w:tcW w:w="1660" w:type="pct"/>
            <w:gridSpan w:val="6"/>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kern w:val="0"/>
                <w:sz w:val="18"/>
                <w:szCs w:val="18"/>
              </w:rPr>
            </w:pPr>
            <w:r>
              <w:rPr>
                <w:rFonts w:hint="eastAsia" w:ascii="宋体" w:hAnsi="宋体" w:cs="宋体"/>
                <w:kern w:val="0"/>
                <w:sz w:val="18"/>
                <w:szCs w:val="18"/>
              </w:rPr>
              <w:t>各环节对课程目标达成的贡献率（</w:t>
            </w:r>
            <w:r>
              <w:rPr>
                <w:rFonts w:hint="eastAsia" w:ascii="宋体" w:hAnsi="宋体" w:cs="宋体"/>
                <w:i/>
                <w:iCs/>
                <w:kern w:val="0"/>
                <w:sz w:val="18"/>
                <w:szCs w:val="18"/>
              </w:rPr>
              <w:t>M</w:t>
            </w:r>
            <w:r>
              <w:rPr>
                <w:rFonts w:hint="eastAsia" w:ascii="宋体" w:hAnsi="宋体" w:cs="宋体"/>
                <w:i/>
                <w:iCs/>
                <w:kern w:val="0"/>
                <w:sz w:val="18"/>
                <w:szCs w:val="18"/>
                <w:vertAlign w:val="subscript"/>
              </w:rPr>
              <w:t>ik</w:t>
            </w:r>
            <w:r>
              <w:rPr>
                <w:rFonts w:hint="eastAsia" w:ascii="宋体" w:hAnsi="宋体" w:cs="宋体"/>
                <w:kern w:val="0"/>
                <w:sz w:val="18"/>
                <w:szCs w:val="18"/>
              </w:rPr>
              <w:t>）</w:t>
            </w:r>
          </w:p>
        </w:tc>
        <w:tc>
          <w:tcPr>
            <w:tcW w:w="276" w:type="pct"/>
            <w:tcBorders>
              <w:top w:val="nil"/>
              <w:left w:val="nil"/>
              <w:bottom w:val="single" w:color="auto" w:sz="4" w:space="0"/>
              <w:right w:val="single" w:color="auto" w:sz="4" w:space="0"/>
            </w:tcBorders>
            <w:noWrap/>
            <w:vAlign w:val="center"/>
          </w:tcPr>
          <w:p>
            <w:pPr>
              <w:jc w:val="center"/>
              <w:rPr>
                <w:kern w:val="0"/>
                <w:sz w:val="18"/>
                <w:szCs w:val="18"/>
              </w:rPr>
            </w:pPr>
            <w:r>
              <w:rPr>
                <w:rFonts w:hint="eastAsia"/>
                <w:kern w:val="0"/>
                <w:sz w:val="18"/>
                <w:szCs w:val="18"/>
              </w:rPr>
              <w:t>0.1</w:t>
            </w:r>
            <w:r>
              <w:rPr>
                <w:kern w:val="0"/>
                <w:sz w:val="18"/>
                <w:szCs w:val="18"/>
              </w:rPr>
              <w:t>0</w:t>
            </w:r>
          </w:p>
        </w:tc>
        <w:tc>
          <w:tcPr>
            <w:tcW w:w="276" w:type="pct"/>
            <w:tcBorders>
              <w:top w:val="nil"/>
              <w:left w:val="nil"/>
              <w:bottom w:val="single" w:color="auto" w:sz="4" w:space="0"/>
              <w:right w:val="single" w:color="auto" w:sz="4" w:space="0"/>
            </w:tcBorders>
            <w:noWrap/>
            <w:vAlign w:val="center"/>
          </w:tcPr>
          <w:p>
            <w:pPr>
              <w:jc w:val="center"/>
              <w:rPr>
                <w:kern w:val="0"/>
                <w:sz w:val="18"/>
                <w:szCs w:val="18"/>
              </w:rPr>
            </w:pPr>
            <w:r>
              <w:rPr>
                <w:kern w:val="0"/>
                <w:sz w:val="18"/>
                <w:szCs w:val="18"/>
              </w:rPr>
              <w:t>0.</w:t>
            </w:r>
            <w:r>
              <w:rPr>
                <w:rFonts w:hint="eastAsia"/>
                <w:kern w:val="0"/>
                <w:sz w:val="18"/>
                <w:szCs w:val="18"/>
              </w:rPr>
              <w:t>1</w:t>
            </w:r>
            <w:r>
              <w:rPr>
                <w:kern w:val="0"/>
                <w:sz w:val="18"/>
                <w:szCs w:val="18"/>
              </w:rPr>
              <w:t>0</w:t>
            </w:r>
          </w:p>
        </w:tc>
        <w:tc>
          <w:tcPr>
            <w:tcW w:w="276" w:type="pct"/>
            <w:tcBorders>
              <w:top w:val="nil"/>
              <w:left w:val="nil"/>
              <w:bottom w:val="single" w:color="auto" w:sz="4" w:space="0"/>
              <w:right w:val="single" w:color="auto" w:sz="4" w:space="0"/>
            </w:tcBorders>
            <w:noWrap/>
            <w:vAlign w:val="center"/>
          </w:tcPr>
          <w:p>
            <w:pPr>
              <w:jc w:val="center"/>
              <w:rPr>
                <w:kern w:val="0"/>
                <w:sz w:val="18"/>
                <w:szCs w:val="18"/>
              </w:rPr>
            </w:pPr>
            <w:r>
              <w:rPr>
                <w:kern w:val="0"/>
                <w:sz w:val="18"/>
                <w:szCs w:val="18"/>
              </w:rPr>
              <w:t>0.</w:t>
            </w:r>
            <w:r>
              <w:rPr>
                <w:rFonts w:hint="eastAsia"/>
                <w:kern w:val="0"/>
                <w:sz w:val="18"/>
                <w:szCs w:val="18"/>
              </w:rPr>
              <w:t>14</w:t>
            </w:r>
          </w:p>
        </w:tc>
        <w:tc>
          <w:tcPr>
            <w:tcW w:w="276" w:type="pct"/>
            <w:tcBorders>
              <w:top w:val="nil"/>
              <w:left w:val="nil"/>
              <w:bottom w:val="single" w:color="auto" w:sz="4" w:space="0"/>
              <w:right w:val="single" w:color="auto" w:sz="4" w:space="0"/>
            </w:tcBorders>
            <w:noWrap/>
            <w:vAlign w:val="center"/>
          </w:tcPr>
          <w:p>
            <w:pPr>
              <w:jc w:val="center"/>
              <w:rPr>
                <w:kern w:val="0"/>
                <w:sz w:val="18"/>
                <w:szCs w:val="18"/>
              </w:rPr>
            </w:pPr>
            <w:r>
              <w:rPr>
                <w:kern w:val="0"/>
                <w:sz w:val="18"/>
                <w:szCs w:val="18"/>
              </w:rPr>
              <w:t>0.</w:t>
            </w:r>
            <w:r>
              <w:rPr>
                <w:rFonts w:hint="eastAsia"/>
                <w:kern w:val="0"/>
                <w:sz w:val="18"/>
                <w:szCs w:val="18"/>
              </w:rPr>
              <w:t>1</w:t>
            </w:r>
            <w:r>
              <w:rPr>
                <w:kern w:val="0"/>
                <w:sz w:val="18"/>
                <w:szCs w:val="18"/>
              </w:rPr>
              <w:t>0</w:t>
            </w:r>
          </w:p>
        </w:tc>
        <w:tc>
          <w:tcPr>
            <w:tcW w:w="277" w:type="pct"/>
            <w:tcBorders>
              <w:top w:val="nil"/>
              <w:left w:val="nil"/>
              <w:bottom w:val="single" w:color="auto" w:sz="4" w:space="0"/>
              <w:right w:val="single" w:color="auto" w:sz="4" w:space="0"/>
            </w:tcBorders>
            <w:noWrap/>
            <w:vAlign w:val="center"/>
          </w:tcPr>
          <w:p>
            <w:pPr>
              <w:jc w:val="center"/>
              <w:rPr>
                <w:kern w:val="0"/>
                <w:sz w:val="18"/>
                <w:szCs w:val="18"/>
              </w:rPr>
            </w:pPr>
            <w:r>
              <w:rPr>
                <w:rFonts w:hint="eastAsia"/>
                <w:kern w:val="0"/>
                <w:sz w:val="18"/>
                <w:szCs w:val="18"/>
              </w:rPr>
              <w:t>0.56</w:t>
            </w:r>
          </w:p>
        </w:tc>
        <w:tc>
          <w:tcPr>
            <w:tcW w:w="1681" w:type="pct"/>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教师出题或布置作业时</w:t>
            </w:r>
            <w:r>
              <w:rPr>
                <w:rFonts w:hint="eastAsia" w:ascii="宋体" w:hAnsi="宋体" w:cs="宋体"/>
                <w:kern w:val="0"/>
                <w:sz w:val="18"/>
                <w:szCs w:val="18"/>
              </w:rPr>
              <w:br w:type="textWrapping"/>
            </w:r>
            <w:r>
              <w:rPr>
                <w:rFonts w:hint="eastAsia" w:ascii="宋体" w:hAnsi="宋体" w:cs="宋体"/>
                <w:kern w:val="0"/>
                <w:sz w:val="18"/>
                <w:szCs w:val="18"/>
              </w:rPr>
              <w:t>要尽量做到按照以上比例布局</w:t>
            </w:r>
          </w:p>
        </w:tc>
      </w:tr>
    </w:tbl>
    <w:p>
      <w:pPr>
        <w:spacing w:line="360" w:lineRule="auto"/>
      </w:pPr>
    </w:p>
    <w:p>
      <w:pPr>
        <w:spacing w:line="360" w:lineRule="auto"/>
        <w:sectPr>
          <w:footerReference r:id="rId54" w:type="default"/>
          <w:pgSz w:w="16838" w:h="11906" w:orient="landscape"/>
          <w:pgMar w:top="1797" w:right="1440" w:bottom="1797" w:left="1440" w:header="851" w:footer="992" w:gutter="0"/>
          <w:pgNumType w:fmt="decimal"/>
          <w:cols w:space="720" w:num="1"/>
          <w:docGrid w:linePitch="312" w:charSpace="0"/>
        </w:sectPr>
      </w:pPr>
    </w:p>
    <w:p>
      <w:pPr>
        <w:spacing w:line="360" w:lineRule="auto"/>
        <w:ind w:firstLine="420" w:firstLineChars="200"/>
        <w:rPr>
          <w:szCs w:val="21"/>
        </w:rPr>
      </w:pPr>
      <w:bookmarkStart w:id="18" w:name="_Hlk45619276"/>
      <w:r>
        <w:rPr>
          <w:rFonts w:hint="eastAsia"/>
          <w:szCs w:val="21"/>
        </w:rPr>
        <w:t>采用达成值计算法，辅以对学生的问卷调查法。</w:t>
      </w:r>
    </w:p>
    <w:p>
      <w:pPr>
        <w:spacing w:line="360" w:lineRule="auto"/>
        <w:ind w:firstLine="422" w:firstLineChars="200"/>
        <w:rPr>
          <w:b/>
          <w:bCs/>
          <w:szCs w:val="21"/>
        </w:rPr>
      </w:pPr>
      <w:r>
        <w:rPr>
          <w:rFonts w:hint="eastAsia"/>
          <w:b/>
          <w:bCs/>
          <w:szCs w:val="21"/>
        </w:rPr>
        <w:t>课程目标定量评价：</w:t>
      </w:r>
    </w:p>
    <w:p>
      <w:pPr>
        <w:spacing w:line="360" w:lineRule="auto"/>
        <w:ind w:firstLine="420" w:firstLineChars="200"/>
        <w:rPr>
          <w:szCs w:val="21"/>
        </w:rPr>
      </w:pPr>
      <w:r>
        <w:rPr>
          <w:szCs w:val="21"/>
        </w:rPr>
        <w:t>达成值计算法结合上表权重分配，采用</w:t>
      </w:r>
      <w:r>
        <w:rPr>
          <w:rFonts w:hint="eastAsia"/>
          <w:szCs w:val="21"/>
        </w:rPr>
        <w:t>下表进行计算。</w:t>
      </w:r>
    </w:p>
    <w:p>
      <w:pPr>
        <w:spacing w:line="360" w:lineRule="auto"/>
        <w:ind w:firstLine="420" w:firstLineChars="200"/>
        <w:rPr>
          <w:szCs w:val="21"/>
        </w:rPr>
      </w:pPr>
      <w:r>
        <w:rPr>
          <w:szCs w:val="21"/>
        </w:rPr>
        <w:t>单一课程目标达成度评价采用下式：</w:t>
      </w:r>
    </w:p>
    <w:p>
      <w:pPr>
        <w:spacing w:line="360" w:lineRule="auto"/>
        <w:ind w:firstLine="420" w:firstLineChars="200"/>
        <w:rPr>
          <w:szCs w:val="21"/>
        </w:rPr>
      </w:pPr>
      <w:r>
        <w:rPr>
          <w:position w:val="-30"/>
          <w:szCs w:val="21"/>
        </w:rPr>
        <w:object>
          <v:shape id="_x0000_i1073" o:spt="75" type="#_x0000_t75" style="height:36pt;width:165.5pt;" o:ole="t" filled="f" o:preferrelative="t" stroked="f" coordsize="21600,21600">
            <v:path/>
            <v:fill on="f" focussize="0,0"/>
            <v:stroke on="f" joinstyle="miter"/>
            <v:imagedata r:id="rId145" o:title=""/>
            <o:lock v:ext="edit" aspectratio="t"/>
            <w10:wrap type="none"/>
            <w10:anchorlock/>
          </v:shape>
          <o:OLEObject Type="Embed" ProgID="Equation.3" ShapeID="_x0000_i1073" DrawAspect="Content" ObjectID="_1468075773" r:id="rId204">
            <o:LockedField>false</o:LockedField>
          </o:OLEObject>
        </w:object>
      </w:r>
    </w:p>
    <w:p>
      <w:pPr>
        <w:spacing w:line="360" w:lineRule="auto"/>
        <w:ind w:firstLine="420" w:firstLineChars="200"/>
        <w:rPr>
          <w:szCs w:val="21"/>
        </w:rPr>
      </w:pPr>
      <w:r>
        <w:rPr>
          <w:szCs w:val="21"/>
        </w:rPr>
        <w:t>总的课程目标达成度评价采用下式：</w:t>
      </w:r>
    </w:p>
    <w:p>
      <w:pPr>
        <w:spacing w:line="360" w:lineRule="auto"/>
        <w:ind w:firstLine="420" w:firstLineChars="200"/>
        <w:rPr>
          <w:szCs w:val="21"/>
        </w:rPr>
      </w:pPr>
      <w:r>
        <w:rPr>
          <w:position w:val="-30"/>
          <w:szCs w:val="21"/>
        </w:rPr>
        <w:object>
          <v:shape id="_x0000_i1074" o:spt="75" type="#_x0000_t75" style="height:36pt;width:151pt;" o:ole="t" filled="f" o:preferrelative="t" stroked="f" coordsize="21600,21600">
            <v:path/>
            <v:fill on="f" focussize="0,0"/>
            <v:stroke on="f" joinstyle="miter"/>
            <v:imagedata r:id="rId147" o:title=""/>
            <o:lock v:ext="edit" aspectratio="t"/>
            <w10:wrap type="none"/>
            <w10:anchorlock/>
          </v:shape>
          <o:OLEObject Type="Embed" ProgID="Equation.3" ShapeID="_x0000_i1074" DrawAspect="Content" ObjectID="_1468075774" r:id="rId205">
            <o:LockedField>false</o:LockedField>
          </o:OLEObject>
        </w:object>
      </w:r>
    </w:p>
    <w:p>
      <w:pPr>
        <w:spacing w:line="360" w:lineRule="auto"/>
        <w:ind w:firstLine="420" w:firstLineChars="200"/>
        <w:rPr>
          <w:szCs w:val="21"/>
        </w:rPr>
      </w:pPr>
      <w:r>
        <w:rPr>
          <w:szCs w:val="21"/>
        </w:rPr>
        <w:t>以上公式中：</w:t>
      </w:r>
    </w:p>
    <w:p>
      <w:pPr>
        <w:spacing w:line="360" w:lineRule="auto"/>
        <w:ind w:firstLine="420" w:firstLineChars="200"/>
        <w:rPr>
          <w:szCs w:val="21"/>
        </w:rPr>
      </w:pPr>
      <w:r>
        <w:rPr>
          <w:i/>
          <w:szCs w:val="21"/>
        </w:rPr>
        <w:t>k</w:t>
      </w:r>
      <w:r>
        <w:rPr>
          <w:szCs w:val="21"/>
        </w:rPr>
        <w:t>表示不同的评价方式，</w:t>
      </w:r>
      <w:r>
        <w:rPr>
          <w:i/>
          <w:szCs w:val="21"/>
        </w:rPr>
        <w:t>i</w:t>
      </w:r>
      <w:r>
        <w:rPr>
          <w:szCs w:val="21"/>
        </w:rPr>
        <w:t>表示不同的课程目标。</w:t>
      </w:r>
    </w:p>
    <w:p>
      <w:pPr>
        <w:spacing w:line="360" w:lineRule="auto"/>
        <w:ind w:firstLine="420" w:firstLineChars="200"/>
      </w:pPr>
      <w:r>
        <w:rPr>
          <w:position w:val="-10"/>
        </w:rPr>
        <w:object>
          <v:shape id="_x0000_i1075" o:spt="75" type="#_x0000_t75" style="height:14.5pt;width:14.5pt;" o:ole="t" filled="f" o:preferrelative="t" stroked="f" coordsize="21600,21600">
            <v:path/>
            <v:fill on="f" focussize="0,0"/>
            <v:stroke on="f" joinstyle="miter"/>
            <v:imagedata r:id="rId149" o:title=""/>
            <o:lock v:ext="edit" aspectratio="t"/>
            <w10:wrap type="none"/>
            <w10:anchorlock/>
          </v:shape>
          <o:OLEObject Type="Embed" ProgID="Equation.3" ShapeID="_x0000_i1075" DrawAspect="Content" ObjectID="_1468075775" r:id="rId206">
            <o:LockedField>false</o:LockedField>
          </o:OLEObject>
        </w:object>
      </w:r>
      <w:r>
        <w:t>表示第</w:t>
      </w:r>
      <w:r>
        <w:rPr>
          <w:i/>
        </w:rPr>
        <w:t>k</w:t>
      </w:r>
      <w:r>
        <w:t>种评价方式期末评价成绩平均分，均为百分制；</w:t>
      </w:r>
    </w:p>
    <w:p>
      <w:pPr>
        <w:spacing w:line="360" w:lineRule="auto"/>
        <w:ind w:firstLine="420" w:firstLineChars="200"/>
      </w:pPr>
      <w:r>
        <w:rPr>
          <w:position w:val="-10"/>
        </w:rPr>
        <w:object>
          <v:shape id="_x0000_i1076" o:spt="75" type="#_x0000_t75" style="height:14.5pt;width:72pt;" o:ole="t" filled="f" o:preferrelative="t" stroked="f" coordsize="21600,21600">
            <v:path/>
            <v:fill on="f" focussize="0,0"/>
            <v:stroke on="f" joinstyle="miter"/>
            <v:imagedata r:id="rId151" o:title=""/>
            <o:lock v:ext="edit" aspectratio="t"/>
            <w10:wrap type="none"/>
            <w10:anchorlock/>
          </v:shape>
          <o:OLEObject Type="Embed" ProgID="Equation.3" ShapeID="_x0000_i1076" DrawAspect="Content" ObjectID="_1468075776" r:id="rId207">
            <o:LockedField>false</o:LockedField>
          </o:OLEObject>
        </w:object>
      </w:r>
      <w:r>
        <w:t>是第</w:t>
      </w:r>
      <w:r>
        <w:rPr>
          <w:i/>
        </w:rPr>
        <w:t>k</w:t>
      </w:r>
      <w:r>
        <w:t>种评价方式通过第</w:t>
      </w:r>
      <w:r>
        <w:rPr>
          <w:i/>
        </w:rPr>
        <w:t>i</w:t>
      </w:r>
      <w:r>
        <w:t>个课程目标反映在总的课程目标评分占比；</w:t>
      </w:r>
    </w:p>
    <w:p>
      <w:pPr>
        <w:spacing w:line="360" w:lineRule="auto"/>
        <w:ind w:firstLine="420" w:firstLineChars="200"/>
        <w:rPr>
          <w:szCs w:val="21"/>
        </w:rPr>
      </w:pPr>
      <w:r>
        <w:rPr>
          <w:position w:val="-10"/>
        </w:rPr>
        <w:object>
          <v:shape id="_x0000_i1077" o:spt="75" type="#_x0000_t75" style="height:14.5pt;width:14.5pt;" o:ole="t" filled="f" o:preferrelative="t" stroked="f" coordsize="21600,21600">
            <v:path/>
            <v:fill on="f" focussize="0,0"/>
            <v:stroke on="f" joinstyle="miter"/>
            <v:imagedata r:id="rId153" o:title=""/>
            <o:lock v:ext="edit" aspectratio="t"/>
            <w10:wrap type="none"/>
            <w10:anchorlock/>
          </v:shape>
          <o:OLEObject Type="Embed" ProgID="Equation.3" ShapeID="_x0000_i1077" DrawAspect="Content" ObjectID="_1468075777" r:id="rId208">
            <o:LockedField>false</o:LockedField>
          </o:OLEObject>
        </w:object>
      </w:r>
      <w:r>
        <w:t>表示第</w:t>
      </w:r>
      <w:r>
        <w:rPr>
          <w:i/>
        </w:rPr>
        <w:t>k</w:t>
      </w:r>
      <w:r>
        <w:t>种评价方式对第</w:t>
      </w:r>
      <w:r>
        <w:rPr>
          <w:i/>
        </w:rPr>
        <w:t>i</w:t>
      </w:r>
      <w:r>
        <w:t>个课程目标百分占比；</w:t>
      </w:r>
    </w:p>
    <w:p>
      <w:pPr>
        <w:spacing w:line="360" w:lineRule="auto"/>
        <w:ind w:firstLine="420" w:firstLineChars="200"/>
      </w:pPr>
      <w:r>
        <w:rPr>
          <w:position w:val="-10"/>
        </w:rPr>
        <w:object>
          <v:shape id="_x0000_i1078" o:spt="75" type="#_x0000_t75" style="height:14.5pt;width:14.5pt;" o:ole="t" filled="f" o:preferrelative="t" stroked="f" coordsize="21600,21600">
            <v:path/>
            <v:fill on="f" focussize="0,0"/>
            <v:stroke on="f" joinstyle="miter"/>
            <v:imagedata r:id="rId155" o:title=""/>
            <o:lock v:ext="edit" aspectratio="t"/>
            <w10:wrap type="none"/>
            <w10:anchorlock/>
          </v:shape>
          <o:OLEObject Type="Embed" ProgID="Equation.3" ShapeID="_x0000_i1078" DrawAspect="Content" ObjectID="_1468075778" r:id="rId209">
            <o:LockedField>false</o:LockedField>
          </o:OLEObject>
        </w:object>
      </w:r>
      <w:r>
        <w:t>表示第</w:t>
      </w:r>
      <w:r>
        <w:rPr>
          <w:i/>
        </w:rPr>
        <w:t>i</w:t>
      </w:r>
      <w:r>
        <w:t>个课程目标在课程总评价中的占比；</w:t>
      </w:r>
    </w:p>
    <w:p>
      <w:pPr>
        <w:spacing w:line="360" w:lineRule="auto"/>
        <w:ind w:firstLine="422" w:firstLineChars="200"/>
        <w:rPr>
          <w:b/>
          <w:bCs/>
          <w:position w:val="-10"/>
          <w:szCs w:val="22"/>
        </w:rPr>
      </w:pPr>
      <w:r>
        <w:rPr>
          <w:rFonts w:hint="eastAsia"/>
          <w:b/>
          <w:bCs/>
          <w:position w:val="-10"/>
          <w:szCs w:val="22"/>
        </w:rPr>
        <w:t>课程目标定性评价：</w:t>
      </w:r>
    </w:p>
    <w:p>
      <w:pPr>
        <w:spacing w:line="360" w:lineRule="auto"/>
        <w:ind w:firstLine="420" w:firstLineChars="200"/>
        <w:rPr>
          <w:rFonts w:ascii="宋体" w:hAnsi="宋体" w:cs="宋体"/>
          <w:szCs w:val="21"/>
        </w:rPr>
      </w:pPr>
      <w:r>
        <w:rPr>
          <w:rFonts w:hint="eastAsia" w:ascii="宋体" w:hAnsi="宋体" w:cs="宋体"/>
          <w:szCs w:val="21"/>
        </w:rPr>
        <w:t>针对每门课的课程目标，直接设计问题，并要求学生明确给出目标能力达到的程度“很好（0.95）、较好（0.75）、中（0.60）、较差（0.45）、很差（0.25）”，根据各区段统计比例与括号中的目标分值加权后求和得出定性评价的结果。</w:t>
      </w:r>
    </w:p>
    <w:p>
      <w:pPr>
        <w:spacing w:line="360" w:lineRule="auto"/>
        <w:ind w:firstLine="422" w:firstLineChars="200"/>
        <w:rPr>
          <w:b/>
          <w:bCs/>
          <w:position w:val="-10"/>
          <w:szCs w:val="22"/>
        </w:rPr>
      </w:pPr>
      <w:r>
        <w:rPr>
          <w:rFonts w:hint="eastAsia"/>
          <w:b/>
          <w:bCs/>
          <w:position w:val="-10"/>
          <w:szCs w:val="22"/>
        </w:rPr>
        <w:t>课程目标达成结果：</w:t>
      </w:r>
    </w:p>
    <w:p>
      <w:pPr>
        <w:spacing w:line="360" w:lineRule="auto"/>
        <w:ind w:firstLine="420" w:firstLineChars="200"/>
        <w:rPr>
          <w:rFonts w:ascii="宋体" w:hAnsi="宋体" w:cs="宋体"/>
          <w:szCs w:val="21"/>
        </w:rPr>
      </w:pPr>
      <w:r>
        <w:rPr>
          <w:rFonts w:hint="eastAsia" w:ascii="宋体" w:hAnsi="宋体" w:cs="宋体"/>
          <w:szCs w:val="21"/>
        </w:rPr>
        <w:t>同一课程目标的评价，取定性评价和定量评价的平均值，作为最终评价结果。</w:t>
      </w:r>
    </w:p>
    <w:p>
      <w:pPr>
        <w:spacing w:line="360" w:lineRule="auto"/>
        <w:ind w:firstLine="420" w:firstLineChars="200"/>
        <w:rPr>
          <w:position w:val="-10"/>
          <w:szCs w:val="22"/>
        </w:rPr>
      </w:pPr>
      <w:r>
        <w:rPr>
          <w:rFonts w:hint="eastAsia"/>
          <w:position w:val="-10"/>
          <w:szCs w:val="22"/>
        </w:rPr>
        <w:t>课程目标达成度大于等于0.71为一级达成，大于等于0.65为二级达成。</w:t>
      </w:r>
    </w:p>
    <w:p>
      <w:pPr>
        <w:widowControl/>
        <w:jc w:val="left"/>
        <w:rPr>
          <w:rFonts w:eastAsia="黑体"/>
          <w:szCs w:val="24"/>
        </w:rPr>
      </w:pPr>
    </w:p>
    <w:p>
      <w:pPr>
        <w:tabs>
          <w:tab w:val="left" w:pos="420"/>
        </w:tabs>
        <w:adjustRightInd w:val="0"/>
        <w:snapToGrid w:val="0"/>
        <w:spacing w:line="360" w:lineRule="auto"/>
        <w:ind w:left="420" w:hanging="420"/>
        <w:rPr>
          <w:rFonts w:eastAsia="黑体"/>
          <w:szCs w:val="24"/>
        </w:rPr>
      </w:pPr>
      <w:r>
        <w:rPr>
          <w:rFonts w:hint="eastAsia" w:eastAsia="黑体"/>
          <w:szCs w:val="24"/>
        </w:rPr>
        <w:t>十一、各环节评价标准</w:t>
      </w:r>
    </w:p>
    <w:p>
      <w:pPr>
        <w:spacing w:line="360" w:lineRule="auto"/>
        <w:ind w:firstLine="420" w:firstLineChars="200"/>
        <w:rPr>
          <w:szCs w:val="21"/>
        </w:rPr>
      </w:pPr>
      <w:r>
        <w:rPr>
          <w:rFonts w:hint="eastAsia"/>
          <w:szCs w:val="21"/>
        </w:rPr>
        <w:t>本课程允许教师在各评价环节根据具体情况采取多样化、个性化的考核手段，其评价标准应当在《</w:t>
      </w:r>
      <w:r>
        <w:rPr>
          <w:rFonts w:hint="eastAsia" w:ascii="宋体" w:hAnsi="宋体"/>
          <w:szCs w:val="21"/>
        </w:rPr>
        <w:t>SIE-CT-01：</w:t>
      </w:r>
      <w:r>
        <w:rPr>
          <w:rFonts w:hint="eastAsia"/>
          <w:szCs w:val="21"/>
        </w:rPr>
        <w:t>授课计划》中明确并向学生公布，教学过程中的考核评价应当严格按照标准完成。</w:t>
      </w:r>
    </w:p>
    <w:p>
      <w:pPr>
        <w:tabs>
          <w:tab w:val="left" w:pos="420"/>
        </w:tabs>
        <w:adjustRightInd w:val="0"/>
        <w:snapToGrid w:val="0"/>
        <w:spacing w:line="360" w:lineRule="auto"/>
        <w:ind w:left="420" w:hanging="420"/>
        <w:rPr>
          <w:color w:val="0000FF"/>
        </w:rPr>
      </w:pPr>
    </w:p>
    <w:p>
      <w:pPr>
        <w:tabs>
          <w:tab w:val="left" w:pos="420"/>
        </w:tabs>
        <w:adjustRightInd w:val="0"/>
        <w:snapToGrid w:val="0"/>
        <w:spacing w:line="360" w:lineRule="auto"/>
        <w:ind w:left="420" w:hanging="420"/>
        <w:rPr>
          <w:rFonts w:eastAsia="黑体"/>
          <w:szCs w:val="24"/>
        </w:rPr>
      </w:pPr>
      <w:r>
        <w:rPr>
          <w:rFonts w:hint="eastAsia" w:eastAsia="黑体"/>
          <w:szCs w:val="24"/>
        </w:rPr>
        <w:t>十二、课程目标达成评价结果用于持续改进</w:t>
      </w:r>
    </w:p>
    <w:p>
      <w:pPr>
        <w:spacing w:line="360" w:lineRule="auto"/>
        <w:ind w:firstLine="420" w:firstLineChars="200"/>
        <w:rPr>
          <w:szCs w:val="21"/>
        </w:rPr>
      </w:pPr>
      <w:r>
        <w:rPr>
          <w:rFonts w:hint="eastAsia"/>
          <w:szCs w:val="21"/>
        </w:rPr>
        <w:t>课程目标达成评价结果将用于后续教学过程的持续改进。</w:t>
      </w:r>
    </w:p>
    <w:p>
      <w:pPr>
        <w:spacing w:line="360" w:lineRule="auto"/>
        <w:ind w:firstLine="420" w:firstLineChars="200"/>
        <w:rPr>
          <w:szCs w:val="21"/>
        </w:rPr>
      </w:pPr>
      <w:r>
        <w:rPr>
          <w:rFonts w:hint="eastAsia"/>
          <w:szCs w:val="21"/>
        </w:rPr>
        <w:t>针对课程目标达成评价中发现的问题与不足，重点是达成值相对较低的项，在本次授课总结中应由授课教师分析具体原因，并给出改进建议。后续任课教师应当针对以前的问题和建议，在授课计划中做好落实改进计划，并在授课过程中予以落实。</w:t>
      </w:r>
      <w:bookmarkEnd w:id="18"/>
    </w:p>
    <w:p>
      <w:pPr>
        <w:pStyle w:val="18"/>
        <w:spacing w:before="240" w:after="360"/>
        <w:rPr>
          <w:rFonts w:ascii="Times New Roman" w:hAnsi="Times New Roman" w:cs="Times New Roman"/>
        </w:rPr>
      </w:pPr>
      <w:bookmarkStart w:id="19" w:name="_Toc22429"/>
      <w:r>
        <w:rPr>
          <w:rFonts w:ascii="Times New Roman" w:hAnsi="Times New Roman" w:cs="Times New Roman"/>
        </w:rPr>
        <w:t>《MATLAB应用基础》教学大纲</w:t>
      </w:r>
      <w:bookmarkEnd w:id="19"/>
    </w:p>
    <w:p>
      <w:pPr>
        <w:adjustRightInd w:val="0"/>
        <w:snapToGrid w:val="0"/>
        <w:spacing w:line="360" w:lineRule="auto"/>
        <w:rPr>
          <w:rFonts w:eastAsia="黑体"/>
          <w:szCs w:val="21"/>
        </w:rPr>
      </w:pPr>
      <w:r>
        <w:rPr>
          <w:rFonts w:eastAsia="黑体"/>
          <w:szCs w:val="21"/>
        </w:rPr>
        <w:t>课程编号：</w:t>
      </w:r>
      <w:r>
        <w:rPr>
          <w:bCs/>
          <w:kern w:val="0"/>
        </w:rPr>
        <w:t xml:space="preserve">Y06060021          </w:t>
      </w:r>
      <w:r>
        <w:rPr>
          <w:rFonts w:eastAsia="黑体"/>
          <w:szCs w:val="21"/>
        </w:rPr>
        <w:tab/>
      </w:r>
    </w:p>
    <w:p>
      <w:pPr>
        <w:adjustRightInd w:val="0"/>
        <w:snapToGrid w:val="0"/>
        <w:spacing w:line="360" w:lineRule="auto"/>
        <w:rPr>
          <w:rFonts w:eastAsia="黑体"/>
          <w:szCs w:val="21"/>
        </w:rPr>
      </w:pPr>
      <w:r>
        <w:rPr>
          <w:rFonts w:eastAsia="黑体"/>
          <w:szCs w:val="21"/>
        </w:rPr>
        <w:t>课程名称：</w:t>
      </w:r>
      <w:r>
        <w:rPr>
          <w:szCs w:val="21"/>
        </w:rPr>
        <w:t>MATLAB应用基础</w:t>
      </w:r>
      <w:r>
        <w:rPr>
          <w:rFonts w:eastAsia="黑体"/>
          <w:szCs w:val="21"/>
        </w:rPr>
        <w:t>开课单位：</w:t>
      </w:r>
      <w:r>
        <w:rPr>
          <w:szCs w:val="21"/>
        </w:rPr>
        <w:t>仪器与电子学院</w:t>
      </w:r>
    </w:p>
    <w:p>
      <w:pPr>
        <w:adjustRightInd w:val="0"/>
        <w:snapToGrid w:val="0"/>
        <w:spacing w:line="360" w:lineRule="auto"/>
        <w:rPr>
          <w:rFonts w:eastAsia="黑体"/>
          <w:szCs w:val="21"/>
        </w:rPr>
      </w:pPr>
      <w:r>
        <w:rPr>
          <w:rFonts w:eastAsia="黑体"/>
          <w:szCs w:val="21"/>
        </w:rPr>
        <w:t>总学时：</w:t>
      </w:r>
      <w:r>
        <w:rPr>
          <w:bCs/>
          <w:kern w:val="0"/>
        </w:rPr>
        <w:t xml:space="preserve">32 (实验16学时)              </w:t>
      </w:r>
      <w:r>
        <w:rPr>
          <w:rFonts w:eastAsia="黑体"/>
          <w:szCs w:val="21"/>
        </w:rPr>
        <w:t>学分：</w:t>
      </w:r>
      <w:r>
        <w:rPr>
          <w:bCs/>
          <w:kern w:val="0"/>
        </w:rPr>
        <w:t>2</w:t>
      </w:r>
    </w:p>
    <w:p>
      <w:pPr>
        <w:adjustRightInd w:val="0"/>
        <w:snapToGrid w:val="0"/>
        <w:spacing w:line="360" w:lineRule="auto"/>
        <w:rPr>
          <w:rFonts w:eastAsia="黑体"/>
          <w:szCs w:val="21"/>
        </w:rPr>
      </w:pPr>
      <w:r>
        <w:rPr>
          <w:rFonts w:eastAsia="黑体"/>
          <w:szCs w:val="21"/>
        </w:rPr>
        <w:t>适用专业：</w:t>
      </w:r>
      <w:r>
        <w:rPr>
          <w:szCs w:val="21"/>
        </w:rPr>
        <w:t>测控技术与仪器专业</w:t>
      </w:r>
      <w:r>
        <w:rPr>
          <w:rFonts w:hint="eastAsia"/>
          <w:szCs w:val="21"/>
        </w:rPr>
        <w:t>、</w:t>
      </w:r>
      <w:r>
        <w:rPr>
          <w:szCs w:val="21"/>
        </w:rPr>
        <w:t>电子科学与技术专业、</w:t>
      </w:r>
      <w:r>
        <w:rPr>
          <w:rFonts w:hint="eastAsia"/>
          <w:szCs w:val="21"/>
          <w:lang w:eastAsia="zh-CN"/>
        </w:rPr>
        <w:t>智能感知工程</w:t>
      </w:r>
      <w:r>
        <w:rPr>
          <w:szCs w:val="21"/>
        </w:rPr>
        <w:t>专业</w:t>
      </w:r>
    </w:p>
    <w:p>
      <w:pPr>
        <w:adjustRightInd w:val="0"/>
        <w:snapToGrid w:val="0"/>
        <w:spacing w:line="360" w:lineRule="auto"/>
        <w:rPr>
          <w:szCs w:val="21"/>
        </w:rPr>
      </w:pPr>
      <w:r>
        <w:rPr>
          <w:rFonts w:eastAsia="黑体"/>
          <w:szCs w:val="21"/>
        </w:rPr>
        <w:t>先修课程：</w:t>
      </w:r>
      <w:r>
        <w:rPr>
          <w:szCs w:val="21"/>
        </w:rPr>
        <w:t>高等数学</w:t>
      </w:r>
      <w:r>
        <w:rPr>
          <w:rFonts w:hint="eastAsia"/>
          <w:szCs w:val="21"/>
        </w:rPr>
        <w:t>、</w:t>
      </w:r>
      <w:r>
        <w:rPr>
          <w:szCs w:val="21"/>
        </w:rPr>
        <w:t>线性代数</w:t>
      </w:r>
      <w:r>
        <w:rPr>
          <w:rFonts w:hint="eastAsia"/>
          <w:szCs w:val="21"/>
        </w:rPr>
        <w:t>、</w:t>
      </w:r>
      <w:r>
        <w:rPr>
          <w:szCs w:val="21"/>
        </w:rPr>
        <w:t>信号与系统</w:t>
      </w:r>
      <w:r>
        <w:rPr>
          <w:rFonts w:hint="eastAsia"/>
          <w:szCs w:val="21"/>
        </w:rPr>
        <w:t>、</w:t>
      </w:r>
      <w:r>
        <w:rPr>
          <w:szCs w:val="21"/>
        </w:rPr>
        <w:t>自动控制基础</w:t>
      </w:r>
    </w:p>
    <w:p>
      <w:pPr>
        <w:adjustRightInd w:val="0"/>
        <w:snapToGrid w:val="0"/>
        <w:spacing w:line="360" w:lineRule="auto"/>
        <w:rPr>
          <w:rFonts w:eastAsia="黑体"/>
          <w:szCs w:val="21"/>
        </w:rPr>
      </w:pPr>
      <w:r>
        <w:rPr>
          <w:rFonts w:eastAsia="黑体"/>
          <w:szCs w:val="21"/>
        </w:rPr>
        <w:t>大纲撰写人：</w:t>
      </w:r>
      <w:r>
        <w:rPr>
          <w:szCs w:val="21"/>
        </w:rPr>
        <w:t>邵星灵</w:t>
      </w:r>
    </w:p>
    <w:p>
      <w:pPr>
        <w:adjustRightInd w:val="0"/>
        <w:snapToGrid w:val="0"/>
        <w:spacing w:line="360" w:lineRule="auto"/>
        <w:rPr>
          <w:szCs w:val="21"/>
        </w:rPr>
      </w:pPr>
      <w:r>
        <w:rPr>
          <w:rFonts w:eastAsia="黑体"/>
          <w:szCs w:val="21"/>
        </w:rPr>
        <w:t>大纲编写（修订）时间：</w:t>
      </w:r>
      <w:r>
        <w:rPr>
          <w:bCs/>
          <w:kern w:val="0"/>
        </w:rPr>
        <w:t>2019年5月</w:t>
      </w:r>
    </w:p>
    <w:p>
      <w:pPr>
        <w:rPr>
          <w:b/>
          <w:szCs w:val="21"/>
        </w:rPr>
      </w:pPr>
    </w:p>
    <w:p>
      <w:pPr>
        <w:numPr>
          <w:ilvl w:val="0"/>
          <w:numId w:val="7"/>
        </w:numPr>
        <w:adjustRightInd w:val="0"/>
        <w:snapToGrid w:val="0"/>
        <w:spacing w:line="360" w:lineRule="auto"/>
        <w:rPr>
          <w:rFonts w:eastAsia="黑体"/>
          <w:szCs w:val="21"/>
        </w:rPr>
      </w:pPr>
      <w:r>
        <w:rPr>
          <w:rFonts w:eastAsia="黑体"/>
          <w:szCs w:val="21"/>
        </w:rPr>
        <w:t>课程在教学计划中的地位、作用</w:t>
      </w:r>
    </w:p>
    <w:p>
      <w:pPr>
        <w:spacing w:line="360" w:lineRule="auto"/>
        <w:ind w:firstLine="420" w:firstLineChars="200"/>
        <w:rPr>
          <w:szCs w:val="21"/>
        </w:rPr>
      </w:pPr>
      <w:r>
        <w:rPr>
          <w:szCs w:val="21"/>
        </w:rPr>
        <w:t>本课程</w:t>
      </w:r>
      <w:r>
        <w:rPr>
          <w:rFonts w:hint="eastAsia"/>
          <w:szCs w:val="21"/>
        </w:rPr>
        <w:t>是</w:t>
      </w:r>
      <w:r>
        <w:rPr>
          <w:szCs w:val="21"/>
        </w:rPr>
        <w:t>一门属于计算机辅助设计类的专业课程，是测控技术与仪器专业</w:t>
      </w:r>
      <w:r>
        <w:rPr>
          <w:rFonts w:hint="eastAsia"/>
          <w:szCs w:val="21"/>
        </w:rPr>
        <w:t>、</w:t>
      </w:r>
      <w:r>
        <w:rPr>
          <w:szCs w:val="21"/>
        </w:rPr>
        <w:t>电子科学与技术专业、</w:t>
      </w:r>
      <w:r>
        <w:rPr>
          <w:rFonts w:hint="eastAsia"/>
          <w:szCs w:val="21"/>
          <w:lang w:eastAsia="zh-CN"/>
        </w:rPr>
        <w:t>智能感知工程</w:t>
      </w:r>
      <w:r>
        <w:rPr>
          <w:szCs w:val="21"/>
        </w:rPr>
        <w:t>专业的选修课程</w:t>
      </w:r>
      <w:r>
        <w:rPr>
          <w:rFonts w:hint="eastAsia"/>
          <w:szCs w:val="21"/>
        </w:rPr>
        <w:t>。M</w:t>
      </w:r>
      <w:r>
        <w:rPr>
          <w:szCs w:val="21"/>
        </w:rPr>
        <w:t>ATLAB语言是</w:t>
      </w:r>
      <w:r>
        <w:rPr>
          <w:rFonts w:hint="eastAsia"/>
          <w:szCs w:val="21"/>
        </w:rPr>
        <w:t>当前</w:t>
      </w:r>
      <w:r>
        <w:rPr>
          <w:szCs w:val="21"/>
        </w:rPr>
        <w:t>科学研究中首选的计算机语言，</w:t>
      </w:r>
      <w:r>
        <w:rPr>
          <w:rFonts w:hint="eastAsia"/>
          <w:szCs w:val="21"/>
        </w:rPr>
        <w:t>是</w:t>
      </w:r>
      <w:r>
        <w:rPr>
          <w:szCs w:val="21"/>
        </w:rPr>
        <w:t>硬件工程师和软件工程师必须掌握的有效工具，是模拟先进测控系统</w:t>
      </w:r>
      <w:r>
        <w:rPr>
          <w:rFonts w:hint="eastAsia"/>
          <w:szCs w:val="21"/>
        </w:rPr>
        <w:t>和</w:t>
      </w:r>
      <w:r>
        <w:rPr>
          <w:szCs w:val="21"/>
        </w:rPr>
        <w:t>现代电子电路的</w:t>
      </w:r>
      <w:r>
        <w:rPr>
          <w:rFonts w:hint="eastAsia"/>
          <w:szCs w:val="21"/>
        </w:rPr>
        <w:t>重要仿真与分析平台</w:t>
      </w:r>
      <w:r>
        <w:rPr>
          <w:szCs w:val="21"/>
        </w:rPr>
        <w:t>。该课程的作用是提高学生应用仿真分析方法进行</w:t>
      </w:r>
      <w:r>
        <w:rPr>
          <w:rFonts w:hint="eastAsia"/>
          <w:szCs w:val="21"/>
        </w:rPr>
        <w:t>测控</w:t>
      </w:r>
      <w:r>
        <w:rPr>
          <w:szCs w:val="21"/>
        </w:rPr>
        <w:t>与电子电路系统领域</w:t>
      </w:r>
      <w:r>
        <w:rPr>
          <w:rFonts w:hint="eastAsia"/>
          <w:szCs w:val="21"/>
        </w:rPr>
        <w:t>实际</w:t>
      </w:r>
      <w:r>
        <w:rPr>
          <w:szCs w:val="21"/>
        </w:rPr>
        <w:t>问题分析的能力，主要任务是讲授MATLAB基本操作及SIMULINK仿真分析实现与调试方法</w:t>
      </w:r>
      <w:r>
        <w:rPr>
          <w:rFonts w:hint="eastAsia"/>
          <w:szCs w:val="21"/>
        </w:rPr>
        <w:t>。</w:t>
      </w:r>
      <w:r>
        <w:rPr>
          <w:szCs w:val="21"/>
        </w:rPr>
        <w:t>通过该课程的学习使学生能够</w:t>
      </w:r>
      <w:r>
        <w:rPr>
          <w:rFonts w:hint="eastAsia"/>
          <w:szCs w:val="21"/>
        </w:rPr>
        <w:t>掌握现代</w:t>
      </w:r>
      <w:r>
        <w:rPr>
          <w:szCs w:val="21"/>
        </w:rPr>
        <w:t>测控与电子电路系统设计中MATLAB</w:t>
      </w:r>
      <w:r>
        <w:rPr>
          <w:rFonts w:hint="eastAsia"/>
          <w:szCs w:val="21"/>
        </w:rPr>
        <w:t>软件</w:t>
      </w:r>
      <w:r>
        <w:rPr>
          <w:szCs w:val="21"/>
        </w:rPr>
        <w:t>的应用特色</w:t>
      </w:r>
      <w:r>
        <w:rPr>
          <w:rFonts w:hint="eastAsia"/>
          <w:szCs w:val="21"/>
        </w:rPr>
        <w:t>，</w:t>
      </w:r>
      <w:r>
        <w:rPr>
          <w:szCs w:val="21"/>
        </w:rPr>
        <w:t>使学生能够应用MATLAB</w:t>
      </w:r>
      <w:r>
        <w:rPr>
          <w:rFonts w:hint="eastAsia"/>
          <w:szCs w:val="21"/>
        </w:rPr>
        <w:t>语言</w:t>
      </w:r>
      <w:r>
        <w:rPr>
          <w:szCs w:val="21"/>
        </w:rPr>
        <w:t>进行实际工程问题的建模</w:t>
      </w:r>
      <w:r>
        <w:rPr>
          <w:rFonts w:hint="eastAsia"/>
          <w:szCs w:val="21"/>
        </w:rPr>
        <w:t>、</w:t>
      </w:r>
      <w:r>
        <w:rPr>
          <w:szCs w:val="21"/>
        </w:rPr>
        <w:t>求解与分析验证。</w:t>
      </w:r>
    </w:p>
    <w:p>
      <w:pPr>
        <w:spacing w:line="360" w:lineRule="auto"/>
        <w:rPr>
          <w:rFonts w:eastAsia="黑体"/>
          <w:szCs w:val="21"/>
        </w:rPr>
      </w:pPr>
    </w:p>
    <w:p>
      <w:pPr>
        <w:spacing w:line="360" w:lineRule="auto"/>
        <w:rPr>
          <w:rFonts w:eastAsia="黑体"/>
          <w:szCs w:val="21"/>
        </w:rPr>
      </w:pPr>
      <w:r>
        <w:rPr>
          <w:rFonts w:eastAsia="黑体"/>
          <w:szCs w:val="21"/>
        </w:rPr>
        <w:t>二</w:t>
      </w:r>
      <w:r>
        <w:rPr>
          <w:rFonts w:hint="eastAsia" w:eastAsia="黑体"/>
          <w:szCs w:val="21"/>
        </w:rPr>
        <w:t>、</w:t>
      </w:r>
      <w:r>
        <w:rPr>
          <w:rFonts w:eastAsia="黑体"/>
          <w:szCs w:val="21"/>
        </w:rPr>
        <w:t>课程目标</w:t>
      </w:r>
    </w:p>
    <w:p>
      <w:pPr>
        <w:adjustRightInd w:val="0"/>
        <w:snapToGrid w:val="0"/>
        <w:spacing w:line="360" w:lineRule="auto"/>
        <w:jc w:val="left"/>
        <w:rPr>
          <w:rFonts w:eastAsia="黑体"/>
          <w:bCs/>
          <w:szCs w:val="21"/>
        </w:rPr>
      </w:pPr>
      <w:r>
        <w:rPr>
          <w:bCs/>
          <w:szCs w:val="21"/>
        </w:rPr>
        <w:t>测控技术与仪器专业</w:t>
      </w:r>
      <w:r>
        <w:rPr>
          <w:rFonts w:hint="eastAsia"/>
          <w:bCs/>
          <w:szCs w:val="21"/>
        </w:rPr>
        <w:t>：</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4586"/>
        <w:gridCol w:w="331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6" w:type="pct"/>
            <w:vAlign w:val="center"/>
          </w:tcPr>
          <w:p>
            <w:pPr>
              <w:spacing w:line="360" w:lineRule="auto"/>
              <w:jc w:val="center"/>
              <w:rPr>
                <w:sz w:val="18"/>
                <w:szCs w:val="18"/>
              </w:rPr>
            </w:pPr>
            <w:r>
              <w:rPr>
                <w:sz w:val="18"/>
                <w:szCs w:val="18"/>
              </w:rPr>
              <w:t>序号</w:t>
            </w:r>
          </w:p>
        </w:tc>
        <w:tc>
          <w:tcPr>
            <w:tcW w:w="2689" w:type="pct"/>
            <w:vAlign w:val="center"/>
          </w:tcPr>
          <w:p>
            <w:pPr>
              <w:spacing w:line="360" w:lineRule="auto"/>
              <w:jc w:val="center"/>
              <w:rPr>
                <w:sz w:val="18"/>
                <w:szCs w:val="18"/>
              </w:rPr>
            </w:pPr>
            <w:r>
              <w:rPr>
                <w:sz w:val="18"/>
                <w:szCs w:val="18"/>
              </w:rPr>
              <w:t>课程目标</w:t>
            </w:r>
          </w:p>
        </w:tc>
        <w:tc>
          <w:tcPr>
            <w:tcW w:w="1945" w:type="pct"/>
            <w:vAlign w:val="center"/>
          </w:tcPr>
          <w:p>
            <w:pPr>
              <w:spacing w:line="360" w:lineRule="auto"/>
              <w:jc w:val="center"/>
              <w:rPr>
                <w:sz w:val="18"/>
                <w:szCs w:val="18"/>
              </w:rPr>
            </w:pPr>
            <w:r>
              <w:rPr>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6" w:type="pct"/>
            <w:vAlign w:val="center"/>
          </w:tcPr>
          <w:p>
            <w:pPr>
              <w:spacing w:line="360" w:lineRule="auto"/>
              <w:jc w:val="center"/>
              <w:rPr>
                <w:sz w:val="18"/>
                <w:szCs w:val="18"/>
              </w:rPr>
            </w:pPr>
            <w:r>
              <w:rPr>
                <w:sz w:val="18"/>
                <w:szCs w:val="18"/>
              </w:rPr>
              <w:t>1</w:t>
            </w:r>
          </w:p>
        </w:tc>
        <w:tc>
          <w:tcPr>
            <w:tcW w:w="2689" w:type="pct"/>
          </w:tcPr>
          <w:p>
            <w:pPr>
              <w:spacing w:line="360" w:lineRule="auto"/>
              <w:rPr>
                <w:sz w:val="18"/>
                <w:szCs w:val="18"/>
              </w:rPr>
            </w:pPr>
            <w:r>
              <w:rPr>
                <w:rFonts w:hint="eastAsia"/>
                <w:sz w:val="18"/>
                <w:szCs w:val="18"/>
              </w:rPr>
              <w:t>能够根据具体任务需求选择相应的计算机辅助软件工具，能够理解</w:t>
            </w:r>
            <w:r>
              <w:rPr>
                <w:sz w:val="18"/>
                <w:szCs w:val="18"/>
              </w:rPr>
              <w:t>MATLAB仿真分析“程序化”、“框图化”的</w:t>
            </w:r>
            <w:r>
              <w:rPr>
                <w:rFonts w:hint="eastAsia"/>
                <w:sz w:val="18"/>
                <w:szCs w:val="18"/>
              </w:rPr>
              <w:t>设计</w:t>
            </w:r>
            <w:r>
              <w:rPr>
                <w:sz w:val="18"/>
                <w:szCs w:val="18"/>
              </w:rPr>
              <w:t>理念，能够利用MATLAB语言及相应工具箱，</w:t>
            </w:r>
            <w:r>
              <w:rPr>
                <w:rFonts w:hint="eastAsia"/>
                <w:sz w:val="18"/>
                <w:szCs w:val="18"/>
              </w:rPr>
              <w:t>开发</w:t>
            </w:r>
            <w:r>
              <w:rPr>
                <w:sz w:val="18"/>
                <w:szCs w:val="18"/>
              </w:rPr>
              <w:t>具有一定复杂度的</w:t>
            </w:r>
            <w:r>
              <w:rPr>
                <w:rFonts w:hint="eastAsia"/>
                <w:sz w:val="18"/>
                <w:szCs w:val="18"/>
              </w:rPr>
              <w:t>软件</w:t>
            </w:r>
            <w:r>
              <w:rPr>
                <w:sz w:val="18"/>
                <w:szCs w:val="18"/>
              </w:rPr>
              <w:t>代码</w:t>
            </w:r>
            <w:r>
              <w:rPr>
                <w:rFonts w:hint="eastAsia"/>
                <w:sz w:val="18"/>
                <w:szCs w:val="18"/>
              </w:rPr>
              <w:t>，</w:t>
            </w:r>
            <w:r>
              <w:rPr>
                <w:sz w:val="18"/>
                <w:szCs w:val="18"/>
              </w:rPr>
              <w:t>并能够编译</w:t>
            </w:r>
            <w:r>
              <w:rPr>
                <w:rFonts w:hint="eastAsia"/>
                <w:sz w:val="18"/>
                <w:szCs w:val="18"/>
              </w:rPr>
              <w:t>、</w:t>
            </w:r>
            <w:r>
              <w:rPr>
                <w:sz w:val="18"/>
                <w:szCs w:val="18"/>
              </w:rPr>
              <w:t>调试与验证</w:t>
            </w:r>
            <w:r>
              <w:rPr>
                <w:rFonts w:hint="eastAsia"/>
                <w:sz w:val="18"/>
                <w:szCs w:val="18"/>
              </w:rPr>
              <w:t>；</w:t>
            </w:r>
          </w:p>
        </w:tc>
        <w:tc>
          <w:tcPr>
            <w:tcW w:w="1945" w:type="pct"/>
          </w:tcPr>
          <w:p>
            <w:pPr>
              <w:spacing w:line="360" w:lineRule="auto"/>
              <w:rPr>
                <w:sz w:val="18"/>
                <w:szCs w:val="18"/>
              </w:rPr>
            </w:pPr>
            <w:r>
              <w:rPr>
                <w:b/>
                <w:sz w:val="18"/>
                <w:szCs w:val="18"/>
              </w:rPr>
              <w:t>指标点5-1 工具选择与开发：</w:t>
            </w:r>
            <w:r>
              <w:rPr>
                <w:rFonts w:hint="eastAsia"/>
                <w:sz w:val="18"/>
                <w:szCs w:val="18"/>
              </w:rPr>
              <w:t>了解当前主流工具的优点与不足，能针对复杂工程问题特性与需求做出对比选择，并能够开发一定的辅助工具用于解决问题；</w:t>
            </w:r>
            <w:r>
              <w:rPr>
                <w:sz w:val="18"/>
                <w:szCs w:val="18"/>
              </w:rPr>
              <w:drawing>
                <wp:anchor distT="0" distB="0" distL="114300" distR="114300" simplePos="0" relativeHeight="251671552" behindDoc="0" locked="0" layoutInCell="1" allowOverlap="1">
                  <wp:simplePos x="0" y="0"/>
                  <wp:positionH relativeFrom="character">
                    <wp:posOffset>2464435</wp:posOffset>
                  </wp:positionH>
                  <wp:positionV relativeFrom="line">
                    <wp:posOffset>169545</wp:posOffset>
                  </wp:positionV>
                  <wp:extent cx="18415" cy="1905"/>
                  <wp:effectExtent l="19050" t="19050" r="19685" b="17145"/>
                  <wp:wrapNone/>
                  <wp:docPr id="335" name="图片 335"/>
                  <wp:cNvGraphicFramePr/>
                  <a:graphic xmlns:a="http://schemas.openxmlformats.org/drawingml/2006/main">
                    <a:graphicData uri="http://schemas.openxmlformats.org/drawingml/2006/picture">
                      <pic:pic xmlns:pic="http://schemas.openxmlformats.org/drawingml/2006/picture">
                        <pic:nvPicPr>
                          <pic:cNvPr id="335" name="图片 335"/>
                          <pic:cNvPicPr preferRelativeResize="0">
                            <a:picLocks noChangeArrowheads="1"/>
                          </pic:cNvPicPr>
                        </pic:nvPicPr>
                        <pic:blipFill>
                          <a:blip r:embed="rId210">
                            <a:extLst>
                              <a:ext uri="{28A0092B-C50C-407E-A947-70E740481C1C}">
                                <a14:useLocalDpi xmlns:a14="http://schemas.microsoft.com/office/drawing/2010/main" val="0"/>
                              </a:ext>
                            </a:extLst>
                          </a:blip>
                          <a:srcRect/>
                          <a:stretch>
                            <a:fillRect/>
                          </a:stretch>
                        </pic:blipFill>
                        <pic:spPr>
                          <a:xfrm>
                            <a:off x="0" y="0"/>
                            <a:ext cx="18415" cy="1905"/>
                          </a:xfrm>
                          <a:prstGeom prst="rect">
                            <a:avLst/>
                          </a:prstGeom>
                          <a:solidFill>
                            <a:srgbClr val="FFFFFF"/>
                          </a:solidFill>
                          <a:ln w="9525">
                            <a:solidFill>
                              <a:srgbClr val="000000"/>
                            </a:solidFill>
                            <a:round/>
                          </a:ln>
                        </pic:spPr>
                      </pic:pic>
                    </a:graphicData>
                  </a:graphic>
                </wp:anchor>
              </w:drawing>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6" w:type="pct"/>
            <w:vAlign w:val="center"/>
          </w:tcPr>
          <w:p>
            <w:pPr>
              <w:spacing w:line="360" w:lineRule="auto"/>
              <w:jc w:val="center"/>
              <w:rPr>
                <w:sz w:val="18"/>
                <w:szCs w:val="18"/>
              </w:rPr>
            </w:pPr>
            <w:r>
              <w:rPr>
                <w:sz w:val="18"/>
                <w:szCs w:val="18"/>
              </w:rPr>
              <w:t>2</w:t>
            </w:r>
          </w:p>
        </w:tc>
        <w:tc>
          <w:tcPr>
            <w:tcW w:w="2689" w:type="pct"/>
          </w:tcPr>
          <w:p>
            <w:pPr>
              <w:spacing w:line="360" w:lineRule="auto"/>
              <w:rPr>
                <w:sz w:val="18"/>
                <w:szCs w:val="18"/>
              </w:rPr>
            </w:pPr>
            <w:r>
              <w:rPr>
                <w:sz w:val="18"/>
                <w:szCs w:val="18"/>
              </w:rPr>
              <w:t>能够根据给定的</w:t>
            </w:r>
            <w:r>
              <w:rPr>
                <w:sz w:val="18"/>
                <w:szCs w:val="18"/>
              </w:rPr>
              <w:drawing>
                <wp:anchor distT="0" distB="0" distL="114300" distR="114300" simplePos="0" relativeHeight="251678720" behindDoc="0" locked="0" layoutInCell="1" allowOverlap="1">
                  <wp:simplePos x="0" y="0"/>
                  <wp:positionH relativeFrom="character">
                    <wp:posOffset>565150</wp:posOffset>
                  </wp:positionH>
                  <wp:positionV relativeFrom="line">
                    <wp:posOffset>955675</wp:posOffset>
                  </wp:positionV>
                  <wp:extent cx="1905" cy="17780"/>
                  <wp:effectExtent l="19050" t="19050" r="17145" b="20320"/>
                  <wp:wrapNone/>
                  <wp:docPr id="334" name="图片 334"/>
                  <wp:cNvGraphicFramePr/>
                  <a:graphic xmlns:a="http://schemas.openxmlformats.org/drawingml/2006/main">
                    <a:graphicData uri="http://schemas.openxmlformats.org/drawingml/2006/picture">
                      <pic:pic xmlns:pic="http://schemas.openxmlformats.org/drawingml/2006/picture">
                        <pic:nvPicPr>
                          <pic:cNvPr id="334" name="图片 334"/>
                          <pic:cNvPicPr preferRelativeResize="0">
                            <a:picLocks noChangeArrowheads="1"/>
                          </pic:cNvPicPr>
                        </pic:nvPicPr>
                        <pic:blipFill>
                          <a:blip r:embed="rId211">
                            <a:extLst>
                              <a:ext uri="{28A0092B-C50C-407E-A947-70E740481C1C}">
                                <a14:useLocalDpi xmlns:a14="http://schemas.microsoft.com/office/drawing/2010/main" val="0"/>
                              </a:ext>
                            </a:extLst>
                          </a:blip>
                          <a:srcRect/>
                          <a:stretch>
                            <a:fillRect/>
                          </a:stretch>
                        </pic:blipFill>
                        <pic:spPr>
                          <a:xfrm>
                            <a:off x="0" y="0"/>
                            <a:ext cx="1905" cy="17780"/>
                          </a:xfrm>
                          <a:prstGeom prst="rect">
                            <a:avLst/>
                          </a:prstGeom>
                          <a:solidFill>
                            <a:srgbClr val="FFFFFF"/>
                          </a:solidFill>
                          <a:ln w="9525">
                            <a:solidFill>
                              <a:srgbClr val="000000"/>
                            </a:solidFill>
                            <a:round/>
                          </a:ln>
                        </pic:spPr>
                      </pic:pic>
                    </a:graphicData>
                  </a:graphic>
                </wp:anchor>
              </w:drawing>
            </w:r>
            <w:r>
              <w:rPr>
                <w:sz w:val="18"/>
                <w:szCs w:val="18"/>
              </w:rPr>
              <w:t>工程实际问题技术特征，</w:t>
            </w:r>
            <w:r>
              <w:rPr>
                <w:rFonts w:hint="eastAsia"/>
                <w:sz w:val="18"/>
                <w:szCs w:val="18"/>
              </w:rPr>
              <w:t>使用</w:t>
            </w:r>
            <w:r>
              <w:rPr>
                <w:sz w:val="18"/>
                <w:szCs w:val="18"/>
              </w:rPr>
              <w:t>Simulink模型库或自定义函数模块，搭建Simulink仿真验证平台，开展结果验证与仿真分析工作，</w:t>
            </w:r>
            <w:r>
              <w:rPr>
                <w:rFonts w:hint="eastAsia"/>
                <w:sz w:val="18"/>
                <w:szCs w:val="18"/>
              </w:rPr>
              <w:t>能够</w:t>
            </w:r>
            <w:r>
              <w:rPr>
                <w:sz w:val="18"/>
                <w:szCs w:val="18"/>
              </w:rPr>
              <w:t>优化和</w:t>
            </w:r>
            <w:r>
              <w:rPr>
                <w:rFonts w:hint="eastAsia"/>
                <w:sz w:val="18"/>
                <w:szCs w:val="18"/>
              </w:rPr>
              <w:t>改进</w:t>
            </w:r>
            <w:r>
              <w:rPr>
                <w:sz w:val="18"/>
                <w:szCs w:val="18"/>
              </w:rPr>
              <w:t>Simulink程序</w:t>
            </w:r>
            <w:r>
              <w:rPr>
                <w:rFonts w:hint="eastAsia"/>
                <w:sz w:val="18"/>
                <w:szCs w:val="18"/>
              </w:rPr>
              <w:t>。</w:t>
            </w:r>
          </w:p>
        </w:tc>
        <w:tc>
          <w:tcPr>
            <w:tcW w:w="1945" w:type="pct"/>
          </w:tcPr>
          <w:p>
            <w:pPr>
              <w:spacing w:line="360" w:lineRule="auto"/>
              <w:rPr>
                <w:sz w:val="18"/>
                <w:szCs w:val="18"/>
              </w:rPr>
            </w:pPr>
            <w:r>
              <w:rPr>
                <w:b/>
                <w:sz w:val="18"/>
                <w:szCs w:val="18"/>
              </w:rPr>
              <w:t>指标点5-2 专业工具</w:t>
            </w:r>
            <w:r>
              <w:rPr>
                <w:sz w:val="18"/>
                <w:szCs w:val="18"/>
              </w:rPr>
              <w:drawing>
                <wp:anchor distT="0" distB="0" distL="114300" distR="114300" simplePos="0" relativeHeight="251677696" behindDoc="0" locked="0" layoutInCell="1" allowOverlap="1">
                  <wp:simplePos x="0" y="0"/>
                  <wp:positionH relativeFrom="character">
                    <wp:posOffset>716915</wp:posOffset>
                  </wp:positionH>
                  <wp:positionV relativeFrom="line">
                    <wp:posOffset>402590</wp:posOffset>
                  </wp:positionV>
                  <wp:extent cx="3810" cy="18415"/>
                  <wp:effectExtent l="19050" t="19050" r="15240" b="19685"/>
                  <wp:wrapNone/>
                  <wp:docPr id="333" name="图片 333"/>
                  <wp:cNvGraphicFramePr/>
                  <a:graphic xmlns:a="http://schemas.openxmlformats.org/drawingml/2006/main">
                    <a:graphicData uri="http://schemas.openxmlformats.org/drawingml/2006/picture">
                      <pic:pic xmlns:pic="http://schemas.openxmlformats.org/drawingml/2006/picture">
                        <pic:nvPicPr>
                          <pic:cNvPr id="333" name="图片 333"/>
                          <pic:cNvPicPr preferRelativeResize="0">
                            <a:picLocks noChangeArrowheads="1"/>
                          </pic:cNvPicPr>
                        </pic:nvPicPr>
                        <pic:blipFill>
                          <a:blip r:embed="rId212">
                            <a:extLst>
                              <a:ext uri="{28A0092B-C50C-407E-A947-70E740481C1C}">
                                <a14:useLocalDpi xmlns:a14="http://schemas.microsoft.com/office/drawing/2010/main" val="0"/>
                              </a:ext>
                            </a:extLst>
                          </a:blip>
                          <a:srcRect/>
                          <a:stretch>
                            <a:fillRect/>
                          </a:stretch>
                        </pic:blipFill>
                        <pic:spPr>
                          <a:xfrm>
                            <a:off x="0" y="0"/>
                            <a:ext cx="3810" cy="18415"/>
                          </a:xfrm>
                          <a:prstGeom prst="rect">
                            <a:avLst/>
                          </a:prstGeom>
                          <a:solidFill>
                            <a:srgbClr val="FFFFFF"/>
                          </a:solidFill>
                          <a:ln w="9525">
                            <a:solidFill>
                              <a:srgbClr val="000000"/>
                            </a:solidFill>
                            <a:round/>
                          </a:ln>
                        </pic:spPr>
                      </pic:pic>
                    </a:graphicData>
                  </a:graphic>
                </wp:anchor>
              </w:drawing>
            </w:r>
            <w:r>
              <w:rPr>
                <w:b/>
                <w:sz w:val="18"/>
                <w:szCs w:val="18"/>
              </w:rPr>
              <w:t>使用：</w:t>
            </w:r>
            <w:r>
              <w:rPr>
                <w:rFonts w:hint="eastAsia"/>
                <w:sz w:val="18"/>
                <w:szCs w:val="18"/>
              </w:rPr>
              <w:t>能够针对测控电路或系统建立恰当的模型，并针对涉及到的环节和过程使用专门的EDA工具进行设计和仿真，确定功能和工艺参数。</w:t>
            </w:r>
          </w:p>
        </w:tc>
      </w:tr>
    </w:tbl>
    <w:p>
      <w:pPr>
        <w:spacing w:line="360" w:lineRule="auto"/>
        <w:rPr>
          <w:szCs w:val="21"/>
        </w:rPr>
      </w:pPr>
    </w:p>
    <w:p>
      <w:pPr>
        <w:adjustRightInd w:val="0"/>
        <w:snapToGrid w:val="0"/>
        <w:spacing w:line="360" w:lineRule="auto"/>
        <w:jc w:val="left"/>
        <w:rPr>
          <w:bCs/>
          <w:szCs w:val="21"/>
        </w:rPr>
      </w:pPr>
      <w:r>
        <w:rPr>
          <w:bCs/>
          <w:szCs w:val="21"/>
        </w:rPr>
        <w:t>电子科学与技术专业</w:t>
      </w:r>
      <w:r>
        <w:rPr>
          <w:rFonts w:hint="eastAsia"/>
          <w:bCs/>
          <w:szCs w:val="21"/>
        </w:rPr>
        <w:t>：</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4728"/>
        <w:gridCol w:w="317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6" w:type="pct"/>
            <w:vAlign w:val="center"/>
          </w:tcPr>
          <w:p>
            <w:pPr>
              <w:spacing w:line="360" w:lineRule="auto"/>
              <w:jc w:val="center"/>
              <w:rPr>
                <w:sz w:val="18"/>
                <w:szCs w:val="18"/>
              </w:rPr>
            </w:pPr>
            <w:r>
              <w:rPr>
                <w:sz w:val="18"/>
                <w:szCs w:val="18"/>
              </w:rPr>
              <w:t>序号</w:t>
            </w:r>
          </w:p>
        </w:tc>
        <w:tc>
          <w:tcPr>
            <w:tcW w:w="2772" w:type="pct"/>
            <w:vAlign w:val="center"/>
          </w:tcPr>
          <w:p>
            <w:pPr>
              <w:spacing w:line="360" w:lineRule="auto"/>
              <w:jc w:val="center"/>
              <w:rPr>
                <w:sz w:val="18"/>
                <w:szCs w:val="18"/>
              </w:rPr>
            </w:pPr>
            <w:r>
              <w:rPr>
                <w:sz w:val="18"/>
                <w:szCs w:val="18"/>
              </w:rPr>
              <w:t>课程目标</w:t>
            </w:r>
          </w:p>
        </w:tc>
        <w:tc>
          <w:tcPr>
            <w:tcW w:w="1862" w:type="pct"/>
            <w:vAlign w:val="center"/>
          </w:tcPr>
          <w:p>
            <w:pPr>
              <w:spacing w:line="360" w:lineRule="auto"/>
              <w:jc w:val="center"/>
              <w:rPr>
                <w:sz w:val="18"/>
                <w:szCs w:val="18"/>
              </w:rPr>
            </w:pPr>
            <w:r>
              <w:rPr>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6" w:type="pct"/>
            <w:vAlign w:val="center"/>
          </w:tcPr>
          <w:p>
            <w:pPr>
              <w:spacing w:line="360" w:lineRule="auto"/>
              <w:jc w:val="center"/>
              <w:rPr>
                <w:sz w:val="18"/>
                <w:szCs w:val="18"/>
              </w:rPr>
            </w:pPr>
            <w:r>
              <w:rPr>
                <w:sz w:val="18"/>
                <w:szCs w:val="18"/>
              </w:rPr>
              <w:t>1</w:t>
            </w:r>
          </w:p>
        </w:tc>
        <w:tc>
          <w:tcPr>
            <w:tcW w:w="2772" w:type="pct"/>
          </w:tcPr>
          <w:p>
            <w:pPr>
              <w:spacing w:line="360" w:lineRule="auto"/>
              <w:rPr>
                <w:sz w:val="18"/>
                <w:szCs w:val="18"/>
              </w:rPr>
            </w:pPr>
            <w:r>
              <w:rPr>
                <w:rFonts w:hint="eastAsia"/>
                <w:sz w:val="18"/>
                <w:szCs w:val="18"/>
              </w:rPr>
              <w:t>能够根据具体任务需求选择相应的计算机辅助软件工具，能够理解</w:t>
            </w:r>
            <w:r>
              <w:rPr>
                <w:sz w:val="18"/>
                <w:szCs w:val="18"/>
              </w:rPr>
              <w:t>MATLAB仿真分析“程序化”、“框图化”的</w:t>
            </w:r>
            <w:r>
              <w:rPr>
                <w:rFonts w:hint="eastAsia"/>
                <w:sz w:val="18"/>
                <w:szCs w:val="18"/>
              </w:rPr>
              <w:t>设计</w:t>
            </w:r>
            <w:r>
              <w:rPr>
                <w:sz w:val="18"/>
                <w:szCs w:val="18"/>
              </w:rPr>
              <w:t>理念，能够利用MATLAB语言及相应工具箱，</w:t>
            </w:r>
            <w:r>
              <w:rPr>
                <w:rFonts w:hint="eastAsia"/>
                <w:sz w:val="18"/>
                <w:szCs w:val="18"/>
              </w:rPr>
              <w:t>开发</w:t>
            </w:r>
            <w:r>
              <w:rPr>
                <w:sz w:val="18"/>
                <w:szCs w:val="18"/>
              </w:rPr>
              <w:t>具有一定复杂度的</w:t>
            </w:r>
            <w:r>
              <w:rPr>
                <w:rFonts w:hint="eastAsia"/>
                <w:sz w:val="18"/>
                <w:szCs w:val="18"/>
              </w:rPr>
              <w:t>软件</w:t>
            </w:r>
            <w:r>
              <w:rPr>
                <w:sz w:val="18"/>
                <w:szCs w:val="18"/>
              </w:rPr>
              <w:t>代码</w:t>
            </w:r>
            <w:r>
              <w:rPr>
                <w:rFonts w:hint="eastAsia"/>
                <w:sz w:val="18"/>
                <w:szCs w:val="18"/>
              </w:rPr>
              <w:t>，</w:t>
            </w:r>
            <w:r>
              <w:rPr>
                <w:sz w:val="18"/>
                <w:szCs w:val="18"/>
              </w:rPr>
              <w:t>并能够编译</w:t>
            </w:r>
            <w:r>
              <w:rPr>
                <w:rFonts w:hint="eastAsia"/>
                <w:sz w:val="18"/>
                <w:szCs w:val="18"/>
              </w:rPr>
              <w:t>、</w:t>
            </w:r>
            <w:r>
              <w:rPr>
                <w:sz w:val="18"/>
                <w:szCs w:val="18"/>
              </w:rPr>
              <w:t>调试与验证</w:t>
            </w:r>
            <w:r>
              <w:rPr>
                <w:rFonts w:hint="eastAsia"/>
                <w:sz w:val="18"/>
                <w:szCs w:val="18"/>
              </w:rPr>
              <w:t>；</w:t>
            </w:r>
          </w:p>
        </w:tc>
        <w:tc>
          <w:tcPr>
            <w:tcW w:w="1862" w:type="pct"/>
          </w:tcPr>
          <w:p>
            <w:pPr>
              <w:spacing w:line="360" w:lineRule="auto"/>
              <w:rPr>
                <w:sz w:val="18"/>
                <w:szCs w:val="18"/>
              </w:rPr>
            </w:pPr>
            <w:r>
              <w:rPr>
                <w:b/>
                <w:sz w:val="18"/>
                <w:szCs w:val="18"/>
              </w:rPr>
              <w:t>指标点5-1 工具选择与开发：</w:t>
            </w:r>
            <w:r>
              <w:rPr>
                <w:rFonts w:hint="eastAsia"/>
                <w:sz w:val="18"/>
                <w:szCs w:val="18"/>
              </w:rPr>
              <w:t>了解当前主流工具的优点与不足，能针对复杂工程问题特性与需求做出对比选择，并能够开发一定的辅助工具用于解决问题；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366" w:type="pct"/>
            <w:vAlign w:val="center"/>
          </w:tcPr>
          <w:p>
            <w:pPr>
              <w:spacing w:line="360" w:lineRule="auto"/>
              <w:jc w:val="center"/>
              <w:rPr>
                <w:sz w:val="18"/>
                <w:szCs w:val="18"/>
              </w:rPr>
            </w:pPr>
            <w:r>
              <w:rPr>
                <w:sz w:val="18"/>
                <w:szCs w:val="18"/>
              </w:rPr>
              <w:t>2</w:t>
            </w:r>
          </w:p>
        </w:tc>
        <w:tc>
          <w:tcPr>
            <w:tcW w:w="2772" w:type="pct"/>
          </w:tcPr>
          <w:p>
            <w:pPr>
              <w:spacing w:line="360" w:lineRule="auto"/>
              <w:rPr>
                <w:sz w:val="18"/>
                <w:szCs w:val="18"/>
              </w:rPr>
            </w:pPr>
            <w:r>
              <w:rPr>
                <w:sz w:val="18"/>
                <w:szCs w:val="18"/>
              </w:rPr>
              <w:t>能够根据给定的工程实际问题技术特征，</w:t>
            </w:r>
            <w:r>
              <w:rPr>
                <w:rFonts w:hint="eastAsia"/>
                <w:sz w:val="18"/>
                <w:szCs w:val="18"/>
              </w:rPr>
              <w:t>使用</w:t>
            </w:r>
            <w:r>
              <w:rPr>
                <w:sz w:val="18"/>
                <w:szCs w:val="18"/>
              </w:rPr>
              <w:t>Simulink模型库或自定义函数模块，搭建Simulink仿真验证平台，开展结果验证与仿真分析工作，</w:t>
            </w:r>
            <w:r>
              <w:rPr>
                <w:rFonts w:hint="eastAsia"/>
                <w:sz w:val="18"/>
                <w:szCs w:val="18"/>
              </w:rPr>
              <w:t>能够</w:t>
            </w:r>
            <w:r>
              <w:rPr>
                <w:sz w:val="18"/>
                <w:szCs w:val="18"/>
              </w:rPr>
              <w:t>优化和</w:t>
            </w:r>
            <w:r>
              <w:rPr>
                <w:rFonts w:hint="eastAsia"/>
                <w:sz w:val="18"/>
                <w:szCs w:val="18"/>
              </w:rPr>
              <w:t>改进</w:t>
            </w:r>
            <w:r>
              <w:rPr>
                <w:sz w:val="18"/>
                <w:szCs w:val="18"/>
              </w:rPr>
              <w:t>Simulink程序</w:t>
            </w:r>
            <w:r>
              <w:rPr>
                <w:rFonts w:hint="eastAsia"/>
                <w:sz w:val="18"/>
                <w:szCs w:val="18"/>
              </w:rPr>
              <w:t>。</w:t>
            </w:r>
          </w:p>
        </w:tc>
        <w:tc>
          <w:tcPr>
            <w:tcW w:w="1862" w:type="pct"/>
          </w:tcPr>
          <w:p>
            <w:pPr>
              <w:spacing w:line="360" w:lineRule="auto"/>
              <w:rPr>
                <w:sz w:val="18"/>
                <w:szCs w:val="18"/>
              </w:rPr>
            </w:pPr>
            <w:r>
              <w:rPr>
                <w:b/>
                <w:sz w:val="18"/>
                <w:szCs w:val="18"/>
              </w:rPr>
              <w:t>指标点5-2 专业工具使用：</w:t>
            </w:r>
            <w:r>
              <w:rPr>
                <w:rFonts w:hint="eastAsia"/>
                <w:sz w:val="18"/>
                <w:szCs w:val="18"/>
              </w:rPr>
              <w:t>能使用电路系统、总线网络等开发所需的EDA工具进行建模/仿真/版图设计，确定功能和工艺参数。</w:t>
            </w:r>
          </w:p>
        </w:tc>
      </w:tr>
    </w:tbl>
    <w:p>
      <w:pPr>
        <w:adjustRightInd w:val="0"/>
        <w:snapToGrid w:val="0"/>
        <w:spacing w:line="360" w:lineRule="auto"/>
        <w:rPr>
          <w:rFonts w:eastAsia="黑体"/>
          <w:szCs w:val="21"/>
        </w:rPr>
      </w:pPr>
    </w:p>
    <w:p>
      <w:pPr>
        <w:adjustRightInd w:val="0"/>
        <w:snapToGrid w:val="0"/>
        <w:spacing w:line="360" w:lineRule="auto"/>
        <w:jc w:val="left"/>
        <w:rPr>
          <w:bCs/>
          <w:szCs w:val="21"/>
        </w:rPr>
      </w:pPr>
      <w:r>
        <w:rPr>
          <w:rFonts w:hint="eastAsia"/>
          <w:bCs/>
          <w:szCs w:val="21"/>
          <w:lang w:eastAsia="zh-CN"/>
        </w:rPr>
        <w:t>智能感知工程</w:t>
      </w:r>
      <w:r>
        <w:rPr>
          <w:bCs/>
          <w:szCs w:val="21"/>
        </w:rPr>
        <w:t>专业</w:t>
      </w:r>
      <w:r>
        <w:rPr>
          <w:rFonts w:hint="eastAsia"/>
          <w:bCs/>
          <w:szCs w:val="21"/>
        </w:rPr>
        <w:t>：</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4728"/>
        <w:gridCol w:w="317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6" w:type="pct"/>
            <w:vAlign w:val="center"/>
          </w:tcPr>
          <w:p>
            <w:pPr>
              <w:spacing w:line="360" w:lineRule="auto"/>
              <w:jc w:val="center"/>
              <w:rPr>
                <w:sz w:val="18"/>
                <w:szCs w:val="18"/>
              </w:rPr>
            </w:pPr>
            <w:r>
              <w:rPr>
                <w:sz w:val="18"/>
                <w:szCs w:val="18"/>
              </w:rPr>
              <w:t>序号</w:t>
            </w:r>
          </w:p>
        </w:tc>
        <w:tc>
          <w:tcPr>
            <w:tcW w:w="2772" w:type="pct"/>
            <w:vAlign w:val="center"/>
          </w:tcPr>
          <w:p>
            <w:pPr>
              <w:spacing w:line="360" w:lineRule="auto"/>
              <w:jc w:val="center"/>
              <w:rPr>
                <w:sz w:val="18"/>
                <w:szCs w:val="18"/>
              </w:rPr>
            </w:pPr>
            <w:r>
              <w:rPr>
                <w:sz w:val="18"/>
                <w:szCs w:val="18"/>
              </w:rPr>
              <w:t>课程目标</w:t>
            </w:r>
          </w:p>
        </w:tc>
        <w:tc>
          <w:tcPr>
            <w:tcW w:w="1862" w:type="pct"/>
            <w:vAlign w:val="center"/>
          </w:tcPr>
          <w:p>
            <w:pPr>
              <w:spacing w:line="360" w:lineRule="auto"/>
              <w:jc w:val="center"/>
              <w:rPr>
                <w:sz w:val="18"/>
                <w:szCs w:val="18"/>
              </w:rPr>
            </w:pPr>
            <w:r>
              <w:rPr>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6" w:type="pct"/>
            <w:vAlign w:val="center"/>
          </w:tcPr>
          <w:p>
            <w:pPr>
              <w:spacing w:line="360" w:lineRule="auto"/>
              <w:jc w:val="center"/>
              <w:rPr>
                <w:sz w:val="18"/>
                <w:szCs w:val="18"/>
              </w:rPr>
            </w:pPr>
            <w:r>
              <w:rPr>
                <w:sz w:val="18"/>
                <w:szCs w:val="18"/>
              </w:rPr>
              <w:t>1</w:t>
            </w:r>
          </w:p>
        </w:tc>
        <w:tc>
          <w:tcPr>
            <w:tcW w:w="2772" w:type="pct"/>
          </w:tcPr>
          <w:p>
            <w:pPr>
              <w:spacing w:line="360" w:lineRule="auto"/>
              <w:rPr>
                <w:sz w:val="18"/>
                <w:szCs w:val="18"/>
              </w:rPr>
            </w:pPr>
            <w:r>
              <w:rPr>
                <w:rFonts w:hint="eastAsia"/>
                <w:sz w:val="18"/>
                <w:szCs w:val="18"/>
              </w:rPr>
              <w:t>能够根据具体任务需求选择相应的计算机辅助软件工具，能够理解</w:t>
            </w:r>
            <w:r>
              <w:rPr>
                <w:sz w:val="18"/>
                <w:szCs w:val="18"/>
              </w:rPr>
              <w:t>MATLAB仿真分析“程序化”、“框图化”的</w:t>
            </w:r>
            <w:r>
              <w:rPr>
                <w:rFonts w:hint="eastAsia"/>
                <w:sz w:val="18"/>
                <w:szCs w:val="18"/>
              </w:rPr>
              <w:t>设计</w:t>
            </w:r>
            <w:r>
              <w:rPr>
                <w:sz w:val="18"/>
                <w:szCs w:val="18"/>
              </w:rPr>
              <w:t>理念，能够利用MATLAB语言及相应工具箱，</w:t>
            </w:r>
            <w:r>
              <w:rPr>
                <w:rFonts w:hint="eastAsia"/>
                <w:sz w:val="18"/>
                <w:szCs w:val="18"/>
              </w:rPr>
              <w:t>开发</w:t>
            </w:r>
            <w:r>
              <w:rPr>
                <w:sz w:val="18"/>
                <w:szCs w:val="18"/>
              </w:rPr>
              <w:t>具有一定复杂度的</w:t>
            </w:r>
            <w:r>
              <w:rPr>
                <w:rFonts w:hint="eastAsia"/>
                <w:sz w:val="18"/>
                <w:szCs w:val="18"/>
              </w:rPr>
              <w:t>软件</w:t>
            </w:r>
            <w:r>
              <w:rPr>
                <w:sz w:val="18"/>
                <w:szCs w:val="18"/>
              </w:rPr>
              <w:t>代码</w:t>
            </w:r>
            <w:r>
              <w:rPr>
                <w:rFonts w:hint="eastAsia"/>
                <w:sz w:val="18"/>
                <w:szCs w:val="18"/>
              </w:rPr>
              <w:t>，</w:t>
            </w:r>
            <w:r>
              <w:rPr>
                <w:sz w:val="18"/>
                <w:szCs w:val="18"/>
              </w:rPr>
              <w:t>并能够编译</w:t>
            </w:r>
            <w:r>
              <w:rPr>
                <w:rFonts w:hint="eastAsia"/>
                <w:sz w:val="18"/>
                <w:szCs w:val="18"/>
              </w:rPr>
              <w:t>、</w:t>
            </w:r>
            <w:r>
              <w:rPr>
                <w:sz w:val="18"/>
                <w:szCs w:val="18"/>
              </w:rPr>
              <w:t>调试与验证</w:t>
            </w:r>
            <w:r>
              <w:rPr>
                <w:rFonts w:hint="eastAsia"/>
                <w:sz w:val="18"/>
                <w:szCs w:val="18"/>
              </w:rPr>
              <w:t>；</w:t>
            </w:r>
          </w:p>
        </w:tc>
        <w:tc>
          <w:tcPr>
            <w:tcW w:w="1862" w:type="pct"/>
          </w:tcPr>
          <w:p>
            <w:pPr>
              <w:spacing w:line="360" w:lineRule="auto"/>
              <w:rPr>
                <w:sz w:val="18"/>
                <w:szCs w:val="18"/>
              </w:rPr>
            </w:pPr>
            <w:r>
              <w:rPr>
                <w:b/>
                <w:sz w:val="18"/>
                <w:szCs w:val="18"/>
              </w:rPr>
              <w:t>指标点5-1 工具选择与开发：</w:t>
            </w:r>
            <w:r>
              <w:rPr>
                <w:sz w:val="18"/>
                <w:szCs w:val="18"/>
              </w:rPr>
              <w:t>了解当前主流工具的优点与不足，能针对复杂工程问题特性与需求做出对比选择，并能够开发一定的辅助工具用于解决问题；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6" w:type="pct"/>
            <w:vAlign w:val="center"/>
          </w:tcPr>
          <w:p>
            <w:pPr>
              <w:spacing w:line="360" w:lineRule="auto"/>
              <w:jc w:val="center"/>
              <w:rPr>
                <w:sz w:val="18"/>
                <w:szCs w:val="18"/>
              </w:rPr>
            </w:pPr>
            <w:r>
              <w:rPr>
                <w:sz w:val="18"/>
                <w:szCs w:val="18"/>
              </w:rPr>
              <w:t>2</w:t>
            </w:r>
          </w:p>
        </w:tc>
        <w:tc>
          <w:tcPr>
            <w:tcW w:w="2772" w:type="pct"/>
          </w:tcPr>
          <w:p>
            <w:pPr>
              <w:spacing w:line="360" w:lineRule="auto"/>
              <w:rPr>
                <w:sz w:val="18"/>
                <w:szCs w:val="18"/>
              </w:rPr>
            </w:pPr>
            <w:r>
              <w:rPr>
                <w:sz w:val="18"/>
                <w:szCs w:val="18"/>
              </w:rPr>
              <w:t>能够根据给定的工程实际问题技术特征，</w:t>
            </w:r>
            <w:r>
              <w:rPr>
                <w:rFonts w:hint="eastAsia"/>
                <w:sz w:val="18"/>
                <w:szCs w:val="18"/>
              </w:rPr>
              <w:t>使用</w:t>
            </w:r>
            <w:r>
              <w:rPr>
                <w:sz w:val="18"/>
                <w:szCs w:val="18"/>
              </w:rPr>
              <w:t>Simulink模型库或自定义函数模块，搭建Simulink仿真验证平台，开展结果验证与仿真分析工作，</w:t>
            </w:r>
            <w:r>
              <w:rPr>
                <w:rFonts w:hint="eastAsia"/>
                <w:sz w:val="18"/>
                <w:szCs w:val="18"/>
              </w:rPr>
              <w:t>能够</w:t>
            </w:r>
            <w:r>
              <w:rPr>
                <w:sz w:val="18"/>
                <w:szCs w:val="18"/>
              </w:rPr>
              <w:t>优化和</w:t>
            </w:r>
            <w:r>
              <w:rPr>
                <w:rFonts w:hint="eastAsia"/>
                <w:sz w:val="18"/>
                <w:szCs w:val="18"/>
              </w:rPr>
              <w:t>改进</w:t>
            </w:r>
            <w:r>
              <w:rPr>
                <w:sz w:val="18"/>
                <w:szCs w:val="18"/>
              </w:rPr>
              <w:t>Simulink程序</w:t>
            </w:r>
            <w:r>
              <w:rPr>
                <w:rFonts w:hint="eastAsia"/>
                <w:sz w:val="18"/>
                <w:szCs w:val="18"/>
              </w:rPr>
              <w:t>。</w:t>
            </w:r>
          </w:p>
        </w:tc>
        <w:tc>
          <w:tcPr>
            <w:tcW w:w="1862" w:type="pct"/>
          </w:tcPr>
          <w:p>
            <w:pPr>
              <w:spacing w:line="360" w:lineRule="auto"/>
              <w:rPr>
                <w:sz w:val="18"/>
                <w:szCs w:val="18"/>
              </w:rPr>
            </w:pPr>
            <w:r>
              <w:rPr>
                <w:b/>
                <w:sz w:val="18"/>
                <w:szCs w:val="18"/>
              </w:rPr>
              <w:t>指标点5-2 专业工具使用：</w:t>
            </w:r>
            <w:r>
              <w:rPr>
                <w:bCs/>
                <w:sz w:val="18"/>
                <w:szCs w:val="18"/>
              </w:rPr>
              <w:t>能使用工具对智能信息处理或控制系统进行设计和仿真，确定功能和相关设计参数。</w:t>
            </w:r>
          </w:p>
        </w:tc>
      </w:tr>
    </w:tbl>
    <w:p>
      <w:pPr>
        <w:tabs>
          <w:tab w:val="left" w:pos="420"/>
        </w:tabs>
        <w:adjustRightInd w:val="0"/>
        <w:snapToGrid w:val="0"/>
        <w:spacing w:line="360" w:lineRule="auto"/>
        <w:ind w:left="420" w:hanging="420"/>
        <w:rPr>
          <w:rFonts w:eastAsia="黑体"/>
          <w:szCs w:val="21"/>
        </w:rPr>
      </w:pPr>
    </w:p>
    <w:p>
      <w:pPr>
        <w:tabs>
          <w:tab w:val="left" w:pos="420"/>
        </w:tabs>
        <w:adjustRightInd w:val="0"/>
        <w:snapToGrid w:val="0"/>
        <w:spacing w:line="360" w:lineRule="auto"/>
        <w:ind w:left="420" w:hanging="420"/>
        <w:rPr>
          <w:rFonts w:eastAsia="黑体"/>
          <w:szCs w:val="21"/>
        </w:rPr>
      </w:pPr>
      <w:r>
        <w:rPr>
          <w:rFonts w:eastAsia="黑体"/>
          <w:szCs w:val="21"/>
        </w:rPr>
        <w:t>三、基本要求</w:t>
      </w:r>
    </w:p>
    <w:p>
      <w:pPr>
        <w:spacing w:line="360" w:lineRule="auto"/>
        <w:ind w:firstLine="420" w:firstLineChars="200"/>
        <w:rPr>
          <w:szCs w:val="21"/>
        </w:rPr>
      </w:pPr>
      <w:r>
        <w:rPr>
          <w:szCs w:val="21"/>
        </w:rPr>
        <w:t>1、本课程为专业任选课，要求先修高等数学，线性代数等课程，在教学中应注重理论讲授与实验训练相结合的原则，使学生熟练掌握MATLAB的操作方法、程序设计方法、Simulink仿真方法。</w:t>
      </w:r>
    </w:p>
    <w:p>
      <w:pPr>
        <w:spacing w:line="360" w:lineRule="auto"/>
        <w:ind w:firstLine="420" w:firstLineChars="200"/>
        <w:rPr>
          <w:szCs w:val="21"/>
        </w:rPr>
      </w:pPr>
      <w:r>
        <w:rPr>
          <w:szCs w:val="21"/>
        </w:rPr>
        <w:t>2、通过学习MATLAB软件语言程序设计及Simulink仿真基本方法，结合经典实例演示，提高学生仿真设计与问题分析能力。</w:t>
      </w:r>
    </w:p>
    <w:p>
      <w:pPr>
        <w:spacing w:line="360" w:lineRule="auto"/>
        <w:ind w:firstLine="420" w:firstLineChars="200"/>
        <w:rPr>
          <w:szCs w:val="21"/>
        </w:rPr>
      </w:pPr>
      <w:r>
        <w:rPr>
          <w:szCs w:val="21"/>
        </w:rPr>
        <w:t>3、本课程是一门实践性很强的课程。要求学生通过实验环节把所学的内容进行巩固和掌握，要求在CAI教室进行授课，并且教学和实验交替进行。</w:t>
      </w:r>
    </w:p>
    <w:p>
      <w:pPr>
        <w:widowControl/>
        <w:spacing w:line="360" w:lineRule="auto"/>
        <w:ind w:firstLine="420" w:firstLineChars="200"/>
        <w:jc w:val="left"/>
      </w:pPr>
      <w:r>
        <w:rPr>
          <w:szCs w:val="21"/>
        </w:rPr>
        <w:t>4、深度和广度说明： MATLAB基本操作、绘图等部分只做简单介绍；MATLAB语言程序设计与Simulink仿真分析方法要结合工程实例深入讲解。</w:t>
      </w:r>
    </w:p>
    <w:p>
      <w:pPr>
        <w:widowControl/>
        <w:spacing w:line="360" w:lineRule="auto"/>
        <w:ind w:firstLine="420" w:firstLineChars="200"/>
        <w:jc w:val="left"/>
        <w:rPr>
          <w:szCs w:val="21"/>
        </w:rPr>
      </w:pPr>
      <w:r>
        <w:rPr>
          <w:szCs w:val="21"/>
        </w:rPr>
        <w:t>5、</w:t>
      </w:r>
      <w:r>
        <w:t>偏差说明：为了鼓励教师引入个人授课风格或者适应技术发展的紧迫性，本课程允许教师授课内容做适当调整，最大正偏差为10%，不允许负偏差。正偏差通过压缩同等内容的学时数来完成。特殊情况，最大正偏差和置换偏差累计可达到20%，但在开课前要申请专业责任人批准。（正偏差指大纲知识点不变，新增知识点；负偏差是大纲知识点减少；置换偏差是指大纲中部分知识点被其它类似知识点替换）。</w:t>
      </w:r>
    </w:p>
    <w:p>
      <w:pPr>
        <w:spacing w:line="360" w:lineRule="auto"/>
        <w:ind w:firstLine="420" w:firstLineChars="200"/>
        <w:rPr>
          <w:szCs w:val="21"/>
        </w:rPr>
      </w:pPr>
    </w:p>
    <w:p>
      <w:pPr>
        <w:tabs>
          <w:tab w:val="left" w:pos="420"/>
        </w:tabs>
        <w:spacing w:line="360" w:lineRule="auto"/>
        <w:ind w:left="420" w:hanging="420"/>
        <w:rPr>
          <w:rFonts w:eastAsia="黑体"/>
          <w:szCs w:val="21"/>
        </w:rPr>
      </w:pPr>
      <w:r>
        <w:rPr>
          <w:rFonts w:eastAsia="黑体"/>
          <w:szCs w:val="21"/>
        </w:rPr>
        <w:t>四、教学内容和教学方法</w:t>
      </w:r>
    </w:p>
    <w:p>
      <w:pPr>
        <w:widowControl/>
        <w:spacing w:line="360" w:lineRule="auto"/>
        <w:ind w:firstLine="420" w:firstLineChars="200"/>
        <w:jc w:val="left"/>
        <w:rPr>
          <w:szCs w:val="21"/>
        </w:rPr>
      </w:pPr>
      <w:r>
        <w:rPr>
          <w:szCs w:val="21"/>
        </w:rPr>
        <w:t>本课程重点讲授的内容包括：MATLAB基本操作方法、MATLAB语言程序设计方法、Simulink仿真方法。</w:t>
      </w:r>
    </w:p>
    <w:p>
      <w:pPr>
        <w:widowControl/>
        <w:spacing w:line="360" w:lineRule="auto"/>
        <w:ind w:firstLine="420" w:firstLineChars="200"/>
        <w:jc w:val="left"/>
      </w:pPr>
      <w:r>
        <w:t>教学方法：</w:t>
      </w:r>
    </w:p>
    <w:p>
      <w:pPr>
        <w:widowControl/>
        <w:spacing w:line="360" w:lineRule="auto"/>
        <w:ind w:firstLine="420" w:firstLineChars="200"/>
        <w:jc w:val="left"/>
      </w:pPr>
      <w:r>
        <w:t>1）利用CAI形式讲授，辅以重要知识点的板书推导与分析，引导学生理解工程问题数学方法分析思路；</w:t>
      </w:r>
    </w:p>
    <w:p>
      <w:pPr>
        <w:widowControl/>
        <w:spacing w:line="360" w:lineRule="auto"/>
        <w:ind w:firstLine="420" w:firstLineChars="200"/>
        <w:jc w:val="left"/>
      </w:pPr>
      <w:r>
        <w:t>2）讲授过程中注重工程实例分析，使学生理解其工程问题仿真分析处理方法；</w:t>
      </w:r>
    </w:p>
    <w:p>
      <w:pPr>
        <w:widowControl/>
        <w:spacing w:line="360" w:lineRule="auto"/>
        <w:ind w:firstLine="420" w:firstLineChars="200"/>
        <w:jc w:val="left"/>
      </w:pPr>
      <w:r>
        <w:t>3）学生分组自主选择测控领域的工程问题进行建模、分析与仿真验证工作，由授课教师对学生完成的质量进行评价。</w:t>
      </w:r>
    </w:p>
    <w:p>
      <w:pPr>
        <w:widowControl/>
        <w:adjustRightInd w:val="0"/>
        <w:snapToGrid w:val="0"/>
        <w:spacing w:line="360" w:lineRule="auto"/>
        <w:ind w:firstLine="420" w:firstLineChars="200"/>
        <w:jc w:val="left"/>
        <w:rPr>
          <w:rFonts w:eastAsia="黑体"/>
          <w:snapToGrid w:val="0"/>
          <w:kern w:val="0"/>
          <w:szCs w:val="21"/>
        </w:rPr>
      </w:pPr>
      <w:r>
        <w:rPr>
          <w:rFonts w:eastAsia="黑体"/>
          <w:snapToGrid w:val="0"/>
          <w:kern w:val="0"/>
          <w:szCs w:val="21"/>
        </w:rPr>
        <w:t>1  MATLAB操作基础（4学时）</w:t>
      </w:r>
    </w:p>
    <w:p>
      <w:pPr>
        <w:widowControl/>
        <w:spacing w:line="360" w:lineRule="auto"/>
        <w:ind w:left="426"/>
        <w:jc w:val="left"/>
        <w:rPr>
          <w:snapToGrid w:val="0"/>
          <w:kern w:val="0"/>
          <w:szCs w:val="21"/>
        </w:rPr>
      </w:pPr>
      <w:r>
        <w:rPr>
          <w:snapToGrid w:val="0"/>
          <w:kern w:val="0"/>
          <w:szCs w:val="21"/>
        </w:rPr>
        <w:t>1.1、理解MATLAB集成环境；</w:t>
      </w:r>
    </w:p>
    <w:p>
      <w:pPr>
        <w:widowControl/>
        <w:spacing w:line="360" w:lineRule="auto"/>
        <w:ind w:left="426"/>
        <w:jc w:val="left"/>
        <w:rPr>
          <w:snapToGrid w:val="0"/>
          <w:kern w:val="0"/>
          <w:szCs w:val="21"/>
        </w:rPr>
      </w:pPr>
      <w:r>
        <w:rPr>
          <w:snapToGrid w:val="0"/>
          <w:kern w:val="0"/>
          <w:szCs w:val="21"/>
        </w:rPr>
        <w:t>1.2、了解MATLAB运行环境、安装、帮助系统及主要功能；</w:t>
      </w:r>
    </w:p>
    <w:p>
      <w:pPr>
        <w:widowControl/>
        <w:spacing w:line="360" w:lineRule="auto"/>
        <w:ind w:left="426"/>
        <w:jc w:val="left"/>
        <w:rPr>
          <w:snapToGrid w:val="0"/>
          <w:kern w:val="0"/>
          <w:szCs w:val="21"/>
        </w:rPr>
      </w:pPr>
      <w:r>
        <w:rPr>
          <w:snapToGrid w:val="0"/>
          <w:kern w:val="0"/>
          <w:szCs w:val="21"/>
        </w:rPr>
        <w:t>1.3、掌握建立矩阵的方法；</w:t>
      </w:r>
    </w:p>
    <w:p>
      <w:pPr>
        <w:widowControl/>
        <w:spacing w:line="360" w:lineRule="auto"/>
        <w:ind w:left="426"/>
        <w:jc w:val="left"/>
        <w:rPr>
          <w:snapToGrid w:val="0"/>
          <w:kern w:val="0"/>
          <w:szCs w:val="21"/>
        </w:rPr>
      </w:pPr>
      <w:r>
        <w:rPr>
          <w:snapToGrid w:val="0"/>
          <w:kern w:val="0"/>
          <w:szCs w:val="21"/>
        </w:rPr>
        <w:t>1.4、掌握矩阵的算术运算、关系运算及逻辑运算、矩阵转置、逆运算、方阵行列式及矩阵特征值和特征向量的求法；</w:t>
      </w:r>
    </w:p>
    <w:p>
      <w:pPr>
        <w:widowControl/>
        <w:spacing w:line="360" w:lineRule="auto"/>
        <w:ind w:left="426"/>
        <w:jc w:val="left"/>
        <w:rPr>
          <w:snapToGrid w:val="0"/>
          <w:kern w:val="0"/>
          <w:szCs w:val="21"/>
        </w:rPr>
      </w:pPr>
      <w:r>
        <w:rPr>
          <w:snapToGrid w:val="0"/>
          <w:kern w:val="0"/>
          <w:szCs w:val="21"/>
        </w:rPr>
        <w:t>1.5、理解MATLAB常用数学函数的使用和数据输出格式；</w:t>
      </w:r>
    </w:p>
    <w:p>
      <w:pPr>
        <w:widowControl/>
        <w:spacing w:line="360" w:lineRule="auto"/>
        <w:ind w:left="426"/>
        <w:jc w:val="left"/>
        <w:rPr>
          <w:snapToGrid w:val="0"/>
          <w:kern w:val="0"/>
          <w:szCs w:val="21"/>
        </w:rPr>
      </w:pPr>
      <w:r>
        <w:rPr>
          <w:snapToGrid w:val="0"/>
          <w:kern w:val="0"/>
          <w:szCs w:val="21"/>
        </w:rPr>
        <w:t>1.6、了解几种特殊矩阵、获得子矩阵的方法、字符串向量、结构数据和单元数据、稀疏矩阵等内容；</w:t>
      </w:r>
    </w:p>
    <w:p>
      <w:pPr>
        <w:widowControl/>
        <w:spacing w:line="360" w:lineRule="auto"/>
        <w:ind w:left="426"/>
        <w:jc w:val="left"/>
        <w:rPr>
          <w:snapToGrid w:val="0"/>
          <w:kern w:val="0"/>
          <w:szCs w:val="21"/>
        </w:rPr>
      </w:pPr>
      <w:r>
        <w:rPr>
          <w:snapToGrid w:val="0"/>
          <w:kern w:val="0"/>
          <w:szCs w:val="21"/>
        </w:rPr>
        <w:t>1.7、理解利用矩阵分解求解线性方程组的方法；</w:t>
      </w:r>
    </w:p>
    <w:p>
      <w:pPr>
        <w:widowControl/>
        <w:spacing w:line="360" w:lineRule="auto"/>
        <w:ind w:left="426"/>
        <w:jc w:val="left"/>
        <w:rPr>
          <w:snapToGrid w:val="0"/>
          <w:kern w:val="0"/>
          <w:szCs w:val="21"/>
        </w:rPr>
      </w:pPr>
      <w:r>
        <w:rPr>
          <w:snapToGrid w:val="0"/>
          <w:kern w:val="0"/>
          <w:szCs w:val="21"/>
        </w:rPr>
        <w:t>1.8、了解非线性方程组的求解方法，常微分方程初值问题的数值解法等内容。</w:t>
      </w:r>
    </w:p>
    <w:p>
      <w:pPr>
        <w:widowControl/>
        <w:spacing w:line="360" w:lineRule="auto"/>
        <w:ind w:firstLine="420" w:firstLineChars="200"/>
        <w:jc w:val="left"/>
        <w:rPr>
          <w:snapToGrid w:val="0"/>
          <w:kern w:val="0"/>
        </w:rPr>
      </w:pPr>
      <w:r>
        <w:rPr>
          <w:snapToGrid w:val="0"/>
          <w:kern w:val="0"/>
        </w:rPr>
        <w:t>重点：MATLAB基础运算符号及其操作方法与方程组的解法。</w:t>
      </w:r>
    </w:p>
    <w:p>
      <w:pPr>
        <w:widowControl/>
        <w:spacing w:line="360" w:lineRule="auto"/>
        <w:ind w:firstLine="420" w:firstLineChars="200"/>
        <w:jc w:val="left"/>
        <w:rPr>
          <w:snapToGrid w:val="0"/>
          <w:kern w:val="0"/>
        </w:rPr>
      </w:pPr>
      <w:r>
        <w:rPr>
          <w:snapToGrid w:val="0"/>
          <w:kern w:val="0"/>
        </w:rPr>
        <w:t>难点：微分方程的解法。</w:t>
      </w:r>
    </w:p>
    <w:p>
      <w:pPr>
        <w:widowControl/>
        <w:spacing w:line="360" w:lineRule="auto"/>
        <w:ind w:firstLine="420" w:firstLineChars="200"/>
        <w:jc w:val="left"/>
        <w:rPr>
          <w:snapToGrid w:val="0"/>
          <w:kern w:val="0"/>
        </w:rPr>
      </w:pPr>
      <w:r>
        <w:rPr>
          <w:snapToGrid w:val="0"/>
          <w:kern w:val="0"/>
        </w:rPr>
        <w:t>本章内容支撑课程目标1。</w:t>
      </w:r>
    </w:p>
    <w:p>
      <w:pPr>
        <w:widowControl/>
        <w:spacing w:line="360" w:lineRule="auto"/>
        <w:ind w:left="426"/>
        <w:jc w:val="left"/>
        <w:rPr>
          <w:rFonts w:eastAsia="黑体"/>
          <w:snapToGrid w:val="0"/>
          <w:kern w:val="0"/>
          <w:szCs w:val="21"/>
        </w:rPr>
      </w:pPr>
      <w:r>
        <w:rPr>
          <w:rFonts w:eastAsia="黑体"/>
          <w:snapToGrid w:val="0"/>
          <w:kern w:val="0"/>
          <w:szCs w:val="21"/>
        </w:rPr>
        <w:t>2  MATLAB程序设计（8学时）</w:t>
      </w:r>
    </w:p>
    <w:p>
      <w:pPr>
        <w:widowControl/>
        <w:spacing w:line="360" w:lineRule="auto"/>
        <w:ind w:left="426"/>
        <w:jc w:val="left"/>
        <w:rPr>
          <w:snapToGrid w:val="0"/>
          <w:kern w:val="0"/>
          <w:szCs w:val="21"/>
        </w:rPr>
      </w:pPr>
      <w:r>
        <w:rPr>
          <w:snapToGrid w:val="0"/>
          <w:kern w:val="0"/>
          <w:szCs w:val="21"/>
        </w:rPr>
        <w:t>2.1、掌握建立命令文件和函数文件的方法；</w:t>
      </w:r>
    </w:p>
    <w:p>
      <w:pPr>
        <w:widowControl/>
        <w:spacing w:line="360" w:lineRule="auto"/>
        <w:ind w:left="426"/>
        <w:jc w:val="left"/>
        <w:rPr>
          <w:snapToGrid w:val="0"/>
          <w:kern w:val="0"/>
          <w:szCs w:val="21"/>
        </w:rPr>
      </w:pPr>
      <w:r>
        <w:rPr>
          <w:snapToGrid w:val="0"/>
          <w:kern w:val="0"/>
          <w:szCs w:val="21"/>
        </w:rPr>
        <w:t>2.2、掌握利用三种控制结构进行程序设计的方法；</w:t>
      </w:r>
    </w:p>
    <w:p>
      <w:pPr>
        <w:widowControl/>
        <w:spacing w:line="360" w:lineRule="auto"/>
        <w:ind w:left="426"/>
        <w:jc w:val="left"/>
        <w:rPr>
          <w:snapToGrid w:val="0"/>
          <w:kern w:val="0"/>
          <w:szCs w:val="21"/>
        </w:rPr>
      </w:pPr>
      <w:r>
        <w:rPr>
          <w:snapToGrid w:val="0"/>
          <w:kern w:val="0"/>
          <w:szCs w:val="21"/>
        </w:rPr>
        <w:t>2.3、理解函数文件、函数调用、全局变量与局部变量等内容；</w:t>
      </w:r>
    </w:p>
    <w:p>
      <w:pPr>
        <w:widowControl/>
        <w:spacing w:line="360" w:lineRule="auto"/>
        <w:ind w:left="426"/>
        <w:jc w:val="left"/>
        <w:rPr>
          <w:snapToGrid w:val="0"/>
          <w:kern w:val="0"/>
          <w:szCs w:val="21"/>
        </w:rPr>
      </w:pPr>
      <w:r>
        <w:rPr>
          <w:snapToGrid w:val="0"/>
          <w:kern w:val="0"/>
          <w:szCs w:val="21"/>
        </w:rPr>
        <w:t>2.4、掌握程序调试菜单与调试命令的使用。</w:t>
      </w:r>
    </w:p>
    <w:p>
      <w:pPr>
        <w:widowControl/>
        <w:spacing w:line="360" w:lineRule="auto"/>
        <w:ind w:firstLine="420" w:firstLineChars="200"/>
        <w:jc w:val="left"/>
        <w:rPr>
          <w:snapToGrid w:val="0"/>
          <w:kern w:val="0"/>
        </w:rPr>
      </w:pPr>
      <w:r>
        <w:rPr>
          <w:snapToGrid w:val="0"/>
          <w:kern w:val="0"/>
        </w:rPr>
        <w:t>重点：基础程序流程控制与函数创建及函数调用方法，函数中变量的作用域。</w:t>
      </w:r>
    </w:p>
    <w:p>
      <w:pPr>
        <w:widowControl/>
        <w:spacing w:line="360" w:lineRule="auto"/>
        <w:ind w:firstLine="420" w:firstLineChars="200"/>
        <w:jc w:val="left"/>
        <w:rPr>
          <w:snapToGrid w:val="0"/>
          <w:kern w:val="0"/>
        </w:rPr>
      </w:pPr>
      <w:r>
        <w:rPr>
          <w:snapToGrid w:val="0"/>
          <w:kern w:val="0"/>
        </w:rPr>
        <w:t>难点：函数嵌套设计与调用。</w:t>
      </w:r>
    </w:p>
    <w:p>
      <w:pPr>
        <w:widowControl/>
        <w:spacing w:line="360" w:lineRule="auto"/>
        <w:ind w:firstLine="420" w:firstLineChars="200"/>
        <w:jc w:val="left"/>
        <w:rPr>
          <w:snapToGrid w:val="0"/>
          <w:kern w:val="0"/>
        </w:rPr>
      </w:pPr>
      <w:r>
        <w:rPr>
          <w:snapToGrid w:val="0"/>
          <w:kern w:val="0"/>
        </w:rPr>
        <w:t>本章内容支撑课程目标</w:t>
      </w:r>
      <w:r>
        <w:rPr>
          <w:rFonts w:hint="eastAsia"/>
          <w:snapToGrid w:val="0"/>
          <w:kern w:val="0"/>
        </w:rPr>
        <w:t>1、</w:t>
      </w:r>
      <w:r>
        <w:rPr>
          <w:snapToGrid w:val="0"/>
          <w:kern w:val="0"/>
        </w:rPr>
        <w:t>2。</w:t>
      </w:r>
    </w:p>
    <w:p>
      <w:pPr>
        <w:widowControl/>
        <w:spacing w:line="360" w:lineRule="auto"/>
        <w:ind w:firstLine="420" w:firstLineChars="200"/>
        <w:jc w:val="left"/>
        <w:rPr>
          <w:rFonts w:eastAsia="黑体"/>
          <w:snapToGrid w:val="0"/>
          <w:kern w:val="0"/>
          <w:szCs w:val="21"/>
        </w:rPr>
      </w:pPr>
      <w:r>
        <w:rPr>
          <w:rFonts w:eastAsia="黑体"/>
          <w:snapToGrid w:val="0"/>
          <w:kern w:val="0"/>
          <w:szCs w:val="21"/>
        </w:rPr>
        <w:t>3  MATLAB绘图（4学时）</w:t>
      </w:r>
    </w:p>
    <w:p>
      <w:pPr>
        <w:widowControl/>
        <w:spacing w:line="360" w:lineRule="auto"/>
        <w:ind w:left="426"/>
        <w:jc w:val="left"/>
        <w:rPr>
          <w:snapToGrid w:val="0"/>
          <w:kern w:val="0"/>
          <w:szCs w:val="21"/>
        </w:rPr>
      </w:pPr>
      <w:r>
        <w:rPr>
          <w:snapToGrid w:val="0"/>
          <w:kern w:val="0"/>
          <w:szCs w:val="21"/>
        </w:rPr>
        <w:t>3.1、掌握绘制单个二维数据曲线、绘制多个二维数据曲线的方法；</w:t>
      </w:r>
    </w:p>
    <w:p>
      <w:pPr>
        <w:widowControl/>
        <w:spacing w:line="360" w:lineRule="auto"/>
        <w:ind w:left="426"/>
        <w:jc w:val="left"/>
        <w:rPr>
          <w:snapToGrid w:val="0"/>
          <w:kern w:val="0"/>
          <w:szCs w:val="21"/>
        </w:rPr>
      </w:pPr>
      <w:r>
        <w:rPr>
          <w:snapToGrid w:val="0"/>
          <w:kern w:val="0"/>
          <w:szCs w:val="21"/>
        </w:rPr>
        <w:t>3.2、理解图形标注与坐标控制、图形窗口分割的方法；</w:t>
      </w:r>
    </w:p>
    <w:p>
      <w:pPr>
        <w:widowControl/>
        <w:spacing w:line="360" w:lineRule="auto"/>
        <w:ind w:left="426"/>
        <w:jc w:val="left"/>
        <w:rPr>
          <w:snapToGrid w:val="0"/>
          <w:kern w:val="0"/>
          <w:szCs w:val="21"/>
        </w:rPr>
      </w:pPr>
      <w:r>
        <w:rPr>
          <w:snapToGrid w:val="0"/>
          <w:kern w:val="0"/>
          <w:szCs w:val="21"/>
        </w:rPr>
        <w:t>3.3、理解三维曲线、三维曲面的绘制方法；</w:t>
      </w:r>
    </w:p>
    <w:p>
      <w:pPr>
        <w:widowControl/>
        <w:spacing w:line="360" w:lineRule="auto"/>
        <w:ind w:left="426"/>
        <w:jc w:val="left"/>
        <w:rPr>
          <w:snapToGrid w:val="0"/>
          <w:kern w:val="0"/>
          <w:szCs w:val="21"/>
        </w:rPr>
      </w:pPr>
      <w:r>
        <w:rPr>
          <w:snapToGrid w:val="0"/>
          <w:kern w:val="0"/>
          <w:szCs w:val="21"/>
        </w:rPr>
        <w:t>3.4、了解隐函数绘图、图形修饰处理、图像处理。</w:t>
      </w:r>
    </w:p>
    <w:p>
      <w:pPr>
        <w:widowControl/>
        <w:spacing w:line="360" w:lineRule="auto"/>
        <w:ind w:firstLine="420" w:firstLineChars="200"/>
        <w:jc w:val="left"/>
        <w:rPr>
          <w:snapToGrid w:val="0"/>
          <w:kern w:val="0"/>
        </w:rPr>
      </w:pPr>
      <w:r>
        <w:rPr>
          <w:snapToGrid w:val="0"/>
          <w:kern w:val="0"/>
        </w:rPr>
        <w:t>重点：二维、三维曲线绘制与标注。</w:t>
      </w:r>
    </w:p>
    <w:p>
      <w:pPr>
        <w:widowControl/>
        <w:spacing w:line="360" w:lineRule="auto"/>
        <w:ind w:firstLine="420" w:firstLineChars="200"/>
        <w:jc w:val="left"/>
        <w:rPr>
          <w:snapToGrid w:val="0"/>
          <w:kern w:val="0"/>
        </w:rPr>
      </w:pPr>
      <w:r>
        <w:rPr>
          <w:snapToGrid w:val="0"/>
          <w:kern w:val="0"/>
        </w:rPr>
        <w:t>难点：多曲线同时绘制。</w:t>
      </w:r>
    </w:p>
    <w:p>
      <w:pPr>
        <w:widowControl/>
        <w:spacing w:line="360" w:lineRule="auto"/>
        <w:ind w:firstLine="420" w:firstLineChars="200"/>
        <w:jc w:val="left"/>
        <w:rPr>
          <w:snapToGrid w:val="0"/>
          <w:kern w:val="0"/>
        </w:rPr>
      </w:pPr>
      <w:r>
        <w:rPr>
          <w:snapToGrid w:val="0"/>
          <w:kern w:val="0"/>
        </w:rPr>
        <w:t>本章内容支撑课程目标</w:t>
      </w:r>
      <w:r>
        <w:rPr>
          <w:rFonts w:hint="eastAsia"/>
          <w:snapToGrid w:val="0"/>
          <w:kern w:val="0"/>
        </w:rPr>
        <w:t>1、</w:t>
      </w:r>
      <w:r>
        <w:rPr>
          <w:snapToGrid w:val="0"/>
          <w:kern w:val="0"/>
        </w:rPr>
        <w:t>2。</w:t>
      </w:r>
    </w:p>
    <w:p>
      <w:pPr>
        <w:widowControl/>
        <w:spacing w:line="360" w:lineRule="auto"/>
        <w:ind w:left="426"/>
        <w:jc w:val="left"/>
        <w:rPr>
          <w:rFonts w:eastAsia="黑体"/>
          <w:snapToGrid w:val="0"/>
          <w:kern w:val="0"/>
          <w:szCs w:val="21"/>
        </w:rPr>
      </w:pPr>
      <w:r>
        <w:rPr>
          <w:rFonts w:eastAsia="黑体"/>
          <w:snapToGrid w:val="0"/>
          <w:kern w:val="0"/>
          <w:szCs w:val="21"/>
        </w:rPr>
        <w:t>4  Simulink仿真基础（8学时）</w:t>
      </w:r>
    </w:p>
    <w:p>
      <w:pPr>
        <w:adjustRightInd w:val="0"/>
        <w:snapToGrid w:val="0"/>
        <w:spacing w:line="360" w:lineRule="auto"/>
        <w:ind w:left="426"/>
        <w:rPr>
          <w:snapToGrid w:val="0"/>
          <w:kern w:val="0"/>
          <w:szCs w:val="21"/>
        </w:rPr>
      </w:pPr>
      <w:r>
        <w:rPr>
          <w:snapToGrid w:val="0"/>
          <w:kern w:val="0"/>
          <w:szCs w:val="21"/>
        </w:rPr>
        <w:t>4.1、Simulink操作基础；</w:t>
      </w:r>
    </w:p>
    <w:p>
      <w:pPr>
        <w:widowControl/>
        <w:spacing w:line="360" w:lineRule="auto"/>
        <w:ind w:left="426"/>
        <w:jc w:val="left"/>
        <w:rPr>
          <w:snapToGrid w:val="0"/>
          <w:kern w:val="0"/>
          <w:szCs w:val="21"/>
        </w:rPr>
      </w:pPr>
      <w:r>
        <w:rPr>
          <w:snapToGrid w:val="0"/>
          <w:kern w:val="0"/>
          <w:szCs w:val="21"/>
        </w:rPr>
        <w:t>4.2、Simulink仿真参数设置；</w:t>
      </w:r>
    </w:p>
    <w:p>
      <w:pPr>
        <w:adjustRightInd w:val="0"/>
        <w:snapToGrid w:val="0"/>
        <w:spacing w:line="360" w:lineRule="auto"/>
        <w:ind w:left="426"/>
        <w:rPr>
          <w:snapToGrid w:val="0"/>
          <w:kern w:val="0"/>
          <w:szCs w:val="21"/>
        </w:rPr>
      </w:pPr>
      <w:r>
        <w:rPr>
          <w:snapToGrid w:val="0"/>
          <w:kern w:val="0"/>
          <w:szCs w:val="21"/>
        </w:rPr>
        <w:t>4.3、Simulink仿真模型创建方法；</w:t>
      </w:r>
    </w:p>
    <w:p>
      <w:pPr>
        <w:widowControl/>
        <w:spacing w:line="360" w:lineRule="auto"/>
        <w:ind w:left="426"/>
        <w:jc w:val="left"/>
        <w:rPr>
          <w:snapToGrid w:val="0"/>
          <w:kern w:val="0"/>
          <w:szCs w:val="21"/>
        </w:rPr>
      </w:pPr>
      <w:r>
        <w:rPr>
          <w:snapToGrid w:val="0"/>
          <w:kern w:val="0"/>
          <w:szCs w:val="21"/>
        </w:rPr>
        <w:t>4.4、Simulink子系统创建；</w:t>
      </w:r>
    </w:p>
    <w:p>
      <w:pPr>
        <w:widowControl/>
        <w:spacing w:line="360" w:lineRule="auto"/>
        <w:ind w:left="426"/>
        <w:jc w:val="left"/>
        <w:rPr>
          <w:snapToGrid w:val="0"/>
          <w:kern w:val="0"/>
        </w:rPr>
      </w:pPr>
      <w:r>
        <w:rPr>
          <w:snapToGrid w:val="0"/>
          <w:kern w:val="0"/>
          <w:szCs w:val="21"/>
        </w:rPr>
        <w:t>4.5、动态系统仿真实例。</w:t>
      </w:r>
    </w:p>
    <w:p>
      <w:pPr>
        <w:widowControl/>
        <w:spacing w:line="360" w:lineRule="auto"/>
        <w:ind w:firstLine="420" w:firstLineChars="200"/>
        <w:jc w:val="left"/>
        <w:rPr>
          <w:snapToGrid w:val="0"/>
          <w:kern w:val="0"/>
        </w:rPr>
      </w:pPr>
      <w:r>
        <w:rPr>
          <w:snapToGrid w:val="0"/>
          <w:kern w:val="0"/>
        </w:rPr>
        <w:t>重点：</w:t>
      </w:r>
      <w:r>
        <w:rPr>
          <w:snapToGrid w:val="0"/>
          <w:kern w:val="0"/>
          <w:szCs w:val="21"/>
        </w:rPr>
        <w:t>Simulink基础操作及仿真模型与子系统创建；结合一、二阶系统建模仿真进行讲解</w:t>
      </w:r>
      <w:r>
        <w:rPr>
          <w:snapToGrid w:val="0"/>
          <w:kern w:val="0"/>
        </w:rPr>
        <w:t>。</w:t>
      </w:r>
    </w:p>
    <w:p>
      <w:pPr>
        <w:widowControl/>
        <w:spacing w:line="360" w:lineRule="auto"/>
        <w:ind w:firstLine="420" w:firstLineChars="200"/>
        <w:jc w:val="left"/>
        <w:rPr>
          <w:snapToGrid w:val="0"/>
          <w:kern w:val="0"/>
        </w:rPr>
      </w:pPr>
      <w:r>
        <w:rPr>
          <w:snapToGrid w:val="0"/>
          <w:kern w:val="0"/>
        </w:rPr>
        <w:t>难点：子系统创建与参数设置。</w:t>
      </w:r>
    </w:p>
    <w:p>
      <w:pPr>
        <w:widowControl/>
        <w:spacing w:line="360" w:lineRule="auto"/>
        <w:ind w:firstLine="420" w:firstLineChars="200"/>
        <w:jc w:val="left"/>
        <w:rPr>
          <w:snapToGrid w:val="0"/>
          <w:kern w:val="0"/>
        </w:rPr>
      </w:pPr>
      <w:r>
        <w:rPr>
          <w:snapToGrid w:val="0"/>
          <w:kern w:val="0"/>
        </w:rPr>
        <w:t>本章内容支撑课程目标</w:t>
      </w:r>
      <w:r>
        <w:rPr>
          <w:rFonts w:hint="eastAsia"/>
          <w:snapToGrid w:val="0"/>
          <w:kern w:val="0"/>
        </w:rPr>
        <w:t>1、</w:t>
      </w:r>
      <w:r>
        <w:rPr>
          <w:snapToGrid w:val="0"/>
          <w:kern w:val="0"/>
        </w:rPr>
        <w:t>2。</w:t>
      </w:r>
    </w:p>
    <w:p>
      <w:pPr>
        <w:widowControl/>
        <w:spacing w:line="360" w:lineRule="auto"/>
        <w:ind w:left="426"/>
        <w:jc w:val="left"/>
        <w:rPr>
          <w:rFonts w:eastAsia="黑体"/>
          <w:snapToGrid w:val="0"/>
          <w:kern w:val="0"/>
          <w:szCs w:val="21"/>
        </w:rPr>
      </w:pPr>
      <w:r>
        <w:rPr>
          <w:rFonts w:eastAsia="黑体"/>
          <w:snapToGrid w:val="0"/>
          <w:kern w:val="0"/>
          <w:szCs w:val="21"/>
        </w:rPr>
        <w:t>5  Simulink工程仿真（8学时）</w:t>
      </w:r>
    </w:p>
    <w:p>
      <w:pPr>
        <w:adjustRightInd w:val="0"/>
        <w:snapToGrid w:val="0"/>
        <w:spacing w:line="360" w:lineRule="auto"/>
        <w:ind w:left="426"/>
        <w:rPr>
          <w:snapToGrid w:val="0"/>
          <w:kern w:val="0"/>
          <w:szCs w:val="21"/>
        </w:rPr>
      </w:pPr>
      <w:r>
        <w:rPr>
          <w:snapToGrid w:val="0"/>
          <w:kern w:val="0"/>
          <w:szCs w:val="21"/>
        </w:rPr>
        <w:t>5.1、典型机电系统高抗扰控制方法简介；</w:t>
      </w:r>
    </w:p>
    <w:p>
      <w:pPr>
        <w:adjustRightInd w:val="0"/>
        <w:snapToGrid w:val="0"/>
        <w:spacing w:line="360" w:lineRule="auto"/>
        <w:ind w:left="426"/>
        <w:rPr>
          <w:snapToGrid w:val="0"/>
          <w:kern w:val="0"/>
          <w:szCs w:val="21"/>
        </w:rPr>
      </w:pPr>
      <w:r>
        <w:rPr>
          <w:snapToGrid w:val="0"/>
          <w:kern w:val="0"/>
          <w:szCs w:val="21"/>
        </w:rPr>
        <w:t>5.2</w:t>
      </w:r>
      <w:r>
        <w:rPr>
          <w:snapToGrid w:val="0"/>
          <w:kern w:val="0"/>
        </w:rPr>
        <w:t>、</w:t>
      </w:r>
      <w:r>
        <w:rPr>
          <w:snapToGrid w:val="0"/>
          <w:kern w:val="0"/>
          <w:szCs w:val="21"/>
        </w:rPr>
        <w:t>基于Simulink的积分鲁棒/自抗扰控制算法设计与验证；</w:t>
      </w:r>
    </w:p>
    <w:p>
      <w:pPr>
        <w:widowControl/>
        <w:spacing w:line="360" w:lineRule="auto"/>
        <w:ind w:firstLine="420" w:firstLineChars="200"/>
        <w:jc w:val="left"/>
        <w:rPr>
          <w:snapToGrid w:val="0"/>
          <w:kern w:val="0"/>
        </w:rPr>
      </w:pPr>
      <w:r>
        <w:rPr>
          <w:snapToGrid w:val="0"/>
          <w:kern w:val="0"/>
        </w:rPr>
        <w:t>5.3、</w:t>
      </w:r>
      <w:r>
        <w:rPr>
          <w:snapToGrid w:val="0"/>
          <w:kern w:val="0"/>
          <w:szCs w:val="21"/>
        </w:rPr>
        <w:t>Simulink仿真</w:t>
      </w:r>
      <w:r>
        <w:rPr>
          <w:snapToGrid w:val="0"/>
          <w:kern w:val="0"/>
        </w:rPr>
        <w:t>调试。</w:t>
      </w:r>
    </w:p>
    <w:p>
      <w:pPr>
        <w:widowControl/>
        <w:spacing w:line="360" w:lineRule="auto"/>
        <w:ind w:left="420" w:leftChars="200"/>
        <w:jc w:val="left"/>
        <w:rPr>
          <w:snapToGrid w:val="0"/>
          <w:kern w:val="0"/>
        </w:rPr>
      </w:pPr>
      <w:r>
        <w:rPr>
          <w:snapToGrid w:val="0"/>
          <w:kern w:val="0"/>
        </w:rPr>
        <w:t>重点：典型机电系统控制方法原理简介；结合机电系统数学模型和控制方程进行仿真验证。</w:t>
      </w:r>
    </w:p>
    <w:p>
      <w:pPr>
        <w:widowControl/>
        <w:spacing w:line="360" w:lineRule="auto"/>
        <w:ind w:firstLine="420" w:firstLineChars="200"/>
        <w:jc w:val="left"/>
        <w:rPr>
          <w:snapToGrid w:val="0"/>
          <w:kern w:val="0"/>
        </w:rPr>
      </w:pPr>
      <w:r>
        <w:rPr>
          <w:snapToGrid w:val="0"/>
          <w:kern w:val="0"/>
        </w:rPr>
        <w:t>难点：仿真调试。</w:t>
      </w:r>
    </w:p>
    <w:p>
      <w:pPr>
        <w:widowControl/>
        <w:spacing w:line="360" w:lineRule="auto"/>
        <w:ind w:firstLine="420" w:firstLineChars="200"/>
        <w:jc w:val="left"/>
        <w:rPr>
          <w:snapToGrid w:val="0"/>
          <w:kern w:val="0"/>
        </w:rPr>
      </w:pPr>
      <w:r>
        <w:rPr>
          <w:snapToGrid w:val="0"/>
          <w:kern w:val="0"/>
        </w:rPr>
        <w:t>本章内容支撑课程目标1</w:t>
      </w:r>
      <w:r>
        <w:rPr>
          <w:rFonts w:hint="eastAsia"/>
          <w:snapToGrid w:val="0"/>
          <w:kern w:val="0"/>
        </w:rPr>
        <w:t>、</w:t>
      </w:r>
      <w:r>
        <w:rPr>
          <w:snapToGrid w:val="0"/>
          <w:kern w:val="0"/>
        </w:rPr>
        <w:t>2。</w:t>
      </w:r>
    </w:p>
    <w:p>
      <w:pPr>
        <w:tabs>
          <w:tab w:val="left" w:pos="420"/>
        </w:tabs>
        <w:spacing w:line="360" w:lineRule="auto"/>
        <w:ind w:left="420" w:hanging="420"/>
        <w:rPr>
          <w:snapToGrid w:val="0"/>
          <w:kern w:val="0"/>
          <w:szCs w:val="21"/>
        </w:rPr>
      </w:pPr>
    </w:p>
    <w:p>
      <w:pPr>
        <w:tabs>
          <w:tab w:val="left" w:pos="420"/>
        </w:tabs>
        <w:spacing w:line="360" w:lineRule="auto"/>
        <w:ind w:left="420" w:hanging="420"/>
        <w:rPr>
          <w:rFonts w:eastAsia="黑体"/>
          <w:szCs w:val="21"/>
        </w:rPr>
      </w:pPr>
      <w:r>
        <w:rPr>
          <w:rFonts w:eastAsia="黑体"/>
          <w:szCs w:val="21"/>
        </w:rPr>
        <w:t>五、实验内容</w:t>
      </w:r>
    </w:p>
    <w:p>
      <w:pPr>
        <w:widowControl/>
        <w:adjustRightInd w:val="0"/>
        <w:snapToGrid w:val="0"/>
        <w:spacing w:line="360" w:lineRule="auto"/>
        <w:ind w:firstLine="420" w:firstLineChars="200"/>
        <w:jc w:val="left"/>
        <w:rPr>
          <w:kern w:val="0"/>
          <w:szCs w:val="21"/>
        </w:rPr>
      </w:pPr>
      <w:r>
        <w:rPr>
          <w:kern w:val="0"/>
          <w:szCs w:val="21"/>
        </w:rPr>
        <w:t>实验环节主要是上机操作，要求保证上机条件，即计算机安装MATLAB软件全部模块与帮助文档。</w:t>
      </w:r>
    </w:p>
    <w:p>
      <w:pPr>
        <w:widowControl/>
        <w:adjustRightInd w:val="0"/>
        <w:snapToGrid w:val="0"/>
        <w:spacing w:line="360" w:lineRule="auto"/>
        <w:ind w:firstLine="420" w:firstLineChars="200"/>
        <w:jc w:val="left"/>
        <w:rPr>
          <w:rFonts w:eastAsia="黑体"/>
          <w:snapToGrid w:val="0"/>
          <w:kern w:val="0"/>
          <w:szCs w:val="21"/>
        </w:rPr>
      </w:pPr>
      <w:r>
        <w:rPr>
          <w:rFonts w:eastAsia="黑体"/>
          <w:snapToGrid w:val="0"/>
          <w:kern w:val="0"/>
          <w:szCs w:val="21"/>
        </w:rPr>
        <w:t>实验一 MATLAB操作基础（2学时）</w:t>
      </w:r>
    </w:p>
    <w:p>
      <w:pPr>
        <w:adjustRightInd w:val="0"/>
        <w:snapToGrid w:val="0"/>
        <w:spacing w:line="360" w:lineRule="auto"/>
        <w:ind w:firstLine="420" w:firstLineChars="200"/>
        <w:rPr>
          <w:kern w:val="0"/>
          <w:szCs w:val="21"/>
        </w:rPr>
      </w:pPr>
      <w:r>
        <w:rPr>
          <w:kern w:val="0"/>
          <w:szCs w:val="21"/>
        </w:rPr>
        <w:t>内容：熟悉MATLAB软件的使用方法；掌握矩阵建立和矩阵元素的访问方法，掌握矩阵相关的各种运输符的使用方法，掌握线性方程组求解方法。</w:t>
      </w:r>
    </w:p>
    <w:p>
      <w:pPr>
        <w:adjustRightInd w:val="0"/>
        <w:snapToGrid w:val="0"/>
        <w:spacing w:line="360" w:lineRule="auto"/>
        <w:ind w:firstLine="420" w:firstLineChars="200"/>
        <w:rPr>
          <w:kern w:val="0"/>
          <w:szCs w:val="21"/>
        </w:rPr>
      </w:pPr>
      <w:r>
        <w:rPr>
          <w:kern w:val="0"/>
          <w:szCs w:val="21"/>
        </w:rPr>
        <w:t>基本要求：</w:t>
      </w:r>
    </w:p>
    <w:p>
      <w:pPr>
        <w:adjustRightInd w:val="0"/>
        <w:snapToGrid w:val="0"/>
        <w:spacing w:line="360" w:lineRule="auto"/>
        <w:ind w:firstLine="420" w:firstLineChars="200"/>
        <w:rPr>
          <w:kern w:val="0"/>
          <w:szCs w:val="21"/>
        </w:rPr>
      </w:pPr>
      <w:r>
        <w:rPr>
          <w:kern w:val="0"/>
          <w:szCs w:val="21"/>
        </w:rPr>
        <w:t>1、熟悉MATLAB主要菜单和窗口的功能与操作方法；</w:t>
      </w:r>
    </w:p>
    <w:p>
      <w:pPr>
        <w:adjustRightInd w:val="0"/>
        <w:snapToGrid w:val="0"/>
        <w:spacing w:line="360" w:lineRule="auto"/>
        <w:ind w:firstLine="420" w:firstLineChars="200"/>
        <w:rPr>
          <w:kern w:val="0"/>
          <w:szCs w:val="21"/>
        </w:rPr>
      </w:pPr>
      <w:r>
        <w:rPr>
          <w:kern w:val="0"/>
          <w:szCs w:val="21"/>
        </w:rPr>
        <w:t>2、创建矩阵，并使用各种运算符对矩阵进行运算，掌握矩阵建立和矩阵元素的访问方法，掌握矩阵相关的各种运输符的使用方法；</w:t>
      </w:r>
    </w:p>
    <w:p>
      <w:pPr>
        <w:adjustRightInd w:val="0"/>
        <w:snapToGrid w:val="0"/>
        <w:spacing w:line="360" w:lineRule="auto"/>
        <w:ind w:firstLine="420" w:firstLineChars="200"/>
        <w:rPr>
          <w:kern w:val="0"/>
          <w:szCs w:val="21"/>
        </w:rPr>
      </w:pPr>
      <w:r>
        <w:rPr>
          <w:kern w:val="0"/>
          <w:szCs w:val="21"/>
        </w:rPr>
        <w:t>3、用MATLAB解线性方程组。</w:t>
      </w:r>
    </w:p>
    <w:p>
      <w:pPr>
        <w:adjustRightInd w:val="0"/>
        <w:snapToGrid w:val="0"/>
        <w:spacing w:line="360" w:lineRule="auto"/>
        <w:ind w:firstLine="420" w:firstLineChars="200"/>
        <w:rPr>
          <w:kern w:val="0"/>
          <w:szCs w:val="21"/>
        </w:rPr>
      </w:pPr>
      <w:r>
        <w:rPr>
          <w:rFonts w:cs="宋体"/>
          <w:bCs/>
          <w:snapToGrid w:val="0"/>
          <w:kern w:val="0"/>
          <w:szCs w:val="21"/>
        </w:rPr>
        <w:t>本实验支撑课程目标1</w:t>
      </w:r>
      <w:r>
        <w:rPr>
          <w:rFonts w:hint="eastAsia" w:cs="宋体"/>
          <w:bCs/>
          <w:snapToGrid w:val="0"/>
          <w:kern w:val="0"/>
          <w:szCs w:val="21"/>
        </w:rPr>
        <w:t>。</w:t>
      </w:r>
    </w:p>
    <w:p>
      <w:pPr>
        <w:widowControl/>
        <w:adjustRightInd w:val="0"/>
        <w:snapToGrid w:val="0"/>
        <w:spacing w:line="360" w:lineRule="auto"/>
        <w:ind w:firstLine="420" w:firstLineChars="200"/>
        <w:jc w:val="left"/>
        <w:rPr>
          <w:rFonts w:eastAsia="黑体"/>
          <w:snapToGrid w:val="0"/>
          <w:kern w:val="0"/>
          <w:szCs w:val="21"/>
        </w:rPr>
      </w:pPr>
      <w:r>
        <w:rPr>
          <w:rFonts w:eastAsia="黑体"/>
          <w:snapToGrid w:val="0"/>
          <w:kern w:val="0"/>
          <w:szCs w:val="21"/>
        </w:rPr>
        <w:t>实验二 MATLAB程序设计实验1（2学时）</w:t>
      </w:r>
    </w:p>
    <w:p>
      <w:pPr>
        <w:adjustRightInd w:val="0"/>
        <w:snapToGrid w:val="0"/>
        <w:spacing w:line="360" w:lineRule="auto"/>
        <w:ind w:firstLine="420" w:firstLineChars="200"/>
        <w:rPr>
          <w:kern w:val="0"/>
          <w:szCs w:val="21"/>
        </w:rPr>
      </w:pPr>
      <w:r>
        <w:rPr>
          <w:kern w:val="0"/>
          <w:szCs w:val="21"/>
        </w:rPr>
        <w:t>内容：掌握MATLAB程序设计与调试方法。</w:t>
      </w:r>
    </w:p>
    <w:p>
      <w:pPr>
        <w:adjustRightInd w:val="0"/>
        <w:snapToGrid w:val="0"/>
        <w:spacing w:line="360" w:lineRule="auto"/>
        <w:ind w:firstLine="420" w:firstLineChars="200"/>
        <w:rPr>
          <w:kern w:val="0"/>
          <w:szCs w:val="21"/>
        </w:rPr>
      </w:pPr>
      <w:r>
        <w:rPr>
          <w:kern w:val="0"/>
          <w:szCs w:val="21"/>
        </w:rPr>
        <w:t>基本要求：</w:t>
      </w:r>
    </w:p>
    <w:p>
      <w:pPr>
        <w:adjustRightInd w:val="0"/>
        <w:snapToGrid w:val="0"/>
        <w:spacing w:line="360" w:lineRule="auto"/>
        <w:ind w:firstLine="420" w:firstLineChars="200"/>
        <w:rPr>
          <w:kern w:val="0"/>
          <w:szCs w:val="21"/>
        </w:rPr>
      </w:pPr>
      <w:r>
        <w:rPr>
          <w:kern w:val="0"/>
          <w:szCs w:val="21"/>
        </w:rPr>
        <w:t>1、掌握程序设计语句的用法，包含条件判断、循环控制、参数输入输出；</w:t>
      </w:r>
    </w:p>
    <w:p>
      <w:pPr>
        <w:adjustRightInd w:val="0"/>
        <w:snapToGrid w:val="0"/>
        <w:spacing w:line="360" w:lineRule="auto"/>
        <w:ind w:firstLine="420" w:firstLineChars="200"/>
        <w:rPr>
          <w:kern w:val="0"/>
          <w:szCs w:val="21"/>
        </w:rPr>
      </w:pPr>
      <w:r>
        <w:rPr>
          <w:kern w:val="0"/>
          <w:szCs w:val="21"/>
        </w:rPr>
        <w:t>2、掌握程序的调试方法。</w:t>
      </w:r>
    </w:p>
    <w:p>
      <w:pPr>
        <w:adjustRightInd w:val="0"/>
        <w:snapToGrid w:val="0"/>
        <w:spacing w:line="360" w:lineRule="auto"/>
        <w:ind w:firstLine="420" w:firstLineChars="200"/>
        <w:rPr>
          <w:kern w:val="0"/>
          <w:szCs w:val="21"/>
        </w:rPr>
      </w:pPr>
      <w:r>
        <w:rPr>
          <w:rFonts w:cs="宋体"/>
          <w:bCs/>
          <w:snapToGrid w:val="0"/>
          <w:kern w:val="0"/>
          <w:szCs w:val="21"/>
        </w:rPr>
        <w:t>本实验支撑课程目标</w:t>
      </w:r>
      <w:r>
        <w:rPr>
          <w:rFonts w:hint="eastAsia"/>
          <w:snapToGrid w:val="0"/>
          <w:kern w:val="0"/>
        </w:rPr>
        <w:t>1、</w:t>
      </w:r>
      <w:r>
        <w:rPr>
          <w:snapToGrid w:val="0"/>
          <w:kern w:val="0"/>
        </w:rPr>
        <w:t>2</w:t>
      </w:r>
      <w:r>
        <w:rPr>
          <w:rFonts w:hint="eastAsia" w:cs="宋体"/>
          <w:bCs/>
          <w:snapToGrid w:val="0"/>
          <w:kern w:val="0"/>
          <w:szCs w:val="21"/>
        </w:rPr>
        <w:t>。</w:t>
      </w:r>
    </w:p>
    <w:p>
      <w:pPr>
        <w:widowControl/>
        <w:adjustRightInd w:val="0"/>
        <w:snapToGrid w:val="0"/>
        <w:spacing w:line="360" w:lineRule="auto"/>
        <w:ind w:firstLine="420" w:firstLineChars="200"/>
        <w:jc w:val="left"/>
        <w:rPr>
          <w:rFonts w:eastAsia="黑体"/>
          <w:snapToGrid w:val="0"/>
          <w:kern w:val="0"/>
          <w:szCs w:val="21"/>
        </w:rPr>
      </w:pPr>
      <w:r>
        <w:rPr>
          <w:rFonts w:eastAsia="黑体"/>
          <w:snapToGrid w:val="0"/>
          <w:kern w:val="0"/>
          <w:szCs w:val="21"/>
        </w:rPr>
        <w:t>实验三 MATLAB程序设计实验2（2学时）</w:t>
      </w:r>
    </w:p>
    <w:p>
      <w:pPr>
        <w:adjustRightInd w:val="0"/>
        <w:snapToGrid w:val="0"/>
        <w:spacing w:line="360" w:lineRule="auto"/>
        <w:ind w:firstLine="420" w:firstLineChars="200"/>
        <w:rPr>
          <w:kern w:val="0"/>
          <w:szCs w:val="21"/>
        </w:rPr>
      </w:pPr>
      <w:r>
        <w:rPr>
          <w:kern w:val="0"/>
          <w:szCs w:val="21"/>
        </w:rPr>
        <w:t>内容：掌握复杂程序设计方法。</w:t>
      </w:r>
    </w:p>
    <w:p>
      <w:pPr>
        <w:adjustRightInd w:val="0"/>
        <w:snapToGrid w:val="0"/>
        <w:spacing w:line="360" w:lineRule="auto"/>
        <w:ind w:firstLine="420" w:firstLineChars="200"/>
        <w:rPr>
          <w:kern w:val="0"/>
          <w:szCs w:val="21"/>
        </w:rPr>
      </w:pPr>
      <w:r>
        <w:rPr>
          <w:kern w:val="0"/>
          <w:szCs w:val="21"/>
        </w:rPr>
        <w:t>基本要求：</w:t>
      </w:r>
    </w:p>
    <w:p>
      <w:pPr>
        <w:adjustRightInd w:val="0"/>
        <w:snapToGrid w:val="0"/>
        <w:spacing w:line="360" w:lineRule="auto"/>
        <w:ind w:firstLine="420" w:firstLineChars="200"/>
        <w:rPr>
          <w:kern w:val="0"/>
          <w:szCs w:val="21"/>
        </w:rPr>
      </w:pPr>
      <w:r>
        <w:rPr>
          <w:kern w:val="0"/>
          <w:szCs w:val="21"/>
        </w:rPr>
        <w:t>1、掌握函数嵌套调用方法及函数间参数传递方法；</w:t>
      </w:r>
    </w:p>
    <w:p>
      <w:pPr>
        <w:adjustRightInd w:val="0"/>
        <w:snapToGrid w:val="0"/>
        <w:spacing w:line="360" w:lineRule="auto"/>
        <w:ind w:firstLine="420" w:firstLineChars="200"/>
        <w:rPr>
          <w:kern w:val="0"/>
          <w:szCs w:val="21"/>
        </w:rPr>
      </w:pPr>
      <w:r>
        <w:rPr>
          <w:kern w:val="0"/>
          <w:szCs w:val="21"/>
        </w:rPr>
        <w:t>2、掌握程序界面设计方法，学会定制自己的工具箱。</w:t>
      </w:r>
    </w:p>
    <w:p>
      <w:pPr>
        <w:adjustRightInd w:val="0"/>
        <w:snapToGrid w:val="0"/>
        <w:spacing w:line="360" w:lineRule="auto"/>
        <w:ind w:firstLine="420" w:firstLineChars="200"/>
        <w:rPr>
          <w:kern w:val="0"/>
          <w:szCs w:val="21"/>
        </w:rPr>
      </w:pPr>
      <w:r>
        <w:rPr>
          <w:rFonts w:cs="宋体"/>
          <w:bCs/>
          <w:snapToGrid w:val="0"/>
          <w:kern w:val="0"/>
          <w:szCs w:val="21"/>
        </w:rPr>
        <w:t>本实验支撑课程目标</w:t>
      </w:r>
      <w:r>
        <w:rPr>
          <w:rFonts w:hint="eastAsia"/>
          <w:snapToGrid w:val="0"/>
          <w:kern w:val="0"/>
        </w:rPr>
        <w:t>1、</w:t>
      </w:r>
      <w:r>
        <w:rPr>
          <w:snapToGrid w:val="0"/>
          <w:kern w:val="0"/>
        </w:rPr>
        <w:t>2</w:t>
      </w:r>
      <w:r>
        <w:rPr>
          <w:rFonts w:hint="eastAsia" w:cs="宋体"/>
          <w:bCs/>
          <w:snapToGrid w:val="0"/>
          <w:kern w:val="0"/>
          <w:szCs w:val="21"/>
        </w:rPr>
        <w:t>。</w:t>
      </w:r>
    </w:p>
    <w:p>
      <w:pPr>
        <w:widowControl/>
        <w:adjustRightInd w:val="0"/>
        <w:snapToGrid w:val="0"/>
        <w:spacing w:line="360" w:lineRule="auto"/>
        <w:ind w:firstLine="420" w:firstLineChars="200"/>
        <w:jc w:val="left"/>
        <w:rPr>
          <w:rFonts w:eastAsia="黑体"/>
          <w:snapToGrid w:val="0"/>
          <w:kern w:val="0"/>
          <w:szCs w:val="21"/>
        </w:rPr>
      </w:pPr>
      <w:r>
        <w:rPr>
          <w:rFonts w:eastAsia="黑体"/>
          <w:snapToGrid w:val="0"/>
          <w:kern w:val="0"/>
          <w:szCs w:val="21"/>
        </w:rPr>
        <w:t>实验四 MATLAB绘图实验（2学时）</w:t>
      </w:r>
    </w:p>
    <w:p>
      <w:pPr>
        <w:adjustRightInd w:val="0"/>
        <w:snapToGrid w:val="0"/>
        <w:spacing w:line="360" w:lineRule="auto"/>
        <w:ind w:firstLine="420" w:firstLineChars="200"/>
        <w:rPr>
          <w:kern w:val="0"/>
          <w:szCs w:val="21"/>
        </w:rPr>
      </w:pPr>
      <w:r>
        <w:rPr>
          <w:kern w:val="0"/>
          <w:szCs w:val="21"/>
        </w:rPr>
        <w:t>内容：掌握MATLAB绘制二维图、三维图的绘制与标注方法。</w:t>
      </w:r>
    </w:p>
    <w:p>
      <w:pPr>
        <w:adjustRightInd w:val="0"/>
        <w:snapToGrid w:val="0"/>
        <w:spacing w:line="360" w:lineRule="auto"/>
        <w:ind w:firstLine="420" w:firstLineChars="200"/>
        <w:rPr>
          <w:kern w:val="0"/>
          <w:szCs w:val="21"/>
        </w:rPr>
      </w:pPr>
      <w:r>
        <w:rPr>
          <w:kern w:val="0"/>
          <w:szCs w:val="21"/>
        </w:rPr>
        <w:t>基本要求：</w:t>
      </w:r>
    </w:p>
    <w:p>
      <w:pPr>
        <w:adjustRightInd w:val="0"/>
        <w:snapToGrid w:val="0"/>
        <w:spacing w:line="360" w:lineRule="auto"/>
        <w:ind w:firstLine="420" w:firstLineChars="200"/>
        <w:rPr>
          <w:kern w:val="0"/>
          <w:szCs w:val="21"/>
        </w:rPr>
      </w:pPr>
      <w:r>
        <w:rPr>
          <w:kern w:val="0"/>
          <w:szCs w:val="21"/>
        </w:rPr>
        <w:t>1、掌握二维线性图、条状图、火柴杆图、饼图、极坐标图、对数图的绘制方法；</w:t>
      </w:r>
    </w:p>
    <w:p>
      <w:pPr>
        <w:adjustRightInd w:val="0"/>
        <w:snapToGrid w:val="0"/>
        <w:spacing w:line="360" w:lineRule="auto"/>
        <w:ind w:firstLine="420" w:firstLineChars="200"/>
        <w:rPr>
          <w:kern w:val="0"/>
          <w:szCs w:val="21"/>
        </w:rPr>
      </w:pPr>
      <w:r>
        <w:rPr>
          <w:kern w:val="0"/>
          <w:szCs w:val="21"/>
        </w:rPr>
        <w:t>2、掌握三维曲线、曲面图的绘制方法；</w:t>
      </w:r>
    </w:p>
    <w:p>
      <w:pPr>
        <w:adjustRightInd w:val="0"/>
        <w:snapToGrid w:val="0"/>
        <w:spacing w:line="360" w:lineRule="auto"/>
        <w:ind w:firstLine="420" w:firstLineChars="200"/>
        <w:rPr>
          <w:kern w:val="0"/>
          <w:szCs w:val="21"/>
        </w:rPr>
      </w:pPr>
      <w:r>
        <w:rPr>
          <w:kern w:val="0"/>
          <w:szCs w:val="21"/>
        </w:rPr>
        <w:t>3、掌握图形标注与叠加绘制的方法。</w:t>
      </w:r>
    </w:p>
    <w:p>
      <w:pPr>
        <w:adjustRightInd w:val="0"/>
        <w:snapToGrid w:val="0"/>
        <w:spacing w:line="360" w:lineRule="auto"/>
        <w:ind w:firstLine="420" w:firstLineChars="200"/>
        <w:rPr>
          <w:kern w:val="0"/>
          <w:szCs w:val="21"/>
        </w:rPr>
      </w:pPr>
      <w:r>
        <w:rPr>
          <w:rFonts w:cs="宋体"/>
          <w:bCs/>
          <w:snapToGrid w:val="0"/>
          <w:kern w:val="0"/>
          <w:szCs w:val="21"/>
        </w:rPr>
        <w:t>本实验支撑课程目标</w:t>
      </w:r>
      <w:r>
        <w:rPr>
          <w:rFonts w:hint="eastAsia"/>
          <w:snapToGrid w:val="0"/>
          <w:kern w:val="0"/>
        </w:rPr>
        <w:t>1、</w:t>
      </w:r>
      <w:r>
        <w:rPr>
          <w:snapToGrid w:val="0"/>
          <w:kern w:val="0"/>
        </w:rPr>
        <w:t>2</w:t>
      </w:r>
      <w:r>
        <w:rPr>
          <w:rFonts w:hint="eastAsia" w:cs="宋体"/>
          <w:bCs/>
          <w:snapToGrid w:val="0"/>
          <w:kern w:val="0"/>
          <w:szCs w:val="21"/>
        </w:rPr>
        <w:t>。</w:t>
      </w:r>
    </w:p>
    <w:p>
      <w:pPr>
        <w:widowControl/>
        <w:spacing w:line="360" w:lineRule="auto"/>
        <w:ind w:left="422" w:leftChars="201"/>
        <w:jc w:val="left"/>
        <w:rPr>
          <w:rFonts w:eastAsia="黑体"/>
          <w:kern w:val="0"/>
          <w:szCs w:val="21"/>
        </w:rPr>
      </w:pPr>
      <w:r>
        <w:rPr>
          <w:rFonts w:eastAsia="黑体"/>
          <w:snapToGrid w:val="0"/>
          <w:kern w:val="0"/>
          <w:szCs w:val="21"/>
        </w:rPr>
        <w:t>实验五</w:t>
      </w:r>
      <w:r>
        <w:rPr>
          <w:rFonts w:eastAsia="黑体"/>
          <w:szCs w:val="21"/>
        </w:rPr>
        <w:t>Simulink仿真基础实验1（2学时）</w:t>
      </w:r>
    </w:p>
    <w:p>
      <w:pPr>
        <w:adjustRightInd w:val="0"/>
        <w:snapToGrid w:val="0"/>
        <w:spacing w:line="360" w:lineRule="auto"/>
        <w:ind w:firstLine="420" w:firstLineChars="200"/>
        <w:rPr>
          <w:kern w:val="0"/>
          <w:szCs w:val="21"/>
        </w:rPr>
      </w:pPr>
      <w:r>
        <w:rPr>
          <w:kern w:val="0"/>
          <w:szCs w:val="21"/>
        </w:rPr>
        <w:t>内容：掌握Simulink仿真模型的建立与仿真参数的设计方法。</w:t>
      </w:r>
    </w:p>
    <w:p>
      <w:pPr>
        <w:adjustRightInd w:val="0"/>
        <w:snapToGrid w:val="0"/>
        <w:spacing w:line="360" w:lineRule="auto"/>
        <w:ind w:firstLine="420" w:firstLineChars="200"/>
        <w:rPr>
          <w:kern w:val="0"/>
          <w:szCs w:val="21"/>
        </w:rPr>
      </w:pPr>
      <w:r>
        <w:rPr>
          <w:kern w:val="0"/>
          <w:szCs w:val="21"/>
        </w:rPr>
        <w:t>基本要求：</w:t>
      </w:r>
    </w:p>
    <w:p>
      <w:pPr>
        <w:adjustRightInd w:val="0"/>
        <w:snapToGrid w:val="0"/>
        <w:spacing w:line="360" w:lineRule="auto"/>
        <w:ind w:firstLine="420" w:firstLineChars="200"/>
        <w:rPr>
          <w:kern w:val="0"/>
          <w:szCs w:val="21"/>
        </w:rPr>
      </w:pPr>
      <w:r>
        <w:rPr>
          <w:kern w:val="0"/>
          <w:szCs w:val="21"/>
        </w:rPr>
        <w:t>1、掌握Simulink模块的连接、缩放、旋转、标注方法；</w:t>
      </w:r>
    </w:p>
    <w:p>
      <w:pPr>
        <w:adjustRightInd w:val="0"/>
        <w:snapToGrid w:val="0"/>
        <w:spacing w:line="360" w:lineRule="auto"/>
        <w:ind w:firstLine="420" w:firstLineChars="200"/>
        <w:rPr>
          <w:kern w:val="0"/>
          <w:szCs w:val="21"/>
        </w:rPr>
      </w:pPr>
      <w:r>
        <w:rPr>
          <w:kern w:val="0"/>
          <w:szCs w:val="21"/>
        </w:rPr>
        <w:t>2、掌握Simulink创建子系统的方法；</w:t>
      </w:r>
    </w:p>
    <w:p>
      <w:pPr>
        <w:adjustRightInd w:val="0"/>
        <w:snapToGrid w:val="0"/>
        <w:spacing w:line="360" w:lineRule="auto"/>
        <w:ind w:firstLine="420" w:firstLineChars="200"/>
        <w:rPr>
          <w:kern w:val="0"/>
          <w:szCs w:val="21"/>
        </w:rPr>
      </w:pPr>
      <w:r>
        <w:rPr>
          <w:kern w:val="0"/>
          <w:szCs w:val="21"/>
        </w:rPr>
        <w:t>3、掌握Simulink仿真参数输入输出方法；</w:t>
      </w:r>
    </w:p>
    <w:p>
      <w:pPr>
        <w:adjustRightInd w:val="0"/>
        <w:snapToGrid w:val="0"/>
        <w:spacing w:line="360" w:lineRule="auto"/>
        <w:ind w:firstLine="420" w:firstLineChars="200"/>
        <w:rPr>
          <w:kern w:val="0"/>
          <w:szCs w:val="21"/>
        </w:rPr>
      </w:pPr>
      <w:r>
        <w:rPr>
          <w:kern w:val="0"/>
          <w:szCs w:val="21"/>
        </w:rPr>
        <w:t>4、熟悉Simulink仿真方法参数配置。</w:t>
      </w:r>
    </w:p>
    <w:p>
      <w:pPr>
        <w:adjustRightInd w:val="0"/>
        <w:snapToGrid w:val="0"/>
        <w:spacing w:line="360" w:lineRule="auto"/>
        <w:ind w:firstLine="420" w:firstLineChars="200"/>
        <w:rPr>
          <w:kern w:val="0"/>
          <w:szCs w:val="21"/>
        </w:rPr>
      </w:pPr>
      <w:r>
        <w:rPr>
          <w:rFonts w:cs="宋体"/>
          <w:bCs/>
          <w:snapToGrid w:val="0"/>
          <w:kern w:val="0"/>
          <w:szCs w:val="21"/>
        </w:rPr>
        <w:t>本实验支撑课程目标</w:t>
      </w:r>
      <w:r>
        <w:rPr>
          <w:rFonts w:hint="eastAsia" w:cs="宋体"/>
          <w:bCs/>
          <w:snapToGrid w:val="0"/>
          <w:kern w:val="0"/>
          <w:szCs w:val="21"/>
        </w:rPr>
        <w:t>2。</w:t>
      </w:r>
    </w:p>
    <w:p>
      <w:pPr>
        <w:widowControl/>
        <w:adjustRightInd w:val="0"/>
        <w:snapToGrid w:val="0"/>
        <w:spacing w:line="360" w:lineRule="auto"/>
        <w:ind w:firstLine="420" w:firstLineChars="200"/>
        <w:jc w:val="left"/>
        <w:rPr>
          <w:rFonts w:eastAsia="黑体"/>
          <w:snapToGrid w:val="0"/>
          <w:kern w:val="0"/>
          <w:szCs w:val="21"/>
        </w:rPr>
      </w:pPr>
      <w:r>
        <w:rPr>
          <w:rFonts w:eastAsia="黑体"/>
          <w:snapToGrid w:val="0"/>
          <w:kern w:val="0"/>
          <w:szCs w:val="21"/>
        </w:rPr>
        <w:t>实验六</w:t>
      </w:r>
      <w:r>
        <w:rPr>
          <w:rFonts w:eastAsia="黑体"/>
          <w:szCs w:val="21"/>
        </w:rPr>
        <w:t>Simulink仿真基础实验2（2学时）</w:t>
      </w:r>
    </w:p>
    <w:p>
      <w:pPr>
        <w:adjustRightInd w:val="0"/>
        <w:snapToGrid w:val="0"/>
        <w:spacing w:line="360" w:lineRule="auto"/>
        <w:ind w:firstLine="420" w:firstLineChars="200"/>
        <w:rPr>
          <w:kern w:val="0"/>
          <w:szCs w:val="21"/>
        </w:rPr>
      </w:pPr>
      <w:r>
        <w:rPr>
          <w:kern w:val="0"/>
          <w:szCs w:val="21"/>
        </w:rPr>
        <w:t>内容：一阶二阶系统建模仿真。</w:t>
      </w:r>
    </w:p>
    <w:p>
      <w:pPr>
        <w:adjustRightInd w:val="0"/>
        <w:snapToGrid w:val="0"/>
        <w:spacing w:line="360" w:lineRule="auto"/>
        <w:ind w:firstLine="420" w:firstLineChars="200"/>
        <w:rPr>
          <w:kern w:val="0"/>
          <w:szCs w:val="21"/>
        </w:rPr>
      </w:pPr>
      <w:r>
        <w:rPr>
          <w:kern w:val="0"/>
          <w:szCs w:val="21"/>
        </w:rPr>
        <w:t>基本要求：</w:t>
      </w:r>
    </w:p>
    <w:p>
      <w:pPr>
        <w:adjustRightInd w:val="0"/>
        <w:snapToGrid w:val="0"/>
        <w:spacing w:line="360" w:lineRule="auto"/>
        <w:ind w:firstLine="420" w:firstLineChars="200"/>
        <w:rPr>
          <w:kern w:val="0"/>
          <w:szCs w:val="21"/>
        </w:rPr>
      </w:pPr>
      <w:r>
        <w:rPr>
          <w:kern w:val="0"/>
          <w:szCs w:val="21"/>
        </w:rPr>
        <w:t>1、掌握微积分在Simulink中的仿真实现方法；</w:t>
      </w:r>
    </w:p>
    <w:p>
      <w:pPr>
        <w:adjustRightInd w:val="0"/>
        <w:snapToGrid w:val="0"/>
        <w:spacing w:line="360" w:lineRule="auto"/>
        <w:ind w:firstLine="420" w:firstLineChars="200"/>
        <w:rPr>
          <w:kern w:val="0"/>
          <w:szCs w:val="21"/>
        </w:rPr>
      </w:pPr>
      <w:r>
        <w:rPr>
          <w:kern w:val="0"/>
          <w:szCs w:val="21"/>
        </w:rPr>
        <w:t>2、掌握一阶二阶系统建模仿真方法。</w:t>
      </w:r>
    </w:p>
    <w:p>
      <w:pPr>
        <w:adjustRightInd w:val="0"/>
        <w:snapToGrid w:val="0"/>
        <w:spacing w:line="360" w:lineRule="auto"/>
        <w:ind w:firstLine="420" w:firstLineChars="200"/>
        <w:rPr>
          <w:kern w:val="0"/>
          <w:szCs w:val="21"/>
        </w:rPr>
      </w:pPr>
      <w:r>
        <w:rPr>
          <w:rFonts w:cs="宋体"/>
          <w:bCs/>
          <w:snapToGrid w:val="0"/>
          <w:kern w:val="0"/>
          <w:szCs w:val="21"/>
        </w:rPr>
        <w:t>本实验支撑课程目标</w:t>
      </w:r>
      <w:r>
        <w:rPr>
          <w:rFonts w:hint="eastAsia" w:cs="宋体"/>
          <w:bCs/>
          <w:snapToGrid w:val="0"/>
          <w:kern w:val="0"/>
          <w:szCs w:val="21"/>
        </w:rPr>
        <w:t>2。</w:t>
      </w:r>
    </w:p>
    <w:p>
      <w:pPr>
        <w:widowControl/>
        <w:adjustRightInd w:val="0"/>
        <w:snapToGrid w:val="0"/>
        <w:spacing w:line="360" w:lineRule="auto"/>
        <w:ind w:firstLine="420" w:firstLineChars="200"/>
        <w:jc w:val="left"/>
        <w:rPr>
          <w:rFonts w:eastAsia="黑体"/>
          <w:snapToGrid w:val="0"/>
          <w:kern w:val="0"/>
          <w:szCs w:val="21"/>
        </w:rPr>
      </w:pPr>
      <w:r>
        <w:rPr>
          <w:rFonts w:eastAsia="黑体"/>
          <w:snapToGrid w:val="0"/>
          <w:kern w:val="0"/>
          <w:szCs w:val="21"/>
        </w:rPr>
        <w:t>实验七 Simulink工程仿真（4学时）</w:t>
      </w:r>
    </w:p>
    <w:p>
      <w:pPr>
        <w:adjustRightInd w:val="0"/>
        <w:snapToGrid w:val="0"/>
        <w:spacing w:line="360" w:lineRule="auto"/>
        <w:ind w:firstLine="420" w:firstLineChars="200"/>
        <w:rPr>
          <w:kern w:val="0"/>
          <w:szCs w:val="21"/>
        </w:rPr>
      </w:pPr>
      <w:r>
        <w:rPr>
          <w:kern w:val="0"/>
          <w:szCs w:val="21"/>
        </w:rPr>
        <w:t>内容：学生针对给定的机电系统模型进行高抗扰控制器的设计与仿真。</w:t>
      </w:r>
    </w:p>
    <w:p>
      <w:pPr>
        <w:adjustRightInd w:val="0"/>
        <w:snapToGrid w:val="0"/>
        <w:spacing w:line="360" w:lineRule="auto"/>
        <w:ind w:firstLine="420" w:firstLineChars="200"/>
        <w:rPr>
          <w:kern w:val="0"/>
          <w:szCs w:val="21"/>
        </w:rPr>
      </w:pPr>
      <w:r>
        <w:rPr>
          <w:kern w:val="0"/>
          <w:szCs w:val="21"/>
        </w:rPr>
        <w:t>基本要求：</w:t>
      </w:r>
    </w:p>
    <w:p>
      <w:pPr>
        <w:adjustRightInd w:val="0"/>
        <w:snapToGrid w:val="0"/>
        <w:spacing w:line="360" w:lineRule="auto"/>
        <w:ind w:firstLine="420" w:firstLineChars="200"/>
        <w:rPr>
          <w:kern w:val="0"/>
          <w:szCs w:val="21"/>
        </w:rPr>
      </w:pPr>
      <w:r>
        <w:rPr>
          <w:kern w:val="0"/>
          <w:szCs w:val="21"/>
        </w:rPr>
        <w:t>1、说明仿真内容解决的控制问题，及问题的数学模型；</w:t>
      </w:r>
    </w:p>
    <w:p>
      <w:pPr>
        <w:adjustRightInd w:val="0"/>
        <w:snapToGrid w:val="0"/>
        <w:spacing w:line="360" w:lineRule="auto"/>
        <w:ind w:firstLine="420" w:firstLineChars="200"/>
        <w:rPr>
          <w:kern w:val="0"/>
          <w:szCs w:val="21"/>
        </w:rPr>
      </w:pPr>
      <w:r>
        <w:rPr>
          <w:kern w:val="0"/>
          <w:szCs w:val="21"/>
        </w:rPr>
        <w:t>2、进行仿真，并对仿真结果进行分析说明；</w:t>
      </w:r>
    </w:p>
    <w:p>
      <w:pPr>
        <w:adjustRightInd w:val="0"/>
        <w:snapToGrid w:val="0"/>
        <w:spacing w:line="360" w:lineRule="auto"/>
        <w:ind w:firstLine="420" w:firstLineChars="200"/>
        <w:rPr>
          <w:kern w:val="0"/>
          <w:szCs w:val="21"/>
        </w:rPr>
      </w:pPr>
      <w:r>
        <w:rPr>
          <w:kern w:val="0"/>
          <w:szCs w:val="21"/>
        </w:rPr>
        <w:t>3、按照科技论文写作格式要求进行仿真实验报告的撰写。</w:t>
      </w:r>
    </w:p>
    <w:p>
      <w:pPr>
        <w:adjustRightInd w:val="0"/>
        <w:snapToGrid w:val="0"/>
        <w:spacing w:line="360" w:lineRule="auto"/>
        <w:ind w:firstLine="420" w:firstLineChars="200"/>
        <w:rPr>
          <w:rFonts w:cs="宋体"/>
          <w:bCs/>
          <w:snapToGrid w:val="0"/>
          <w:kern w:val="0"/>
          <w:szCs w:val="21"/>
        </w:rPr>
      </w:pPr>
      <w:r>
        <w:rPr>
          <w:rFonts w:cs="宋体"/>
          <w:bCs/>
          <w:snapToGrid w:val="0"/>
          <w:kern w:val="0"/>
          <w:szCs w:val="21"/>
        </w:rPr>
        <w:t>本实验支撑课程目标</w:t>
      </w:r>
      <w:r>
        <w:rPr>
          <w:rFonts w:hint="eastAsia" w:cs="宋体"/>
          <w:bCs/>
          <w:snapToGrid w:val="0"/>
          <w:kern w:val="0"/>
          <w:szCs w:val="21"/>
        </w:rPr>
        <w:t>2。</w:t>
      </w:r>
    </w:p>
    <w:p>
      <w:pPr>
        <w:adjustRightInd w:val="0"/>
        <w:snapToGrid w:val="0"/>
        <w:spacing w:line="360" w:lineRule="auto"/>
        <w:ind w:firstLine="420" w:firstLineChars="200"/>
        <w:rPr>
          <w:kern w:val="0"/>
          <w:szCs w:val="21"/>
        </w:rPr>
      </w:pPr>
    </w:p>
    <w:p>
      <w:pPr>
        <w:widowControl/>
        <w:spacing w:line="360" w:lineRule="auto"/>
        <w:jc w:val="left"/>
        <w:rPr>
          <w:rFonts w:eastAsia="黑体"/>
          <w:kern w:val="0"/>
          <w:szCs w:val="21"/>
        </w:rPr>
      </w:pPr>
      <w:r>
        <w:rPr>
          <w:rFonts w:eastAsia="黑体"/>
          <w:kern w:val="0"/>
          <w:szCs w:val="21"/>
        </w:rPr>
        <w:t>六、学时分配</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500"/>
        <w:gridCol w:w="1980"/>
        <w:gridCol w:w="1677"/>
        <w:gridCol w:w="137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052" w:type="pct"/>
            <w:vAlign w:val="center"/>
          </w:tcPr>
          <w:p>
            <w:pPr>
              <w:adjustRightInd w:val="0"/>
              <w:snapToGrid w:val="0"/>
              <w:jc w:val="center"/>
              <w:rPr>
                <w:sz w:val="18"/>
                <w:szCs w:val="18"/>
              </w:rPr>
            </w:pPr>
            <w:r>
              <w:rPr>
                <w:sz w:val="18"/>
                <w:szCs w:val="18"/>
              </w:rPr>
              <w:t>知识点及内容</w:t>
            </w:r>
          </w:p>
        </w:tc>
        <w:tc>
          <w:tcPr>
            <w:tcW w:w="1161" w:type="pct"/>
            <w:vAlign w:val="center"/>
          </w:tcPr>
          <w:p>
            <w:pPr>
              <w:adjustRightInd w:val="0"/>
              <w:snapToGrid w:val="0"/>
              <w:jc w:val="center"/>
              <w:rPr>
                <w:sz w:val="18"/>
                <w:szCs w:val="18"/>
              </w:rPr>
            </w:pPr>
            <w:r>
              <w:rPr>
                <w:sz w:val="18"/>
                <w:szCs w:val="18"/>
              </w:rPr>
              <w:t>讲授（学时）</w:t>
            </w:r>
          </w:p>
        </w:tc>
        <w:tc>
          <w:tcPr>
            <w:tcW w:w="983" w:type="pct"/>
            <w:vAlign w:val="center"/>
          </w:tcPr>
          <w:p>
            <w:pPr>
              <w:adjustRightInd w:val="0"/>
              <w:snapToGrid w:val="0"/>
              <w:jc w:val="center"/>
              <w:rPr>
                <w:sz w:val="18"/>
                <w:szCs w:val="18"/>
              </w:rPr>
            </w:pPr>
            <w:r>
              <w:rPr>
                <w:sz w:val="18"/>
                <w:szCs w:val="18"/>
              </w:rPr>
              <w:t>实验（学时）</w:t>
            </w:r>
          </w:p>
        </w:tc>
        <w:tc>
          <w:tcPr>
            <w:tcW w:w="804" w:type="pct"/>
            <w:vAlign w:val="center"/>
          </w:tcPr>
          <w:p>
            <w:pPr>
              <w:adjustRightInd w:val="0"/>
              <w:snapToGrid w:val="0"/>
              <w:jc w:val="center"/>
              <w:rPr>
                <w:sz w:val="18"/>
                <w:szCs w:val="18"/>
              </w:rPr>
            </w:pPr>
            <w:r>
              <w:rPr>
                <w:sz w:val="18"/>
                <w:szCs w:val="18"/>
              </w:rPr>
              <w:t>小计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052" w:type="pct"/>
            <w:vAlign w:val="center"/>
          </w:tcPr>
          <w:p>
            <w:pPr>
              <w:adjustRightInd w:val="0"/>
              <w:snapToGrid w:val="0"/>
              <w:jc w:val="center"/>
              <w:rPr>
                <w:sz w:val="18"/>
                <w:szCs w:val="18"/>
              </w:rPr>
            </w:pPr>
            <w:r>
              <w:rPr>
                <w:sz w:val="18"/>
                <w:szCs w:val="18"/>
              </w:rPr>
              <w:t>1 MATLAB操作基础</w:t>
            </w:r>
          </w:p>
        </w:tc>
        <w:tc>
          <w:tcPr>
            <w:tcW w:w="1161" w:type="pct"/>
            <w:vAlign w:val="center"/>
          </w:tcPr>
          <w:p>
            <w:pPr>
              <w:adjustRightInd w:val="0"/>
              <w:snapToGrid w:val="0"/>
              <w:jc w:val="center"/>
              <w:rPr>
                <w:sz w:val="18"/>
                <w:szCs w:val="18"/>
              </w:rPr>
            </w:pPr>
            <w:r>
              <w:rPr>
                <w:sz w:val="18"/>
                <w:szCs w:val="18"/>
              </w:rPr>
              <w:t>2</w:t>
            </w:r>
          </w:p>
        </w:tc>
        <w:tc>
          <w:tcPr>
            <w:tcW w:w="983" w:type="pct"/>
            <w:vAlign w:val="center"/>
          </w:tcPr>
          <w:p>
            <w:pPr>
              <w:adjustRightInd w:val="0"/>
              <w:snapToGrid w:val="0"/>
              <w:jc w:val="center"/>
              <w:rPr>
                <w:sz w:val="18"/>
                <w:szCs w:val="18"/>
              </w:rPr>
            </w:pPr>
            <w:r>
              <w:rPr>
                <w:sz w:val="18"/>
                <w:szCs w:val="18"/>
              </w:rPr>
              <w:t>2</w:t>
            </w:r>
          </w:p>
        </w:tc>
        <w:tc>
          <w:tcPr>
            <w:tcW w:w="804" w:type="pct"/>
            <w:vAlign w:val="center"/>
          </w:tcPr>
          <w:p>
            <w:pPr>
              <w:adjustRightInd w:val="0"/>
              <w:snapToGrid w:val="0"/>
              <w:jc w:val="center"/>
              <w:rPr>
                <w:sz w:val="18"/>
                <w:szCs w:val="18"/>
              </w:rPr>
            </w:pPr>
            <w:r>
              <w:rPr>
                <w:sz w:val="18"/>
                <w:szCs w:val="18"/>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052" w:type="pct"/>
            <w:vAlign w:val="center"/>
          </w:tcPr>
          <w:p>
            <w:pPr>
              <w:adjustRightInd w:val="0"/>
              <w:snapToGrid w:val="0"/>
              <w:jc w:val="center"/>
              <w:rPr>
                <w:sz w:val="18"/>
                <w:szCs w:val="18"/>
              </w:rPr>
            </w:pPr>
            <w:r>
              <w:rPr>
                <w:sz w:val="18"/>
                <w:szCs w:val="18"/>
              </w:rPr>
              <w:t>2 MATLAB程序设计</w:t>
            </w:r>
          </w:p>
        </w:tc>
        <w:tc>
          <w:tcPr>
            <w:tcW w:w="1161" w:type="pct"/>
            <w:vAlign w:val="center"/>
          </w:tcPr>
          <w:p>
            <w:pPr>
              <w:adjustRightInd w:val="0"/>
              <w:snapToGrid w:val="0"/>
              <w:jc w:val="center"/>
              <w:rPr>
                <w:sz w:val="18"/>
                <w:szCs w:val="18"/>
              </w:rPr>
            </w:pPr>
            <w:r>
              <w:rPr>
                <w:sz w:val="18"/>
                <w:szCs w:val="18"/>
              </w:rPr>
              <w:t>4</w:t>
            </w:r>
          </w:p>
        </w:tc>
        <w:tc>
          <w:tcPr>
            <w:tcW w:w="983" w:type="pct"/>
            <w:vAlign w:val="center"/>
          </w:tcPr>
          <w:p>
            <w:pPr>
              <w:adjustRightInd w:val="0"/>
              <w:snapToGrid w:val="0"/>
              <w:jc w:val="center"/>
              <w:rPr>
                <w:sz w:val="18"/>
                <w:szCs w:val="18"/>
              </w:rPr>
            </w:pPr>
            <w:r>
              <w:rPr>
                <w:sz w:val="18"/>
                <w:szCs w:val="18"/>
              </w:rPr>
              <w:t>4</w:t>
            </w:r>
          </w:p>
        </w:tc>
        <w:tc>
          <w:tcPr>
            <w:tcW w:w="804" w:type="pct"/>
            <w:vAlign w:val="center"/>
          </w:tcPr>
          <w:p>
            <w:pPr>
              <w:adjustRightInd w:val="0"/>
              <w:snapToGrid w:val="0"/>
              <w:jc w:val="center"/>
              <w:rPr>
                <w:sz w:val="18"/>
                <w:szCs w:val="18"/>
              </w:rPr>
            </w:pPr>
            <w:r>
              <w:rPr>
                <w:sz w:val="18"/>
                <w:szCs w:val="18"/>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052" w:type="pct"/>
            <w:vAlign w:val="center"/>
          </w:tcPr>
          <w:p>
            <w:pPr>
              <w:adjustRightInd w:val="0"/>
              <w:snapToGrid w:val="0"/>
              <w:jc w:val="center"/>
              <w:rPr>
                <w:sz w:val="18"/>
                <w:szCs w:val="18"/>
              </w:rPr>
            </w:pPr>
            <w:r>
              <w:rPr>
                <w:sz w:val="18"/>
                <w:szCs w:val="18"/>
              </w:rPr>
              <w:t>3 MATLAB绘图</w:t>
            </w:r>
          </w:p>
        </w:tc>
        <w:tc>
          <w:tcPr>
            <w:tcW w:w="1161" w:type="pct"/>
            <w:vAlign w:val="center"/>
          </w:tcPr>
          <w:p>
            <w:pPr>
              <w:adjustRightInd w:val="0"/>
              <w:snapToGrid w:val="0"/>
              <w:jc w:val="center"/>
              <w:rPr>
                <w:sz w:val="18"/>
                <w:szCs w:val="18"/>
              </w:rPr>
            </w:pPr>
            <w:r>
              <w:rPr>
                <w:sz w:val="18"/>
                <w:szCs w:val="18"/>
              </w:rPr>
              <w:t>2</w:t>
            </w:r>
          </w:p>
        </w:tc>
        <w:tc>
          <w:tcPr>
            <w:tcW w:w="983" w:type="pct"/>
            <w:vAlign w:val="center"/>
          </w:tcPr>
          <w:p>
            <w:pPr>
              <w:adjustRightInd w:val="0"/>
              <w:snapToGrid w:val="0"/>
              <w:jc w:val="center"/>
              <w:rPr>
                <w:sz w:val="18"/>
                <w:szCs w:val="18"/>
              </w:rPr>
            </w:pPr>
            <w:r>
              <w:rPr>
                <w:sz w:val="18"/>
                <w:szCs w:val="18"/>
              </w:rPr>
              <w:t>2</w:t>
            </w:r>
          </w:p>
        </w:tc>
        <w:tc>
          <w:tcPr>
            <w:tcW w:w="804" w:type="pct"/>
            <w:vAlign w:val="center"/>
          </w:tcPr>
          <w:p>
            <w:pPr>
              <w:adjustRightInd w:val="0"/>
              <w:snapToGrid w:val="0"/>
              <w:jc w:val="center"/>
              <w:rPr>
                <w:sz w:val="18"/>
                <w:szCs w:val="18"/>
              </w:rPr>
            </w:pPr>
            <w:r>
              <w:rPr>
                <w:sz w:val="18"/>
                <w:szCs w:val="18"/>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052" w:type="pct"/>
            <w:vAlign w:val="center"/>
          </w:tcPr>
          <w:p>
            <w:pPr>
              <w:adjustRightInd w:val="0"/>
              <w:snapToGrid w:val="0"/>
              <w:jc w:val="center"/>
              <w:rPr>
                <w:sz w:val="18"/>
                <w:szCs w:val="18"/>
              </w:rPr>
            </w:pPr>
            <w:r>
              <w:rPr>
                <w:sz w:val="18"/>
                <w:szCs w:val="18"/>
              </w:rPr>
              <w:t>4 Simulink仿真基础</w:t>
            </w:r>
          </w:p>
        </w:tc>
        <w:tc>
          <w:tcPr>
            <w:tcW w:w="1161" w:type="pct"/>
            <w:vAlign w:val="center"/>
          </w:tcPr>
          <w:p>
            <w:pPr>
              <w:adjustRightInd w:val="0"/>
              <w:snapToGrid w:val="0"/>
              <w:jc w:val="center"/>
              <w:rPr>
                <w:sz w:val="18"/>
                <w:szCs w:val="18"/>
              </w:rPr>
            </w:pPr>
            <w:r>
              <w:rPr>
                <w:sz w:val="18"/>
                <w:szCs w:val="18"/>
              </w:rPr>
              <w:t>6</w:t>
            </w:r>
          </w:p>
        </w:tc>
        <w:tc>
          <w:tcPr>
            <w:tcW w:w="983" w:type="pct"/>
            <w:vAlign w:val="center"/>
          </w:tcPr>
          <w:p>
            <w:pPr>
              <w:adjustRightInd w:val="0"/>
              <w:snapToGrid w:val="0"/>
              <w:jc w:val="center"/>
              <w:rPr>
                <w:sz w:val="18"/>
                <w:szCs w:val="18"/>
              </w:rPr>
            </w:pPr>
            <w:r>
              <w:rPr>
                <w:sz w:val="18"/>
                <w:szCs w:val="18"/>
              </w:rPr>
              <w:t>4</w:t>
            </w:r>
          </w:p>
        </w:tc>
        <w:tc>
          <w:tcPr>
            <w:tcW w:w="804" w:type="pct"/>
            <w:vAlign w:val="center"/>
          </w:tcPr>
          <w:p>
            <w:pPr>
              <w:adjustRightInd w:val="0"/>
              <w:snapToGrid w:val="0"/>
              <w:jc w:val="center"/>
              <w:rPr>
                <w:sz w:val="18"/>
                <w:szCs w:val="18"/>
              </w:rPr>
            </w:pPr>
            <w:r>
              <w:rPr>
                <w:sz w:val="18"/>
                <w:szCs w:val="18"/>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052" w:type="pct"/>
            <w:vAlign w:val="center"/>
          </w:tcPr>
          <w:p>
            <w:pPr>
              <w:adjustRightInd w:val="0"/>
              <w:snapToGrid w:val="0"/>
              <w:jc w:val="center"/>
              <w:rPr>
                <w:sz w:val="18"/>
                <w:szCs w:val="18"/>
              </w:rPr>
            </w:pPr>
            <w:r>
              <w:rPr>
                <w:sz w:val="18"/>
                <w:szCs w:val="18"/>
              </w:rPr>
              <w:t>5 Simulink工程仿真</w:t>
            </w:r>
          </w:p>
        </w:tc>
        <w:tc>
          <w:tcPr>
            <w:tcW w:w="1161" w:type="pct"/>
            <w:vAlign w:val="center"/>
          </w:tcPr>
          <w:p>
            <w:pPr>
              <w:adjustRightInd w:val="0"/>
              <w:snapToGrid w:val="0"/>
              <w:jc w:val="center"/>
              <w:rPr>
                <w:sz w:val="18"/>
                <w:szCs w:val="18"/>
              </w:rPr>
            </w:pPr>
            <w:r>
              <w:rPr>
                <w:sz w:val="18"/>
                <w:szCs w:val="18"/>
              </w:rPr>
              <w:t>2</w:t>
            </w:r>
          </w:p>
        </w:tc>
        <w:tc>
          <w:tcPr>
            <w:tcW w:w="983" w:type="pct"/>
            <w:vAlign w:val="center"/>
          </w:tcPr>
          <w:p>
            <w:pPr>
              <w:adjustRightInd w:val="0"/>
              <w:snapToGrid w:val="0"/>
              <w:jc w:val="center"/>
              <w:rPr>
                <w:sz w:val="18"/>
                <w:szCs w:val="18"/>
              </w:rPr>
            </w:pPr>
            <w:r>
              <w:rPr>
                <w:sz w:val="18"/>
                <w:szCs w:val="18"/>
              </w:rPr>
              <w:t>4</w:t>
            </w:r>
          </w:p>
        </w:tc>
        <w:tc>
          <w:tcPr>
            <w:tcW w:w="804" w:type="pct"/>
            <w:vAlign w:val="center"/>
          </w:tcPr>
          <w:p>
            <w:pPr>
              <w:adjustRightInd w:val="0"/>
              <w:snapToGrid w:val="0"/>
              <w:jc w:val="center"/>
              <w:rPr>
                <w:sz w:val="18"/>
                <w:szCs w:val="18"/>
              </w:rPr>
            </w:pPr>
            <w:r>
              <w:rPr>
                <w:sz w:val="18"/>
                <w:szCs w:val="18"/>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052" w:type="pct"/>
            <w:vAlign w:val="center"/>
          </w:tcPr>
          <w:p>
            <w:pPr>
              <w:widowControl/>
              <w:adjustRightInd w:val="0"/>
              <w:snapToGrid w:val="0"/>
              <w:spacing w:before="100" w:beforeAutospacing="1" w:after="100" w:afterAutospacing="1"/>
              <w:jc w:val="center"/>
              <w:rPr>
                <w:kern w:val="0"/>
                <w:sz w:val="18"/>
                <w:szCs w:val="18"/>
              </w:rPr>
            </w:pPr>
            <w:r>
              <w:rPr>
                <w:kern w:val="0"/>
                <w:sz w:val="18"/>
                <w:szCs w:val="18"/>
              </w:rPr>
              <w:t>小计</w:t>
            </w:r>
          </w:p>
        </w:tc>
        <w:tc>
          <w:tcPr>
            <w:tcW w:w="1161" w:type="pct"/>
            <w:vAlign w:val="center"/>
          </w:tcPr>
          <w:p>
            <w:pPr>
              <w:widowControl/>
              <w:adjustRightInd w:val="0"/>
              <w:snapToGrid w:val="0"/>
              <w:spacing w:before="100" w:beforeAutospacing="1" w:after="100" w:afterAutospacing="1"/>
              <w:jc w:val="center"/>
              <w:rPr>
                <w:kern w:val="0"/>
                <w:sz w:val="18"/>
                <w:szCs w:val="18"/>
              </w:rPr>
            </w:pPr>
            <w:r>
              <w:rPr>
                <w:kern w:val="0"/>
                <w:sz w:val="18"/>
                <w:szCs w:val="18"/>
              </w:rPr>
              <w:t>16</w:t>
            </w:r>
          </w:p>
        </w:tc>
        <w:tc>
          <w:tcPr>
            <w:tcW w:w="983" w:type="pct"/>
            <w:vAlign w:val="center"/>
          </w:tcPr>
          <w:p>
            <w:pPr>
              <w:widowControl/>
              <w:adjustRightInd w:val="0"/>
              <w:snapToGrid w:val="0"/>
              <w:spacing w:before="100" w:beforeAutospacing="1" w:after="100" w:afterAutospacing="1"/>
              <w:jc w:val="center"/>
              <w:rPr>
                <w:kern w:val="0"/>
                <w:sz w:val="18"/>
                <w:szCs w:val="18"/>
              </w:rPr>
            </w:pPr>
            <w:r>
              <w:rPr>
                <w:kern w:val="0"/>
                <w:sz w:val="18"/>
                <w:szCs w:val="18"/>
              </w:rPr>
              <w:t>16</w:t>
            </w:r>
          </w:p>
        </w:tc>
        <w:tc>
          <w:tcPr>
            <w:tcW w:w="804" w:type="pct"/>
            <w:vAlign w:val="center"/>
          </w:tcPr>
          <w:p>
            <w:pPr>
              <w:widowControl/>
              <w:adjustRightInd w:val="0"/>
              <w:snapToGrid w:val="0"/>
              <w:spacing w:before="100" w:beforeAutospacing="1" w:after="100" w:afterAutospacing="1"/>
              <w:jc w:val="center"/>
              <w:rPr>
                <w:kern w:val="0"/>
                <w:sz w:val="18"/>
                <w:szCs w:val="18"/>
              </w:rPr>
            </w:pPr>
            <w:r>
              <w:rPr>
                <w:kern w:val="0"/>
                <w:sz w:val="18"/>
                <w:szCs w:val="18"/>
              </w:rPr>
              <w:t>32</w:t>
            </w:r>
          </w:p>
        </w:tc>
      </w:tr>
    </w:tbl>
    <w:p>
      <w:pPr>
        <w:spacing w:line="360" w:lineRule="auto"/>
        <w:rPr>
          <w:b/>
          <w:sz w:val="24"/>
          <w:szCs w:val="24"/>
        </w:rPr>
      </w:pPr>
    </w:p>
    <w:p>
      <w:pPr>
        <w:tabs>
          <w:tab w:val="left" w:pos="420"/>
        </w:tabs>
        <w:spacing w:line="360" w:lineRule="auto"/>
        <w:ind w:left="420" w:hanging="420"/>
        <w:rPr>
          <w:rFonts w:eastAsia="黑体"/>
          <w:szCs w:val="24"/>
        </w:rPr>
      </w:pPr>
      <w:r>
        <w:rPr>
          <w:rFonts w:eastAsia="黑体"/>
          <w:szCs w:val="24"/>
        </w:rPr>
        <w:t>七、教材、补充教材及参考资料</w:t>
      </w:r>
    </w:p>
    <w:p>
      <w:pPr>
        <w:spacing w:line="360" w:lineRule="auto"/>
        <w:ind w:firstLine="420" w:firstLineChars="200"/>
        <w:rPr>
          <w:szCs w:val="21"/>
        </w:rPr>
      </w:pPr>
      <w:r>
        <w:rPr>
          <w:szCs w:val="21"/>
        </w:rPr>
        <w:t>1、André Quinquis ，《Digital Signal Processing using MATLAB（第三版）》，ISBN: 978-1-84821-011-0，Printed and bound in Great Britain by Antony Rowe Ltd, Chippenham, Wiltshire.</w:t>
      </w:r>
    </w:p>
    <w:p>
      <w:pPr>
        <w:spacing w:line="360" w:lineRule="auto"/>
        <w:ind w:firstLine="420" w:firstLineChars="200"/>
        <w:rPr>
          <w:color w:val="0066FF"/>
          <w:szCs w:val="21"/>
        </w:rPr>
      </w:pPr>
      <w:r>
        <w:rPr>
          <w:szCs w:val="21"/>
        </w:rPr>
        <w:t>2、William John，《Introduction to MATLAB for Engineers （Third Edition）》，ISBN 978-0-07-353487-9，RRDonnelly.</w:t>
      </w:r>
    </w:p>
    <w:p>
      <w:pPr>
        <w:spacing w:line="360" w:lineRule="auto"/>
        <w:ind w:firstLine="420" w:firstLineChars="200"/>
        <w:rPr>
          <w:szCs w:val="21"/>
        </w:rPr>
      </w:pPr>
      <w:r>
        <w:rPr>
          <w:szCs w:val="21"/>
        </w:rPr>
        <w:t>3、Karel Perutka，《MATLAB for Engineers –Applications in Control, Electrical Engineering, IT and Robotics》，ISBN 978-953-307-914-1，Published by InTech.</w:t>
      </w:r>
    </w:p>
    <w:p>
      <w:pPr>
        <w:spacing w:line="360" w:lineRule="auto"/>
        <w:ind w:firstLine="420" w:firstLineChars="200"/>
        <w:rPr>
          <w:szCs w:val="21"/>
        </w:rPr>
      </w:pPr>
      <w:r>
        <w:rPr>
          <w:szCs w:val="21"/>
        </w:rPr>
        <w:t>4、薛定宇，陈阳泉，《基于MATLAB/SIMULINK的系统仿真技术与应用》，ISBN：7302053413，清华大学出版社。</w:t>
      </w:r>
    </w:p>
    <w:p>
      <w:pPr>
        <w:spacing w:line="360" w:lineRule="auto"/>
        <w:ind w:firstLine="420" w:firstLineChars="200"/>
        <w:rPr>
          <w:szCs w:val="21"/>
        </w:rPr>
      </w:pPr>
    </w:p>
    <w:p>
      <w:pPr>
        <w:tabs>
          <w:tab w:val="left" w:pos="420"/>
        </w:tabs>
        <w:spacing w:line="360" w:lineRule="auto"/>
        <w:ind w:left="420" w:hanging="420"/>
        <w:rPr>
          <w:rFonts w:eastAsia="黑体"/>
          <w:szCs w:val="24"/>
        </w:rPr>
      </w:pPr>
      <w:r>
        <w:rPr>
          <w:rFonts w:eastAsia="黑体"/>
          <w:szCs w:val="24"/>
        </w:rPr>
        <w:t>八、达成课程目标的途径和措施</w:t>
      </w:r>
    </w:p>
    <w:p>
      <w:pPr>
        <w:spacing w:line="360" w:lineRule="auto"/>
        <w:ind w:firstLine="420" w:firstLineChars="200"/>
        <w:rPr>
          <w:szCs w:val="21"/>
        </w:rPr>
      </w:pPr>
      <w:r>
        <w:rPr>
          <w:szCs w:val="21"/>
        </w:rPr>
        <w:t>1、考核目标：在考核学生掌握Matlab基本操作方法与程序设计方法的基础上，重点考核学生利用程序设计方法及Simulink仿真方法的掌握程度。</w:t>
      </w:r>
    </w:p>
    <w:p>
      <w:pPr>
        <w:spacing w:line="360" w:lineRule="auto"/>
        <w:ind w:firstLine="420" w:firstLineChars="200"/>
        <w:rPr>
          <w:szCs w:val="21"/>
        </w:rPr>
      </w:pPr>
      <w:r>
        <w:rPr>
          <w:szCs w:val="21"/>
        </w:rPr>
        <w:t>2、考核方式：作业、实验、综合性报告、答辩。</w:t>
      </w:r>
    </w:p>
    <w:p>
      <w:pPr>
        <w:spacing w:line="360" w:lineRule="auto"/>
        <w:ind w:firstLine="420" w:firstLineChars="200"/>
      </w:pPr>
      <w:r>
        <w:t>3、评价环节对课程目标达成贡献率及支撑材料：</w:t>
      </w:r>
    </w:p>
    <w:tbl>
      <w:tblPr>
        <w:tblStyle w:val="19"/>
        <w:tblW w:w="5000" w:type="pct"/>
        <w:jc w:val="center"/>
        <w:tblLayout w:type="autofit"/>
        <w:tblCellMar>
          <w:top w:w="0" w:type="dxa"/>
          <w:left w:w="108" w:type="dxa"/>
          <w:bottom w:w="0" w:type="dxa"/>
          <w:right w:w="108" w:type="dxa"/>
        </w:tblCellMar>
      </w:tblPr>
      <w:tblGrid>
        <w:gridCol w:w="1808"/>
        <w:gridCol w:w="1728"/>
        <w:gridCol w:w="1729"/>
        <w:gridCol w:w="1729"/>
        <w:gridCol w:w="1534"/>
      </w:tblGrid>
      <w:tr>
        <w:tblPrEx>
          <w:tblCellMar>
            <w:top w:w="0" w:type="dxa"/>
            <w:left w:w="108" w:type="dxa"/>
            <w:bottom w:w="0" w:type="dxa"/>
            <w:right w:w="108" w:type="dxa"/>
          </w:tblCellMar>
        </w:tblPrEx>
        <w:trPr>
          <w:trHeight w:val="691" w:hRule="atLeast"/>
          <w:jc w:val="center"/>
        </w:trPr>
        <w:tc>
          <w:tcPr>
            <w:tcW w:w="1060" w:type="pct"/>
            <w:tcBorders>
              <w:top w:val="single" w:color="auto" w:sz="4" w:space="0"/>
              <w:bottom w:val="single" w:color="auto" w:sz="4" w:space="0"/>
              <w:right w:val="single" w:color="auto" w:sz="4" w:space="0"/>
            </w:tcBorders>
            <w:vAlign w:val="center"/>
          </w:tcPr>
          <w:p>
            <w:pPr>
              <w:widowControl/>
              <w:jc w:val="center"/>
              <w:rPr>
                <w:color w:val="000000"/>
                <w:kern w:val="0"/>
                <w:sz w:val="18"/>
              </w:rPr>
            </w:pPr>
            <w:r>
              <w:rPr>
                <w:color w:val="000000"/>
                <w:kern w:val="0"/>
                <w:sz w:val="18"/>
              </w:rPr>
              <w:t>考察环节</w:t>
            </w:r>
          </w:p>
        </w:tc>
        <w:tc>
          <w:tcPr>
            <w:tcW w:w="10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rPr>
            </w:pPr>
            <w:r>
              <w:rPr>
                <w:color w:val="000000"/>
                <w:kern w:val="0"/>
                <w:sz w:val="18"/>
              </w:rPr>
              <w:t>作业</w:t>
            </w:r>
          </w:p>
        </w:tc>
        <w:tc>
          <w:tcPr>
            <w:tcW w:w="10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rPr>
            </w:pPr>
            <w:r>
              <w:rPr>
                <w:color w:val="000000"/>
                <w:kern w:val="0"/>
                <w:sz w:val="18"/>
              </w:rPr>
              <w:t>实验</w:t>
            </w:r>
          </w:p>
        </w:tc>
        <w:tc>
          <w:tcPr>
            <w:tcW w:w="10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rPr>
            </w:pPr>
            <w:r>
              <w:rPr>
                <w:color w:val="000000"/>
                <w:kern w:val="0"/>
                <w:sz w:val="18"/>
              </w:rPr>
              <w:t>综合性报告</w:t>
            </w:r>
          </w:p>
        </w:tc>
        <w:tc>
          <w:tcPr>
            <w:tcW w:w="901" w:type="pct"/>
            <w:tcBorders>
              <w:top w:val="single" w:color="auto" w:sz="4" w:space="0"/>
              <w:left w:val="single" w:color="auto" w:sz="4" w:space="0"/>
              <w:bottom w:val="single" w:color="auto" w:sz="4" w:space="0"/>
            </w:tcBorders>
            <w:shd w:val="clear" w:color="auto" w:fill="auto"/>
            <w:vAlign w:val="center"/>
          </w:tcPr>
          <w:p>
            <w:pPr>
              <w:widowControl/>
              <w:jc w:val="center"/>
              <w:rPr>
                <w:color w:val="000000"/>
                <w:kern w:val="0"/>
                <w:sz w:val="18"/>
              </w:rPr>
            </w:pPr>
            <w:r>
              <w:rPr>
                <w:color w:val="000000"/>
                <w:kern w:val="0"/>
                <w:sz w:val="18"/>
              </w:rPr>
              <w:t>答辩</w:t>
            </w:r>
          </w:p>
        </w:tc>
      </w:tr>
      <w:tr>
        <w:tblPrEx>
          <w:tblCellMar>
            <w:top w:w="0" w:type="dxa"/>
            <w:left w:w="108" w:type="dxa"/>
            <w:bottom w:w="0" w:type="dxa"/>
            <w:right w:w="108" w:type="dxa"/>
          </w:tblCellMar>
        </w:tblPrEx>
        <w:trPr>
          <w:trHeight w:val="794" w:hRule="atLeast"/>
          <w:jc w:val="center"/>
        </w:trPr>
        <w:tc>
          <w:tcPr>
            <w:tcW w:w="1060" w:type="pct"/>
            <w:tcBorders>
              <w:top w:val="single" w:color="auto" w:sz="4" w:space="0"/>
              <w:bottom w:val="single" w:color="auto" w:sz="4" w:space="0"/>
              <w:right w:val="single" w:color="auto" w:sz="4" w:space="0"/>
            </w:tcBorders>
            <w:vAlign w:val="center"/>
          </w:tcPr>
          <w:p>
            <w:pPr>
              <w:widowControl/>
              <w:jc w:val="center"/>
              <w:rPr>
                <w:color w:val="000000"/>
                <w:kern w:val="0"/>
                <w:sz w:val="18"/>
              </w:rPr>
            </w:pPr>
            <w:r>
              <w:rPr>
                <w:color w:val="000000"/>
                <w:kern w:val="0"/>
                <w:sz w:val="18"/>
              </w:rPr>
              <w:t>课程目标达成</w:t>
            </w:r>
          </w:p>
          <w:p>
            <w:pPr>
              <w:widowControl/>
              <w:jc w:val="center"/>
              <w:rPr>
                <w:color w:val="000000"/>
                <w:kern w:val="0"/>
                <w:sz w:val="18"/>
              </w:rPr>
            </w:pPr>
            <w:r>
              <w:rPr>
                <w:color w:val="000000"/>
                <w:kern w:val="0"/>
                <w:sz w:val="18"/>
              </w:rPr>
              <w:t>的贡献率</w:t>
            </w:r>
          </w:p>
        </w:tc>
        <w:tc>
          <w:tcPr>
            <w:tcW w:w="101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0.13</w:t>
            </w:r>
          </w:p>
        </w:tc>
        <w:tc>
          <w:tcPr>
            <w:tcW w:w="10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0.30</w:t>
            </w:r>
          </w:p>
        </w:tc>
        <w:tc>
          <w:tcPr>
            <w:tcW w:w="10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 xml:space="preserve">0.20 </w:t>
            </w:r>
          </w:p>
        </w:tc>
        <w:tc>
          <w:tcPr>
            <w:tcW w:w="901" w:type="pct"/>
            <w:tcBorders>
              <w:top w:val="single" w:color="auto" w:sz="4" w:space="0"/>
              <w:left w:val="single" w:color="auto" w:sz="4" w:space="0"/>
              <w:bottom w:val="single" w:color="auto" w:sz="4" w:space="0"/>
            </w:tcBorders>
            <w:shd w:val="clear" w:color="auto" w:fill="auto"/>
            <w:vAlign w:val="center"/>
          </w:tcPr>
          <w:p>
            <w:pPr>
              <w:jc w:val="center"/>
              <w:rPr>
                <w:color w:val="000000"/>
                <w:sz w:val="18"/>
                <w:szCs w:val="18"/>
              </w:rPr>
            </w:pPr>
            <w:r>
              <w:rPr>
                <w:color w:val="000000"/>
                <w:sz w:val="18"/>
                <w:szCs w:val="18"/>
              </w:rPr>
              <w:t xml:space="preserve">0.37 </w:t>
            </w:r>
          </w:p>
        </w:tc>
      </w:tr>
      <w:tr>
        <w:tblPrEx>
          <w:tblCellMar>
            <w:top w:w="0" w:type="dxa"/>
            <w:left w:w="108" w:type="dxa"/>
            <w:bottom w:w="0" w:type="dxa"/>
            <w:right w:w="108" w:type="dxa"/>
          </w:tblCellMar>
        </w:tblPrEx>
        <w:trPr>
          <w:trHeight w:val="1847" w:hRule="atLeast"/>
          <w:jc w:val="center"/>
        </w:trPr>
        <w:tc>
          <w:tcPr>
            <w:tcW w:w="1060" w:type="pct"/>
            <w:tcBorders>
              <w:top w:val="single" w:color="auto" w:sz="4" w:space="0"/>
              <w:bottom w:val="single" w:color="auto" w:sz="4" w:space="0"/>
              <w:right w:val="single" w:color="auto" w:sz="4" w:space="0"/>
            </w:tcBorders>
            <w:vAlign w:val="center"/>
          </w:tcPr>
          <w:p>
            <w:pPr>
              <w:widowControl/>
              <w:jc w:val="center"/>
              <w:rPr>
                <w:color w:val="000000"/>
                <w:kern w:val="0"/>
                <w:sz w:val="18"/>
              </w:rPr>
            </w:pPr>
            <w:r>
              <w:rPr>
                <w:color w:val="000000"/>
                <w:kern w:val="0"/>
                <w:sz w:val="18"/>
              </w:rPr>
              <w:t>支撑材料</w:t>
            </w:r>
          </w:p>
        </w:tc>
        <w:tc>
          <w:tcPr>
            <w:tcW w:w="10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rPr>
            </w:pPr>
            <w:r>
              <w:rPr>
                <w:color w:val="000000"/>
                <w:kern w:val="0"/>
                <w:sz w:val="18"/>
              </w:rPr>
              <w:t>作业评价标准、作业评分登记表</w:t>
            </w:r>
          </w:p>
          <w:p>
            <w:pPr>
              <w:widowControl/>
              <w:jc w:val="center"/>
              <w:rPr>
                <w:color w:val="FF0000"/>
                <w:kern w:val="0"/>
                <w:sz w:val="18"/>
              </w:rPr>
            </w:pPr>
          </w:p>
        </w:tc>
        <w:tc>
          <w:tcPr>
            <w:tcW w:w="10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rPr>
            </w:pPr>
            <w:r>
              <w:rPr>
                <w:color w:val="000000"/>
                <w:kern w:val="0"/>
                <w:sz w:val="18"/>
              </w:rPr>
              <w:t>课内实验评价标准，实验课堂记录记录，典型实验报告（可以提交电子版）</w:t>
            </w:r>
          </w:p>
        </w:tc>
        <w:tc>
          <w:tcPr>
            <w:tcW w:w="10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rPr>
            </w:pPr>
            <w:r>
              <w:rPr>
                <w:color w:val="000000"/>
                <w:kern w:val="0"/>
                <w:sz w:val="18"/>
              </w:rPr>
              <w:t>综合性报告评价标准，综合性报告评分登记表，典型综合性报告</w:t>
            </w:r>
          </w:p>
        </w:tc>
        <w:tc>
          <w:tcPr>
            <w:tcW w:w="901" w:type="pct"/>
            <w:tcBorders>
              <w:top w:val="single" w:color="auto" w:sz="4" w:space="0"/>
              <w:left w:val="single" w:color="auto" w:sz="4" w:space="0"/>
              <w:bottom w:val="single" w:color="auto" w:sz="4" w:space="0"/>
            </w:tcBorders>
            <w:shd w:val="clear" w:color="auto" w:fill="auto"/>
            <w:vAlign w:val="center"/>
          </w:tcPr>
          <w:p>
            <w:pPr>
              <w:widowControl/>
              <w:jc w:val="center"/>
              <w:rPr>
                <w:color w:val="FF0000"/>
                <w:kern w:val="0"/>
                <w:sz w:val="18"/>
              </w:rPr>
            </w:pPr>
            <w:r>
              <w:rPr>
                <w:color w:val="000000"/>
                <w:kern w:val="0"/>
                <w:sz w:val="18"/>
                <w:szCs w:val="18"/>
              </w:rPr>
              <w:t>答辩PPT电子版和成绩评价标准</w:t>
            </w:r>
          </w:p>
        </w:tc>
      </w:tr>
    </w:tbl>
    <w:p/>
    <w:p>
      <w:pPr>
        <w:tabs>
          <w:tab w:val="left" w:pos="420"/>
        </w:tabs>
        <w:adjustRightInd w:val="0"/>
        <w:snapToGrid w:val="0"/>
        <w:spacing w:line="360" w:lineRule="auto"/>
        <w:ind w:left="420" w:hanging="420"/>
        <w:rPr>
          <w:rFonts w:ascii="宋体" w:hAnsi="宋体"/>
          <w:sz w:val="18"/>
          <w:szCs w:val="18"/>
        </w:rPr>
      </w:pPr>
      <w:r>
        <w:rPr>
          <w:rFonts w:eastAsia="黑体"/>
          <w:szCs w:val="24"/>
        </w:rPr>
        <w:t>九</w:t>
      </w:r>
      <w:r>
        <w:rPr>
          <w:rFonts w:hint="eastAsia" w:eastAsia="黑体"/>
          <w:szCs w:val="24"/>
        </w:rPr>
        <w:t>、覆盖课程目标达成评价的知识点及权重</w:t>
      </w:r>
    </w:p>
    <w:tbl>
      <w:tblPr>
        <w:tblStyle w:val="20"/>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562"/>
        <w:gridCol w:w="1179"/>
        <w:gridCol w:w="178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vAlign w:val="center"/>
          </w:tcPr>
          <w:p>
            <w:pPr>
              <w:jc w:val="center"/>
              <w:rPr>
                <w:sz w:val="18"/>
                <w:szCs w:val="18"/>
              </w:rPr>
            </w:pPr>
            <w:r>
              <w:rPr>
                <w:sz w:val="18"/>
                <w:szCs w:val="18"/>
              </w:rPr>
              <w:t>知识点</w:t>
            </w:r>
          </w:p>
        </w:tc>
        <w:tc>
          <w:tcPr>
            <w:tcW w:w="691" w:type="pct"/>
            <w:vAlign w:val="center"/>
          </w:tcPr>
          <w:p>
            <w:pPr>
              <w:jc w:val="center"/>
              <w:rPr>
                <w:sz w:val="18"/>
                <w:szCs w:val="18"/>
              </w:rPr>
            </w:pPr>
            <w:r>
              <w:rPr>
                <w:sz w:val="18"/>
                <w:szCs w:val="18"/>
              </w:rPr>
              <w:t>权重</w:t>
            </w:r>
          </w:p>
        </w:tc>
        <w:tc>
          <w:tcPr>
            <w:tcW w:w="1048" w:type="pct"/>
            <w:vAlign w:val="center"/>
          </w:tcPr>
          <w:p>
            <w:pPr>
              <w:jc w:val="center"/>
              <w:rPr>
                <w:sz w:val="18"/>
                <w:szCs w:val="18"/>
              </w:rPr>
            </w:pPr>
            <w:r>
              <w:rPr>
                <w:sz w:val="18"/>
                <w:szCs w:val="18"/>
              </w:rPr>
              <w:t>支撑课程目标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vAlign w:val="center"/>
          </w:tcPr>
          <w:p>
            <w:pPr>
              <w:rPr>
                <w:sz w:val="18"/>
                <w:szCs w:val="18"/>
              </w:rPr>
            </w:pPr>
            <w:r>
              <w:rPr>
                <w:rFonts w:hint="eastAsia"/>
                <w:sz w:val="18"/>
                <w:szCs w:val="18"/>
              </w:rPr>
              <w:t>1、</w:t>
            </w:r>
            <w:r>
              <w:rPr>
                <w:snapToGrid w:val="0"/>
                <w:kern w:val="0"/>
                <w:sz w:val="18"/>
                <w:szCs w:val="18"/>
              </w:rPr>
              <w:t>MATLAB基础运算符号及其操作方法</w:t>
            </w:r>
            <w:r>
              <w:rPr>
                <w:rFonts w:hint="eastAsia"/>
                <w:sz w:val="18"/>
                <w:szCs w:val="18"/>
              </w:rPr>
              <w:t>；</w:t>
            </w:r>
          </w:p>
        </w:tc>
        <w:tc>
          <w:tcPr>
            <w:tcW w:w="691" w:type="pct"/>
            <w:vAlign w:val="center"/>
          </w:tcPr>
          <w:p>
            <w:pPr>
              <w:jc w:val="center"/>
              <w:rPr>
                <w:sz w:val="18"/>
                <w:szCs w:val="18"/>
              </w:rPr>
            </w:pPr>
            <w:r>
              <w:rPr>
                <w:sz w:val="18"/>
                <w:szCs w:val="18"/>
              </w:rPr>
              <w:t>0.10</w:t>
            </w:r>
          </w:p>
        </w:tc>
        <w:tc>
          <w:tcPr>
            <w:tcW w:w="1048" w:type="pct"/>
            <w:vAlign w:val="center"/>
          </w:tcPr>
          <w:p>
            <w:pPr>
              <w:jc w:val="center"/>
              <w:rPr>
                <w:sz w:val="18"/>
                <w:szCs w:val="18"/>
              </w:rPr>
            </w:pPr>
            <w:r>
              <w:rPr>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vAlign w:val="center"/>
          </w:tcPr>
          <w:p>
            <w:pPr>
              <w:rPr>
                <w:sz w:val="18"/>
                <w:szCs w:val="18"/>
              </w:rPr>
            </w:pPr>
            <w:r>
              <w:rPr>
                <w:rFonts w:hint="eastAsia"/>
                <w:sz w:val="18"/>
                <w:szCs w:val="18"/>
              </w:rPr>
              <w:t>2、</w:t>
            </w:r>
            <w:r>
              <w:rPr>
                <w:snapToGrid w:val="0"/>
                <w:kern w:val="0"/>
                <w:sz w:val="18"/>
                <w:szCs w:val="18"/>
              </w:rPr>
              <w:t>基础程序流程控制与函数创建及函数调用方法</w:t>
            </w:r>
            <w:r>
              <w:rPr>
                <w:rFonts w:hint="eastAsia"/>
                <w:sz w:val="18"/>
                <w:szCs w:val="18"/>
              </w:rPr>
              <w:t>；</w:t>
            </w:r>
          </w:p>
        </w:tc>
        <w:tc>
          <w:tcPr>
            <w:tcW w:w="691" w:type="pct"/>
            <w:vAlign w:val="center"/>
          </w:tcPr>
          <w:p>
            <w:pPr>
              <w:jc w:val="center"/>
              <w:rPr>
                <w:sz w:val="18"/>
                <w:szCs w:val="18"/>
              </w:rPr>
            </w:pPr>
            <w:r>
              <w:rPr>
                <w:sz w:val="18"/>
                <w:szCs w:val="18"/>
              </w:rPr>
              <w:t>0.15</w:t>
            </w:r>
          </w:p>
        </w:tc>
        <w:tc>
          <w:tcPr>
            <w:tcW w:w="1048" w:type="pct"/>
            <w:vAlign w:val="center"/>
          </w:tcPr>
          <w:p>
            <w:pPr>
              <w:jc w:val="center"/>
              <w:rPr>
                <w:sz w:val="18"/>
                <w:szCs w:val="18"/>
              </w:rPr>
            </w:pPr>
            <w:r>
              <w:rPr>
                <w:sz w:val="18"/>
                <w:szCs w:val="18"/>
              </w:rPr>
              <w:t>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vAlign w:val="center"/>
          </w:tcPr>
          <w:p>
            <w:pPr>
              <w:rPr>
                <w:sz w:val="18"/>
                <w:szCs w:val="18"/>
              </w:rPr>
            </w:pPr>
            <w:r>
              <w:rPr>
                <w:rFonts w:hint="eastAsia"/>
                <w:sz w:val="18"/>
                <w:szCs w:val="18"/>
              </w:rPr>
              <w:t>3、</w:t>
            </w:r>
            <w:r>
              <w:rPr>
                <w:snapToGrid w:val="0"/>
                <w:kern w:val="0"/>
                <w:sz w:val="18"/>
                <w:szCs w:val="18"/>
              </w:rPr>
              <w:t>二维、三维曲线绘制与标注</w:t>
            </w:r>
            <w:r>
              <w:rPr>
                <w:rFonts w:hint="eastAsia"/>
                <w:sz w:val="18"/>
                <w:szCs w:val="18"/>
              </w:rPr>
              <w:t>；</w:t>
            </w:r>
          </w:p>
        </w:tc>
        <w:tc>
          <w:tcPr>
            <w:tcW w:w="691" w:type="pct"/>
            <w:vAlign w:val="center"/>
          </w:tcPr>
          <w:p>
            <w:pPr>
              <w:jc w:val="center"/>
              <w:rPr>
                <w:sz w:val="18"/>
                <w:szCs w:val="18"/>
              </w:rPr>
            </w:pPr>
            <w:r>
              <w:rPr>
                <w:sz w:val="18"/>
                <w:szCs w:val="18"/>
              </w:rPr>
              <w:t>0.15</w:t>
            </w:r>
          </w:p>
        </w:tc>
        <w:tc>
          <w:tcPr>
            <w:tcW w:w="1048" w:type="pct"/>
            <w:vAlign w:val="center"/>
          </w:tcPr>
          <w:p>
            <w:pPr>
              <w:jc w:val="center"/>
              <w:rPr>
                <w:sz w:val="18"/>
                <w:szCs w:val="18"/>
              </w:rPr>
            </w:pPr>
            <w:r>
              <w:rPr>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vAlign w:val="center"/>
          </w:tcPr>
          <w:p>
            <w:pPr>
              <w:rPr>
                <w:sz w:val="18"/>
                <w:szCs w:val="18"/>
              </w:rPr>
            </w:pPr>
            <w:r>
              <w:rPr>
                <w:rFonts w:hint="eastAsia"/>
                <w:sz w:val="18"/>
                <w:szCs w:val="18"/>
              </w:rPr>
              <w:t>4、</w:t>
            </w:r>
            <w:r>
              <w:rPr>
                <w:snapToGrid w:val="0"/>
                <w:kern w:val="0"/>
                <w:sz w:val="18"/>
                <w:szCs w:val="18"/>
              </w:rPr>
              <w:t>Simulink基础操作及仿真模型与子系统创建</w:t>
            </w:r>
            <w:r>
              <w:rPr>
                <w:rFonts w:hint="eastAsia"/>
                <w:sz w:val="18"/>
                <w:szCs w:val="18"/>
              </w:rPr>
              <w:t>；</w:t>
            </w:r>
          </w:p>
        </w:tc>
        <w:tc>
          <w:tcPr>
            <w:tcW w:w="691" w:type="pct"/>
            <w:vAlign w:val="center"/>
          </w:tcPr>
          <w:p>
            <w:pPr>
              <w:jc w:val="center"/>
              <w:rPr>
                <w:sz w:val="18"/>
                <w:szCs w:val="18"/>
              </w:rPr>
            </w:pPr>
            <w:r>
              <w:rPr>
                <w:sz w:val="18"/>
                <w:szCs w:val="18"/>
              </w:rPr>
              <w:t>0.30</w:t>
            </w:r>
          </w:p>
        </w:tc>
        <w:tc>
          <w:tcPr>
            <w:tcW w:w="1048" w:type="pct"/>
            <w:vAlign w:val="center"/>
          </w:tcPr>
          <w:p>
            <w:pPr>
              <w:jc w:val="center"/>
              <w:rPr>
                <w:sz w:val="18"/>
                <w:szCs w:val="18"/>
              </w:rPr>
            </w:pPr>
            <w:r>
              <w:rPr>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vAlign w:val="center"/>
          </w:tcPr>
          <w:p>
            <w:pPr>
              <w:rPr>
                <w:sz w:val="18"/>
                <w:szCs w:val="18"/>
              </w:rPr>
            </w:pPr>
            <w:r>
              <w:rPr>
                <w:rFonts w:hint="eastAsia"/>
                <w:sz w:val="18"/>
                <w:szCs w:val="18"/>
              </w:rPr>
              <w:t>5、</w:t>
            </w:r>
            <w:r>
              <w:rPr>
                <w:snapToGrid w:val="0"/>
                <w:kern w:val="0"/>
                <w:sz w:val="18"/>
                <w:szCs w:val="18"/>
              </w:rPr>
              <w:t>结合机电系统数学模型和控制方程进行仿真验证</w:t>
            </w:r>
            <w:r>
              <w:rPr>
                <w:rFonts w:hint="eastAsia"/>
                <w:sz w:val="18"/>
                <w:szCs w:val="18"/>
              </w:rPr>
              <w:t>；</w:t>
            </w:r>
          </w:p>
        </w:tc>
        <w:tc>
          <w:tcPr>
            <w:tcW w:w="691" w:type="pct"/>
            <w:vAlign w:val="center"/>
          </w:tcPr>
          <w:p>
            <w:pPr>
              <w:jc w:val="center"/>
              <w:rPr>
                <w:sz w:val="18"/>
                <w:szCs w:val="18"/>
              </w:rPr>
            </w:pPr>
            <w:r>
              <w:rPr>
                <w:sz w:val="18"/>
                <w:szCs w:val="18"/>
              </w:rPr>
              <w:t>0.30</w:t>
            </w:r>
          </w:p>
        </w:tc>
        <w:tc>
          <w:tcPr>
            <w:tcW w:w="1048" w:type="pct"/>
            <w:vAlign w:val="center"/>
          </w:tcPr>
          <w:p>
            <w:pPr>
              <w:jc w:val="center"/>
              <w:rPr>
                <w:sz w:val="18"/>
                <w:szCs w:val="18"/>
              </w:rPr>
            </w:pPr>
            <w:r>
              <w:rPr>
                <w:sz w:val="18"/>
                <w:szCs w:val="18"/>
              </w:rPr>
              <w:t>2</w:t>
            </w:r>
          </w:p>
        </w:tc>
      </w:tr>
    </w:tbl>
    <w:p>
      <w:pPr>
        <w:spacing w:before="120" w:beforeLines="50" w:line="360" w:lineRule="auto"/>
        <w:ind w:firstLine="420" w:firstLineChars="200"/>
        <w:rPr>
          <w:color w:val="000000"/>
          <w:sz w:val="24"/>
          <w:szCs w:val="24"/>
        </w:rPr>
      </w:pPr>
      <w:r>
        <w:rPr>
          <w:rFonts w:hint="eastAsia" w:ascii="宋体" w:hAnsi="宋体" w:cs="宋体"/>
          <w:szCs w:val="21"/>
        </w:rPr>
        <w:t>本课程不可以申请免修。</w:t>
      </w:r>
    </w:p>
    <w:p>
      <w:pPr>
        <w:rPr>
          <w:sz w:val="18"/>
          <w:szCs w:val="18"/>
        </w:rPr>
        <w:sectPr>
          <w:headerReference r:id="rId57" w:type="first"/>
          <w:footerReference r:id="rId60" w:type="first"/>
          <w:headerReference r:id="rId55" w:type="default"/>
          <w:footerReference r:id="rId58" w:type="default"/>
          <w:headerReference r:id="rId56" w:type="even"/>
          <w:footerReference r:id="rId59" w:type="even"/>
          <w:pgSz w:w="11906" w:h="16838"/>
          <w:pgMar w:top="1440" w:right="1797" w:bottom="1440" w:left="1797" w:header="851" w:footer="992" w:gutter="0"/>
          <w:pgNumType w:fmt="decimal"/>
          <w:cols w:space="425" w:num="1"/>
          <w:docGrid w:linePitch="312" w:charSpace="0"/>
        </w:sectPr>
      </w:pPr>
    </w:p>
    <w:p>
      <w:pPr>
        <w:tabs>
          <w:tab w:val="left" w:pos="420"/>
        </w:tabs>
        <w:adjustRightInd w:val="0"/>
        <w:snapToGrid w:val="0"/>
        <w:spacing w:line="360" w:lineRule="auto"/>
        <w:ind w:left="420" w:hanging="420"/>
        <w:rPr>
          <w:rFonts w:eastAsia="黑体"/>
          <w:szCs w:val="24"/>
        </w:rPr>
      </w:pPr>
      <w:r>
        <w:rPr>
          <w:rFonts w:eastAsia="黑体"/>
          <w:szCs w:val="24"/>
        </w:rPr>
        <w:t>十、课程目标达成评价</w:t>
      </w:r>
    </w:p>
    <w:p>
      <w:pPr>
        <w:spacing w:line="360" w:lineRule="auto"/>
        <w:ind w:firstLine="420" w:firstLineChars="200"/>
        <w:jc w:val="center"/>
      </w:pPr>
      <w:r>
        <w:rPr>
          <w:rFonts w:hint="eastAsia"/>
        </w:rPr>
        <w:t>各环节对课程目标达成评价所使用到的权重占比分配及考核权重分配</w:t>
      </w:r>
    </w:p>
    <w:tbl>
      <w:tblPr>
        <w:tblStyle w:val="19"/>
        <w:tblW w:w="5000" w:type="pct"/>
        <w:jc w:val="center"/>
        <w:tblLayout w:type="autofit"/>
        <w:tblCellMar>
          <w:top w:w="0" w:type="dxa"/>
          <w:left w:w="108" w:type="dxa"/>
          <w:bottom w:w="0" w:type="dxa"/>
          <w:right w:w="108" w:type="dxa"/>
        </w:tblCellMar>
      </w:tblPr>
      <w:tblGrid>
        <w:gridCol w:w="584"/>
        <w:gridCol w:w="958"/>
        <w:gridCol w:w="791"/>
        <w:gridCol w:w="884"/>
        <w:gridCol w:w="1174"/>
        <w:gridCol w:w="1417"/>
        <w:gridCol w:w="785"/>
        <w:gridCol w:w="1026"/>
        <w:gridCol w:w="1174"/>
        <w:gridCol w:w="1451"/>
        <w:gridCol w:w="683"/>
        <w:gridCol w:w="683"/>
        <w:gridCol w:w="1185"/>
        <w:gridCol w:w="1379"/>
      </w:tblGrid>
      <w:tr>
        <w:tblPrEx>
          <w:tblCellMar>
            <w:top w:w="0" w:type="dxa"/>
            <w:left w:w="108" w:type="dxa"/>
            <w:bottom w:w="0" w:type="dxa"/>
            <w:right w:w="108" w:type="dxa"/>
          </w:tblCellMar>
        </w:tblPrEx>
        <w:trPr>
          <w:trHeight w:val="1015" w:hRule="atLeast"/>
          <w:jc w:val="center"/>
        </w:trPr>
        <w:tc>
          <w:tcPr>
            <w:tcW w:w="2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课程目标</w:t>
            </w:r>
          </w:p>
        </w:tc>
        <w:tc>
          <w:tcPr>
            <w:tcW w:w="3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知识面比例</w:t>
            </w:r>
          </w:p>
          <w:p>
            <w:pPr>
              <w:widowControl/>
              <w:jc w:val="center"/>
              <w:rPr>
                <w:rFonts w:ascii="宋体" w:hAnsi="宋体" w:cs="宋体"/>
                <w:kern w:val="0"/>
                <w:sz w:val="18"/>
                <w:szCs w:val="18"/>
              </w:rPr>
            </w:pPr>
            <w:r>
              <w:rPr>
                <w:rFonts w:hint="eastAsia" w:ascii="宋体" w:hAnsi="宋体" w:cs="宋体"/>
                <w:kern w:val="0"/>
                <w:sz w:val="18"/>
                <w:szCs w:val="18"/>
              </w:rPr>
              <w:t>（本列总和为1）</w:t>
            </w:r>
          </w:p>
          <w:p>
            <w:pPr>
              <w:widowControl/>
              <w:jc w:val="center"/>
              <w:rPr>
                <w:rFonts w:ascii="宋体" w:hAnsi="宋体" w:cs="宋体"/>
                <w:i/>
                <w:kern w:val="0"/>
                <w:sz w:val="18"/>
                <w:szCs w:val="18"/>
              </w:rPr>
            </w:pPr>
            <w:r>
              <w:rPr>
                <w:rFonts w:ascii="宋体" w:hAnsi="宋体" w:cs="宋体"/>
                <w:i/>
                <w:kern w:val="0"/>
                <w:sz w:val="18"/>
                <w:szCs w:val="18"/>
              </w:rPr>
              <w:t>P</w:t>
            </w:r>
            <w:r>
              <w:rPr>
                <w:rFonts w:ascii="宋体" w:hAnsi="宋体" w:cs="宋体"/>
                <w:i/>
                <w:kern w:val="0"/>
                <w:sz w:val="18"/>
                <w:szCs w:val="18"/>
                <w:vertAlign w:val="subscript"/>
              </w:rPr>
              <w:t>i</w:t>
            </w:r>
          </w:p>
        </w:tc>
        <w:tc>
          <w:tcPr>
            <w:tcW w:w="1504"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18"/>
                <w:szCs w:val="18"/>
              </w:rPr>
            </w:pPr>
            <w:r>
              <w:rPr>
                <w:rFonts w:hint="eastAsia" w:ascii="宋体" w:hAnsi="宋体"/>
                <w:sz w:val="18"/>
                <w:szCs w:val="18"/>
              </w:rPr>
              <w:t>各环节评价比例分配</w:t>
            </w:r>
            <w:r>
              <w:rPr>
                <w:rFonts w:hint="eastAsia" w:ascii="宋体" w:hAnsi="宋体"/>
                <w:sz w:val="18"/>
                <w:szCs w:val="18"/>
              </w:rPr>
              <w:br w:type="textWrapping"/>
            </w:r>
            <w:r>
              <w:rPr>
                <w:rFonts w:hint="eastAsia" w:ascii="宋体" w:hAnsi="宋体"/>
                <w:sz w:val="18"/>
                <w:szCs w:val="18"/>
              </w:rPr>
              <w:t>（每行总和为1）</w:t>
            </w:r>
            <w:r>
              <w:rPr>
                <w:rFonts w:hint="eastAsia" w:ascii="宋体" w:hAnsi="宋体"/>
                <w:sz w:val="18"/>
                <w:szCs w:val="18"/>
              </w:rPr>
              <w:br w:type="textWrapping"/>
            </w:r>
            <w:r>
              <w:rPr>
                <w:rFonts w:hint="eastAsia" w:ascii="宋体" w:hAnsi="宋体"/>
                <w:i/>
                <w:sz w:val="18"/>
                <w:szCs w:val="18"/>
              </w:rPr>
              <w:t>W</w:t>
            </w:r>
            <w:r>
              <w:rPr>
                <w:rFonts w:hint="eastAsia" w:ascii="宋体" w:hAnsi="宋体"/>
                <w:i/>
                <w:sz w:val="18"/>
                <w:szCs w:val="18"/>
                <w:vertAlign w:val="subscript"/>
              </w:rPr>
              <w:t>ik</w:t>
            </w:r>
          </w:p>
        </w:tc>
        <w:tc>
          <w:tcPr>
            <w:tcW w:w="1564" w:type="pct"/>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各环节在课程达成中的占比</w:t>
            </w:r>
            <w:r>
              <w:rPr>
                <w:rFonts w:hint="eastAsia" w:ascii="宋体" w:hAnsi="宋体"/>
                <w:sz w:val="18"/>
                <w:szCs w:val="18"/>
              </w:rPr>
              <w:br w:type="textWrapping"/>
            </w:r>
            <w:r>
              <w:rPr>
                <w:rFonts w:hint="eastAsia" w:ascii="宋体" w:hAnsi="宋体"/>
                <w:sz w:val="18"/>
                <w:szCs w:val="18"/>
              </w:rPr>
              <w:t>（所有行列总和为1）</w:t>
            </w:r>
            <w:r>
              <w:rPr>
                <w:rFonts w:hint="eastAsia" w:ascii="宋体" w:hAnsi="宋体"/>
                <w:sz w:val="18"/>
                <w:szCs w:val="18"/>
              </w:rPr>
              <w:br w:type="textWrapping"/>
            </w:r>
            <w:r>
              <w:rPr>
                <w:rFonts w:hint="eastAsia" w:ascii="宋体" w:hAnsi="宋体"/>
                <w:i/>
                <w:sz w:val="18"/>
                <w:szCs w:val="18"/>
              </w:rPr>
              <w:t>S</w:t>
            </w:r>
            <w:r>
              <w:rPr>
                <w:rFonts w:hint="eastAsia" w:ascii="宋体" w:hAnsi="宋体"/>
                <w:i/>
                <w:sz w:val="18"/>
                <w:szCs w:val="18"/>
                <w:vertAlign w:val="subscript"/>
              </w:rPr>
              <w:t>ik</w:t>
            </w:r>
            <w:r>
              <w:rPr>
                <w:rFonts w:hint="eastAsia" w:ascii="宋体" w:hAnsi="宋体"/>
                <w:i/>
                <w:sz w:val="18"/>
                <w:szCs w:val="18"/>
              </w:rPr>
              <w:t>=P</w:t>
            </w:r>
            <w:r>
              <w:rPr>
                <w:rFonts w:hint="eastAsia" w:ascii="宋体" w:hAnsi="宋体"/>
                <w:i/>
                <w:sz w:val="18"/>
                <w:szCs w:val="18"/>
                <w:vertAlign w:val="subscript"/>
              </w:rPr>
              <w:t>i</w:t>
            </w:r>
            <w:r>
              <w:rPr>
                <w:rFonts w:hint="eastAsia" w:ascii="宋体" w:hAnsi="宋体"/>
                <w:i/>
                <w:sz w:val="18"/>
                <w:szCs w:val="18"/>
              </w:rPr>
              <w:t>*W</w:t>
            </w:r>
            <w:r>
              <w:rPr>
                <w:rFonts w:hint="eastAsia" w:ascii="宋体" w:hAnsi="宋体"/>
                <w:i/>
                <w:sz w:val="18"/>
                <w:szCs w:val="18"/>
                <w:vertAlign w:val="subscript"/>
              </w:rPr>
              <w:t>ik</w:t>
            </w:r>
          </w:p>
        </w:tc>
        <w:tc>
          <w:tcPr>
            <w:tcW w:w="1387"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各环节课程目标考核权重分布</w:t>
            </w:r>
          </w:p>
          <w:p>
            <w:pPr>
              <w:jc w:val="center"/>
              <w:rPr>
                <w:rFonts w:ascii="宋体" w:hAnsi="宋体"/>
                <w:sz w:val="18"/>
                <w:szCs w:val="18"/>
              </w:rPr>
            </w:pPr>
            <w:r>
              <w:rPr>
                <w:rFonts w:ascii="宋体" w:hAnsi="宋体"/>
                <w:sz w:val="18"/>
                <w:szCs w:val="18"/>
              </w:rPr>
              <w:t>（每一列总和为</w:t>
            </w:r>
            <w:r>
              <w:rPr>
                <w:rFonts w:hint="eastAsia" w:ascii="宋体" w:hAnsi="宋体"/>
                <w:sz w:val="18"/>
                <w:szCs w:val="18"/>
              </w:rPr>
              <w:t>1</w:t>
            </w:r>
            <w:r>
              <w:rPr>
                <w:rFonts w:ascii="宋体" w:hAnsi="宋体"/>
                <w:sz w:val="18"/>
                <w:szCs w:val="18"/>
              </w:rPr>
              <w:t>）</w:t>
            </w:r>
          </w:p>
          <w:p>
            <w:pPr>
              <w:jc w:val="center"/>
              <w:rPr>
                <w:rFonts w:ascii="宋体" w:hAnsi="宋体"/>
                <w:i/>
                <w:sz w:val="18"/>
                <w:szCs w:val="18"/>
              </w:rPr>
            </w:pPr>
            <w:r>
              <w:rPr>
                <w:rFonts w:hint="eastAsia" w:ascii="宋体" w:hAnsi="宋体"/>
                <w:i/>
                <w:sz w:val="18"/>
                <w:szCs w:val="18"/>
              </w:rPr>
              <w:t>E</w:t>
            </w:r>
            <w:r>
              <w:rPr>
                <w:rFonts w:hint="eastAsia" w:ascii="宋体" w:hAnsi="宋体"/>
                <w:i/>
                <w:sz w:val="18"/>
                <w:szCs w:val="18"/>
                <w:vertAlign w:val="subscript"/>
              </w:rPr>
              <w:t>ik</w:t>
            </w:r>
            <w:r>
              <w:rPr>
                <w:rFonts w:hint="eastAsia" w:ascii="宋体" w:hAnsi="宋体"/>
                <w:i/>
                <w:sz w:val="18"/>
                <w:szCs w:val="18"/>
              </w:rPr>
              <w:t>=</w:t>
            </w:r>
            <w:r>
              <w:rPr>
                <w:rFonts w:ascii="宋体" w:hAnsi="宋体"/>
                <w:i/>
                <w:sz w:val="18"/>
                <w:szCs w:val="18"/>
              </w:rPr>
              <w:t>S</w:t>
            </w:r>
            <w:r>
              <w:rPr>
                <w:rFonts w:ascii="宋体" w:hAnsi="宋体"/>
                <w:i/>
                <w:sz w:val="18"/>
                <w:szCs w:val="18"/>
                <w:vertAlign w:val="subscript"/>
              </w:rPr>
              <w:t>ik</w:t>
            </w:r>
            <w:r>
              <w:rPr>
                <w:rFonts w:ascii="宋体" w:hAnsi="宋体"/>
                <w:i/>
                <w:sz w:val="18"/>
                <w:szCs w:val="18"/>
              </w:rPr>
              <w:t>/M</w:t>
            </w:r>
            <w:r>
              <w:rPr>
                <w:rFonts w:ascii="宋体" w:hAnsi="宋体"/>
                <w:i/>
                <w:sz w:val="18"/>
                <w:szCs w:val="18"/>
                <w:vertAlign w:val="subscript"/>
              </w:rPr>
              <w:t>ik</w:t>
            </w:r>
          </w:p>
        </w:tc>
      </w:tr>
      <w:tr>
        <w:tblPrEx>
          <w:tblCellMar>
            <w:top w:w="0" w:type="dxa"/>
            <w:left w:w="108" w:type="dxa"/>
            <w:bottom w:w="0" w:type="dxa"/>
            <w:right w:w="108" w:type="dxa"/>
          </w:tblCellMar>
        </w:tblPrEx>
        <w:trPr>
          <w:trHeight w:val="986" w:hRule="atLeast"/>
          <w:jc w:val="center"/>
        </w:trPr>
        <w:tc>
          <w:tcPr>
            <w:tcW w:w="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3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27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kern w:val="0"/>
                <w:sz w:val="18"/>
                <w:szCs w:val="18"/>
              </w:rPr>
              <w:t>作业</w:t>
            </w:r>
          </w:p>
        </w:tc>
        <w:tc>
          <w:tcPr>
            <w:tcW w:w="31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kern w:val="0"/>
                <w:sz w:val="18"/>
                <w:szCs w:val="18"/>
              </w:rPr>
              <w:t>实验</w:t>
            </w:r>
          </w:p>
        </w:tc>
        <w:tc>
          <w:tcPr>
            <w:tcW w:w="41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kern w:val="0"/>
                <w:sz w:val="18"/>
                <w:szCs w:val="18"/>
              </w:rPr>
              <w:t>综合性报告</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kern w:val="0"/>
                <w:sz w:val="18"/>
                <w:szCs w:val="18"/>
              </w:rPr>
              <w:t>答辩</w:t>
            </w:r>
          </w:p>
        </w:tc>
        <w:tc>
          <w:tcPr>
            <w:tcW w:w="2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kern w:val="0"/>
                <w:sz w:val="18"/>
                <w:szCs w:val="18"/>
              </w:rPr>
              <w:t>作业</w:t>
            </w:r>
          </w:p>
        </w:tc>
        <w:tc>
          <w:tcPr>
            <w:tcW w:w="36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kern w:val="0"/>
                <w:sz w:val="18"/>
                <w:szCs w:val="18"/>
              </w:rPr>
              <w:t>实验</w:t>
            </w:r>
          </w:p>
        </w:tc>
        <w:tc>
          <w:tcPr>
            <w:tcW w:w="41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kern w:val="0"/>
                <w:sz w:val="18"/>
                <w:szCs w:val="18"/>
              </w:rPr>
              <w:t>综合性报告</w:t>
            </w:r>
          </w:p>
        </w:tc>
        <w:tc>
          <w:tcPr>
            <w:tcW w:w="51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kern w:val="0"/>
                <w:sz w:val="18"/>
                <w:szCs w:val="18"/>
              </w:rPr>
              <w:t>答辩</w:t>
            </w:r>
          </w:p>
        </w:tc>
        <w:tc>
          <w:tcPr>
            <w:tcW w:w="24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kern w:val="0"/>
                <w:sz w:val="18"/>
                <w:szCs w:val="18"/>
              </w:rPr>
              <w:t>作业</w:t>
            </w:r>
          </w:p>
        </w:tc>
        <w:tc>
          <w:tcPr>
            <w:tcW w:w="24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kern w:val="0"/>
                <w:sz w:val="18"/>
                <w:szCs w:val="18"/>
              </w:rPr>
              <w:t>实验</w:t>
            </w:r>
          </w:p>
        </w:tc>
        <w:tc>
          <w:tcPr>
            <w:tcW w:w="4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kern w:val="0"/>
                <w:sz w:val="18"/>
                <w:szCs w:val="18"/>
              </w:rPr>
              <w:t>综合性报告</w:t>
            </w:r>
          </w:p>
        </w:tc>
        <w:tc>
          <w:tcPr>
            <w:tcW w:w="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kern w:val="0"/>
                <w:sz w:val="18"/>
                <w:szCs w:val="18"/>
              </w:rPr>
              <w:t>答辩</w:t>
            </w:r>
          </w:p>
        </w:tc>
      </w:tr>
      <w:tr>
        <w:tblPrEx>
          <w:tblCellMar>
            <w:top w:w="0" w:type="dxa"/>
            <w:left w:w="108" w:type="dxa"/>
            <w:bottom w:w="0" w:type="dxa"/>
            <w:right w:w="108" w:type="dxa"/>
          </w:tblCellMar>
        </w:tblPrEx>
        <w:trPr>
          <w:trHeight w:val="1020" w:hRule="atLeast"/>
          <w:jc w:val="center"/>
        </w:trPr>
        <w:tc>
          <w:tcPr>
            <w:tcW w:w="206" w:type="pct"/>
            <w:tcBorders>
              <w:top w:val="nil"/>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1</w:t>
            </w:r>
          </w:p>
        </w:tc>
        <w:tc>
          <w:tcPr>
            <w:tcW w:w="338"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Cs/>
                <w:sz w:val="18"/>
                <w:szCs w:val="18"/>
              </w:rPr>
            </w:pPr>
            <w:r>
              <w:rPr>
                <w:bCs/>
                <w:sz w:val="18"/>
                <w:szCs w:val="18"/>
              </w:rPr>
              <w:t>0.3</w:t>
            </w:r>
          </w:p>
        </w:tc>
        <w:tc>
          <w:tcPr>
            <w:tcW w:w="279"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0.2</w:t>
            </w:r>
          </w:p>
        </w:tc>
        <w:tc>
          <w:tcPr>
            <w:tcW w:w="312"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0.3</w:t>
            </w:r>
          </w:p>
        </w:tc>
        <w:tc>
          <w:tcPr>
            <w:tcW w:w="414"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0.2</w:t>
            </w:r>
          </w:p>
        </w:tc>
        <w:tc>
          <w:tcPr>
            <w:tcW w:w="499"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0.3</w:t>
            </w:r>
          </w:p>
        </w:tc>
        <w:tc>
          <w:tcPr>
            <w:tcW w:w="277"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0.06</w:t>
            </w:r>
          </w:p>
        </w:tc>
        <w:tc>
          <w:tcPr>
            <w:tcW w:w="362"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0.09</w:t>
            </w:r>
          </w:p>
        </w:tc>
        <w:tc>
          <w:tcPr>
            <w:tcW w:w="414"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0.06</w:t>
            </w:r>
          </w:p>
        </w:tc>
        <w:tc>
          <w:tcPr>
            <w:tcW w:w="512"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0.09</w:t>
            </w:r>
          </w:p>
        </w:tc>
        <w:tc>
          <w:tcPr>
            <w:tcW w:w="24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0.46</w:t>
            </w:r>
          </w:p>
        </w:tc>
        <w:tc>
          <w:tcPr>
            <w:tcW w:w="24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0.3</w:t>
            </w:r>
          </w:p>
        </w:tc>
        <w:tc>
          <w:tcPr>
            <w:tcW w:w="418"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270" w:firstLineChars="150"/>
              <w:rPr>
                <w:bCs/>
                <w:sz w:val="18"/>
                <w:szCs w:val="18"/>
              </w:rPr>
            </w:pPr>
            <w:r>
              <w:rPr>
                <w:bCs/>
                <w:sz w:val="18"/>
                <w:szCs w:val="18"/>
              </w:rPr>
              <w:t>0.3</w:t>
            </w:r>
          </w:p>
        </w:tc>
        <w:tc>
          <w:tcPr>
            <w:tcW w:w="48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p>
          <w:p>
            <w:pPr>
              <w:jc w:val="center"/>
              <w:rPr>
                <w:bCs/>
                <w:sz w:val="18"/>
                <w:szCs w:val="18"/>
              </w:rPr>
            </w:pPr>
            <w:r>
              <w:rPr>
                <w:bCs/>
                <w:sz w:val="18"/>
                <w:szCs w:val="18"/>
              </w:rPr>
              <w:t>0.24</w:t>
            </w:r>
          </w:p>
          <w:p>
            <w:pPr>
              <w:jc w:val="center"/>
              <w:rPr>
                <w:bCs/>
                <w:sz w:val="18"/>
                <w:szCs w:val="18"/>
              </w:rPr>
            </w:pPr>
          </w:p>
        </w:tc>
      </w:tr>
      <w:tr>
        <w:tblPrEx>
          <w:tblCellMar>
            <w:top w:w="0" w:type="dxa"/>
            <w:left w:w="108" w:type="dxa"/>
            <w:bottom w:w="0" w:type="dxa"/>
            <w:right w:w="108" w:type="dxa"/>
          </w:tblCellMar>
        </w:tblPrEx>
        <w:trPr>
          <w:trHeight w:val="694" w:hRule="atLeast"/>
          <w:jc w:val="center"/>
        </w:trPr>
        <w:tc>
          <w:tcPr>
            <w:tcW w:w="206" w:type="pct"/>
            <w:tcBorders>
              <w:top w:val="nil"/>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2</w:t>
            </w:r>
          </w:p>
        </w:tc>
        <w:tc>
          <w:tcPr>
            <w:tcW w:w="338" w:type="pct"/>
            <w:tcBorders>
              <w:top w:val="nil"/>
              <w:left w:val="single" w:color="auto" w:sz="4" w:space="0"/>
              <w:bottom w:val="single" w:color="auto" w:sz="4" w:space="0"/>
              <w:right w:val="single" w:color="auto" w:sz="4" w:space="0"/>
            </w:tcBorders>
            <w:shd w:val="clear" w:color="auto" w:fill="auto"/>
            <w:noWrap/>
            <w:vAlign w:val="center"/>
          </w:tcPr>
          <w:p>
            <w:pPr>
              <w:rPr>
                <w:bCs/>
                <w:sz w:val="18"/>
                <w:szCs w:val="18"/>
              </w:rPr>
            </w:pPr>
            <w:r>
              <w:rPr>
                <w:bCs/>
                <w:sz w:val="18"/>
                <w:szCs w:val="18"/>
              </w:rPr>
              <w:t xml:space="preserve"> 0.7</w:t>
            </w:r>
          </w:p>
        </w:tc>
        <w:tc>
          <w:tcPr>
            <w:tcW w:w="279"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0.1</w:t>
            </w:r>
          </w:p>
        </w:tc>
        <w:tc>
          <w:tcPr>
            <w:tcW w:w="312"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0.3</w:t>
            </w:r>
          </w:p>
        </w:tc>
        <w:tc>
          <w:tcPr>
            <w:tcW w:w="414"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0.2</w:t>
            </w:r>
          </w:p>
        </w:tc>
        <w:tc>
          <w:tcPr>
            <w:tcW w:w="499"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0.4</w:t>
            </w:r>
          </w:p>
        </w:tc>
        <w:tc>
          <w:tcPr>
            <w:tcW w:w="277"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0.07</w:t>
            </w:r>
          </w:p>
        </w:tc>
        <w:tc>
          <w:tcPr>
            <w:tcW w:w="362"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0.21</w:t>
            </w:r>
          </w:p>
        </w:tc>
        <w:tc>
          <w:tcPr>
            <w:tcW w:w="414"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0.14</w:t>
            </w:r>
          </w:p>
        </w:tc>
        <w:tc>
          <w:tcPr>
            <w:tcW w:w="512"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0.28</w:t>
            </w:r>
          </w:p>
        </w:tc>
        <w:tc>
          <w:tcPr>
            <w:tcW w:w="24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0.54</w:t>
            </w:r>
          </w:p>
        </w:tc>
        <w:tc>
          <w:tcPr>
            <w:tcW w:w="24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0.7</w:t>
            </w:r>
          </w:p>
        </w:tc>
        <w:tc>
          <w:tcPr>
            <w:tcW w:w="41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0.7</w:t>
            </w:r>
          </w:p>
        </w:tc>
        <w:tc>
          <w:tcPr>
            <w:tcW w:w="48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0.76</w:t>
            </w:r>
          </w:p>
        </w:tc>
      </w:tr>
      <w:tr>
        <w:tblPrEx>
          <w:tblCellMar>
            <w:top w:w="0" w:type="dxa"/>
            <w:left w:w="108" w:type="dxa"/>
            <w:bottom w:w="0" w:type="dxa"/>
            <w:right w:w="108" w:type="dxa"/>
          </w:tblCellMar>
        </w:tblPrEx>
        <w:trPr>
          <w:trHeight w:val="1026" w:hRule="atLeast"/>
          <w:jc w:val="center"/>
        </w:trPr>
        <w:tc>
          <w:tcPr>
            <w:tcW w:w="2049" w:type="pct"/>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各环节对课程目标达成的贡献率（</w:t>
            </w:r>
            <w:r>
              <w:rPr>
                <w:rFonts w:hint="eastAsia" w:ascii="宋体" w:hAnsi="宋体" w:cs="宋体"/>
                <w:i/>
                <w:kern w:val="0"/>
                <w:sz w:val="18"/>
                <w:szCs w:val="18"/>
              </w:rPr>
              <w:t>M</w:t>
            </w:r>
            <w:r>
              <w:rPr>
                <w:rFonts w:hint="eastAsia" w:ascii="宋体" w:hAnsi="宋体" w:cs="宋体"/>
                <w:i/>
                <w:kern w:val="0"/>
                <w:sz w:val="18"/>
                <w:szCs w:val="18"/>
                <w:vertAlign w:val="subscript"/>
              </w:rPr>
              <w:t>k</w:t>
            </w:r>
            <w:r>
              <w:rPr>
                <w:rFonts w:hint="eastAsia" w:ascii="宋体" w:hAnsi="宋体" w:cs="宋体"/>
                <w:kern w:val="0"/>
                <w:sz w:val="18"/>
                <w:szCs w:val="18"/>
              </w:rPr>
              <w:t>）</w:t>
            </w:r>
          </w:p>
        </w:tc>
        <w:tc>
          <w:tcPr>
            <w:tcW w:w="27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Cs/>
                <w:sz w:val="18"/>
                <w:szCs w:val="18"/>
              </w:rPr>
            </w:pPr>
            <w:r>
              <w:rPr>
                <w:bCs/>
                <w:sz w:val="18"/>
                <w:szCs w:val="18"/>
              </w:rPr>
              <w:t xml:space="preserve">0.13 </w:t>
            </w:r>
          </w:p>
        </w:tc>
        <w:tc>
          <w:tcPr>
            <w:tcW w:w="362"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 xml:space="preserve">0.30 </w:t>
            </w:r>
          </w:p>
        </w:tc>
        <w:tc>
          <w:tcPr>
            <w:tcW w:w="414"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 xml:space="preserve">0.20 </w:t>
            </w:r>
          </w:p>
        </w:tc>
        <w:tc>
          <w:tcPr>
            <w:tcW w:w="512"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 xml:space="preserve">0.37 </w:t>
            </w:r>
          </w:p>
        </w:tc>
        <w:tc>
          <w:tcPr>
            <w:tcW w:w="1387"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教师出题或布置作业时</w:t>
            </w:r>
          </w:p>
          <w:p>
            <w:pPr>
              <w:jc w:val="center"/>
              <w:rPr>
                <w:b/>
                <w:sz w:val="18"/>
                <w:szCs w:val="18"/>
              </w:rPr>
            </w:pPr>
            <w:r>
              <w:rPr>
                <w:sz w:val="18"/>
                <w:szCs w:val="18"/>
              </w:rPr>
              <w:t>要尽量做到按照以上比例布局</w:t>
            </w:r>
          </w:p>
        </w:tc>
      </w:tr>
    </w:tbl>
    <w:p>
      <w:pPr>
        <w:spacing w:line="360" w:lineRule="auto"/>
        <w:jc w:val="left"/>
      </w:pPr>
    </w:p>
    <w:p>
      <w:pPr>
        <w:spacing w:line="360" w:lineRule="auto"/>
        <w:jc w:val="left"/>
      </w:pPr>
    </w:p>
    <w:p>
      <w:pPr>
        <w:spacing w:line="360" w:lineRule="auto"/>
        <w:rPr>
          <w:szCs w:val="21"/>
        </w:rPr>
      </w:pPr>
    </w:p>
    <w:p>
      <w:pPr>
        <w:spacing w:line="360" w:lineRule="auto"/>
        <w:rPr>
          <w:szCs w:val="21"/>
        </w:rPr>
        <w:sectPr>
          <w:pgSz w:w="16838" w:h="11906" w:orient="landscape"/>
          <w:pgMar w:top="1797" w:right="1440" w:bottom="1797" w:left="1440" w:header="851" w:footer="992" w:gutter="0"/>
          <w:pgNumType w:fmt="decimal"/>
          <w:cols w:space="425" w:num="1"/>
          <w:docGrid w:linePitch="312" w:charSpace="0"/>
        </w:sectPr>
      </w:pPr>
    </w:p>
    <w:p>
      <w:pPr>
        <w:spacing w:line="360" w:lineRule="auto"/>
        <w:ind w:firstLine="420" w:firstLineChars="200"/>
        <w:rPr>
          <w:szCs w:val="21"/>
        </w:rPr>
      </w:pPr>
      <w:r>
        <w:rPr>
          <w:rFonts w:hint="eastAsia"/>
          <w:szCs w:val="21"/>
        </w:rPr>
        <w:t>采用达成值计算法，辅以对学生的问卷调查法。</w:t>
      </w:r>
    </w:p>
    <w:p>
      <w:pPr>
        <w:spacing w:line="360" w:lineRule="auto"/>
        <w:ind w:firstLine="422" w:firstLineChars="200"/>
        <w:rPr>
          <w:b/>
          <w:bCs/>
          <w:szCs w:val="21"/>
        </w:rPr>
      </w:pPr>
      <w:r>
        <w:rPr>
          <w:rFonts w:hint="eastAsia"/>
          <w:b/>
          <w:bCs/>
          <w:szCs w:val="21"/>
        </w:rPr>
        <w:t>课程目标定量评价：</w:t>
      </w:r>
    </w:p>
    <w:p>
      <w:pPr>
        <w:spacing w:line="360" w:lineRule="auto"/>
        <w:ind w:firstLine="420" w:firstLineChars="200"/>
        <w:rPr>
          <w:szCs w:val="21"/>
        </w:rPr>
      </w:pPr>
      <w:r>
        <w:rPr>
          <w:szCs w:val="21"/>
        </w:rPr>
        <w:t>达成值计算法结合上表权重分配，采用</w:t>
      </w:r>
      <w:r>
        <w:rPr>
          <w:rFonts w:hint="eastAsia"/>
          <w:szCs w:val="21"/>
        </w:rPr>
        <w:t>下表进行计算。</w:t>
      </w:r>
    </w:p>
    <w:p>
      <w:pPr>
        <w:spacing w:line="360" w:lineRule="auto"/>
        <w:ind w:firstLine="420" w:firstLineChars="200"/>
        <w:rPr>
          <w:szCs w:val="21"/>
        </w:rPr>
      </w:pPr>
      <w:r>
        <w:rPr>
          <w:szCs w:val="21"/>
        </w:rPr>
        <w:t>单一课程目标达成度评价采用下式：</w:t>
      </w:r>
    </w:p>
    <w:p>
      <w:pPr>
        <w:spacing w:line="360" w:lineRule="auto"/>
        <w:ind w:firstLine="420" w:firstLineChars="200"/>
        <w:rPr>
          <w:szCs w:val="21"/>
        </w:rPr>
      </w:pPr>
      <w:r>
        <w:rPr>
          <w:position w:val="-30"/>
          <w:szCs w:val="21"/>
        </w:rPr>
        <w:object>
          <v:shape id="_x0000_i1079" o:spt="75" type="#_x0000_t75" style="height:36pt;width:165.5pt;" o:ole="t" filled="f" o:preferrelative="t" stroked="f" coordsize="21600,21600">
            <v:path/>
            <v:fill on="f" focussize="0,0"/>
            <v:stroke on="f" joinstyle="miter"/>
            <v:imagedata r:id="rId145" o:title=""/>
            <o:lock v:ext="edit" aspectratio="t"/>
            <w10:wrap type="none"/>
            <w10:anchorlock/>
          </v:shape>
          <o:OLEObject Type="Embed" ProgID="Equation.3" ShapeID="_x0000_i1079" DrawAspect="Content" ObjectID="_1468075779" r:id="rId213">
            <o:LockedField>false</o:LockedField>
          </o:OLEObject>
        </w:object>
      </w:r>
    </w:p>
    <w:p>
      <w:pPr>
        <w:spacing w:line="360" w:lineRule="auto"/>
        <w:ind w:firstLine="420" w:firstLineChars="200"/>
        <w:rPr>
          <w:szCs w:val="21"/>
        </w:rPr>
      </w:pPr>
      <w:r>
        <w:rPr>
          <w:szCs w:val="21"/>
        </w:rPr>
        <w:t>总的课程目标达成度评价采用下式：</w:t>
      </w:r>
    </w:p>
    <w:p>
      <w:pPr>
        <w:spacing w:line="360" w:lineRule="auto"/>
        <w:ind w:firstLine="420" w:firstLineChars="200"/>
        <w:rPr>
          <w:szCs w:val="21"/>
        </w:rPr>
      </w:pPr>
      <w:r>
        <w:rPr>
          <w:position w:val="-30"/>
          <w:szCs w:val="21"/>
        </w:rPr>
        <w:object>
          <v:shape id="_x0000_i1080" o:spt="75" type="#_x0000_t75" style="height:36pt;width:151pt;" o:ole="t" filled="f" o:preferrelative="t" stroked="f" coordsize="21600,21600">
            <v:path/>
            <v:fill on="f" focussize="0,0"/>
            <v:stroke on="f" joinstyle="miter"/>
            <v:imagedata r:id="rId147" o:title=""/>
            <o:lock v:ext="edit" aspectratio="t"/>
            <w10:wrap type="none"/>
            <w10:anchorlock/>
          </v:shape>
          <o:OLEObject Type="Embed" ProgID="Equation.3" ShapeID="_x0000_i1080" DrawAspect="Content" ObjectID="_1468075780" r:id="rId214">
            <o:LockedField>false</o:LockedField>
          </o:OLEObject>
        </w:object>
      </w:r>
    </w:p>
    <w:p>
      <w:pPr>
        <w:spacing w:line="360" w:lineRule="auto"/>
        <w:ind w:firstLine="420" w:firstLineChars="200"/>
        <w:rPr>
          <w:szCs w:val="21"/>
        </w:rPr>
      </w:pPr>
      <w:r>
        <w:rPr>
          <w:szCs w:val="21"/>
        </w:rPr>
        <w:t>以上公式中：</w:t>
      </w:r>
    </w:p>
    <w:p>
      <w:pPr>
        <w:spacing w:line="360" w:lineRule="auto"/>
        <w:ind w:firstLine="420" w:firstLineChars="200"/>
        <w:rPr>
          <w:szCs w:val="21"/>
        </w:rPr>
      </w:pPr>
      <w:r>
        <w:rPr>
          <w:i/>
          <w:szCs w:val="21"/>
        </w:rPr>
        <w:t>k</w:t>
      </w:r>
      <w:r>
        <w:rPr>
          <w:szCs w:val="21"/>
        </w:rPr>
        <w:t>表示不同的评价方式，</w:t>
      </w:r>
      <w:r>
        <w:rPr>
          <w:i/>
          <w:szCs w:val="21"/>
        </w:rPr>
        <w:t>i</w:t>
      </w:r>
      <w:r>
        <w:rPr>
          <w:szCs w:val="21"/>
        </w:rPr>
        <w:t>表示不同的课程目标。</w:t>
      </w:r>
    </w:p>
    <w:p>
      <w:pPr>
        <w:spacing w:line="360" w:lineRule="auto"/>
        <w:ind w:firstLine="420" w:firstLineChars="200"/>
      </w:pPr>
      <w:r>
        <w:rPr>
          <w:position w:val="-10"/>
        </w:rPr>
        <w:object>
          <v:shape id="_x0000_i1081" o:spt="75" type="#_x0000_t75" style="height:14.5pt;width:14.5pt;" o:ole="t" filled="f" o:preferrelative="t" stroked="f" coordsize="21600,21600">
            <v:path/>
            <v:fill on="f" focussize="0,0"/>
            <v:stroke on="f" joinstyle="miter"/>
            <v:imagedata r:id="rId149" o:title=""/>
            <o:lock v:ext="edit" aspectratio="t"/>
            <w10:wrap type="none"/>
            <w10:anchorlock/>
          </v:shape>
          <o:OLEObject Type="Embed" ProgID="Equation.3" ShapeID="_x0000_i1081" DrawAspect="Content" ObjectID="_1468075781" r:id="rId215">
            <o:LockedField>false</o:LockedField>
          </o:OLEObject>
        </w:object>
      </w:r>
      <w:r>
        <w:t>表示第</w:t>
      </w:r>
      <w:r>
        <w:rPr>
          <w:i/>
        </w:rPr>
        <w:t>k</w:t>
      </w:r>
      <w:r>
        <w:t>种评价方式期末评价成绩平均分，均为百分制；</w:t>
      </w:r>
    </w:p>
    <w:p>
      <w:pPr>
        <w:spacing w:line="360" w:lineRule="auto"/>
        <w:ind w:firstLine="420" w:firstLineChars="200"/>
      </w:pPr>
      <w:r>
        <w:rPr>
          <w:position w:val="-10"/>
        </w:rPr>
        <w:object>
          <v:shape id="_x0000_i1082" o:spt="75" type="#_x0000_t75" style="height:14.5pt;width:72pt;" o:ole="t" filled="f" o:preferrelative="t" stroked="f" coordsize="21600,21600">
            <v:path/>
            <v:fill on="f" focussize="0,0"/>
            <v:stroke on="f" joinstyle="miter"/>
            <v:imagedata r:id="rId151" o:title=""/>
            <o:lock v:ext="edit" aspectratio="t"/>
            <w10:wrap type="none"/>
            <w10:anchorlock/>
          </v:shape>
          <o:OLEObject Type="Embed" ProgID="Equation.3" ShapeID="_x0000_i1082" DrawAspect="Content" ObjectID="_1468075782" r:id="rId216">
            <o:LockedField>false</o:LockedField>
          </o:OLEObject>
        </w:object>
      </w:r>
      <w:r>
        <w:t>是第</w:t>
      </w:r>
      <w:r>
        <w:rPr>
          <w:i/>
        </w:rPr>
        <w:t>k</w:t>
      </w:r>
      <w:r>
        <w:t>种评价方式通过第</w:t>
      </w:r>
      <w:r>
        <w:rPr>
          <w:i/>
        </w:rPr>
        <w:t>i</w:t>
      </w:r>
      <w:r>
        <w:t>个课程目标反映在总的课程目标评分占比；</w:t>
      </w:r>
    </w:p>
    <w:p>
      <w:pPr>
        <w:spacing w:line="360" w:lineRule="auto"/>
        <w:ind w:firstLine="420" w:firstLineChars="200"/>
        <w:rPr>
          <w:szCs w:val="21"/>
        </w:rPr>
      </w:pPr>
      <w:r>
        <w:rPr>
          <w:position w:val="-10"/>
        </w:rPr>
        <w:object>
          <v:shape id="_x0000_i1083" o:spt="75" type="#_x0000_t75" style="height:14.5pt;width:14.5pt;" o:ole="t" filled="f" o:preferrelative="t" stroked="f" coordsize="21600,21600">
            <v:path/>
            <v:fill on="f" focussize="0,0"/>
            <v:stroke on="f" joinstyle="miter"/>
            <v:imagedata r:id="rId153" o:title=""/>
            <o:lock v:ext="edit" aspectratio="t"/>
            <w10:wrap type="none"/>
            <w10:anchorlock/>
          </v:shape>
          <o:OLEObject Type="Embed" ProgID="Equation.3" ShapeID="_x0000_i1083" DrawAspect="Content" ObjectID="_1468075783" r:id="rId217">
            <o:LockedField>false</o:LockedField>
          </o:OLEObject>
        </w:object>
      </w:r>
      <w:r>
        <w:t>表示第</w:t>
      </w:r>
      <w:r>
        <w:rPr>
          <w:i/>
        </w:rPr>
        <w:t>k</w:t>
      </w:r>
      <w:r>
        <w:t>种评价方式对第</w:t>
      </w:r>
      <w:r>
        <w:rPr>
          <w:i/>
        </w:rPr>
        <w:t>i</w:t>
      </w:r>
      <w:r>
        <w:t>个课程目标百分占比；</w:t>
      </w:r>
    </w:p>
    <w:p>
      <w:pPr>
        <w:spacing w:line="360" w:lineRule="auto"/>
        <w:ind w:firstLine="420" w:firstLineChars="200"/>
      </w:pPr>
      <w:r>
        <w:rPr>
          <w:position w:val="-10"/>
        </w:rPr>
        <w:object>
          <v:shape id="_x0000_i1084" o:spt="75" type="#_x0000_t75" style="height:14.5pt;width:14.5pt;" o:ole="t" filled="f" o:preferrelative="t" stroked="f" coordsize="21600,21600">
            <v:path/>
            <v:fill on="f" focussize="0,0"/>
            <v:stroke on="f" joinstyle="miter"/>
            <v:imagedata r:id="rId155" o:title=""/>
            <o:lock v:ext="edit" aspectratio="t"/>
            <w10:wrap type="none"/>
            <w10:anchorlock/>
          </v:shape>
          <o:OLEObject Type="Embed" ProgID="Equation.3" ShapeID="_x0000_i1084" DrawAspect="Content" ObjectID="_1468075784" r:id="rId218">
            <o:LockedField>false</o:LockedField>
          </o:OLEObject>
        </w:object>
      </w:r>
      <w:r>
        <w:t>表示第</w:t>
      </w:r>
      <w:r>
        <w:rPr>
          <w:i/>
        </w:rPr>
        <w:t>i</w:t>
      </w:r>
      <w:r>
        <w:t>个课程目标在课程总评价中的占比；</w:t>
      </w:r>
    </w:p>
    <w:p>
      <w:pPr>
        <w:spacing w:line="360" w:lineRule="auto"/>
        <w:ind w:firstLine="422" w:firstLineChars="200"/>
        <w:rPr>
          <w:b/>
          <w:bCs/>
          <w:position w:val="-10"/>
          <w:szCs w:val="22"/>
        </w:rPr>
      </w:pPr>
      <w:r>
        <w:rPr>
          <w:rFonts w:hint="eastAsia"/>
          <w:b/>
          <w:bCs/>
          <w:position w:val="-10"/>
          <w:szCs w:val="22"/>
        </w:rPr>
        <w:t>课程目标定性评价：</w:t>
      </w:r>
    </w:p>
    <w:p>
      <w:pPr>
        <w:spacing w:line="360" w:lineRule="auto"/>
        <w:ind w:firstLine="420" w:firstLineChars="200"/>
        <w:rPr>
          <w:rFonts w:ascii="宋体" w:hAnsi="宋体" w:cs="宋体"/>
          <w:szCs w:val="21"/>
        </w:rPr>
      </w:pPr>
      <w:r>
        <w:rPr>
          <w:rFonts w:hint="eastAsia" w:ascii="宋体" w:hAnsi="宋体" w:cs="宋体"/>
          <w:szCs w:val="21"/>
        </w:rPr>
        <w:t>针对每门课的课程目标，直接设计问题，并要求学生明确给出目标能力达到的程度“很好（0.95）、较好（0.75）、中（0.60）、较差（0.45）、很差（0.25）”，根据各区段统计比例与括号中的目标分值加权后求和得出定性评价的结果。</w:t>
      </w:r>
    </w:p>
    <w:p>
      <w:pPr>
        <w:spacing w:line="360" w:lineRule="auto"/>
        <w:ind w:firstLine="422" w:firstLineChars="200"/>
        <w:rPr>
          <w:b/>
          <w:bCs/>
          <w:position w:val="-10"/>
          <w:szCs w:val="22"/>
        </w:rPr>
      </w:pPr>
      <w:r>
        <w:rPr>
          <w:rFonts w:hint="eastAsia"/>
          <w:b/>
          <w:bCs/>
          <w:position w:val="-10"/>
          <w:szCs w:val="22"/>
        </w:rPr>
        <w:t>课程目标达成结果：</w:t>
      </w:r>
    </w:p>
    <w:p>
      <w:pPr>
        <w:spacing w:line="360" w:lineRule="auto"/>
        <w:ind w:firstLine="420" w:firstLineChars="200"/>
        <w:rPr>
          <w:rFonts w:ascii="宋体" w:hAnsi="宋体" w:cs="宋体"/>
          <w:szCs w:val="21"/>
        </w:rPr>
      </w:pPr>
      <w:r>
        <w:rPr>
          <w:rFonts w:hint="eastAsia" w:ascii="宋体" w:hAnsi="宋体" w:cs="宋体"/>
          <w:szCs w:val="21"/>
        </w:rPr>
        <w:t>同一课程目标的评价，取定性评价和定量评价的平均值，作为最终评价结果。</w:t>
      </w:r>
    </w:p>
    <w:p>
      <w:pPr>
        <w:spacing w:line="360" w:lineRule="auto"/>
        <w:ind w:firstLine="420" w:firstLineChars="200"/>
        <w:rPr>
          <w:position w:val="-10"/>
          <w:szCs w:val="22"/>
        </w:rPr>
      </w:pPr>
      <w:r>
        <w:rPr>
          <w:rFonts w:hint="eastAsia"/>
          <w:position w:val="-10"/>
          <w:szCs w:val="22"/>
        </w:rPr>
        <w:t>课程目标达成度大于等于0.71为一级达成，大于等于0.65为二级达成。</w:t>
      </w:r>
    </w:p>
    <w:p>
      <w:pPr>
        <w:widowControl/>
        <w:jc w:val="left"/>
        <w:rPr>
          <w:rFonts w:eastAsia="黑体"/>
          <w:szCs w:val="24"/>
        </w:rPr>
      </w:pPr>
    </w:p>
    <w:p>
      <w:pPr>
        <w:tabs>
          <w:tab w:val="left" w:pos="420"/>
        </w:tabs>
        <w:adjustRightInd w:val="0"/>
        <w:snapToGrid w:val="0"/>
        <w:spacing w:line="360" w:lineRule="auto"/>
        <w:ind w:left="420" w:hanging="420"/>
        <w:rPr>
          <w:rFonts w:eastAsia="黑体"/>
          <w:szCs w:val="24"/>
        </w:rPr>
      </w:pPr>
      <w:r>
        <w:rPr>
          <w:rFonts w:hint="eastAsia" w:eastAsia="黑体"/>
          <w:szCs w:val="24"/>
        </w:rPr>
        <w:t>十一、各环节评价标准</w:t>
      </w:r>
    </w:p>
    <w:p>
      <w:pPr>
        <w:spacing w:line="360" w:lineRule="auto"/>
        <w:ind w:firstLine="420" w:firstLineChars="200"/>
        <w:rPr>
          <w:szCs w:val="21"/>
        </w:rPr>
      </w:pPr>
      <w:r>
        <w:rPr>
          <w:rFonts w:hint="eastAsia"/>
          <w:szCs w:val="21"/>
        </w:rPr>
        <w:t>本课程允许教师在各评价环节根据具体情况采取多样化、个性化的考核手段，其评价标准应当在《</w:t>
      </w:r>
      <w:r>
        <w:rPr>
          <w:rFonts w:hint="eastAsia" w:ascii="宋体" w:hAnsi="宋体"/>
          <w:szCs w:val="21"/>
        </w:rPr>
        <w:t>SIE-CT-01：</w:t>
      </w:r>
      <w:r>
        <w:rPr>
          <w:rFonts w:hint="eastAsia"/>
          <w:szCs w:val="21"/>
        </w:rPr>
        <w:t>授课计划》中明确并向学生公布，教学过程中的考核评价应当严格按照标准完成。</w:t>
      </w:r>
    </w:p>
    <w:p>
      <w:pPr>
        <w:tabs>
          <w:tab w:val="left" w:pos="420"/>
        </w:tabs>
        <w:adjustRightInd w:val="0"/>
        <w:snapToGrid w:val="0"/>
        <w:spacing w:line="360" w:lineRule="auto"/>
        <w:ind w:left="420" w:hanging="420"/>
        <w:rPr>
          <w:color w:val="0000FF"/>
        </w:rPr>
      </w:pPr>
    </w:p>
    <w:p>
      <w:pPr>
        <w:tabs>
          <w:tab w:val="left" w:pos="420"/>
        </w:tabs>
        <w:adjustRightInd w:val="0"/>
        <w:snapToGrid w:val="0"/>
        <w:spacing w:line="360" w:lineRule="auto"/>
        <w:ind w:left="420" w:hanging="420"/>
        <w:rPr>
          <w:rFonts w:eastAsia="黑体"/>
          <w:szCs w:val="24"/>
        </w:rPr>
      </w:pPr>
      <w:r>
        <w:rPr>
          <w:rFonts w:hint="eastAsia" w:eastAsia="黑体"/>
          <w:szCs w:val="24"/>
        </w:rPr>
        <w:t>十二、课程目标达成评价结果用于持续改进</w:t>
      </w:r>
    </w:p>
    <w:p>
      <w:pPr>
        <w:spacing w:line="360" w:lineRule="auto"/>
        <w:ind w:firstLine="420" w:firstLineChars="200"/>
        <w:rPr>
          <w:szCs w:val="21"/>
        </w:rPr>
      </w:pPr>
      <w:r>
        <w:rPr>
          <w:rFonts w:hint="eastAsia"/>
          <w:szCs w:val="21"/>
        </w:rPr>
        <w:t>课程目标达成评价结果将用于后续教学过程的持续改进。</w:t>
      </w:r>
    </w:p>
    <w:p>
      <w:pPr>
        <w:spacing w:line="360" w:lineRule="auto"/>
        <w:ind w:firstLine="420" w:firstLineChars="200"/>
        <w:rPr>
          <w:szCs w:val="21"/>
        </w:rPr>
      </w:pPr>
      <w:r>
        <w:rPr>
          <w:rFonts w:hint="eastAsia"/>
          <w:szCs w:val="21"/>
        </w:rPr>
        <w:t>针对课程目标达成评价中发现的问题与不足，重点是达成值相对较低的项，在本次授课总结中应由授课教师分析具体原因，并给出改进建议。后续任课教师应当针对以前的问题和建议，在授课计划中做好落实改进计划，并在授课过程中予以落实。</w:t>
      </w:r>
    </w:p>
    <w:p>
      <w:pPr>
        <w:pStyle w:val="18"/>
        <w:spacing w:before="240" w:after="360"/>
      </w:pPr>
      <w:bookmarkStart w:id="20" w:name="_Toc16439"/>
      <w:r>
        <w:t>《电子设计自动化（</w:t>
      </w:r>
      <w:r>
        <w:rPr>
          <w:rFonts w:ascii="Times New Roman" w:hAnsi="Times New Roman" w:cs="Times New Roman"/>
        </w:rPr>
        <w:t>EDA</w:t>
      </w:r>
      <w:r>
        <w:t>）》</w:t>
      </w:r>
      <w:r>
        <w:rPr>
          <w:rFonts w:hint="eastAsia"/>
        </w:rPr>
        <w:t>教学大纲</w:t>
      </w:r>
      <w:bookmarkEnd w:id="20"/>
    </w:p>
    <w:p>
      <w:pPr>
        <w:adjustRightInd w:val="0"/>
        <w:snapToGrid w:val="0"/>
        <w:spacing w:line="360" w:lineRule="auto"/>
        <w:rPr>
          <w:bCs/>
          <w:kern w:val="0"/>
        </w:rPr>
      </w:pPr>
      <w:r>
        <w:rPr>
          <w:rFonts w:hint="eastAsia" w:eastAsia="黑体"/>
          <w:szCs w:val="21"/>
        </w:rPr>
        <w:t>课程编号：</w:t>
      </w:r>
      <w:r>
        <w:rPr>
          <w:bCs/>
          <w:kern w:val="0"/>
        </w:rPr>
        <w:t>Y06060025</w:t>
      </w:r>
    </w:p>
    <w:p>
      <w:pPr>
        <w:adjustRightInd w:val="0"/>
        <w:snapToGrid w:val="0"/>
        <w:spacing w:line="360" w:lineRule="auto"/>
        <w:rPr>
          <w:rFonts w:eastAsia="黑体"/>
          <w:szCs w:val="21"/>
        </w:rPr>
      </w:pPr>
      <w:r>
        <w:rPr>
          <w:rFonts w:hint="eastAsia" w:eastAsia="黑体"/>
          <w:szCs w:val="21"/>
        </w:rPr>
        <w:t>课程名称：</w:t>
      </w:r>
      <w:r>
        <w:rPr>
          <w:szCs w:val="21"/>
        </w:rPr>
        <w:t>电子设计自动化（EDA）</w:t>
      </w:r>
      <w:r>
        <w:rPr>
          <w:szCs w:val="21"/>
        </w:rPr>
        <w:tab/>
      </w:r>
      <w:r>
        <w:rPr>
          <w:szCs w:val="21"/>
        </w:rPr>
        <w:tab/>
      </w:r>
      <w:r>
        <w:rPr>
          <w:szCs w:val="21"/>
        </w:rPr>
        <w:tab/>
      </w:r>
      <w:r>
        <w:rPr>
          <w:szCs w:val="21"/>
        </w:rPr>
        <w:tab/>
      </w:r>
      <w:r>
        <w:rPr>
          <w:szCs w:val="21"/>
        </w:rPr>
        <w:tab/>
      </w:r>
      <w:r>
        <w:rPr>
          <w:rFonts w:hint="eastAsia" w:eastAsia="黑体"/>
          <w:szCs w:val="21"/>
        </w:rPr>
        <w:t>开课单位：</w:t>
      </w:r>
      <w:r>
        <w:rPr>
          <w:rFonts w:hint="eastAsia"/>
          <w:szCs w:val="21"/>
        </w:rPr>
        <w:t>仪器与电子学院</w:t>
      </w:r>
    </w:p>
    <w:p>
      <w:pPr>
        <w:adjustRightInd w:val="0"/>
        <w:snapToGrid w:val="0"/>
        <w:spacing w:line="360" w:lineRule="auto"/>
        <w:rPr>
          <w:snapToGrid w:val="0"/>
          <w:kern w:val="0"/>
          <w:szCs w:val="21"/>
        </w:rPr>
      </w:pPr>
      <w:r>
        <w:rPr>
          <w:rFonts w:hint="eastAsia" w:eastAsia="黑体"/>
          <w:szCs w:val="21"/>
        </w:rPr>
        <w:t>总学时：</w:t>
      </w:r>
      <w:r>
        <w:rPr>
          <w:rFonts w:hint="eastAsia"/>
          <w:szCs w:val="21"/>
        </w:rPr>
        <w:t>32</w:t>
      </w:r>
      <w:r>
        <w:rPr>
          <w:szCs w:val="21"/>
        </w:rPr>
        <w:t xml:space="preserve"> (</w:t>
      </w:r>
      <w:r>
        <w:rPr>
          <w:rFonts w:hint="eastAsia"/>
          <w:szCs w:val="21"/>
        </w:rPr>
        <w:t>实验16学时</w:t>
      </w:r>
      <w:r>
        <w:rPr>
          <w:szCs w:val="21"/>
        </w:rPr>
        <w:t>)</w:t>
      </w:r>
      <w:r>
        <w:rPr>
          <w:rFonts w:eastAsia="黑体"/>
          <w:szCs w:val="21"/>
        </w:rPr>
        <w:tab/>
      </w:r>
      <w:r>
        <w:rPr>
          <w:rFonts w:eastAsia="黑体"/>
          <w:szCs w:val="21"/>
        </w:rPr>
        <w:tab/>
      </w:r>
      <w:r>
        <w:rPr>
          <w:rFonts w:eastAsia="黑体"/>
          <w:szCs w:val="21"/>
        </w:rPr>
        <w:tab/>
      </w:r>
      <w:r>
        <w:rPr>
          <w:rFonts w:eastAsia="黑体"/>
          <w:szCs w:val="21"/>
        </w:rPr>
        <w:tab/>
      </w:r>
      <w:r>
        <w:rPr>
          <w:rFonts w:hint="eastAsia" w:eastAsia="黑体"/>
          <w:szCs w:val="21"/>
        </w:rPr>
        <w:t>学分：</w:t>
      </w:r>
      <w:r>
        <w:rPr>
          <w:rFonts w:eastAsia="黑体"/>
          <w:szCs w:val="21"/>
        </w:rPr>
        <w:t>2</w:t>
      </w:r>
    </w:p>
    <w:p>
      <w:pPr>
        <w:adjustRightInd w:val="0"/>
        <w:snapToGrid w:val="0"/>
        <w:spacing w:line="360" w:lineRule="auto"/>
        <w:rPr>
          <w:rFonts w:hint="eastAsia" w:eastAsia="宋体"/>
          <w:szCs w:val="21"/>
          <w:lang w:eastAsia="zh-CN"/>
        </w:rPr>
      </w:pPr>
      <w:r>
        <w:rPr>
          <w:rFonts w:hint="eastAsia" w:eastAsia="黑体"/>
          <w:szCs w:val="21"/>
        </w:rPr>
        <w:t>适用专业：</w:t>
      </w:r>
      <w:r>
        <w:rPr>
          <w:szCs w:val="21"/>
        </w:rPr>
        <w:t>测控技术与仪器</w:t>
      </w:r>
      <w:r>
        <w:rPr>
          <w:rFonts w:hint="eastAsia"/>
          <w:szCs w:val="21"/>
        </w:rPr>
        <w:t>专业</w:t>
      </w:r>
      <w:r>
        <w:rPr>
          <w:szCs w:val="21"/>
        </w:rPr>
        <w:t>、电子科学与技术</w:t>
      </w:r>
      <w:r>
        <w:rPr>
          <w:rFonts w:hint="eastAsia"/>
          <w:szCs w:val="21"/>
        </w:rPr>
        <w:t>专业</w:t>
      </w:r>
      <w:r>
        <w:rPr>
          <w:rFonts w:hint="eastAsia"/>
          <w:szCs w:val="21"/>
          <w:lang w:eastAsia="zh-CN"/>
        </w:rPr>
        <w:t>、智能感知工程</w:t>
      </w:r>
    </w:p>
    <w:p>
      <w:pPr>
        <w:adjustRightInd w:val="0"/>
        <w:snapToGrid w:val="0"/>
        <w:spacing w:line="360" w:lineRule="auto"/>
        <w:rPr>
          <w:szCs w:val="21"/>
        </w:rPr>
      </w:pPr>
      <w:r>
        <w:rPr>
          <w:rFonts w:hint="eastAsia" w:eastAsia="黑体"/>
          <w:szCs w:val="21"/>
        </w:rPr>
        <w:t>先修课程：</w:t>
      </w:r>
      <w:r>
        <w:rPr>
          <w:szCs w:val="21"/>
        </w:rPr>
        <w:t>数字电子技术</w:t>
      </w:r>
      <w:r>
        <w:rPr>
          <w:rFonts w:hint="eastAsia"/>
          <w:szCs w:val="21"/>
        </w:rPr>
        <w:t>、</w:t>
      </w:r>
      <w:r>
        <w:rPr>
          <w:szCs w:val="21"/>
        </w:rPr>
        <w:t>模拟电子技术</w:t>
      </w:r>
    </w:p>
    <w:p>
      <w:pPr>
        <w:adjustRightInd w:val="0"/>
        <w:snapToGrid w:val="0"/>
        <w:spacing w:line="360" w:lineRule="auto"/>
        <w:rPr>
          <w:szCs w:val="21"/>
        </w:rPr>
      </w:pPr>
      <w:r>
        <w:rPr>
          <w:rFonts w:hint="eastAsia" w:eastAsia="黑体"/>
          <w:szCs w:val="21"/>
        </w:rPr>
        <w:t>大纲撰写人：</w:t>
      </w:r>
      <w:r>
        <w:rPr>
          <w:szCs w:val="21"/>
        </w:rPr>
        <w:t>王巍</w:t>
      </w:r>
    </w:p>
    <w:p>
      <w:pPr>
        <w:adjustRightInd w:val="0"/>
        <w:snapToGrid w:val="0"/>
        <w:spacing w:line="360" w:lineRule="auto"/>
        <w:rPr>
          <w:szCs w:val="21"/>
        </w:rPr>
      </w:pPr>
      <w:r>
        <w:rPr>
          <w:rFonts w:hint="eastAsia" w:eastAsia="黑体"/>
          <w:szCs w:val="21"/>
        </w:rPr>
        <w:t>大纲编写（修订）时间：</w:t>
      </w:r>
      <w:r>
        <w:rPr>
          <w:szCs w:val="21"/>
        </w:rPr>
        <w:t>2019年5月</w:t>
      </w:r>
    </w:p>
    <w:p>
      <w:pPr>
        <w:rPr>
          <w:b/>
          <w:szCs w:val="21"/>
        </w:rPr>
      </w:pPr>
    </w:p>
    <w:p>
      <w:pPr>
        <w:numPr>
          <w:ilvl w:val="0"/>
          <w:numId w:val="8"/>
        </w:numPr>
        <w:adjustRightInd w:val="0"/>
        <w:snapToGrid w:val="0"/>
        <w:spacing w:line="360" w:lineRule="auto"/>
        <w:rPr>
          <w:rFonts w:eastAsia="黑体"/>
          <w:szCs w:val="21"/>
        </w:rPr>
      </w:pPr>
      <w:r>
        <w:rPr>
          <w:rFonts w:hint="eastAsia" w:eastAsia="黑体"/>
          <w:szCs w:val="21"/>
        </w:rPr>
        <w:t>课程在教学计划中的地位、作用</w:t>
      </w:r>
    </w:p>
    <w:p>
      <w:pPr>
        <w:spacing w:line="360" w:lineRule="auto"/>
        <w:ind w:firstLine="420" w:firstLineChars="200"/>
        <w:rPr>
          <w:szCs w:val="21"/>
        </w:rPr>
      </w:pPr>
      <w:r>
        <w:rPr>
          <w:szCs w:val="21"/>
        </w:rPr>
        <w:t>电子设计自动化（EDA）是测控技术与仪器及相关专业直接面向应用的实践性教学课程。现代电子电路设计就是使用计算机辅助电路设计，利用计算机绘制电路图，制作印刷电路板，在计算机的辅助下使用可编程逻辑器件完成电路设计，利用计算机进行电路优化。通过该课程的学习使学生掌握现代电子系统设计中电路设计、印制电路板设计的方法和技巧。</w:t>
      </w:r>
    </w:p>
    <w:p>
      <w:pPr>
        <w:tabs>
          <w:tab w:val="left" w:pos="420"/>
        </w:tabs>
        <w:adjustRightInd w:val="0"/>
        <w:snapToGrid w:val="0"/>
        <w:spacing w:line="360" w:lineRule="auto"/>
        <w:ind w:left="420" w:hanging="420"/>
        <w:rPr>
          <w:rFonts w:eastAsia="黑体"/>
          <w:szCs w:val="21"/>
        </w:rPr>
      </w:pPr>
    </w:p>
    <w:p>
      <w:pPr>
        <w:tabs>
          <w:tab w:val="left" w:pos="420"/>
        </w:tabs>
        <w:adjustRightInd w:val="0"/>
        <w:snapToGrid w:val="0"/>
        <w:spacing w:line="360" w:lineRule="auto"/>
        <w:ind w:left="420" w:hanging="420"/>
        <w:rPr>
          <w:rFonts w:eastAsia="黑体"/>
          <w:szCs w:val="21"/>
        </w:rPr>
      </w:pPr>
      <w:r>
        <w:rPr>
          <w:rFonts w:hint="eastAsia" w:eastAsia="黑体"/>
          <w:szCs w:val="21"/>
        </w:rPr>
        <w:t>二、课程目标</w:t>
      </w:r>
    </w:p>
    <w:p>
      <w:pPr>
        <w:spacing w:line="360" w:lineRule="auto"/>
        <w:jc w:val="left"/>
        <w:rPr>
          <w:szCs w:val="21"/>
        </w:rPr>
      </w:pPr>
      <w:r>
        <w:rPr>
          <w:szCs w:val="21"/>
        </w:rPr>
        <w:t>测控技术与仪器</w:t>
      </w:r>
      <w:r>
        <w:rPr>
          <w:rFonts w:hint="eastAsia"/>
          <w:szCs w:val="21"/>
        </w:rPr>
        <w:t>专业：</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4000"/>
        <w:gridCol w:w="390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before="120" w:beforeLines="50" w:line="360" w:lineRule="auto"/>
              <w:jc w:val="center"/>
              <w:rPr>
                <w:sz w:val="18"/>
                <w:szCs w:val="18"/>
              </w:rPr>
            </w:pPr>
            <w:r>
              <w:rPr>
                <w:sz w:val="18"/>
                <w:szCs w:val="18"/>
              </w:rPr>
              <w:t>序号</w:t>
            </w:r>
          </w:p>
        </w:tc>
        <w:tc>
          <w:tcPr>
            <w:tcW w:w="2345" w:type="pct"/>
            <w:vAlign w:val="center"/>
          </w:tcPr>
          <w:p>
            <w:pPr>
              <w:spacing w:before="120" w:beforeLines="50" w:line="360" w:lineRule="auto"/>
              <w:jc w:val="center"/>
              <w:rPr>
                <w:sz w:val="18"/>
                <w:szCs w:val="18"/>
              </w:rPr>
            </w:pPr>
            <w:r>
              <w:rPr>
                <w:sz w:val="18"/>
                <w:szCs w:val="18"/>
              </w:rPr>
              <w:t>课程目标</w:t>
            </w:r>
          </w:p>
        </w:tc>
        <w:tc>
          <w:tcPr>
            <w:tcW w:w="2288" w:type="pct"/>
            <w:vAlign w:val="center"/>
          </w:tcPr>
          <w:p>
            <w:pPr>
              <w:spacing w:before="120" w:beforeLines="50" w:line="360" w:lineRule="auto"/>
              <w:jc w:val="center"/>
              <w:rPr>
                <w:sz w:val="18"/>
                <w:szCs w:val="18"/>
              </w:rPr>
            </w:pPr>
            <w:r>
              <w:rPr>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sz w:val="18"/>
                <w:szCs w:val="18"/>
              </w:rPr>
              <w:t>1</w:t>
            </w:r>
          </w:p>
        </w:tc>
        <w:tc>
          <w:tcPr>
            <w:tcW w:w="2345" w:type="pct"/>
          </w:tcPr>
          <w:p>
            <w:pPr>
              <w:spacing w:line="360" w:lineRule="auto"/>
              <w:rPr>
                <w:sz w:val="18"/>
                <w:szCs w:val="18"/>
              </w:rPr>
            </w:pPr>
            <w:r>
              <w:rPr>
                <w:sz w:val="18"/>
                <w:szCs w:val="18"/>
              </w:rPr>
              <w:t>熟练运用现代印制电路板设计工具软件Altium Designer进行电路原理图设计、PCB设计及元件库和封装库的管理；</w:t>
            </w:r>
          </w:p>
        </w:tc>
        <w:tc>
          <w:tcPr>
            <w:tcW w:w="2288" w:type="pct"/>
          </w:tcPr>
          <w:p>
            <w:pPr>
              <w:spacing w:line="360" w:lineRule="auto"/>
              <w:rPr>
                <w:sz w:val="18"/>
                <w:szCs w:val="18"/>
              </w:rPr>
            </w:pPr>
            <w:r>
              <w:rPr>
                <w:b/>
                <w:sz w:val="18"/>
                <w:szCs w:val="18"/>
              </w:rPr>
              <w:t>指标点5-2 专业工具使用：</w:t>
            </w:r>
            <w:r>
              <w:rPr>
                <w:sz w:val="18"/>
                <w:szCs w:val="18"/>
              </w:rPr>
              <w:t>能使用电路系统、总线网络等开发所需的EDA工具进行建模/仿真/版图设计，确定功能和工艺参数。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sz w:val="18"/>
                <w:szCs w:val="18"/>
              </w:rPr>
              <w:t>2</w:t>
            </w:r>
          </w:p>
        </w:tc>
        <w:tc>
          <w:tcPr>
            <w:tcW w:w="2345" w:type="pct"/>
          </w:tcPr>
          <w:p>
            <w:pPr>
              <w:spacing w:line="360" w:lineRule="auto"/>
              <w:rPr>
                <w:sz w:val="18"/>
                <w:szCs w:val="18"/>
              </w:rPr>
            </w:pPr>
            <w:r>
              <w:rPr>
                <w:sz w:val="18"/>
                <w:szCs w:val="18"/>
              </w:rPr>
              <w:t>掌握Altium Designer模块分析方法的选择和设置方法，正确处理电路设计中的布局、布线、抗干扰、散热等问题，从而进行优化设计；</w:t>
            </w:r>
          </w:p>
        </w:tc>
        <w:tc>
          <w:tcPr>
            <w:tcW w:w="2288" w:type="pct"/>
          </w:tcPr>
          <w:p>
            <w:pPr>
              <w:spacing w:line="360" w:lineRule="auto"/>
              <w:rPr>
                <w:sz w:val="18"/>
                <w:szCs w:val="18"/>
              </w:rPr>
            </w:pPr>
            <w:r>
              <w:rPr>
                <w:b/>
                <w:sz w:val="18"/>
                <w:szCs w:val="18"/>
              </w:rPr>
              <w:t>指标点3-1 按需设计：</w:t>
            </w:r>
            <w:r>
              <w:rPr>
                <w:sz w:val="18"/>
                <w:szCs w:val="18"/>
              </w:rPr>
              <w:t>能够根据用户特定需求设计复杂工程问题的解决方案，设计相关的电路、系统和工艺流程。并能够针对方案进行优化选择。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sz w:val="18"/>
                <w:szCs w:val="18"/>
              </w:rPr>
              <w:t>3</w:t>
            </w:r>
          </w:p>
        </w:tc>
        <w:tc>
          <w:tcPr>
            <w:tcW w:w="2345" w:type="pct"/>
          </w:tcPr>
          <w:p>
            <w:pPr>
              <w:spacing w:line="360" w:lineRule="auto"/>
              <w:rPr>
                <w:sz w:val="18"/>
                <w:szCs w:val="18"/>
              </w:rPr>
            </w:pPr>
            <w:r>
              <w:rPr>
                <w:sz w:val="18"/>
                <w:szCs w:val="18"/>
              </w:rPr>
              <w:t>掌握采用自上而下的电子电路设计思路绘制层次原理图，运用“软件设计硬件”的方法提高应对本专业工程问题的解决能力；</w:t>
            </w:r>
          </w:p>
        </w:tc>
        <w:tc>
          <w:tcPr>
            <w:tcW w:w="2288" w:type="pct"/>
          </w:tcPr>
          <w:p>
            <w:pPr>
              <w:spacing w:line="360" w:lineRule="auto"/>
              <w:rPr>
                <w:sz w:val="18"/>
                <w:szCs w:val="18"/>
              </w:rPr>
            </w:pPr>
            <w:r>
              <w:rPr>
                <w:b/>
                <w:sz w:val="18"/>
                <w:szCs w:val="18"/>
              </w:rPr>
              <w:t>指标点2-1 问题识别：</w:t>
            </w:r>
            <w:r>
              <w:rPr>
                <w:sz w:val="18"/>
                <w:szCs w:val="18"/>
              </w:rPr>
              <w:t>能应用科学原理对测控技术与仪器专业、电子科学与技术专业复杂工程问题进行分解，并识别其中的关键特征和参数。</w:t>
            </w:r>
          </w:p>
        </w:tc>
      </w:tr>
    </w:tbl>
    <w:p>
      <w:pPr>
        <w:spacing w:line="360" w:lineRule="auto"/>
        <w:jc w:val="center"/>
        <w:rPr>
          <w:szCs w:val="21"/>
        </w:rPr>
      </w:pPr>
    </w:p>
    <w:p>
      <w:pPr>
        <w:spacing w:line="360" w:lineRule="auto"/>
        <w:jc w:val="left"/>
        <w:rPr>
          <w:szCs w:val="21"/>
        </w:rPr>
      </w:pPr>
      <w:r>
        <w:rPr>
          <w:rFonts w:hint="eastAsia"/>
          <w:szCs w:val="21"/>
        </w:rPr>
        <w:t>电子科学与技术专业：</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3809"/>
        <w:gridCol w:w="390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spacing w:line="360" w:lineRule="auto"/>
              <w:rPr>
                <w:sz w:val="18"/>
                <w:szCs w:val="18"/>
              </w:rPr>
            </w:pPr>
            <w:r>
              <w:rPr>
                <w:sz w:val="18"/>
                <w:szCs w:val="18"/>
              </w:rPr>
              <w:t>序号</w:t>
            </w:r>
          </w:p>
        </w:tc>
        <w:tc>
          <w:tcPr>
            <w:tcW w:w="2233" w:type="pct"/>
            <w:vAlign w:val="center"/>
          </w:tcPr>
          <w:p>
            <w:pPr>
              <w:spacing w:line="360" w:lineRule="auto"/>
              <w:ind w:firstLine="540" w:firstLineChars="300"/>
              <w:rPr>
                <w:sz w:val="18"/>
                <w:szCs w:val="18"/>
              </w:rPr>
            </w:pPr>
            <w:r>
              <w:rPr>
                <w:sz w:val="18"/>
                <w:szCs w:val="18"/>
              </w:rPr>
              <w:t>课程目标</w:t>
            </w:r>
          </w:p>
        </w:tc>
        <w:tc>
          <w:tcPr>
            <w:tcW w:w="2288" w:type="pct"/>
            <w:vAlign w:val="center"/>
          </w:tcPr>
          <w:p>
            <w:pPr>
              <w:spacing w:line="360" w:lineRule="auto"/>
              <w:rPr>
                <w:sz w:val="18"/>
                <w:szCs w:val="18"/>
              </w:rPr>
            </w:pPr>
            <w:r>
              <w:rPr>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spacing w:line="360" w:lineRule="auto"/>
              <w:rPr>
                <w:sz w:val="18"/>
                <w:szCs w:val="18"/>
              </w:rPr>
            </w:pPr>
            <w:r>
              <w:rPr>
                <w:rFonts w:hint="eastAsia"/>
                <w:sz w:val="18"/>
                <w:szCs w:val="18"/>
              </w:rPr>
              <w:t>1</w:t>
            </w:r>
          </w:p>
        </w:tc>
        <w:tc>
          <w:tcPr>
            <w:tcW w:w="2233" w:type="pct"/>
          </w:tcPr>
          <w:p>
            <w:pPr>
              <w:spacing w:line="360" w:lineRule="auto"/>
              <w:rPr>
                <w:sz w:val="18"/>
                <w:szCs w:val="18"/>
              </w:rPr>
            </w:pPr>
            <w:r>
              <w:rPr>
                <w:sz w:val="18"/>
                <w:szCs w:val="18"/>
              </w:rPr>
              <w:t>熟练运用现代印制电路板设计工具软件Altium Designer进行电路原理图设计、PCB设计及元件库和封装库的管理</w:t>
            </w:r>
            <w:r>
              <w:rPr>
                <w:rFonts w:hint="eastAsia"/>
                <w:sz w:val="18"/>
                <w:szCs w:val="18"/>
              </w:rPr>
              <w:t>；</w:t>
            </w:r>
          </w:p>
        </w:tc>
        <w:tc>
          <w:tcPr>
            <w:tcW w:w="2288" w:type="pct"/>
          </w:tcPr>
          <w:p>
            <w:pPr>
              <w:spacing w:line="360" w:lineRule="auto"/>
              <w:rPr>
                <w:sz w:val="18"/>
                <w:szCs w:val="18"/>
              </w:rPr>
            </w:pPr>
            <w:r>
              <w:rPr>
                <w:rFonts w:hint="eastAsia"/>
                <w:b/>
                <w:sz w:val="18"/>
                <w:szCs w:val="18"/>
              </w:rPr>
              <w:t>指标点5-2 专业工具使用：</w:t>
            </w:r>
            <w:r>
              <w:rPr>
                <w:rFonts w:hint="eastAsia"/>
                <w:sz w:val="18"/>
                <w:szCs w:val="18"/>
              </w:rPr>
              <w:t>能使用电路系统、总线网络等开发所需的EDA工具进行建模/仿真/版图设计，确定功能和工艺参数。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spacing w:line="360" w:lineRule="auto"/>
              <w:rPr>
                <w:sz w:val="18"/>
                <w:szCs w:val="18"/>
              </w:rPr>
            </w:pPr>
            <w:r>
              <w:rPr>
                <w:rFonts w:hint="eastAsia"/>
                <w:sz w:val="18"/>
                <w:szCs w:val="18"/>
              </w:rPr>
              <w:t>2</w:t>
            </w:r>
          </w:p>
        </w:tc>
        <w:tc>
          <w:tcPr>
            <w:tcW w:w="2233" w:type="pct"/>
          </w:tcPr>
          <w:p>
            <w:pPr>
              <w:spacing w:line="360" w:lineRule="auto"/>
              <w:rPr>
                <w:sz w:val="18"/>
                <w:szCs w:val="18"/>
              </w:rPr>
            </w:pPr>
            <w:r>
              <w:rPr>
                <w:sz w:val="18"/>
                <w:szCs w:val="18"/>
              </w:rPr>
              <w:t>掌握Altium Designer模块分析方法的选择和设置方法，正确处理电路设计中的布局、布线、抗干扰、散热等问题，从而进行优化设计</w:t>
            </w:r>
            <w:r>
              <w:rPr>
                <w:rFonts w:hint="eastAsia"/>
                <w:sz w:val="18"/>
                <w:szCs w:val="18"/>
              </w:rPr>
              <w:t>；</w:t>
            </w:r>
          </w:p>
        </w:tc>
        <w:tc>
          <w:tcPr>
            <w:tcW w:w="2288" w:type="pct"/>
          </w:tcPr>
          <w:p>
            <w:pPr>
              <w:spacing w:line="360" w:lineRule="auto"/>
              <w:rPr>
                <w:sz w:val="18"/>
                <w:szCs w:val="18"/>
              </w:rPr>
            </w:pPr>
            <w:r>
              <w:rPr>
                <w:b/>
                <w:sz w:val="18"/>
                <w:szCs w:val="18"/>
              </w:rPr>
              <w:t>指标点3-1 按需设计：</w:t>
            </w:r>
            <w:r>
              <w:rPr>
                <w:sz w:val="18"/>
                <w:szCs w:val="18"/>
              </w:rPr>
              <w:t>能够根据用户特定需求设计复杂工程问题的解决方案，设计相关的电路、系统和工艺流程。并能够针对方案进行优化选择。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spacing w:line="360" w:lineRule="auto"/>
              <w:rPr>
                <w:sz w:val="18"/>
                <w:szCs w:val="18"/>
              </w:rPr>
            </w:pPr>
            <w:r>
              <w:rPr>
                <w:rFonts w:hint="eastAsia"/>
                <w:sz w:val="18"/>
                <w:szCs w:val="18"/>
              </w:rPr>
              <w:t>3</w:t>
            </w:r>
          </w:p>
        </w:tc>
        <w:tc>
          <w:tcPr>
            <w:tcW w:w="2233" w:type="pct"/>
          </w:tcPr>
          <w:p>
            <w:pPr>
              <w:spacing w:line="360" w:lineRule="auto"/>
              <w:rPr>
                <w:sz w:val="18"/>
                <w:szCs w:val="18"/>
              </w:rPr>
            </w:pPr>
            <w:r>
              <w:rPr>
                <w:sz w:val="18"/>
                <w:szCs w:val="18"/>
              </w:rPr>
              <w:t>掌握采用自上而下的电子电路设计思路绘制层次原理图，运用“软件设计硬件”的方法提高应对本专业工程问题的解决能力</w:t>
            </w:r>
            <w:r>
              <w:rPr>
                <w:rFonts w:hint="eastAsia"/>
                <w:sz w:val="18"/>
                <w:szCs w:val="18"/>
              </w:rPr>
              <w:t>；</w:t>
            </w:r>
          </w:p>
        </w:tc>
        <w:tc>
          <w:tcPr>
            <w:tcW w:w="2288" w:type="pct"/>
          </w:tcPr>
          <w:p>
            <w:pPr>
              <w:spacing w:line="360" w:lineRule="auto"/>
              <w:rPr>
                <w:sz w:val="18"/>
                <w:szCs w:val="18"/>
              </w:rPr>
            </w:pPr>
            <w:r>
              <w:rPr>
                <w:b/>
                <w:sz w:val="18"/>
                <w:szCs w:val="18"/>
              </w:rPr>
              <w:t>指标点2-1 问题识别：</w:t>
            </w:r>
            <w:r>
              <w:rPr>
                <w:sz w:val="18"/>
                <w:szCs w:val="18"/>
              </w:rPr>
              <w:t>能应用科学原理对测控技术与仪器专业</w:t>
            </w:r>
            <w:r>
              <w:rPr>
                <w:rFonts w:hint="eastAsia"/>
                <w:sz w:val="18"/>
                <w:szCs w:val="18"/>
              </w:rPr>
              <w:t>、电子科学与技术专业</w:t>
            </w:r>
            <w:r>
              <w:rPr>
                <w:sz w:val="18"/>
                <w:szCs w:val="18"/>
              </w:rPr>
              <w:t>复杂工程问题进行分解，并识别其中的关键特征和参数。</w:t>
            </w:r>
          </w:p>
        </w:tc>
      </w:tr>
    </w:tbl>
    <w:p>
      <w:pPr>
        <w:spacing w:line="360" w:lineRule="auto"/>
        <w:rPr>
          <w:szCs w:val="21"/>
        </w:rPr>
      </w:pPr>
    </w:p>
    <w:p>
      <w:pPr>
        <w:spacing w:line="360" w:lineRule="auto"/>
        <w:jc w:val="left"/>
        <w:rPr>
          <w:szCs w:val="21"/>
        </w:rPr>
      </w:pPr>
      <w:r>
        <w:rPr>
          <w:rFonts w:hint="eastAsia"/>
          <w:szCs w:val="21"/>
          <w:lang w:eastAsia="zh-CN"/>
        </w:rPr>
        <w:t>智能感知工程</w:t>
      </w:r>
      <w:r>
        <w:rPr>
          <w:rFonts w:hint="eastAsia"/>
          <w:szCs w:val="21"/>
        </w:rPr>
        <w:t>专业：</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3809"/>
        <w:gridCol w:w="390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spacing w:line="360" w:lineRule="auto"/>
              <w:rPr>
                <w:sz w:val="18"/>
                <w:szCs w:val="18"/>
              </w:rPr>
            </w:pPr>
            <w:r>
              <w:rPr>
                <w:sz w:val="18"/>
                <w:szCs w:val="18"/>
              </w:rPr>
              <w:t>序号</w:t>
            </w:r>
          </w:p>
        </w:tc>
        <w:tc>
          <w:tcPr>
            <w:tcW w:w="2233" w:type="pct"/>
            <w:vAlign w:val="center"/>
          </w:tcPr>
          <w:p>
            <w:pPr>
              <w:spacing w:line="360" w:lineRule="auto"/>
              <w:ind w:firstLine="540" w:firstLineChars="300"/>
              <w:rPr>
                <w:sz w:val="18"/>
                <w:szCs w:val="18"/>
              </w:rPr>
            </w:pPr>
            <w:r>
              <w:rPr>
                <w:sz w:val="18"/>
                <w:szCs w:val="18"/>
              </w:rPr>
              <w:t>课程目标</w:t>
            </w:r>
          </w:p>
        </w:tc>
        <w:tc>
          <w:tcPr>
            <w:tcW w:w="2288" w:type="pct"/>
            <w:vAlign w:val="center"/>
          </w:tcPr>
          <w:p>
            <w:pPr>
              <w:spacing w:line="360" w:lineRule="auto"/>
              <w:rPr>
                <w:sz w:val="18"/>
                <w:szCs w:val="18"/>
              </w:rPr>
            </w:pPr>
            <w:r>
              <w:rPr>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spacing w:line="360" w:lineRule="auto"/>
              <w:rPr>
                <w:sz w:val="18"/>
                <w:szCs w:val="18"/>
              </w:rPr>
            </w:pPr>
            <w:r>
              <w:rPr>
                <w:rFonts w:hint="eastAsia"/>
                <w:sz w:val="18"/>
                <w:szCs w:val="18"/>
              </w:rPr>
              <w:t>1</w:t>
            </w:r>
          </w:p>
        </w:tc>
        <w:tc>
          <w:tcPr>
            <w:tcW w:w="2233" w:type="pct"/>
          </w:tcPr>
          <w:p>
            <w:pPr>
              <w:spacing w:line="360" w:lineRule="auto"/>
              <w:rPr>
                <w:sz w:val="18"/>
                <w:szCs w:val="18"/>
              </w:rPr>
            </w:pPr>
            <w:r>
              <w:rPr>
                <w:sz w:val="18"/>
                <w:szCs w:val="18"/>
              </w:rPr>
              <w:t>熟练运用现代印制电路板设计工具软件Altium Designer进行电路原理图设计、PCB设计及元件库和封装库的管理</w:t>
            </w:r>
            <w:r>
              <w:rPr>
                <w:rFonts w:hint="eastAsia"/>
                <w:sz w:val="18"/>
                <w:szCs w:val="18"/>
              </w:rPr>
              <w:t>；</w:t>
            </w:r>
          </w:p>
        </w:tc>
        <w:tc>
          <w:tcPr>
            <w:tcW w:w="2288" w:type="pct"/>
          </w:tcPr>
          <w:p>
            <w:pPr>
              <w:spacing w:line="360" w:lineRule="auto"/>
              <w:rPr>
                <w:sz w:val="18"/>
                <w:szCs w:val="18"/>
              </w:rPr>
            </w:pPr>
            <w:r>
              <w:rPr>
                <w:rFonts w:hint="eastAsia"/>
                <w:b/>
                <w:sz w:val="18"/>
                <w:szCs w:val="18"/>
              </w:rPr>
              <w:t>指标点5-2 专业工具使用：</w:t>
            </w:r>
            <w:r>
              <w:rPr>
                <w:bCs/>
                <w:sz w:val="18"/>
                <w:szCs w:val="18"/>
              </w:rPr>
              <w:t>能使用工具对智能信息处理或控制系统进行设计和仿真，确定功能和相关设计参数。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spacing w:line="360" w:lineRule="auto"/>
              <w:rPr>
                <w:sz w:val="18"/>
                <w:szCs w:val="18"/>
              </w:rPr>
            </w:pPr>
            <w:r>
              <w:rPr>
                <w:rFonts w:hint="eastAsia"/>
                <w:sz w:val="18"/>
                <w:szCs w:val="18"/>
              </w:rPr>
              <w:t>2</w:t>
            </w:r>
          </w:p>
        </w:tc>
        <w:tc>
          <w:tcPr>
            <w:tcW w:w="2233" w:type="pct"/>
          </w:tcPr>
          <w:p>
            <w:pPr>
              <w:spacing w:line="360" w:lineRule="auto"/>
              <w:rPr>
                <w:sz w:val="18"/>
                <w:szCs w:val="18"/>
              </w:rPr>
            </w:pPr>
            <w:r>
              <w:rPr>
                <w:sz w:val="18"/>
                <w:szCs w:val="18"/>
              </w:rPr>
              <w:t>掌握Altium Designer模块分析方法的选择和设置方法，正确处理电路设计中的布局、布线、抗干扰、散热等问题，从而进行优化设计</w:t>
            </w:r>
            <w:r>
              <w:rPr>
                <w:rFonts w:hint="eastAsia"/>
                <w:sz w:val="18"/>
                <w:szCs w:val="18"/>
              </w:rPr>
              <w:t>；</w:t>
            </w:r>
          </w:p>
        </w:tc>
        <w:tc>
          <w:tcPr>
            <w:tcW w:w="2288" w:type="pct"/>
          </w:tcPr>
          <w:p>
            <w:pPr>
              <w:spacing w:line="360" w:lineRule="auto"/>
              <w:rPr>
                <w:sz w:val="18"/>
                <w:szCs w:val="18"/>
              </w:rPr>
            </w:pPr>
            <w:r>
              <w:rPr>
                <w:b/>
                <w:sz w:val="18"/>
                <w:szCs w:val="18"/>
              </w:rPr>
              <w:t>指标点3-1 按需设计：</w:t>
            </w:r>
            <w:r>
              <w:rPr>
                <w:bCs/>
                <w:sz w:val="18"/>
                <w:szCs w:val="18"/>
              </w:rPr>
              <w:t>能够根据用户特定需求设计复杂工程问题的解决方案，设计相关的信息处理系统、智能控制系统以及工艺流程，并能够针对方案进行优化选择。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spacing w:line="360" w:lineRule="auto"/>
              <w:rPr>
                <w:sz w:val="18"/>
                <w:szCs w:val="18"/>
              </w:rPr>
            </w:pPr>
            <w:r>
              <w:rPr>
                <w:rFonts w:hint="eastAsia"/>
                <w:sz w:val="18"/>
                <w:szCs w:val="18"/>
              </w:rPr>
              <w:t>3</w:t>
            </w:r>
          </w:p>
        </w:tc>
        <w:tc>
          <w:tcPr>
            <w:tcW w:w="2233" w:type="pct"/>
          </w:tcPr>
          <w:p>
            <w:pPr>
              <w:spacing w:line="360" w:lineRule="auto"/>
              <w:rPr>
                <w:sz w:val="18"/>
                <w:szCs w:val="18"/>
              </w:rPr>
            </w:pPr>
            <w:r>
              <w:rPr>
                <w:sz w:val="18"/>
                <w:szCs w:val="18"/>
              </w:rPr>
              <w:t>掌握采用自上而下的电子电路设计思路绘制层次原理图，运用“软件设计硬件”的方法提高应对本专业工程问题的解决能力</w:t>
            </w:r>
            <w:r>
              <w:rPr>
                <w:rFonts w:hint="eastAsia"/>
                <w:sz w:val="18"/>
                <w:szCs w:val="18"/>
              </w:rPr>
              <w:t>；</w:t>
            </w:r>
          </w:p>
        </w:tc>
        <w:tc>
          <w:tcPr>
            <w:tcW w:w="2288" w:type="pct"/>
          </w:tcPr>
          <w:p>
            <w:pPr>
              <w:spacing w:line="360" w:lineRule="auto"/>
              <w:rPr>
                <w:sz w:val="18"/>
                <w:szCs w:val="18"/>
              </w:rPr>
            </w:pPr>
            <w:r>
              <w:rPr>
                <w:b/>
                <w:sz w:val="18"/>
                <w:szCs w:val="18"/>
              </w:rPr>
              <w:t>指标点2-1 问题识别：</w:t>
            </w:r>
            <w:r>
              <w:rPr>
                <w:bCs/>
                <w:sz w:val="18"/>
                <w:szCs w:val="18"/>
              </w:rPr>
              <w:t>能应用科学原理对智能感知工程专业复杂工程问题进行分解，并识别其中的关键特征和参数。</w:t>
            </w:r>
          </w:p>
        </w:tc>
      </w:tr>
    </w:tbl>
    <w:p>
      <w:pPr>
        <w:pStyle w:val="9"/>
      </w:pPr>
    </w:p>
    <w:p>
      <w:pPr>
        <w:tabs>
          <w:tab w:val="left" w:pos="420"/>
        </w:tabs>
        <w:adjustRightInd w:val="0"/>
        <w:snapToGrid w:val="0"/>
        <w:spacing w:line="360" w:lineRule="auto"/>
        <w:ind w:left="420" w:hanging="420"/>
        <w:rPr>
          <w:rFonts w:eastAsia="黑体"/>
          <w:szCs w:val="21"/>
        </w:rPr>
      </w:pPr>
      <w:r>
        <w:rPr>
          <w:rFonts w:hint="eastAsia" w:eastAsia="黑体"/>
          <w:szCs w:val="21"/>
        </w:rPr>
        <w:t>三、基本要求</w:t>
      </w:r>
    </w:p>
    <w:p>
      <w:pPr>
        <w:spacing w:line="360" w:lineRule="auto"/>
        <w:ind w:firstLine="420" w:firstLineChars="200"/>
        <w:rPr>
          <w:szCs w:val="21"/>
        </w:rPr>
      </w:pPr>
      <w:r>
        <w:rPr>
          <w:rFonts w:hint="eastAsia"/>
          <w:szCs w:val="21"/>
        </w:rPr>
        <w:t>1、本课程为专业课，要求先修数字电子技术、</w:t>
      </w:r>
      <w:r>
        <w:rPr>
          <w:szCs w:val="21"/>
        </w:rPr>
        <w:t>模拟电子技术</w:t>
      </w:r>
      <w:r>
        <w:rPr>
          <w:rFonts w:hint="eastAsia"/>
          <w:szCs w:val="21"/>
        </w:rPr>
        <w:t>课程，在教学中应注重基础知识、基本概念和思维方法的传授，同时运用类比式和启发式教学，使学生掌握最重要的“并行”执行的程序设计概念，掌握相关设计方法与手段，以培养逻辑分析和设计能力。</w:t>
      </w:r>
    </w:p>
    <w:p>
      <w:pPr>
        <w:spacing w:line="360" w:lineRule="auto"/>
        <w:ind w:firstLine="420" w:firstLineChars="200"/>
        <w:rPr>
          <w:szCs w:val="21"/>
        </w:rPr>
      </w:pPr>
      <w:r>
        <w:rPr>
          <w:rFonts w:hint="eastAsia"/>
          <w:szCs w:val="21"/>
        </w:rPr>
        <w:t>2、教师通过EDA软件的教学，结合经典的实例，提高学生电路设计能力。</w:t>
      </w:r>
    </w:p>
    <w:p>
      <w:pPr>
        <w:spacing w:line="360" w:lineRule="auto"/>
        <w:ind w:firstLine="420" w:firstLineChars="200"/>
        <w:rPr>
          <w:szCs w:val="21"/>
        </w:rPr>
      </w:pPr>
      <w:r>
        <w:rPr>
          <w:rFonts w:hint="eastAsia"/>
          <w:szCs w:val="21"/>
        </w:rPr>
        <w:t>3、学生通过上机操作，掌握至少1种</w:t>
      </w:r>
      <w:r>
        <w:rPr>
          <w:szCs w:val="21"/>
        </w:rPr>
        <w:t>印制电路板设计工具软件</w:t>
      </w:r>
      <w:r>
        <w:rPr>
          <w:rFonts w:hint="eastAsia"/>
          <w:szCs w:val="21"/>
        </w:rPr>
        <w:t>的使用方法，会选择、运用EDA软件工具来设计实际电子电路，掌握电子电路自动化设计技巧。</w:t>
      </w:r>
    </w:p>
    <w:p>
      <w:pPr>
        <w:spacing w:line="360" w:lineRule="auto"/>
        <w:ind w:firstLine="420" w:firstLineChars="200"/>
        <w:rPr>
          <w:szCs w:val="21"/>
        </w:rPr>
      </w:pPr>
      <w:r>
        <w:rPr>
          <w:rFonts w:hint="eastAsia"/>
          <w:szCs w:val="21"/>
        </w:rPr>
        <w:t>4、本课程是一门实践性很强的课程，要求学生通过实验环节把所学的内容巩固和掌握，要求在CAI教室进行授课，并且教学和实验交替进行。</w:t>
      </w:r>
    </w:p>
    <w:p>
      <w:pPr>
        <w:spacing w:line="360" w:lineRule="auto"/>
        <w:ind w:firstLine="420" w:firstLineChars="200"/>
        <w:rPr>
          <w:szCs w:val="21"/>
        </w:rPr>
      </w:pPr>
      <w:r>
        <w:rPr>
          <w:rFonts w:hint="eastAsia"/>
          <w:szCs w:val="21"/>
        </w:rPr>
        <w:t>5、深度和广度说明：对</w:t>
      </w:r>
      <w:r>
        <w:rPr>
          <w:szCs w:val="21"/>
        </w:rPr>
        <w:t>制作印制电路板</w:t>
      </w:r>
      <w:r>
        <w:rPr>
          <w:rFonts w:hint="eastAsia"/>
          <w:szCs w:val="21"/>
        </w:rPr>
        <w:t>要深入讲解，对</w:t>
      </w:r>
      <w:r>
        <w:rPr>
          <w:szCs w:val="21"/>
        </w:rPr>
        <w:t>原理图设计基础</w:t>
      </w:r>
      <w:r>
        <w:rPr>
          <w:rFonts w:hint="eastAsia"/>
          <w:szCs w:val="21"/>
        </w:rPr>
        <w:t>只做简单介绍，</w:t>
      </w:r>
      <w:r>
        <w:rPr>
          <w:szCs w:val="21"/>
        </w:rPr>
        <w:t>原理图元件的编辑方法</w:t>
      </w:r>
      <w:r>
        <w:rPr>
          <w:rFonts w:hint="eastAsia"/>
          <w:szCs w:val="21"/>
        </w:rPr>
        <w:t>了解即可，</w:t>
      </w:r>
      <w:r>
        <w:rPr>
          <w:szCs w:val="21"/>
        </w:rPr>
        <w:t>元器件布局和布线</w:t>
      </w:r>
      <w:r>
        <w:rPr>
          <w:rFonts w:hint="eastAsia"/>
          <w:szCs w:val="21"/>
        </w:rPr>
        <w:t>、</w:t>
      </w:r>
      <w:r>
        <w:rPr>
          <w:szCs w:val="21"/>
        </w:rPr>
        <w:t>设计规则检测</w:t>
      </w:r>
      <w:r>
        <w:rPr>
          <w:rFonts w:hint="eastAsia"/>
          <w:szCs w:val="21"/>
        </w:rPr>
        <w:t>是重点。</w:t>
      </w:r>
    </w:p>
    <w:p>
      <w:pPr>
        <w:spacing w:line="360" w:lineRule="auto"/>
        <w:ind w:firstLine="420" w:firstLineChars="200"/>
        <w:rPr>
          <w:szCs w:val="21"/>
        </w:rPr>
      </w:pPr>
      <w:r>
        <w:rPr>
          <w:rFonts w:hint="eastAsia"/>
          <w:szCs w:val="21"/>
        </w:rPr>
        <w:t>6</w:t>
      </w:r>
      <w:r>
        <w:rPr>
          <w:szCs w:val="21"/>
        </w:rPr>
        <w:t>、偏差说明：本课程允许教师授课内容做适当调整，最大正偏差为</w:t>
      </w:r>
      <w:r>
        <w:rPr>
          <w:rFonts w:hint="eastAsia"/>
          <w:szCs w:val="21"/>
        </w:rPr>
        <w:t>10%，不允许负偏差。正偏差通过压缩同等内容的学时数来完成。特殊情况，最大正偏差和置换偏差累计可达到20%，但在开课前要申请专业责任人批准。（正偏差指大纲知识点不变，新增知识点；负偏差是大纲知识点减少；置换偏差是指大纲中部分知识点被其它类似知识点替换）。</w:t>
      </w:r>
    </w:p>
    <w:p>
      <w:pPr>
        <w:spacing w:line="360" w:lineRule="auto"/>
        <w:ind w:firstLine="420" w:firstLineChars="200"/>
        <w:rPr>
          <w:szCs w:val="21"/>
        </w:rPr>
      </w:pPr>
    </w:p>
    <w:p>
      <w:pPr>
        <w:tabs>
          <w:tab w:val="left" w:pos="420"/>
        </w:tabs>
        <w:spacing w:line="360" w:lineRule="auto"/>
        <w:ind w:left="420" w:hanging="420"/>
        <w:rPr>
          <w:rFonts w:eastAsia="黑体"/>
          <w:szCs w:val="21"/>
        </w:rPr>
      </w:pPr>
      <w:r>
        <w:rPr>
          <w:rFonts w:hint="eastAsia" w:eastAsia="黑体"/>
          <w:szCs w:val="21"/>
        </w:rPr>
        <w:t>四、教学内容和教学方法</w:t>
      </w:r>
    </w:p>
    <w:p>
      <w:pPr>
        <w:spacing w:line="360" w:lineRule="auto"/>
        <w:ind w:firstLine="420" w:firstLineChars="200"/>
        <w:rPr>
          <w:szCs w:val="21"/>
        </w:rPr>
      </w:pPr>
      <w:r>
        <w:rPr>
          <w:rFonts w:hint="eastAsia"/>
          <w:szCs w:val="21"/>
        </w:rPr>
        <w:t>本课程重点讲授的内容包括：现代EDA技术及其设计方法、</w:t>
      </w:r>
      <w:r>
        <w:rPr>
          <w:szCs w:val="21"/>
        </w:rPr>
        <w:t>电路原理图的基本绘图方法</w:t>
      </w:r>
      <w:r>
        <w:rPr>
          <w:rFonts w:hint="eastAsia"/>
          <w:szCs w:val="21"/>
        </w:rPr>
        <w:t>、</w:t>
      </w:r>
      <w:r>
        <w:rPr>
          <w:szCs w:val="21"/>
        </w:rPr>
        <w:t>电路原理图的分析方法和分析工具</w:t>
      </w:r>
      <w:r>
        <w:rPr>
          <w:rFonts w:hint="eastAsia"/>
          <w:szCs w:val="21"/>
        </w:rPr>
        <w:t>、集成库使用方法、</w:t>
      </w:r>
      <w:r>
        <w:rPr>
          <w:szCs w:val="21"/>
        </w:rPr>
        <w:t>PCB制版中的一些布局布线原则</w:t>
      </w:r>
      <w:r>
        <w:rPr>
          <w:rFonts w:hint="eastAsia"/>
          <w:szCs w:val="21"/>
        </w:rPr>
        <w:t>、</w:t>
      </w:r>
      <w:r>
        <w:rPr>
          <w:szCs w:val="21"/>
        </w:rPr>
        <w:t>利用向导创建元器件PCB封装</w:t>
      </w:r>
      <w:r>
        <w:rPr>
          <w:rFonts w:hint="eastAsia"/>
          <w:szCs w:val="21"/>
        </w:rPr>
        <w:t>等。</w:t>
      </w:r>
    </w:p>
    <w:p>
      <w:pPr>
        <w:spacing w:line="360" w:lineRule="auto"/>
        <w:ind w:firstLine="420" w:firstLineChars="200"/>
        <w:rPr>
          <w:szCs w:val="21"/>
        </w:rPr>
      </w:pPr>
      <w:r>
        <w:rPr>
          <w:szCs w:val="21"/>
        </w:rPr>
        <w:t>本课程在教学方法上，充分利用各种媒体教学手段，采取课堂教学、多媒体课件、验证性实验</w:t>
      </w:r>
      <w:r>
        <w:rPr>
          <w:rFonts w:hint="eastAsia"/>
          <w:szCs w:val="21"/>
        </w:rPr>
        <w:t>及课后师生微信交流等方式</w:t>
      </w:r>
      <w:r>
        <w:rPr>
          <w:szCs w:val="21"/>
        </w:rPr>
        <w:t>有机结合，提高教学效率。</w:t>
      </w:r>
    </w:p>
    <w:p>
      <w:pPr>
        <w:spacing w:line="360" w:lineRule="auto"/>
        <w:ind w:firstLine="420" w:firstLineChars="200"/>
        <w:rPr>
          <w:color w:val="A6A6A6"/>
          <w:szCs w:val="22"/>
        </w:rPr>
      </w:pPr>
      <w:r>
        <w:rPr>
          <w:rFonts w:hint="eastAsia" w:ascii="Calibri" w:hAnsi="Calibri" w:cs="宋体"/>
          <w:szCs w:val="21"/>
        </w:rPr>
        <w:t>为</w:t>
      </w:r>
      <w:r>
        <w:rPr>
          <w:rFonts w:hint="eastAsia"/>
          <w:szCs w:val="22"/>
        </w:rPr>
        <w:t>了提高学生的学习兴趣，并取得良好的教学效果，教师在知识讲解的过程中要充分利用问题引导、案例分析等多种教学方法，以进一步提高教学质量。</w:t>
      </w:r>
    </w:p>
    <w:p>
      <w:pPr>
        <w:spacing w:line="360" w:lineRule="auto"/>
        <w:ind w:firstLine="420" w:firstLineChars="200"/>
        <w:rPr>
          <w:rFonts w:eastAsia="黑体"/>
          <w:szCs w:val="21"/>
        </w:rPr>
      </w:pPr>
    </w:p>
    <w:p>
      <w:pPr>
        <w:adjustRightInd w:val="0"/>
        <w:snapToGrid w:val="0"/>
        <w:spacing w:line="360" w:lineRule="auto"/>
        <w:ind w:firstLine="422" w:firstLineChars="200"/>
        <w:rPr>
          <w:b/>
          <w:szCs w:val="22"/>
        </w:rPr>
      </w:pPr>
      <w:r>
        <w:rPr>
          <w:b/>
          <w:szCs w:val="22"/>
        </w:rPr>
        <w:t>1概述（</w:t>
      </w:r>
      <w:r>
        <w:rPr>
          <w:rFonts w:hint="eastAsia"/>
          <w:b/>
          <w:szCs w:val="22"/>
        </w:rPr>
        <w:t>1</w:t>
      </w:r>
      <w:r>
        <w:rPr>
          <w:b/>
          <w:szCs w:val="22"/>
        </w:rPr>
        <w:t>学时）</w:t>
      </w:r>
    </w:p>
    <w:p>
      <w:pPr>
        <w:adjustRightInd w:val="0"/>
        <w:snapToGrid w:val="0"/>
        <w:spacing w:line="360" w:lineRule="auto"/>
        <w:ind w:firstLine="420" w:firstLineChars="200"/>
        <w:rPr>
          <w:szCs w:val="22"/>
        </w:rPr>
      </w:pPr>
      <w:r>
        <w:rPr>
          <w:szCs w:val="22"/>
        </w:rPr>
        <w:t>1.1、电子设计自动化的基本概念</w:t>
      </w:r>
    </w:p>
    <w:p>
      <w:pPr>
        <w:adjustRightInd w:val="0"/>
        <w:snapToGrid w:val="0"/>
        <w:spacing w:line="360" w:lineRule="auto"/>
        <w:ind w:firstLine="420" w:firstLineChars="200"/>
        <w:rPr>
          <w:szCs w:val="22"/>
        </w:rPr>
      </w:pPr>
      <w:r>
        <w:rPr>
          <w:szCs w:val="22"/>
        </w:rPr>
        <w:t>1.2、</w:t>
      </w:r>
      <w:r>
        <w:rPr>
          <w:szCs w:val="21"/>
        </w:rPr>
        <w:t>Altium Designer</w:t>
      </w:r>
      <w:r>
        <w:rPr>
          <w:szCs w:val="22"/>
        </w:rPr>
        <w:t>的安装、编辑界面和系统设置等</w:t>
      </w:r>
    </w:p>
    <w:p>
      <w:pPr>
        <w:adjustRightInd w:val="0"/>
        <w:snapToGrid w:val="0"/>
        <w:spacing w:line="360" w:lineRule="auto"/>
        <w:ind w:firstLine="420" w:firstLineChars="200"/>
        <w:rPr>
          <w:szCs w:val="22"/>
        </w:rPr>
      </w:pPr>
      <w:r>
        <w:rPr>
          <w:szCs w:val="22"/>
        </w:rPr>
        <w:t>1.3、电路板的设计流程</w:t>
      </w:r>
      <w:r>
        <w:rPr>
          <w:rFonts w:hint="eastAsia"/>
          <w:szCs w:val="22"/>
        </w:rPr>
        <w:t>（重点）</w:t>
      </w:r>
    </w:p>
    <w:p>
      <w:pPr>
        <w:widowControl/>
        <w:adjustRightInd w:val="0"/>
        <w:snapToGrid w:val="0"/>
        <w:spacing w:line="360" w:lineRule="auto"/>
        <w:ind w:firstLine="420" w:firstLineChars="200"/>
        <w:jc w:val="left"/>
        <w:rPr>
          <w:snapToGrid w:val="0"/>
          <w:kern w:val="0"/>
        </w:rPr>
      </w:pPr>
      <w:r>
        <w:rPr>
          <w:rFonts w:cs="宋体"/>
          <w:bCs/>
          <w:snapToGrid w:val="0"/>
          <w:kern w:val="0"/>
          <w:szCs w:val="21"/>
        </w:rPr>
        <w:t>本章内容支撑课程目标</w:t>
      </w:r>
      <w:r>
        <w:rPr>
          <w:rFonts w:hint="eastAsia" w:cs="宋体"/>
          <w:bCs/>
          <w:snapToGrid w:val="0"/>
          <w:kern w:val="0"/>
          <w:szCs w:val="21"/>
        </w:rPr>
        <w:t>1。</w:t>
      </w:r>
    </w:p>
    <w:p>
      <w:pPr>
        <w:adjustRightInd w:val="0"/>
        <w:snapToGrid w:val="0"/>
        <w:spacing w:line="360" w:lineRule="auto"/>
        <w:ind w:firstLine="422" w:firstLineChars="200"/>
        <w:rPr>
          <w:b/>
          <w:szCs w:val="22"/>
        </w:rPr>
      </w:pPr>
      <w:r>
        <w:rPr>
          <w:b/>
          <w:szCs w:val="22"/>
        </w:rPr>
        <w:t>2原理图设计基础（</w:t>
      </w:r>
      <w:r>
        <w:rPr>
          <w:rFonts w:hint="eastAsia"/>
          <w:b/>
          <w:szCs w:val="22"/>
        </w:rPr>
        <w:t>3</w:t>
      </w:r>
      <w:r>
        <w:rPr>
          <w:b/>
          <w:szCs w:val="22"/>
        </w:rPr>
        <w:t>学时）</w:t>
      </w:r>
    </w:p>
    <w:p>
      <w:pPr>
        <w:adjustRightInd w:val="0"/>
        <w:snapToGrid w:val="0"/>
        <w:spacing w:line="360" w:lineRule="auto"/>
        <w:ind w:firstLine="420" w:firstLineChars="200"/>
        <w:rPr>
          <w:szCs w:val="22"/>
        </w:rPr>
      </w:pPr>
      <w:r>
        <w:rPr>
          <w:szCs w:val="22"/>
        </w:rPr>
        <w:t>2.1、理解原理图的一般设计流程和基本原则</w:t>
      </w:r>
    </w:p>
    <w:p>
      <w:pPr>
        <w:adjustRightInd w:val="0"/>
        <w:snapToGrid w:val="0"/>
        <w:spacing w:line="360" w:lineRule="auto"/>
        <w:ind w:firstLine="420" w:firstLineChars="200"/>
        <w:rPr>
          <w:szCs w:val="22"/>
        </w:rPr>
      </w:pPr>
      <w:r>
        <w:rPr>
          <w:szCs w:val="22"/>
        </w:rPr>
        <w:t>2.2、创建新项目及文件、如何设置图纸及其它参数等</w:t>
      </w:r>
    </w:p>
    <w:p>
      <w:pPr>
        <w:adjustRightInd w:val="0"/>
        <w:snapToGrid w:val="0"/>
        <w:spacing w:line="360" w:lineRule="auto"/>
        <w:ind w:firstLine="420" w:firstLineChars="200"/>
        <w:rPr>
          <w:szCs w:val="22"/>
        </w:rPr>
      </w:pPr>
      <w:r>
        <w:rPr>
          <w:szCs w:val="22"/>
        </w:rPr>
        <w:t>2.3、电路原理图工具的使用；SCH编辑和Libraries面板使用</w:t>
      </w:r>
      <w:r>
        <w:rPr>
          <w:rFonts w:hint="eastAsia"/>
          <w:szCs w:val="22"/>
        </w:rPr>
        <w:t>（</w:t>
      </w:r>
      <w:r>
        <w:rPr>
          <w:szCs w:val="22"/>
        </w:rPr>
        <w:t>重点</w:t>
      </w:r>
      <w:r>
        <w:rPr>
          <w:rFonts w:hint="eastAsia"/>
          <w:szCs w:val="22"/>
        </w:rPr>
        <w:t>、难点</w:t>
      </w:r>
      <w:r>
        <w:rPr>
          <w:szCs w:val="22"/>
        </w:rPr>
        <w:t>）</w:t>
      </w:r>
    </w:p>
    <w:p>
      <w:pPr>
        <w:adjustRightInd w:val="0"/>
        <w:snapToGrid w:val="0"/>
        <w:spacing w:line="360" w:lineRule="auto"/>
        <w:ind w:firstLine="420" w:firstLineChars="200"/>
        <w:rPr>
          <w:szCs w:val="22"/>
        </w:rPr>
      </w:pPr>
      <w:r>
        <w:rPr>
          <w:szCs w:val="22"/>
        </w:rPr>
        <w:t>2.4、图形工具栏的使用方法</w:t>
      </w:r>
    </w:p>
    <w:p>
      <w:pPr>
        <w:widowControl/>
        <w:adjustRightInd w:val="0"/>
        <w:snapToGrid w:val="0"/>
        <w:spacing w:line="360" w:lineRule="auto"/>
        <w:ind w:firstLine="420" w:firstLineChars="200"/>
        <w:jc w:val="left"/>
        <w:rPr>
          <w:snapToGrid w:val="0"/>
          <w:kern w:val="0"/>
        </w:rPr>
      </w:pPr>
      <w:r>
        <w:rPr>
          <w:rFonts w:cs="宋体"/>
          <w:bCs/>
          <w:snapToGrid w:val="0"/>
          <w:kern w:val="0"/>
          <w:szCs w:val="21"/>
        </w:rPr>
        <w:t>本章内容支撑课程目标</w:t>
      </w:r>
      <w:r>
        <w:rPr>
          <w:rFonts w:hint="eastAsia" w:cs="宋体"/>
          <w:bCs/>
          <w:snapToGrid w:val="0"/>
          <w:kern w:val="0"/>
          <w:szCs w:val="21"/>
        </w:rPr>
        <w:t>1。</w:t>
      </w:r>
    </w:p>
    <w:p>
      <w:pPr>
        <w:adjustRightInd w:val="0"/>
        <w:snapToGrid w:val="0"/>
        <w:spacing w:line="360" w:lineRule="auto"/>
        <w:ind w:firstLine="422" w:firstLineChars="200"/>
        <w:rPr>
          <w:b/>
          <w:szCs w:val="22"/>
        </w:rPr>
      </w:pPr>
      <w:r>
        <w:rPr>
          <w:b/>
          <w:szCs w:val="22"/>
        </w:rPr>
        <w:t>3 绘制原理图（2学时）</w:t>
      </w:r>
    </w:p>
    <w:p>
      <w:pPr>
        <w:adjustRightInd w:val="0"/>
        <w:snapToGrid w:val="0"/>
        <w:spacing w:line="360" w:lineRule="auto"/>
        <w:ind w:firstLine="420" w:firstLineChars="200"/>
        <w:rPr>
          <w:szCs w:val="22"/>
        </w:rPr>
      </w:pPr>
      <w:r>
        <w:rPr>
          <w:szCs w:val="22"/>
        </w:rPr>
        <w:t>3.1、原理图元件的放置、位置调整、属性设置、删除、复制、粘贴、选取操作方法</w:t>
      </w:r>
    </w:p>
    <w:p>
      <w:pPr>
        <w:adjustRightInd w:val="0"/>
        <w:snapToGrid w:val="0"/>
        <w:spacing w:line="360" w:lineRule="auto"/>
        <w:ind w:firstLine="420" w:firstLineChars="200"/>
        <w:rPr>
          <w:szCs w:val="22"/>
        </w:rPr>
      </w:pPr>
      <w:r>
        <w:rPr>
          <w:szCs w:val="22"/>
        </w:rPr>
        <w:t>3.2、使用原理图布线工具绘制电路原理图的方法（重点）</w:t>
      </w:r>
    </w:p>
    <w:p>
      <w:pPr>
        <w:adjustRightInd w:val="0"/>
        <w:snapToGrid w:val="0"/>
        <w:spacing w:line="360" w:lineRule="auto"/>
        <w:ind w:firstLine="420" w:firstLineChars="200"/>
        <w:rPr>
          <w:szCs w:val="22"/>
        </w:rPr>
      </w:pPr>
      <w:r>
        <w:rPr>
          <w:szCs w:val="22"/>
        </w:rPr>
        <w:t>3.3、原理图编辑报表的管理及检查</w:t>
      </w:r>
    </w:p>
    <w:p>
      <w:pPr>
        <w:widowControl/>
        <w:adjustRightInd w:val="0"/>
        <w:snapToGrid w:val="0"/>
        <w:spacing w:line="360" w:lineRule="auto"/>
        <w:ind w:firstLine="420" w:firstLineChars="200"/>
        <w:jc w:val="left"/>
        <w:rPr>
          <w:snapToGrid w:val="0"/>
          <w:kern w:val="0"/>
        </w:rPr>
      </w:pPr>
      <w:r>
        <w:rPr>
          <w:rFonts w:cs="宋体"/>
          <w:bCs/>
          <w:snapToGrid w:val="0"/>
          <w:kern w:val="0"/>
          <w:szCs w:val="21"/>
        </w:rPr>
        <w:t>本章内容支撑课程目标</w:t>
      </w:r>
      <w:r>
        <w:rPr>
          <w:rFonts w:hint="eastAsia" w:cs="宋体"/>
          <w:bCs/>
          <w:snapToGrid w:val="0"/>
          <w:kern w:val="0"/>
          <w:szCs w:val="21"/>
        </w:rPr>
        <w:t>1。</w:t>
      </w:r>
    </w:p>
    <w:p>
      <w:pPr>
        <w:adjustRightInd w:val="0"/>
        <w:snapToGrid w:val="0"/>
        <w:spacing w:line="360" w:lineRule="auto"/>
        <w:ind w:firstLine="422" w:firstLineChars="200"/>
        <w:rPr>
          <w:b/>
          <w:szCs w:val="22"/>
        </w:rPr>
      </w:pPr>
      <w:r>
        <w:rPr>
          <w:b/>
          <w:szCs w:val="22"/>
        </w:rPr>
        <w:t xml:space="preserve">4 </w:t>
      </w:r>
      <w:r>
        <w:rPr>
          <w:rFonts w:hint="eastAsia"/>
          <w:b/>
          <w:szCs w:val="22"/>
        </w:rPr>
        <w:t>元件集成库设计与管理</w:t>
      </w:r>
      <w:r>
        <w:rPr>
          <w:b/>
          <w:szCs w:val="22"/>
        </w:rPr>
        <w:t>（</w:t>
      </w:r>
      <w:r>
        <w:rPr>
          <w:rFonts w:hint="eastAsia"/>
          <w:b/>
          <w:szCs w:val="22"/>
        </w:rPr>
        <w:t>3</w:t>
      </w:r>
      <w:r>
        <w:rPr>
          <w:b/>
          <w:szCs w:val="22"/>
        </w:rPr>
        <w:t>学时）</w:t>
      </w:r>
    </w:p>
    <w:p>
      <w:pPr>
        <w:adjustRightInd w:val="0"/>
        <w:snapToGrid w:val="0"/>
        <w:spacing w:line="360" w:lineRule="auto"/>
        <w:ind w:firstLine="420" w:firstLineChars="200"/>
        <w:rPr>
          <w:szCs w:val="22"/>
        </w:rPr>
      </w:pPr>
      <w:r>
        <w:rPr>
          <w:szCs w:val="22"/>
        </w:rPr>
        <w:t>4.1、原理图元件的编辑方法</w:t>
      </w:r>
      <w:r>
        <w:rPr>
          <w:rFonts w:hint="eastAsia"/>
          <w:szCs w:val="22"/>
        </w:rPr>
        <w:t>（</w:t>
      </w:r>
      <w:r>
        <w:rPr>
          <w:szCs w:val="22"/>
        </w:rPr>
        <w:t>重点</w:t>
      </w:r>
      <w:r>
        <w:rPr>
          <w:rFonts w:hint="eastAsia"/>
          <w:szCs w:val="22"/>
        </w:rPr>
        <w:t>、难点</w:t>
      </w:r>
      <w:r>
        <w:rPr>
          <w:szCs w:val="22"/>
        </w:rPr>
        <w:t>）</w:t>
      </w:r>
    </w:p>
    <w:p>
      <w:pPr>
        <w:adjustRightInd w:val="0"/>
        <w:snapToGrid w:val="0"/>
        <w:spacing w:line="360" w:lineRule="auto"/>
        <w:ind w:firstLine="420" w:firstLineChars="200"/>
        <w:rPr>
          <w:szCs w:val="22"/>
        </w:rPr>
      </w:pPr>
      <w:r>
        <w:rPr>
          <w:szCs w:val="22"/>
        </w:rPr>
        <w:t>4.2、</w:t>
      </w:r>
      <w:r>
        <w:rPr>
          <w:rFonts w:hint="eastAsia"/>
          <w:szCs w:val="22"/>
        </w:rPr>
        <w:t>使用工具栏绘制元件封装</w:t>
      </w:r>
    </w:p>
    <w:p>
      <w:pPr>
        <w:adjustRightInd w:val="0"/>
        <w:snapToGrid w:val="0"/>
        <w:spacing w:line="360" w:lineRule="auto"/>
        <w:ind w:firstLine="420" w:firstLineChars="200"/>
        <w:rPr>
          <w:szCs w:val="22"/>
        </w:rPr>
      </w:pPr>
      <w:r>
        <w:rPr>
          <w:szCs w:val="22"/>
        </w:rPr>
        <w:t>4.3、</w:t>
      </w:r>
      <w:r>
        <w:rPr>
          <w:rFonts w:hint="eastAsia"/>
          <w:szCs w:val="22"/>
        </w:rPr>
        <w:t>使用向导创建元件封装（重点、难点）</w:t>
      </w:r>
    </w:p>
    <w:p>
      <w:pPr>
        <w:widowControl/>
        <w:adjustRightInd w:val="0"/>
        <w:snapToGrid w:val="0"/>
        <w:spacing w:line="360" w:lineRule="auto"/>
        <w:ind w:firstLine="420" w:firstLineChars="200"/>
        <w:jc w:val="left"/>
        <w:rPr>
          <w:snapToGrid w:val="0"/>
          <w:kern w:val="0"/>
        </w:rPr>
      </w:pPr>
      <w:r>
        <w:rPr>
          <w:rFonts w:cs="宋体"/>
          <w:bCs/>
          <w:snapToGrid w:val="0"/>
          <w:kern w:val="0"/>
          <w:szCs w:val="21"/>
        </w:rPr>
        <w:t>本章内容支撑课程目标</w:t>
      </w:r>
      <w:r>
        <w:rPr>
          <w:rFonts w:hint="eastAsia" w:cs="宋体"/>
          <w:bCs/>
          <w:snapToGrid w:val="0"/>
          <w:kern w:val="0"/>
          <w:szCs w:val="21"/>
        </w:rPr>
        <w:t>1、2。</w:t>
      </w:r>
    </w:p>
    <w:p>
      <w:pPr>
        <w:adjustRightInd w:val="0"/>
        <w:snapToGrid w:val="0"/>
        <w:spacing w:line="360" w:lineRule="auto"/>
        <w:ind w:firstLine="422" w:firstLineChars="200"/>
        <w:rPr>
          <w:b/>
          <w:szCs w:val="22"/>
        </w:rPr>
      </w:pPr>
      <w:r>
        <w:rPr>
          <w:b/>
          <w:szCs w:val="22"/>
        </w:rPr>
        <w:t>5设计层次原理图（2学时）</w:t>
      </w:r>
    </w:p>
    <w:p>
      <w:pPr>
        <w:adjustRightInd w:val="0"/>
        <w:snapToGrid w:val="0"/>
        <w:spacing w:line="360" w:lineRule="auto"/>
        <w:ind w:firstLine="420" w:firstLineChars="200"/>
        <w:rPr>
          <w:szCs w:val="22"/>
        </w:rPr>
      </w:pPr>
      <w:r>
        <w:rPr>
          <w:szCs w:val="22"/>
        </w:rPr>
        <w:t>5.1、层次原理图的设计方法（难点）</w:t>
      </w:r>
    </w:p>
    <w:p>
      <w:pPr>
        <w:adjustRightInd w:val="0"/>
        <w:snapToGrid w:val="0"/>
        <w:spacing w:line="360" w:lineRule="auto"/>
        <w:ind w:firstLine="420" w:firstLineChars="200"/>
        <w:rPr>
          <w:szCs w:val="22"/>
        </w:rPr>
      </w:pPr>
      <w:r>
        <w:rPr>
          <w:szCs w:val="22"/>
        </w:rPr>
        <w:t>5.2、原理图文件和方块电路符号互相生成方法</w:t>
      </w:r>
    </w:p>
    <w:p>
      <w:pPr>
        <w:widowControl/>
        <w:adjustRightInd w:val="0"/>
        <w:snapToGrid w:val="0"/>
        <w:spacing w:line="360" w:lineRule="auto"/>
        <w:ind w:firstLine="420" w:firstLineChars="200"/>
        <w:jc w:val="left"/>
        <w:rPr>
          <w:snapToGrid w:val="0"/>
          <w:kern w:val="0"/>
        </w:rPr>
      </w:pPr>
      <w:r>
        <w:rPr>
          <w:rFonts w:cs="宋体"/>
          <w:bCs/>
          <w:snapToGrid w:val="0"/>
          <w:kern w:val="0"/>
          <w:szCs w:val="21"/>
        </w:rPr>
        <w:t>本章内容支撑课程目标</w:t>
      </w:r>
      <w:r>
        <w:rPr>
          <w:rFonts w:hint="eastAsia" w:cs="宋体"/>
          <w:bCs/>
          <w:snapToGrid w:val="0"/>
          <w:kern w:val="0"/>
          <w:szCs w:val="21"/>
        </w:rPr>
        <w:t>1、3。</w:t>
      </w:r>
    </w:p>
    <w:p>
      <w:pPr>
        <w:adjustRightInd w:val="0"/>
        <w:snapToGrid w:val="0"/>
        <w:spacing w:line="360" w:lineRule="auto"/>
        <w:ind w:firstLine="422" w:firstLineChars="200"/>
        <w:rPr>
          <w:b/>
          <w:szCs w:val="22"/>
        </w:rPr>
      </w:pPr>
      <w:r>
        <w:rPr>
          <w:b/>
          <w:szCs w:val="22"/>
        </w:rPr>
        <w:t>6印制电路板设计基础（2学时）</w:t>
      </w:r>
    </w:p>
    <w:p>
      <w:pPr>
        <w:adjustRightInd w:val="0"/>
        <w:snapToGrid w:val="0"/>
        <w:spacing w:line="360" w:lineRule="auto"/>
        <w:ind w:firstLine="420" w:firstLineChars="200"/>
        <w:rPr>
          <w:szCs w:val="22"/>
        </w:rPr>
      </w:pPr>
      <w:r>
        <w:rPr>
          <w:szCs w:val="22"/>
        </w:rPr>
        <w:t>6.1、PCB板设计的基本原则（重点）</w:t>
      </w:r>
    </w:p>
    <w:p>
      <w:pPr>
        <w:adjustRightInd w:val="0"/>
        <w:snapToGrid w:val="0"/>
        <w:spacing w:line="360" w:lineRule="auto"/>
        <w:ind w:firstLine="420" w:firstLineChars="200"/>
        <w:rPr>
          <w:szCs w:val="22"/>
        </w:rPr>
      </w:pPr>
      <w:r>
        <w:rPr>
          <w:szCs w:val="22"/>
        </w:rPr>
        <w:t>6.2、PCB各工具栏、状态栏的使用方法</w:t>
      </w:r>
    </w:p>
    <w:p>
      <w:pPr>
        <w:adjustRightInd w:val="0"/>
        <w:snapToGrid w:val="0"/>
        <w:spacing w:line="360" w:lineRule="auto"/>
        <w:ind w:firstLine="420" w:firstLineChars="200"/>
        <w:rPr>
          <w:szCs w:val="22"/>
        </w:rPr>
      </w:pPr>
      <w:r>
        <w:rPr>
          <w:szCs w:val="22"/>
        </w:rPr>
        <w:t>6.3、电路板工作层的设置</w:t>
      </w:r>
      <w:r>
        <w:rPr>
          <w:rFonts w:hint="eastAsia"/>
          <w:szCs w:val="22"/>
        </w:rPr>
        <w:t>（重点、难点）</w:t>
      </w:r>
    </w:p>
    <w:p>
      <w:pPr>
        <w:widowControl/>
        <w:adjustRightInd w:val="0"/>
        <w:snapToGrid w:val="0"/>
        <w:spacing w:line="360" w:lineRule="auto"/>
        <w:ind w:firstLine="420" w:firstLineChars="200"/>
        <w:jc w:val="left"/>
        <w:rPr>
          <w:snapToGrid w:val="0"/>
          <w:kern w:val="0"/>
        </w:rPr>
      </w:pPr>
      <w:r>
        <w:rPr>
          <w:rFonts w:cs="宋体"/>
          <w:bCs/>
          <w:snapToGrid w:val="0"/>
          <w:kern w:val="0"/>
          <w:szCs w:val="21"/>
        </w:rPr>
        <w:t>本章内容支撑课程目标</w:t>
      </w:r>
      <w:r>
        <w:rPr>
          <w:rFonts w:hint="eastAsia" w:cs="宋体"/>
          <w:bCs/>
          <w:snapToGrid w:val="0"/>
          <w:kern w:val="0"/>
          <w:szCs w:val="21"/>
        </w:rPr>
        <w:t>1，2。</w:t>
      </w:r>
    </w:p>
    <w:p>
      <w:pPr>
        <w:adjustRightInd w:val="0"/>
        <w:snapToGrid w:val="0"/>
        <w:spacing w:line="360" w:lineRule="auto"/>
        <w:ind w:firstLine="422" w:firstLineChars="200"/>
        <w:rPr>
          <w:b/>
          <w:szCs w:val="22"/>
        </w:rPr>
      </w:pPr>
      <w:r>
        <w:rPr>
          <w:b/>
          <w:szCs w:val="22"/>
        </w:rPr>
        <w:t>7制作印制电路板（</w:t>
      </w:r>
      <w:r>
        <w:rPr>
          <w:rFonts w:hint="eastAsia"/>
          <w:b/>
          <w:szCs w:val="22"/>
        </w:rPr>
        <w:t>3</w:t>
      </w:r>
      <w:r>
        <w:rPr>
          <w:b/>
          <w:szCs w:val="22"/>
        </w:rPr>
        <w:t>学时）</w:t>
      </w:r>
    </w:p>
    <w:p>
      <w:pPr>
        <w:adjustRightInd w:val="0"/>
        <w:snapToGrid w:val="0"/>
        <w:spacing w:line="360" w:lineRule="auto"/>
        <w:ind w:firstLine="420" w:firstLineChars="200"/>
        <w:rPr>
          <w:szCs w:val="22"/>
        </w:rPr>
      </w:pPr>
      <w:r>
        <w:rPr>
          <w:szCs w:val="22"/>
        </w:rPr>
        <w:t>7.1、</w:t>
      </w:r>
      <w:r>
        <w:rPr>
          <w:szCs w:val="21"/>
        </w:rPr>
        <w:t>Altium Designer</w:t>
      </w:r>
      <w:r>
        <w:rPr>
          <w:szCs w:val="22"/>
        </w:rPr>
        <w:t>布线的流程</w:t>
      </w:r>
    </w:p>
    <w:p>
      <w:pPr>
        <w:adjustRightInd w:val="0"/>
        <w:snapToGrid w:val="0"/>
        <w:spacing w:line="360" w:lineRule="auto"/>
        <w:ind w:firstLine="420" w:firstLineChars="200"/>
        <w:rPr>
          <w:szCs w:val="22"/>
        </w:rPr>
      </w:pPr>
      <w:r>
        <w:rPr>
          <w:szCs w:val="22"/>
        </w:rPr>
        <w:t>7.2、网络表与元件的装入（重点）</w:t>
      </w:r>
    </w:p>
    <w:p>
      <w:pPr>
        <w:adjustRightInd w:val="0"/>
        <w:snapToGrid w:val="0"/>
        <w:spacing w:line="360" w:lineRule="auto"/>
        <w:ind w:firstLine="420" w:firstLineChars="200"/>
        <w:rPr>
          <w:szCs w:val="22"/>
        </w:rPr>
      </w:pPr>
      <w:r>
        <w:rPr>
          <w:szCs w:val="22"/>
        </w:rPr>
        <w:t>7.3、元器件布局和布线（重点</w:t>
      </w:r>
      <w:r>
        <w:rPr>
          <w:rFonts w:hint="eastAsia"/>
          <w:szCs w:val="22"/>
        </w:rPr>
        <w:t>、难点</w:t>
      </w:r>
      <w:r>
        <w:rPr>
          <w:szCs w:val="22"/>
        </w:rPr>
        <w:t>）</w:t>
      </w:r>
    </w:p>
    <w:p>
      <w:pPr>
        <w:adjustRightInd w:val="0"/>
        <w:snapToGrid w:val="0"/>
        <w:spacing w:line="360" w:lineRule="auto"/>
        <w:ind w:firstLine="420" w:firstLineChars="200"/>
        <w:rPr>
          <w:szCs w:val="22"/>
        </w:rPr>
      </w:pPr>
      <w:r>
        <w:rPr>
          <w:szCs w:val="22"/>
        </w:rPr>
        <w:t>7.4、设计规则检测（DRC）</w:t>
      </w:r>
    </w:p>
    <w:p>
      <w:pPr>
        <w:widowControl/>
        <w:adjustRightInd w:val="0"/>
        <w:snapToGrid w:val="0"/>
        <w:spacing w:line="360" w:lineRule="auto"/>
        <w:ind w:firstLine="420" w:firstLineChars="200"/>
        <w:jc w:val="left"/>
        <w:rPr>
          <w:snapToGrid w:val="0"/>
          <w:kern w:val="0"/>
        </w:rPr>
      </w:pPr>
      <w:r>
        <w:rPr>
          <w:rFonts w:cs="宋体"/>
          <w:bCs/>
          <w:snapToGrid w:val="0"/>
          <w:kern w:val="0"/>
          <w:szCs w:val="21"/>
        </w:rPr>
        <w:t>本章内容支撑课程目标</w:t>
      </w:r>
      <w:r>
        <w:rPr>
          <w:rFonts w:hint="eastAsia" w:cs="宋体"/>
          <w:bCs/>
          <w:snapToGrid w:val="0"/>
          <w:kern w:val="0"/>
          <w:szCs w:val="21"/>
        </w:rPr>
        <w:t>1，2。</w:t>
      </w:r>
    </w:p>
    <w:p>
      <w:pPr>
        <w:adjustRightInd w:val="0"/>
        <w:snapToGrid w:val="0"/>
        <w:spacing w:line="360" w:lineRule="auto"/>
        <w:rPr>
          <w:b/>
          <w:sz w:val="24"/>
          <w:szCs w:val="24"/>
        </w:rPr>
      </w:pPr>
    </w:p>
    <w:p>
      <w:pPr>
        <w:tabs>
          <w:tab w:val="left" w:pos="420"/>
        </w:tabs>
        <w:adjustRightInd w:val="0"/>
        <w:snapToGrid w:val="0"/>
        <w:spacing w:line="360" w:lineRule="auto"/>
        <w:ind w:left="420" w:hanging="420"/>
        <w:rPr>
          <w:rFonts w:eastAsia="黑体"/>
          <w:szCs w:val="24"/>
        </w:rPr>
      </w:pPr>
      <w:r>
        <w:rPr>
          <w:rFonts w:hint="eastAsia" w:eastAsia="黑体"/>
          <w:szCs w:val="24"/>
        </w:rPr>
        <w:t>五、实验内容</w:t>
      </w:r>
    </w:p>
    <w:p>
      <w:pPr>
        <w:adjustRightInd w:val="0"/>
        <w:snapToGrid w:val="0"/>
        <w:spacing w:line="360" w:lineRule="auto"/>
        <w:ind w:firstLine="420" w:firstLineChars="200"/>
        <w:rPr>
          <w:rFonts w:cs="宋体"/>
          <w:kern w:val="0"/>
          <w:szCs w:val="21"/>
        </w:rPr>
      </w:pPr>
      <w:r>
        <w:rPr>
          <w:rFonts w:hint="eastAsia" w:cs="宋体"/>
          <w:kern w:val="0"/>
          <w:szCs w:val="21"/>
        </w:rPr>
        <w:t>实验环节主要是上机操作，要求保证上机条件，即具备常用的EDA软件工具；要求学生熟炼掌握至少1种常用EDA软件的使用方法；掌握在开发环境下绘图和查找错误的方法。</w:t>
      </w:r>
    </w:p>
    <w:p>
      <w:pPr>
        <w:adjustRightInd w:val="0"/>
        <w:snapToGrid w:val="0"/>
        <w:spacing w:line="360" w:lineRule="auto"/>
        <w:ind w:firstLine="420" w:firstLineChars="200"/>
        <w:rPr>
          <w:rFonts w:cs="宋体"/>
          <w:kern w:val="0"/>
          <w:szCs w:val="21"/>
        </w:rPr>
      </w:pPr>
      <w:r>
        <w:rPr>
          <w:rFonts w:hint="eastAsia" w:cs="宋体"/>
          <w:kern w:val="0"/>
          <w:szCs w:val="21"/>
        </w:rPr>
        <w:t>16个学时共完成8个实验，8个为正常课内实验。</w:t>
      </w:r>
    </w:p>
    <w:p>
      <w:pPr>
        <w:widowControl/>
        <w:adjustRightInd w:val="0"/>
        <w:snapToGrid w:val="0"/>
        <w:spacing w:line="360" w:lineRule="auto"/>
        <w:ind w:firstLine="420" w:firstLineChars="200"/>
        <w:jc w:val="left"/>
        <w:rPr>
          <w:rFonts w:cs="宋体"/>
          <w:kern w:val="0"/>
          <w:szCs w:val="21"/>
        </w:rPr>
      </w:pPr>
      <w:r>
        <w:rPr>
          <w:rFonts w:hint="eastAsia" w:eastAsia="黑体" w:cs="宋体"/>
          <w:snapToGrid w:val="0"/>
          <w:kern w:val="0"/>
          <w:szCs w:val="21"/>
        </w:rPr>
        <w:t>实验一</w:t>
      </w:r>
      <w:r>
        <w:rPr>
          <w:rFonts w:eastAsia="黑体" w:cs="宋体"/>
          <w:snapToGrid w:val="0"/>
          <w:kern w:val="0"/>
          <w:szCs w:val="21"/>
        </w:rPr>
        <w:t>电路原理图</w:t>
      </w:r>
      <w:r>
        <w:rPr>
          <w:rFonts w:hint="eastAsia" w:eastAsia="黑体" w:cs="宋体"/>
          <w:snapToGrid w:val="0"/>
          <w:kern w:val="0"/>
          <w:szCs w:val="21"/>
        </w:rPr>
        <w:t>设计基础`（2学时）</w:t>
      </w:r>
    </w:p>
    <w:p>
      <w:pPr>
        <w:widowControl/>
        <w:tabs>
          <w:tab w:val="left" w:pos="720"/>
        </w:tabs>
        <w:adjustRightInd w:val="0"/>
        <w:snapToGrid w:val="0"/>
        <w:spacing w:line="360" w:lineRule="auto"/>
        <w:ind w:firstLine="420" w:firstLineChars="200"/>
        <w:jc w:val="left"/>
        <w:rPr>
          <w:rFonts w:cs="宋体"/>
          <w:kern w:val="0"/>
          <w:szCs w:val="21"/>
        </w:rPr>
      </w:pPr>
      <w:r>
        <w:rPr>
          <w:rFonts w:cs="宋体"/>
          <w:kern w:val="0"/>
          <w:szCs w:val="21"/>
        </w:rPr>
        <w:t>内容：</w:t>
      </w:r>
      <w:r>
        <w:rPr>
          <w:szCs w:val="21"/>
        </w:rPr>
        <w:t>Altium Designer</w:t>
      </w:r>
      <w:r>
        <w:rPr>
          <w:rFonts w:cs="宋体"/>
          <w:kern w:val="0"/>
          <w:szCs w:val="21"/>
        </w:rPr>
        <w:t>软件的安装方法，通过学习掌握电路原理图的基本绘图方法及各主要菜单及命令的使用。</w:t>
      </w:r>
    </w:p>
    <w:p>
      <w:pPr>
        <w:widowControl/>
        <w:tabs>
          <w:tab w:val="left" w:pos="720"/>
        </w:tabs>
        <w:adjustRightInd w:val="0"/>
        <w:snapToGrid w:val="0"/>
        <w:spacing w:line="360" w:lineRule="auto"/>
        <w:ind w:firstLine="420" w:firstLineChars="200"/>
        <w:jc w:val="left"/>
        <w:rPr>
          <w:rFonts w:cs="宋体"/>
          <w:kern w:val="0"/>
          <w:szCs w:val="21"/>
        </w:rPr>
      </w:pPr>
      <w:r>
        <w:rPr>
          <w:rFonts w:cs="宋体"/>
          <w:kern w:val="0"/>
          <w:szCs w:val="21"/>
        </w:rPr>
        <w:t>基本要求：</w:t>
      </w:r>
    </w:p>
    <w:p>
      <w:pPr>
        <w:widowControl/>
        <w:tabs>
          <w:tab w:val="left" w:pos="720"/>
        </w:tabs>
        <w:adjustRightInd w:val="0"/>
        <w:snapToGrid w:val="0"/>
        <w:spacing w:line="360" w:lineRule="auto"/>
        <w:ind w:firstLine="420" w:firstLineChars="200"/>
        <w:jc w:val="left"/>
        <w:rPr>
          <w:rFonts w:cs="宋体"/>
          <w:kern w:val="0"/>
          <w:szCs w:val="21"/>
        </w:rPr>
      </w:pPr>
      <w:r>
        <w:rPr>
          <w:rFonts w:cs="宋体"/>
          <w:kern w:val="0"/>
          <w:szCs w:val="21"/>
        </w:rPr>
        <w:t>1、掌握</w:t>
      </w:r>
      <w:r>
        <w:rPr>
          <w:szCs w:val="21"/>
        </w:rPr>
        <w:t>Altium Designer</w:t>
      </w:r>
      <w:r>
        <w:rPr>
          <w:rFonts w:cs="宋体"/>
          <w:kern w:val="0"/>
          <w:szCs w:val="21"/>
        </w:rPr>
        <w:t>的基本操作；</w:t>
      </w:r>
    </w:p>
    <w:p>
      <w:pPr>
        <w:widowControl/>
        <w:tabs>
          <w:tab w:val="left" w:pos="720"/>
        </w:tabs>
        <w:adjustRightInd w:val="0"/>
        <w:snapToGrid w:val="0"/>
        <w:spacing w:line="360" w:lineRule="auto"/>
        <w:ind w:firstLine="420" w:firstLineChars="200"/>
        <w:jc w:val="left"/>
        <w:rPr>
          <w:rFonts w:cs="宋体"/>
          <w:kern w:val="0"/>
          <w:szCs w:val="21"/>
        </w:rPr>
      </w:pPr>
      <w:r>
        <w:rPr>
          <w:rFonts w:cs="宋体"/>
          <w:kern w:val="0"/>
          <w:szCs w:val="21"/>
        </w:rPr>
        <w:t>2、掌握设计管理器的使用和设计环境的设置，熟悉常用元件库和各主要菜单及命令的使用；</w:t>
      </w:r>
    </w:p>
    <w:p>
      <w:pPr>
        <w:widowControl/>
        <w:tabs>
          <w:tab w:val="left" w:pos="720"/>
        </w:tabs>
        <w:adjustRightInd w:val="0"/>
        <w:snapToGrid w:val="0"/>
        <w:spacing w:line="360" w:lineRule="auto"/>
        <w:ind w:firstLine="420" w:firstLineChars="200"/>
        <w:jc w:val="left"/>
        <w:rPr>
          <w:rFonts w:cs="宋体"/>
          <w:kern w:val="0"/>
          <w:szCs w:val="21"/>
        </w:rPr>
      </w:pPr>
      <w:r>
        <w:rPr>
          <w:rFonts w:cs="宋体"/>
          <w:kern w:val="0"/>
          <w:szCs w:val="21"/>
        </w:rPr>
        <w:t>3、掌握电路原理图的基本绘图方法；</w:t>
      </w:r>
    </w:p>
    <w:p>
      <w:pPr>
        <w:adjustRightInd w:val="0"/>
        <w:snapToGrid w:val="0"/>
        <w:spacing w:line="360" w:lineRule="auto"/>
        <w:ind w:firstLine="420" w:firstLineChars="200"/>
        <w:rPr>
          <w:rFonts w:cs="宋体"/>
          <w:bCs/>
          <w:snapToGrid w:val="0"/>
          <w:kern w:val="0"/>
          <w:szCs w:val="21"/>
        </w:rPr>
      </w:pPr>
      <w:r>
        <w:rPr>
          <w:rFonts w:cs="宋体"/>
          <w:bCs/>
          <w:snapToGrid w:val="0"/>
          <w:kern w:val="0"/>
          <w:szCs w:val="21"/>
        </w:rPr>
        <w:t>本实验支撑课程目标</w:t>
      </w:r>
      <w:r>
        <w:rPr>
          <w:rFonts w:hint="eastAsia" w:cs="宋体"/>
          <w:bCs/>
          <w:snapToGrid w:val="0"/>
          <w:kern w:val="0"/>
          <w:szCs w:val="21"/>
        </w:rPr>
        <w:t>1。</w:t>
      </w:r>
      <w:r>
        <w:rPr>
          <w:rFonts w:cs="宋体"/>
          <w:bCs/>
          <w:snapToGrid w:val="0"/>
          <w:kern w:val="0"/>
          <w:szCs w:val="21"/>
        </w:rPr>
        <w:tab/>
      </w:r>
      <w:r>
        <w:rPr>
          <w:rFonts w:cs="宋体"/>
          <w:bCs/>
          <w:snapToGrid w:val="0"/>
          <w:kern w:val="0"/>
          <w:szCs w:val="21"/>
        </w:rPr>
        <w:tab/>
      </w:r>
      <w:r>
        <w:rPr>
          <w:rFonts w:cs="宋体"/>
          <w:bCs/>
          <w:snapToGrid w:val="0"/>
          <w:kern w:val="0"/>
          <w:szCs w:val="21"/>
        </w:rPr>
        <w:tab/>
      </w:r>
      <w:r>
        <w:rPr>
          <w:rFonts w:cs="宋体"/>
          <w:bCs/>
          <w:snapToGrid w:val="0"/>
          <w:kern w:val="0"/>
          <w:szCs w:val="21"/>
        </w:rPr>
        <w:tab/>
      </w:r>
      <w:r>
        <w:rPr>
          <w:rFonts w:cs="宋体"/>
          <w:bCs/>
          <w:snapToGrid w:val="0"/>
          <w:kern w:val="0"/>
          <w:szCs w:val="21"/>
        </w:rPr>
        <w:tab/>
      </w:r>
      <w:r>
        <w:rPr>
          <w:rFonts w:cs="宋体"/>
          <w:bCs/>
          <w:snapToGrid w:val="0"/>
          <w:kern w:val="0"/>
          <w:szCs w:val="21"/>
        </w:rPr>
        <w:tab/>
      </w:r>
      <w:r>
        <w:rPr>
          <w:rFonts w:cs="宋体"/>
          <w:bCs/>
          <w:snapToGrid w:val="0"/>
          <w:kern w:val="0"/>
          <w:szCs w:val="21"/>
        </w:rPr>
        <w:tab/>
      </w:r>
    </w:p>
    <w:p>
      <w:pPr>
        <w:widowControl/>
        <w:adjustRightInd w:val="0"/>
        <w:snapToGrid w:val="0"/>
        <w:spacing w:line="360" w:lineRule="auto"/>
        <w:ind w:firstLine="420" w:firstLineChars="200"/>
        <w:jc w:val="left"/>
        <w:rPr>
          <w:rFonts w:eastAsia="黑体" w:cs="宋体"/>
          <w:snapToGrid w:val="0"/>
          <w:kern w:val="0"/>
          <w:szCs w:val="21"/>
        </w:rPr>
      </w:pPr>
      <w:r>
        <w:rPr>
          <w:rFonts w:eastAsia="黑体" w:cs="宋体"/>
          <w:snapToGrid w:val="0"/>
          <w:kern w:val="0"/>
          <w:szCs w:val="21"/>
        </w:rPr>
        <w:t>实验二</w:t>
      </w:r>
      <w:r>
        <w:rPr>
          <w:rFonts w:hint="eastAsia" w:eastAsia="黑体" w:cs="宋体"/>
          <w:snapToGrid w:val="0"/>
          <w:kern w:val="0"/>
          <w:szCs w:val="21"/>
        </w:rPr>
        <w:t>设计电路原理图（2学时）</w:t>
      </w:r>
    </w:p>
    <w:p>
      <w:pPr>
        <w:widowControl/>
        <w:tabs>
          <w:tab w:val="left" w:pos="720"/>
        </w:tabs>
        <w:adjustRightInd w:val="0"/>
        <w:snapToGrid w:val="0"/>
        <w:spacing w:line="360" w:lineRule="auto"/>
        <w:ind w:firstLine="420" w:firstLineChars="200"/>
        <w:jc w:val="left"/>
        <w:rPr>
          <w:rFonts w:cs="宋体"/>
          <w:kern w:val="0"/>
          <w:szCs w:val="21"/>
        </w:rPr>
      </w:pPr>
      <w:r>
        <w:rPr>
          <w:rFonts w:cs="宋体"/>
          <w:kern w:val="0"/>
          <w:szCs w:val="21"/>
        </w:rPr>
        <w:t>内容：</w:t>
      </w:r>
      <w:r>
        <w:rPr>
          <w:rFonts w:hint="eastAsia" w:cs="宋体"/>
          <w:kern w:val="0"/>
          <w:szCs w:val="21"/>
        </w:rPr>
        <w:t>掌握绘制原理图的基本步骤，会加载和移除元件库，并查找元器件，会给放置好的元件自动编号。</w:t>
      </w:r>
    </w:p>
    <w:p>
      <w:pPr>
        <w:widowControl/>
        <w:tabs>
          <w:tab w:val="left" w:pos="720"/>
        </w:tabs>
        <w:adjustRightInd w:val="0"/>
        <w:snapToGrid w:val="0"/>
        <w:spacing w:line="360" w:lineRule="auto"/>
        <w:ind w:firstLine="420" w:firstLineChars="200"/>
        <w:jc w:val="left"/>
        <w:rPr>
          <w:rFonts w:cs="宋体"/>
          <w:kern w:val="0"/>
          <w:szCs w:val="21"/>
        </w:rPr>
      </w:pPr>
      <w:r>
        <w:rPr>
          <w:rFonts w:cs="宋体"/>
          <w:kern w:val="0"/>
          <w:szCs w:val="21"/>
        </w:rPr>
        <w:t>基本要求：</w:t>
      </w:r>
    </w:p>
    <w:p>
      <w:pPr>
        <w:widowControl/>
        <w:tabs>
          <w:tab w:val="left" w:pos="720"/>
        </w:tabs>
        <w:adjustRightInd w:val="0"/>
        <w:snapToGrid w:val="0"/>
        <w:spacing w:line="360" w:lineRule="auto"/>
        <w:ind w:firstLine="420" w:firstLineChars="200"/>
        <w:jc w:val="left"/>
        <w:rPr>
          <w:rFonts w:cs="宋体"/>
          <w:kern w:val="0"/>
          <w:szCs w:val="21"/>
        </w:rPr>
      </w:pPr>
      <w:r>
        <w:rPr>
          <w:rFonts w:cs="宋体"/>
          <w:kern w:val="0"/>
          <w:szCs w:val="21"/>
        </w:rPr>
        <w:t>1、掌握电路原理图的分析方法和分析工具；</w:t>
      </w:r>
    </w:p>
    <w:p>
      <w:pPr>
        <w:widowControl/>
        <w:tabs>
          <w:tab w:val="left" w:pos="720"/>
        </w:tabs>
        <w:adjustRightInd w:val="0"/>
        <w:snapToGrid w:val="0"/>
        <w:spacing w:line="360" w:lineRule="auto"/>
        <w:ind w:firstLine="420" w:firstLineChars="200"/>
        <w:jc w:val="left"/>
        <w:rPr>
          <w:rFonts w:cs="宋体"/>
          <w:kern w:val="0"/>
          <w:szCs w:val="21"/>
        </w:rPr>
      </w:pPr>
      <w:r>
        <w:rPr>
          <w:rFonts w:cs="宋体"/>
          <w:kern w:val="0"/>
          <w:szCs w:val="21"/>
        </w:rPr>
        <w:t>2、绘制完整电路原理图并利用分析工具进行纠错和修改；</w:t>
      </w:r>
    </w:p>
    <w:p>
      <w:pPr>
        <w:widowControl/>
        <w:tabs>
          <w:tab w:val="left" w:pos="720"/>
        </w:tabs>
        <w:adjustRightInd w:val="0"/>
        <w:snapToGrid w:val="0"/>
        <w:spacing w:line="360" w:lineRule="auto"/>
        <w:ind w:firstLine="420" w:firstLineChars="200"/>
        <w:jc w:val="left"/>
        <w:rPr>
          <w:rFonts w:cs="宋体"/>
          <w:kern w:val="0"/>
          <w:szCs w:val="21"/>
        </w:rPr>
      </w:pPr>
      <w:r>
        <w:rPr>
          <w:rFonts w:cs="宋体"/>
          <w:bCs/>
          <w:snapToGrid w:val="0"/>
          <w:kern w:val="0"/>
          <w:szCs w:val="21"/>
        </w:rPr>
        <w:t>本实验支撑课程目标</w:t>
      </w:r>
      <w:r>
        <w:rPr>
          <w:rFonts w:hint="eastAsia" w:cs="宋体"/>
          <w:bCs/>
          <w:snapToGrid w:val="0"/>
          <w:kern w:val="0"/>
          <w:szCs w:val="21"/>
        </w:rPr>
        <w:t>1。</w:t>
      </w:r>
    </w:p>
    <w:p>
      <w:pPr>
        <w:adjustRightInd w:val="0"/>
        <w:snapToGrid w:val="0"/>
        <w:spacing w:line="360" w:lineRule="auto"/>
        <w:ind w:firstLine="420" w:firstLineChars="200"/>
        <w:rPr>
          <w:rFonts w:eastAsia="黑体" w:cs="宋体"/>
          <w:snapToGrid w:val="0"/>
          <w:kern w:val="0"/>
          <w:szCs w:val="21"/>
        </w:rPr>
      </w:pPr>
      <w:r>
        <w:rPr>
          <w:rFonts w:eastAsia="黑体" w:cs="宋体"/>
          <w:snapToGrid w:val="0"/>
          <w:kern w:val="0"/>
          <w:szCs w:val="21"/>
        </w:rPr>
        <w:t>实验三</w:t>
      </w:r>
      <w:r>
        <w:rPr>
          <w:rFonts w:hint="eastAsia" w:eastAsia="黑体" w:cs="宋体"/>
          <w:snapToGrid w:val="0"/>
          <w:kern w:val="0"/>
          <w:szCs w:val="21"/>
        </w:rPr>
        <w:t>设计层次原理图</w:t>
      </w:r>
      <w:r>
        <w:rPr>
          <w:rFonts w:eastAsia="黑体" w:cs="宋体"/>
          <w:snapToGrid w:val="0"/>
          <w:kern w:val="0"/>
          <w:szCs w:val="21"/>
        </w:rPr>
        <w:t>（2学时）</w:t>
      </w:r>
    </w:p>
    <w:p>
      <w:pPr>
        <w:adjustRightInd w:val="0"/>
        <w:snapToGrid w:val="0"/>
        <w:spacing w:line="360" w:lineRule="auto"/>
        <w:ind w:firstLine="420" w:firstLineChars="200"/>
        <w:rPr>
          <w:rFonts w:cs="宋体"/>
          <w:kern w:val="0"/>
          <w:szCs w:val="21"/>
        </w:rPr>
      </w:pPr>
      <w:r>
        <w:rPr>
          <w:rFonts w:cs="宋体"/>
          <w:kern w:val="0"/>
          <w:szCs w:val="21"/>
        </w:rPr>
        <w:t>内容：</w:t>
      </w:r>
    </w:p>
    <w:p>
      <w:pPr>
        <w:adjustRightInd w:val="0"/>
        <w:snapToGrid w:val="0"/>
        <w:spacing w:line="360" w:lineRule="auto"/>
        <w:ind w:firstLine="420" w:firstLineChars="200"/>
        <w:rPr>
          <w:rFonts w:cs="宋体"/>
          <w:kern w:val="0"/>
          <w:szCs w:val="21"/>
        </w:rPr>
      </w:pPr>
      <w:r>
        <w:rPr>
          <w:rFonts w:hint="eastAsia" w:cs="宋体"/>
          <w:kern w:val="0"/>
          <w:szCs w:val="21"/>
        </w:rPr>
        <w:t>层次</w:t>
      </w:r>
      <w:r>
        <w:rPr>
          <w:rFonts w:cs="宋体"/>
          <w:kern w:val="0"/>
          <w:szCs w:val="21"/>
        </w:rPr>
        <w:t>原理图中</w:t>
      </w:r>
      <w:r>
        <w:rPr>
          <w:rFonts w:hint="eastAsia" w:cs="宋体"/>
          <w:kern w:val="0"/>
          <w:szCs w:val="21"/>
        </w:rPr>
        <w:t>方块电路的绘制和端口的设置</w:t>
      </w:r>
      <w:r>
        <w:rPr>
          <w:rFonts w:cs="宋体"/>
          <w:kern w:val="0"/>
          <w:szCs w:val="21"/>
        </w:rPr>
        <w:t>。</w:t>
      </w:r>
    </w:p>
    <w:p>
      <w:pPr>
        <w:adjustRightInd w:val="0"/>
        <w:snapToGrid w:val="0"/>
        <w:spacing w:line="360" w:lineRule="auto"/>
        <w:ind w:firstLine="420" w:firstLineChars="200"/>
        <w:rPr>
          <w:rFonts w:cs="宋体"/>
          <w:kern w:val="0"/>
          <w:szCs w:val="21"/>
        </w:rPr>
      </w:pPr>
      <w:r>
        <w:rPr>
          <w:rFonts w:cs="宋体"/>
          <w:kern w:val="0"/>
          <w:szCs w:val="21"/>
        </w:rPr>
        <w:t>基本要求：</w:t>
      </w:r>
    </w:p>
    <w:p>
      <w:pPr>
        <w:adjustRightInd w:val="0"/>
        <w:snapToGrid w:val="0"/>
        <w:spacing w:line="360" w:lineRule="auto"/>
        <w:ind w:firstLine="420" w:firstLineChars="200"/>
        <w:rPr>
          <w:rFonts w:cs="宋体"/>
          <w:kern w:val="0"/>
          <w:szCs w:val="21"/>
        </w:rPr>
      </w:pPr>
      <w:r>
        <w:rPr>
          <w:rFonts w:cs="宋体"/>
          <w:kern w:val="0"/>
          <w:szCs w:val="21"/>
        </w:rPr>
        <w:t>1、</w:t>
      </w:r>
      <w:r>
        <w:rPr>
          <w:rFonts w:hint="eastAsia" w:cs="宋体"/>
          <w:kern w:val="0"/>
          <w:szCs w:val="21"/>
        </w:rPr>
        <w:t>掌握层次性原理图的绘制方法</w:t>
      </w:r>
      <w:r>
        <w:rPr>
          <w:rFonts w:cs="宋体"/>
          <w:kern w:val="0"/>
          <w:szCs w:val="21"/>
        </w:rPr>
        <w:t>；</w:t>
      </w:r>
    </w:p>
    <w:p>
      <w:pPr>
        <w:adjustRightInd w:val="0"/>
        <w:snapToGrid w:val="0"/>
        <w:spacing w:line="360" w:lineRule="auto"/>
        <w:ind w:firstLine="420" w:firstLineChars="200"/>
        <w:rPr>
          <w:rFonts w:cs="宋体"/>
          <w:kern w:val="0"/>
          <w:szCs w:val="21"/>
        </w:rPr>
      </w:pPr>
      <w:r>
        <w:rPr>
          <w:rFonts w:cs="宋体"/>
          <w:kern w:val="0"/>
          <w:szCs w:val="21"/>
        </w:rPr>
        <w:t>2、</w:t>
      </w:r>
      <w:r>
        <w:rPr>
          <w:rFonts w:hint="eastAsia" w:cs="宋体"/>
          <w:kern w:val="0"/>
          <w:szCs w:val="21"/>
        </w:rPr>
        <w:t>了解层次性原理图的结构</w:t>
      </w:r>
      <w:r>
        <w:rPr>
          <w:rFonts w:cs="宋体"/>
          <w:kern w:val="0"/>
          <w:szCs w:val="21"/>
        </w:rPr>
        <w:t>；</w:t>
      </w:r>
    </w:p>
    <w:p>
      <w:pPr>
        <w:adjustRightInd w:val="0"/>
        <w:snapToGrid w:val="0"/>
        <w:spacing w:line="360" w:lineRule="auto"/>
        <w:ind w:firstLine="420" w:firstLineChars="200"/>
        <w:rPr>
          <w:rFonts w:cs="宋体"/>
          <w:kern w:val="0"/>
          <w:szCs w:val="21"/>
        </w:rPr>
      </w:pPr>
      <w:r>
        <w:rPr>
          <w:rFonts w:cs="宋体"/>
          <w:bCs/>
          <w:snapToGrid w:val="0"/>
          <w:kern w:val="0"/>
          <w:szCs w:val="21"/>
        </w:rPr>
        <w:t>本实验支撑课程目标</w:t>
      </w:r>
      <w:r>
        <w:rPr>
          <w:rFonts w:hint="eastAsia" w:cs="宋体"/>
          <w:bCs/>
          <w:snapToGrid w:val="0"/>
          <w:kern w:val="0"/>
          <w:szCs w:val="21"/>
        </w:rPr>
        <w:t>1、3。</w:t>
      </w:r>
    </w:p>
    <w:p>
      <w:pPr>
        <w:adjustRightInd w:val="0"/>
        <w:snapToGrid w:val="0"/>
        <w:spacing w:line="360" w:lineRule="auto"/>
        <w:ind w:firstLine="420" w:firstLineChars="200"/>
        <w:rPr>
          <w:rFonts w:eastAsia="黑体" w:cs="宋体"/>
          <w:snapToGrid w:val="0"/>
          <w:kern w:val="0"/>
          <w:szCs w:val="21"/>
        </w:rPr>
      </w:pPr>
      <w:r>
        <w:rPr>
          <w:rFonts w:eastAsia="黑体" w:cs="宋体"/>
          <w:snapToGrid w:val="0"/>
          <w:kern w:val="0"/>
          <w:szCs w:val="21"/>
        </w:rPr>
        <w:t>实验四</w:t>
      </w:r>
      <w:r>
        <w:rPr>
          <w:rFonts w:hint="eastAsia" w:eastAsia="黑体" w:cs="宋体"/>
          <w:snapToGrid w:val="0"/>
          <w:kern w:val="0"/>
          <w:szCs w:val="21"/>
        </w:rPr>
        <w:t>编译项目及</w:t>
      </w:r>
      <w:r>
        <w:rPr>
          <w:rFonts w:eastAsia="黑体" w:cs="宋体"/>
          <w:snapToGrid w:val="0"/>
          <w:kern w:val="0"/>
          <w:szCs w:val="21"/>
        </w:rPr>
        <w:t>生成原理图报表（2学时）</w:t>
      </w:r>
    </w:p>
    <w:p>
      <w:pPr>
        <w:adjustRightInd w:val="0"/>
        <w:snapToGrid w:val="0"/>
        <w:spacing w:line="360" w:lineRule="auto"/>
        <w:ind w:firstLine="420" w:firstLineChars="200"/>
        <w:rPr>
          <w:rFonts w:cs="宋体"/>
          <w:kern w:val="0"/>
          <w:szCs w:val="21"/>
        </w:rPr>
      </w:pPr>
      <w:r>
        <w:rPr>
          <w:rFonts w:cs="宋体"/>
          <w:kern w:val="0"/>
          <w:szCs w:val="21"/>
        </w:rPr>
        <w:t>内容：</w:t>
      </w:r>
    </w:p>
    <w:p>
      <w:pPr>
        <w:adjustRightInd w:val="0"/>
        <w:snapToGrid w:val="0"/>
        <w:spacing w:line="360" w:lineRule="auto"/>
        <w:ind w:firstLine="420" w:firstLineChars="200"/>
        <w:rPr>
          <w:rFonts w:cs="宋体"/>
          <w:kern w:val="0"/>
          <w:szCs w:val="21"/>
        </w:rPr>
      </w:pPr>
      <w:r>
        <w:rPr>
          <w:rFonts w:hint="eastAsia" w:cs="宋体"/>
          <w:kern w:val="0"/>
          <w:szCs w:val="21"/>
        </w:rPr>
        <w:t>以</w:t>
      </w:r>
      <w:r>
        <w:rPr>
          <w:rFonts w:cs="宋体"/>
          <w:kern w:val="0"/>
          <w:szCs w:val="21"/>
        </w:rPr>
        <w:t>555</w:t>
      </w:r>
      <w:r>
        <w:rPr>
          <w:rFonts w:hint="eastAsia" w:cs="宋体"/>
          <w:kern w:val="0"/>
          <w:szCs w:val="21"/>
        </w:rPr>
        <w:t>定时器组成的振荡器电路原理图为例，生成该原理图的</w:t>
      </w:r>
      <w:r>
        <w:rPr>
          <w:rFonts w:cs="宋体"/>
          <w:kern w:val="0"/>
          <w:szCs w:val="21"/>
        </w:rPr>
        <w:t>ERC</w:t>
      </w:r>
      <w:r>
        <w:rPr>
          <w:rFonts w:hint="eastAsia" w:cs="宋体"/>
          <w:kern w:val="0"/>
          <w:szCs w:val="21"/>
        </w:rPr>
        <w:t>表、网络表、元器件列表</w:t>
      </w:r>
      <w:r>
        <w:rPr>
          <w:rFonts w:cs="宋体"/>
          <w:kern w:val="0"/>
          <w:szCs w:val="21"/>
        </w:rPr>
        <w:t>。</w:t>
      </w:r>
    </w:p>
    <w:p>
      <w:pPr>
        <w:adjustRightInd w:val="0"/>
        <w:snapToGrid w:val="0"/>
        <w:spacing w:line="360" w:lineRule="auto"/>
        <w:ind w:firstLine="420" w:firstLineChars="200"/>
        <w:rPr>
          <w:rFonts w:cs="宋体"/>
          <w:kern w:val="0"/>
          <w:szCs w:val="21"/>
        </w:rPr>
      </w:pPr>
      <w:r>
        <w:rPr>
          <w:rFonts w:cs="宋体"/>
          <w:kern w:val="0"/>
          <w:szCs w:val="21"/>
        </w:rPr>
        <w:t>基本要求</w:t>
      </w:r>
    </w:p>
    <w:p>
      <w:pPr>
        <w:adjustRightInd w:val="0"/>
        <w:snapToGrid w:val="0"/>
        <w:spacing w:line="360" w:lineRule="auto"/>
        <w:ind w:firstLine="420" w:firstLineChars="200"/>
        <w:rPr>
          <w:rFonts w:cs="宋体"/>
          <w:kern w:val="0"/>
          <w:szCs w:val="21"/>
        </w:rPr>
      </w:pPr>
      <w:r>
        <w:rPr>
          <w:rFonts w:cs="宋体"/>
          <w:kern w:val="0"/>
          <w:szCs w:val="21"/>
        </w:rPr>
        <w:t>1、</w:t>
      </w:r>
      <w:r>
        <w:rPr>
          <w:rFonts w:hint="eastAsia" w:cs="宋体"/>
          <w:kern w:val="0"/>
          <w:szCs w:val="21"/>
        </w:rPr>
        <w:t>掌握原理图的网络表文件、元器件列表文件的生成方法</w:t>
      </w:r>
      <w:r>
        <w:rPr>
          <w:rFonts w:cs="宋体"/>
          <w:kern w:val="0"/>
          <w:szCs w:val="21"/>
        </w:rPr>
        <w:t>；</w:t>
      </w:r>
    </w:p>
    <w:p>
      <w:pPr>
        <w:adjustRightInd w:val="0"/>
        <w:snapToGrid w:val="0"/>
        <w:spacing w:line="360" w:lineRule="auto"/>
        <w:ind w:firstLine="420" w:firstLineChars="200"/>
        <w:rPr>
          <w:rFonts w:cs="宋体"/>
          <w:kern w:val="0"/>
          <w:szCs w:val="21"/>
        </w:rPr>
      </w:pPr>
      <w:r>
        <w:rPr>
          <w:rFonts w:cs="宋体"/>
          <w:kern w:val="0"/>
          <w:szCs w:val="21"/>
        </w:rPr>
        <w:t>2、</w:t>
      </w:r>
      <w:r>
        <w:rPr>
          <w:rFonts w:hint="eastAsia" w:cs="宋体"/>
          <w:kern w:val="0"/>
          <w:szCs w:val="21"/>
        </w:rPr>
        <w:t>掌握原理图文件的编译方法，对</w:t>
      </w:r>
      <w:r>
        <w:rPr>
          <w:rFonts w:cs="宋体"/>
          <w:kern w:val="0"/>
          <w:szCs w:val="21"/>
        </w:rPr>
        <w:t>ERC</w:t>
      </w:r>
      <w:r>
        <w:rPr>
          <w:rFonts w:hint="eastAsia" w:cs="宋体"/>
          <w:kern w:val="0"/>
          <w:szCs w:val="21"/>
        </w:rPr>
        <w:t>报告文件中的错误能够及时纠正</w:t>
      </w:r>
      <w:r>
        <w:rPr>
          <w:rFonts w:cs="宋体"/>
          <w:kern w:val="0"/>
          <w:szCs w:val="21"/>
        </w:rPr>
        <w:t>；</w:t>
      </w:r>
    </w:p>
    <w:p>
      <w:pPr>
        <w:adjustRightInd w:val="0"/>
        <w:snapToGrid w:val="0"/>
        <w:spacing w:line="360" w:lineRule="auto"/>
        <w:ind w:firstLine="420" w:firstLineChars="200"/>
        <w:rPr>
          <w:rFonts w:cs="宋体"/>
          <w:kern w:val="0"/>
          <w:szCs w:val="21"/>
        </w:rPr>
      </w:pPr>
      <w:r>
        <w:rPr>
          <w:rFonts w:cs="宋体"/>
          <w:kern w:val="0"/>
          <w:szCs w:val="21"/>
        </w:rPr>
        <w:t>此实验要求学生完成某个运算放大器应用电路的设计。</w:t>
      </w:r>
    </w:p>
    <w:p>
      <w:pPr>
        <w:adjustRightInd w:val="0"/>
        <w:snapToGrid w:val="0"/>
        <w:spacing w:line="360" w:lineRule="auto"/>
        <w:ind w:firstLine="420" w:firstLineChars="200"/>
        <w:rPr>
          <w:rFonts w:cs="宋体"/>
          <w:kern w:val="0"/>
          <w:szCs w:val="21"/>
        </w:rPr>
      </w:pPr>
      <w:r>
        <w:rPr>
          <w:rFonts w:cs="宋体"/>
          <w:bCs/>
          <w:snapToGrid w:val="0"/>
          <w:kern w:val="0"/>
          <w:szCs w:val="21"/>
        </w:rPr>
        <w:t>本实验支撑课程目标</w:t>
      </w:r>
      <w:r>
        <w:rPr>
          <w:rFonts w:hint="eastAsia" w:cs="宋体"/>
          <w:bCs/>
          <w:snapToGrid w:val="0"/>
          <w:kern w:val="0"/>
          <w:szCs w:val="21"/>
        </w:rPr>
        <w:t>1。</w:t>
      </w:r>
    </w:p>
    <w:p>
      <w:pPr>
        <w:adjustRightInd w:val="0"/>
        <w:snapToGrid w:val="0"/>
        <w:spacing w:line="360" w:lineRule="auto"/>
        <w:ind w:firstLine="420" w:firstLineChars="200"/>
        <w:rPr>
          <w:rFonts w:eastAsia="黑体" w:cs="宋体"/>
          <w:snapToGrid w:val="0"/>
          <w:kern w:val="0"/>
          <w:szCs w:val="21"/>
        </w:rPr>
      </w:pPr>
      <w:r>
        <w:rPr>
          <w:rFonts w:eastAsia="黑体" w:cs="宋体"/>
          <w:snapToGrid w:val="0"/>
          <w:kern w:val="0"/>
          <w:szCs w:val="21"/>
        </w:rPr>
        <w:t>实验五</w:t>
      </w:r>
      <w:r>
        <w:rPr>
          <w:rFonts w:hint="eastAsia" w:eastAsia="黑体" w:cs="宋体"/>
          <w:snapToGrid w:val="0"/>
          <w:kern w:val="0"/>
          <w:szCs w:val="21"/>
        </w:rPr>
        <w:t>原理图元件库的管理</w:t>
      </w:r>
      <w:r>
        <w:rPr>
          <w:rFonts w:eastAsia="黑体" w:cs="宋体"/>
          <w:snapToGrid w:val="0"/>
          <w:kern w:val="0"/>
          <w:szCs w:val="21"/>
        </w:rPr>
        <w:t>（2学时）</w:t>
      </w:r>
    </w:p>
    <w:p>
      <w:pPr>
        <w:adjustRightInd w:val="0"/>
        <w:snapToGrid w:val="0"/>
        <w:spacing w:line="360" w:lineRule="auto"/>
        <w:ind w:firstLine="420" w:firstLineChars="200"/>
        <w:rPr>
          <w:rFonts w:cs="宋体"/>
          <w:kern w:val="0"/>
          <w:szCs w:val="21"/>
        </w:rPr>
      </w:pPr>
      <w:r>
        <w:rPr>
          <w:rFonts w:cs="宋体"/>
          <w:kern w:val="0"/>
          <w:szCs w:val="21"/>
        </w:rPr>
        <w:t>内容：</w:t>
      </w:r>
    </w:p>
    <w:p>
      <w:pPr>
        <w:adjustRightInd w:val="0"/>
        <w:snapToGrid w:val="0"/>
        <w:spacing w:line="360" w:lineRule="auto"/>
        <w:ind w:firstLine="420" w:firstLineChars="200"/>
        <w:rPr>
          <w:rFonts w:cs="宋体"/>
          <w:kern w:val="0"/>
          <w:szCs w:val="21"/>
        </w:rPr>
      </w:pPr>
      <w:r>
        <w:rPr>
          <w:rFonts w:cs="宋体"/>
          <w:kern w:val="0"/>
          <w:szCs w:val="21"/>
        </w:rPr>
        <w:t>理解</w:t>
      </w:r>
      <w:r>
        <w:rPr>
          <w:rFonts w:hint="eastAsia" w:cs="宋体"/>
          <w:kern w:val="0"/>
          <w:szCs w:val="21"/>
        </w:rPr>
        <w:t>集成库</w:t>
      </w:r>
      <w:r>
        <w:rPr>
          <w:rFonts w:cs="宋体"/>
          <w:kern w:val="0"/>
          <w:szCs w:val="21"/>
        </w:rPr>
        <w:t>功能，学习PCB</w:t>
      </w:r>
      <w:r>
        <w:rPr>
          <w:rFonts w:hint="eastAsia" w:cs="宋体"/>
          <w:kern w:val="0"/>
          <w:szCs w:val="21"/>
        </w:rPr>
        <w:t>封装</w:t>
      </w:r>
      <w:r>
        <w:rPr>
          <w:rFonts w:cs="宋体"/>
          <w:kern w:val="0"/>
          <w:szCs w:val="21"/>
        </w:rPr>
        <w:t>制作。</w:t>
      </w:r>
    </w:p>
    <w:p>
      <w:pPr>
        <w:adjustRightInd w:val="0"/>
        <w:snapToGrid w:val="0"/>
        <w:spacing w:line="360" w:lineRule="auto"/>
        <w:ind w:firstLine="420" w:firstLineChars="200"/>
        <w:rPr>
          <w:rFonts w:cs="宋体"/>
          <w:kern w:val="0"/>
          <w:szCs w:val="21"/>
        </w:rPr>
      </w:pPr>
      <w:r>
        <w:rPr>
          <w:rFonts w:cs="宋体"/>
          <w:kern w:val="0"/>
          <w:szCs w:val="21"/>
        </w:rPr>
        <w:t>基本要求</w:t>
      </w:r>
    </w:p>
    <w:p>
      <w:pPr>
        <w:adjustRightInd w:val="0"/>
        <w:snapToGrid w:val="0"/>
        <w:spacing w:line="360" w:lineRule="auto"/>
        <w:ind w:firstLine="420" w:firstLineChars="200"/>
        <w:rPr>
          <w:rFonts w:cs="宋体"/>
          <w:kern w:val="0"/>
          <w:szCs w:val="21"/>
        </w:rPr>
      </w:pPr>
      <w:r>
        <w:rPr>
          <w:rFonts w:cs="宋体"/>
          <w:kern w:val="0"/>
          <w:szCs w:val="21"/>
        </w:rPr>
        <w:t>1、熟悉元器件封装库编辑环境；</w:t>
      </w:r>
    </w:p>
    <w:p>
      <w:pPr>
        <w:adjustRightInd w:val="0"/>
        <w:snapToGrid w:val="0"/>
        <w:spacing w:line="360" w:lineRule="auto"/>
        <w:ind w:firstLine="420" w:firstLineChars="200"/>
        <w:rPr>
          <w:rFonts w:cs="宋体"/>
          <w:kern w:val="0"/>
          <w:szCs w:val="21"/>
        </w:rPr>
      </w:pPr>
      <w:r>
        <w:rPr>
          <w:rFonts w:cs="宋体"/>
          <w:kern w:val="0"/>
          <w:szCs w:val="21"/>
        </w:rPr>
        <w:t>2、创建PCB库；</w:t>
      </w:r>
    </w:p>
    <w:p>
      <w:pPr>
        <w:adjustRightInd w:val="0"/>
        <w:snapToGrid w:val="0"/>
        <w:spacing w:line="360" w:lineRule="auto"/>
        <w:ind w:firstLine="420" w:firstLineChars="200"/>
        <w:rPr>
          <w:rFonts w:cs="宋体"/>
          <w:kern w:val="0"/>
          <w:szCs w:val="21"/>
        </w:rPr>
      </w:pPr>
      <w:r>
        <w:rPr>
          <w:rFonts w:cs="宋体"/>
          <w:kern w:val="0"/>
          <w:szCs w:val="21"/>
        </w:rPr>
        <w:t>3、利用向导创建元器件PCB封装；</w:t>
      </w:r>
    </w:p>
    <w:p>
      <w:pPr>
        <w:adjustRightInd w:val="0"/>
        <w:snapToGrid w:val="0"/>
        <w:spacing w:line="360" w:lineRule="auto"/>
        <w:ind w:firstLine="420" w:firstLineChars="200"/>
        <w:rPr>
          <w:rFonts w:cs="宋体"/>
          <w:kern w:val="0"/>
          <w:szCs w:val="21"/>
        </w:rPr>
      </w:pPr>
      <w:r>
        <w:rPr>
          <w:rFonts w:cs="宋体"/>
          <w:kern w:val="0"/>
          <w:szCs w:val="21"/>
        </w:rPr>
        <w:t>4、手动绘制元器件PCB封装；</w:t>
      </w:r>
    </w:p>
    <w:p>
      <w:pPr>
        <w:adjustRightInd w:val="0"/>
        <w:snapToGrid w:val="0"/>
        <w:spacing w:line="360" w:lineRule="auto"/>
        <w:ind w:firstLine="420" w:firstLineChars="200"/>
        <w:rPr>
          <w:rFonts w:cs="宋体"/>
          <w:kern w:val="0"/>
          <w:szCs w:val="21"/>
        </w:rPr>
      </w:pPr>
      <w:r>
        <w:rPr>
          <w:rFonts w:cs="宋体"/>
          <w:bCs/>
          <w:snapToGrid w:val="0"/>
          <w:kern w:val="0"/>
          <w:szCs w:val="21"/>
        </w:rPr>
        <w:t>本实验支撑课程目标</w:t>
      </w:r>
      <w:r>
        <w:rPr>
          <w:rFonts w:hint="eastAsia" w:cs="宋体"/>
          <w:bCs/>
          <w:snapToGrid w:val="0"/>
          <w:kern w:val="0"/>
          <w:szCs w:val="21"/>
        </w:rPr>
        <w:t>1、2。</w:t>
      </w:r>
    </w:p>
    <w:p>
      <w:pPr>
        <w:adjustRightInd w:val="0"/>
        <w:snapToGrid w:val="0"/>
        <w:spacing w:line="360" w:lineRule="auto"/>
        <w:ind w:firstLine="420" w:firstLineChars="200"/>
        <w:rPr>
          <w:rFonts w:eastAsia="黑体" w:cs="宋体"/>
          <w:snapToGrid w:val="0"/>
          <w:kern w:val="0"/>
          <w:szCs w:val="21"/>
        </w:rPr>
      </w:pPr>
      <w:r>
        <w:rPr>
          <w:rFonts w:eastAsia="黑体" w:cs="宋体"/>
          <w:snapToGrid w:val="0"/>
          <w:kern w:val="0"/>
          <w:szCs w:val="21"/>
        </w:rPr>
        <w:t>实验六</w:t>
      </w:r>
      <w:r>
        <w:rPr>
          <w:rFonts w:hint="eastAsia" w:eastAsia="黑体" w:cs="宋体"/>
          <w:snapToGrid w:val="0"/>
          <w:kern w:val="0"/>
          <w:szCs w:val="21"/>
        </w:rPr>
        <w:t>印制电路板设计基础</w:t>
      </w:r>
      <w:r>
        <w:rPr>
          <w:rFonts w:eastAsia="黑体" w:cs="宋体"/>
          <w:snapToGrid w:val="0"/>
          <w:kern w:val="0"/>
          <w:szCs w:val="21"/>
        </w:rPr>
        <w:t>（2学时）</w:t>
      </w:r>
    </w:p>
    <w:p>
      <w:pPr>
        <w:adjustRightInd w:val="0"/>
        <w:snapToGrid w:val="0"/>
        <w:spacing w:line="360" w:lineRule="auto"/>
        <w:ind w:firstLine="420" w:firstLineChars="200"/>
        <w:rPr>
          <w:rFonts w:cs="宋体"/>
          <w:kern w:val="0"/>
          <w:szCs w:val="21"/>
        </w:rPr>
      </w:pPr>
      <w:r>
        <w:rPr>
          <w:rFonts w:cs="宋体"/>
          <w:kern w:val="0"/>
          <w:szCs w:val="21"/>
        </w:rPr>
        <w:t>内容：</w:t>
      </w:r>
    </w:p>
    <w:p>
      <w:pPr>
        <w:adjustRightInd w:val="0"/>
        <w:snapToGrid w:val="0"/>
        <w:spacing w:line="360" w:lineRule="auto"/>
        <w:ind w:firstLine="420" w:firstLineChars="200"/>
        <w:rPr>
          <w:rFonts w:cs="宋体"/>
          <w:kern w:val="0"/>
          <w:szCs w:val="21"/>
        </w:rPr>
      </w:pPr>
      <w:r>
        <w:rPr>
          <w:rFonts w:cs="宋体"/>
          <w:kern w:val="0"/>
          <w:szCs w:val="21"/>
        </w:rPr>
        <w:t>学习PCB制版中的一些布局布线原则，掌握PCB版图制作方法。</w:t>
      </w:r>
    </w:p>
    <w:p>
      <w:pPr>
        <w:adjustRightInd w:val="0"/>
        <w:snapToGrid w:val="0"/>
        <w:spacing w:line="360" w:lineRule="auto"/>
        <w:ind w:firstLine="420" w:firstLineChars="200"/>
        <w:rPr>
          <w:rFonts w:cs="宋体"/>
          <w:kern w:val="0"/>
          <w:szCs w:val="21"/>
        </w:rPr>
      </w:pPr>
      <w:r>
        <w:rPr>
          <w:rFonts w:cs="宋体"/>
          <w:kern w:val="0"/>
          <w:szCs w:val="21"/>
        </w:rPr>
        <w:t>基本要求</w:t>
      </w:r>
    </w:p>
    <w:p>
      <w:pPr>
        <w:adjustRightInd w:val="0"/>
        <w:snapToGrid w:val="0"/>
        <w:spacing w:line="360" w:lineRule="auto"/>
        <w:ind w:firstLine="420" w:firstLineChars="200"/>
        <w:rPr>
          <w:rFonts w:cs="宋体"/>
          <w:kern w:val="0"/>
          <w:szCs w:val="21"/>
        </w:rPr>
      </w:pPr>
      <w:r>
        <w:rPr>
          <w:rFonts w:cs="宋体"/>
          <w:kern w:val="0"/>
          <w:szCs w:val="21"/>
        </w:rPr>
        <w:t>1、掌握网络表的调入与编辑，熟悉网络管理器的使用；</w:t>
      </w:r>
    </w:p>
    <w:p>
      <w:pPr>
        <w:adjustRightInd w:val="0"/>
        <w:snapToGrid w:val="0"/>
        <w:spacing w:line="360" w:lineRule="auto"/>
        <w:ind w:firstLine="420" w:firstLineChars="200"/>
        <w:rPr>
          <w:rFonts w:cs="宋体"/>
          <w:kern w:val="0"/>
          <w:szCs w:val="21"/>
        </w:rPr>
      </w:pPr>
      <w:r>
        <w:rPr>
          <w:rFonts w:cs="宋体"/>
          <w:kern w:val="0"/>
          <w:szCs w:val="21"/>
        </w:rPr>
        <w:t>2、掌握自动布局布线的规则设置；</w:t>
      </w:r>
    </w:p>
    <w:p>
      <w:pPr>
        <w:adjustRightInd w:val="0"/>
        <w:snapToGrid w:val="0"/>
        <w:spacing w:line="360" w:lineRule="auto"/>
        <w:ind w:firstLine="420" w:firstLineChars="200"/>
        <w:rPr>
          <w:rFonts w:cs="宋体"/>
          <w:kern w:val="0"/>
          <w:szCs w:val="21"/>
        </w:rPr>
      </w:pPr>
      <w:r>
        <w:rPr>
          <w:rFonts w:cs="宋体"/>
          <w:kern w:val="0"/>
          <w:szCs w:val="21"/>
        </w:rPr>
        <w:t>3、学习PCB制版中的一些布局布线原则；</w:t>
      </w:r>
    </w:p>
    <w:p>
      <w:pPr>
        <w:adjustRightInd w:val="0"/>
        <w:snapToGrid w:val="0"/>
        <w:spacing w:line="360" w:lineRule="auto"/>
        <w:ind w:firstLine="420" w:firstLineChars="200"/>
        <w:rPr>
          <w:rFonts w:cs="宋体"/>
          <w:kern w:val="0"/>
          <w:szCs w:val="21"/>
        </w:rPr>
      </w:pPr>
      <w:r>
        <w:rPr>
          <w:rFonts w:cs="宋体"/>
          <w:kern w:val="0"/>
          <w:szCs w:val="21"/>
        </w:rPr>
        <w:t>此实验涵盖了印制电路版图绘制技巧及元件封装绘制方法等知识点。</w:t>
      </w:r>
    </w:p>
    <w:p>
      <w:pPr>
        <w:adjustRightInd w:val="0"/>
        <w:snapToGrid w:val="0"/>
        <w:spacing w:line="360" w:lineRule="auto"/>
        <w:ind w:firstLine="420" w:firstLineChars="200"/>
        <w:rPr>
          <w:rFonts w:cs="宋体"/>
          <w:kern w:val="0"/>
          <w:szCs w:val="21"/>
        </w:rPr>
      </w:pPr>
      <w:r>
        <w:rPr>
          <w:rFonts w:cs="宋体"/>
          <w:bCs/>
          <w:snapToGrid w:val="0"/>
          <w:kern w:val="0"/>
          <w:szCs w:val="21"/>
        </w:rPr>
        <w:t>本实验支撑课程目标</w:t>
      </w:r>
      <w:r>
        <w:rPr>
          <w:rFonts w:hint="eastAsia" w:cs="宋体"/>
          <w:bCs/>
          <w:snapToGrid w:val="0"/>
          <w:kern w:val="0"/>
          <w:szCs w:val="21"/>
        </w:rPr>
        <w:t>1、2。</w:t>
      </w:r>
    </w:p>
    <w:p>
      <w:pPr>
        <w:adjustRightInd w:val="0"/>
        <w:snapToGrid w:val="0"/>
        <w:spacing w:line="360" w:lineRule="auto"/>
        <w:ind w:firstLine="420" w:firstLineChars="200"/>
        <w:rPr>
          <w:rFonts w:eastAsia="黑体" w:cs="宋体"/>
          <w:snapToGrid w:val="0"/>
          <w:kern w:val="0"/>
          <w:szCs w:val="21"/>
        </w:rPr>
      </w:pPr>
      <w:r>
        <w:rPr>
          <w:rFonts w:eastAsia="黑体" w:cs="宋体"/>
          <w:snapToGrid w:val="0"/>
          <w:kern w:val="0"/>
          <w:szCs w:val="21"/>
        </w:rPr>
        <w:t>实验七</w:t>
      </w:r>
      <w:r>
        <w:rPr>
          <w:rFonts w:hint="eastAsia" w:eastAsia="黑体" w:cs="宋体"/>
          <w:snapToGrid w:val="0"/>
          <w:kern w:val="0"/>
          <w:szCs w:val="21"/>
        </w:rPr>
        <w:t>稳压电源</w:t>
      </w:r>
      <w:r>
        <w:rPr>
          <w:rFonts w:eastAsia="黑体" w:cs="宋体"/>
          <w:snapToGrid w:val="0"/>
          <w:kern w:val="0"/>
          <w:szCs w:val="21"/>
        </w:rPr>
        <w:t>PCB</w:t>
      </w:r>
      <w:r>
        <w:rPr>
          <w:rFonts w:hint="eastAsia" w:eastAsia="黑体" w:cs="宋体"/>
          <w:snapToGrid w:val="0"/>
          <w:kern w:val="0"/>
          <w:szCs w:val="21"/>
        </w:rPr>
        <w:t>板设计</w:t>
      </w:r>
      <w:r>
        <w:rPr>
          <w:rFonts w:eastAsia="黑体" w:cs="宋体"/>
          <w:snapToGrid w:val="0"/>
          <w:kern w:val="0"/>
          <w:szCs w:val="21"/>
        </w:rPr>
        <w:t>（2学时）</w:t>
      </w:r>
    </w:p>
    <w:p>
      <w:pPr>
        <w:adjustRightInd w:val="0"/>
        <w:snapToGrid w:val="0"/>
        <w:spacing w:line="360" w:lineRule="auto"/>
        <w:ind w:firstLine="420" w:firstLineChars="200"/>
        <w:rPr>
          <w:rFonts w:cs="宋体"/>
          <w:kern w:val="0"/>
          <w:szCs w:val="21"/>
        </w:rPr>
      </w:pPr>
      <w:r>
        <w:rPr>
          <w:rFonts w:cs="宋体"/>
          <w:kern w:val="0"/>
          <w:szCs w:val="21"/>
        </w:rPr>
        <w:t>内容：</w:t>
      </w:r>
    </w:p>
    <w:p>
      <w:pPr>
        <w:adjustRightInd w:val="0"/>
        <w:snapToGrid w:val="0"/>
        <w:spacing w:line="360" w:lineRule="auto"/>
        <w:ind w:firstLine="420" w:firstLineChars="200"/>
        <w:rPr>
          <w:rFonts w:cs="宋体"/>
          <w:kern w:val="0"/>
          <w:szCs w:val="21"/>
        </w:rPr>
      </w:pPr>
      <w:r>
        <w:rPr>
          <w:rFonts w:cs="宋体"/>
          <w:kern w:val="0"/>
          <w:szCs w:val="21"/>
        </w:rPr>
        <w:t>设计</w:t>
      </w:r>
      <w:r>
        <w:rPr>
          <w:rFonts w:hint="eastAsia" w:cs="宋体"/>
          <w:kern w:val="0"/>
          <w:szCs w:val="21"/>
        </w:rPr>
        <w:t>稳压电源电路原理图、</w:t>
      </w:r>
      <w:r>
        <w:rPr>
          <w:rFonts w:cs="宋体"/>
          <w:kern w:val="0"/>
          <w:szCs w:val="21"/>
        </w:rPr>
        <w:t>PCB版图。</w:t>
      </w:r>
    </w:p>
    <w:p>
      <w:pPr>
        <w:adjustRightInd w:val="0"/>
        <w:snapToGrid w:val="0"/>
        <w:spacing w:line="360" w:lineRule="auto"/>
        <w:ind w:firstLine="420" w:firstLineChars="200"/>
        <w:rPr>
          <w:rFonts w:cs="宋体"/>
          <w:kern w:val="0"/>
          <w:szCs w:val="21"/>
        </w:rPr>
      </w:pPr>
      <w:r>
        <w:rPr>
          <w:rFonts w:cs="宋体"/>
          <w:kern w:val="0"/>
          <w:szCs w:val="21"/>
        </w:rPr>
        <w:t>基本要求</w:t>
      </w:r>
    </w:p>
    <w:p>
      <w:pPr>
        <w:adjustRightInd w:val="0"/>
        <w:snapToGrid w:val="0"/>
        <w:spacing w:line="360" w:lineRule="auto"/>
        <w:ind w:firstLine="420" w:firstLineChars="200"/>
        <w:rPr>
          <w:rFonts w:cs="宋体"/>
          <w:kern w:val="0"/>
          <w:szCs w:val="21"/>
        </w:rPr>
      </w:pPr>
      <w:r>
        <w:rPr>
          <w:rFonts w:cs="宋体"/>
          <w:kern w:val="0"/>
          <w:szCs w:val="21"/>
        </w:rPr>
        <w:t>1、熟悉</w:t>
      </w:r>
      <w:r>
        <w:rPr>
          <w:rFonts w:hint="eastAsia" w:cs="宋体"/>
          <w:kern w:val="0"/>
          <w:szCs w:val="21"/>
        </w:rPr>
        <w:t>稳压电源电路</w:t>
      </w:r>
      <w:r>
        <w:rPr>
          <w:rFonts w:cs="宋体"/>
          <w:kern w:val="0"/>
          <w:szCs w:val="21"/>
        </w:rPr>
        <w:t>的主要特性参数；</w:t>
      </w:r>
    </w:p>
    <w:p>
      <w:pPr>
        <w:adjustRightInd w:val="0"/>
        <w:snapToGrid w:val="0"/>
        <w:spacing w:line="360" w:lineRule="auto"/>
        <w:ind w:firstLine="420" w:firstLineChars="200"/>
        <w:rPr>
          <w:rFonts w:cs="宋体"/>
          <w:kern w:val="0"/>
          <w:szCs w:val="21"/>
        </w:rPr>
      </w:pPr>
      <w:r>
        <w:rPr>
          <w:rFonts w:cs="宋体"/>
          <w:kern w:val="0"/>
          <w:szCs w:val="21"/>
        </w:rPr>
        <w:t>2、掌握</w:t>
      </w:r>
      <w:r>
        <w:rPr>
          <w:rFonts w:hint="eastAsia" w:cs="宋体"/>
          <w:kern w:val="0"/>
          <w:szCs w:val="21"/>
        </w:rPr>
        <w:t>稳压电源电路</w:t>
      </w:r>
      <w:r>
        <w:rPr>
          <w:rFonts w:cs="宋体"/>
          <w:kern w:val="0"/>
          <w:szCs w:val="21"/>
        </w:rPr>
        <w:t>的设计要点；</w:t>
      </w:r>
    </w:p>
    <w:p>
      <w:pPr>
        <w:adjustRightInd w:val="0"/>
        <w:snapToGrid w:val="0"/>
        <w:spacing w:line="360" w:lineRule="auto"/>
        <w:ind w:firstLine="420" w:firstLineChars="200"/>
        <w:rPr>
          <w:rFonts w:cs="宋体"/>
          <w:kern w:val="0"/>
          <w:szCs w:val="21"/>
        </w:rPr>
      </w:pPr>
      <w:r>
        <w:rPr>
          <w:rFonts w:cs="宋体"/>
          <w:bCs/>
          <w:snapToGrid w:val="0"/>
          <w:kern w:val="0"/>
          <w:szCs w:val="21"/>
        </w:rPr>
        <w:t>本实验支撑课程目标</w:t>
      </w:r>
      <w:r>
        <w:rPr>
          <w:rFonts w:hint="eastAsia" w:cs="宋体"/>
          <w:bCs/>
          <w:snapToGrid w:val="0"/>
          <w:kern w:val="0"/>
          <w:szCs w:val="21"/>
        </w:rPr>
        <w:t>1、2、3。</w:t>
      </w:r>
    </w:p>
    <w:p>
      <w:pPr>
        <w:adjustRightInd w:val="0"/>
        <w:snapToGrid w:val="0"/>
        <w:spacing w:line="360" w:lineRule="auto"/>
        <w:ind w:firstLine="420" w:firstLineChars="200"/>
        <w:rPr>
          <w:rFonts w:eastAsia="黑体" w:cs="宋体"/>
          <w:snapToGrid w:val="0"/>
          <w:kern w:val="0"/>
          <w:szCs w:val="21"/>
        </w:rPr>
      </w:pPr>
      <w:r>
        <w:rPr>
          <w:rFonts w:eastAsia="黑体" w:cs="宋体"/>
          <w:snapToGrid w:val="0"/>
          <w:kern w:val="0"/>
          <w:szCs w:val="21"/>
        </w:rPr>
        <w:t>实验八</w:t>
      </w:r>
      <w:r>
        <w:rPr>
          <w:rFonts w:hint="eastAsia" w:eastAsia="黑体" w:cs="宋体"/>
          <w:snapToGrid w:val="0"/>
          <w:kern w:val="0"/>
          <w:szCs w:val="21"/>
        </w:rPr>
        <w:t>单片机最小系统的PCB板设计</w:t>
      </w:r>
      <w:r>
        <w:rPr>
          <w:rFonts w:eastAsia="黑体" w:cs="宋体"/>
          <w:snapToGrid w:val="0"/>
          <w:kern w:val="0"/>
          <w:szCs w:val="21"/>
        </w:rPr>
        <w:t>（2学时）</w:t>
      </w:r>
    </w:p>
    <w:p>
      <w:pPr>
        <w:adjustRightInd w:val="0"/>
        <w:snapToGrid w:val="0"/>
        <w:spacing w:line="360" w:lineRule="auto"/>
        <w:ind w:firstLine="420" w:firstLineChars="200"/>
        <w:rPr>
          <w:rFonts w:cs="宋体"/>
          <w:kern w:val="0"/>
          <w:szCs w:val="21"/>
        </w:rPr>
      </w:pPr>
      <w:r>
        <w:rPr>
          <w:rFonts w:cs="宋体"/>
          <w:kern w:val="0"/>
          <w:szCs w:val="21"/>
        </w:rPr>
        <w:t>内容：</w:t>
      </w:r>
    </w:p>
    <w:p>
      <w:pPr>
        <w:adjustRightInd w:val="0"/>
        <w:snapToGrid w:val="0"/>
        <w:spacing w:line="360" w:lineRule="auto"/>
        <w:ind w:firstLine="420" w:firstLineChars="200"/>
        <w:rPr>
          <w:snapToGrid w:val="0"/>
          <w:kern w:val="0"/>
          <w:szCs w:val="21"/>
        </w:rPr>
      </w:pPr>
      <w:r>
        <w:rPr>
          <w:snapToGrid w:val="0"/>
          <w:kern w:val="0"/>
          <w:szCs w:val="21"/>
        </w:rPr>
        <w:t>设计单片机最小系统的PCB板</w:t>
      </w:r>
    </w:p>
    <w:p>
      <w:pPr>
        <w:adjustRightInd w:val="0"/>
        <w:snapToGrid w:val="0"/>
        <w:spacing w:line="360" w:lineRule="auto"/>
        <w:ind w:firstLine="420" w:firstLineChars="200"/>
        <w:rPr>
          <w:rFonts w:cs="宋体"/>
          <w:kern w:val="0"/>
          <w:szCs w:val="21"/>
        </w:rPr>
      </w:pPr>
      <w:r>
        <w:rPr>
          <w:rFonts w:cs="宋体"/>
          <w:kern w:val="0"/>
          <w:szCs w:val="21"/>
        </w:rPr>
        <w:t>基本要求</w:t>
      </w:r>
    </w:p>
    <w:p>
      <w:pPr>
        <w:adjustRightInd w:val="0"/>
        <w:snapToGrid w:val="0"/>
        <w:spacing w:line="360" w:lineRule="auto"/>
        <w:ind w:firstLine="420" w:firstLineChars="200"/>
        <w:rPr>
          <w:rFonts w:cs="宋体"/>
          <w:kern w:val="0"/>
          <w:szCs w:val="21"/>
        </w:rPr>
      </w:pPr>
      <w:r>
        <w:rPr>
          <w:rFonts w:cs="宋体"/>
          <w:kern w:val="0"/>
          <w:szCs w:val="21"/>
        </w:rPr>
        <w:t>1、</w:t>
      </w:r>
      <w:r>
        <w:rPr>
          <w:rFonts w:hint="eastAsia"/>
        </w:rPr>
        <w:t>对</w:t>
      </w:r>
      <w:r>
        <w:t>PCB</w:t>
      </w:r>
      <w:r>
        <w:rPr>
          <w:rFonts w:hint="eastAsia"/>
        </w:rPr>
        <w:t>板进行</w:t>
      </w:r>
      <w:r>
        <w:t>DRC</w:t>
      </w:r>
      <w:r>
        <w:rPr>
          <w:rFonts w:hint="eastAsia"/>
        </w:rPr>
        <w:t>操作和排除违规错误</w:t>
      </w:r>
      <w:r>
        <w:rPr>
          <w:rFonts w:cs="宋体"/>
          <w:kern w:val="0"/>
          <w:szCs w:val="21"/>
        </w:rPr>
        <w:t>；</w:t>
      </w:r>
    </w:p>
    <w:p>
      <w:pPr>
        <w:adjustRightInd w:val="0"/>
        <w:snapToGrid w:val="0"/>
        <w:spacing w:line="360" w:lineRule="auto"/>
        <w:ind w:firstLine="420" w:firstLineChars="200"/>
        <w:rPr>
          <w:rFonts w:cs="宋体"/>
          <w:kern w:val="0"/>
          <w:szCs w:val="21"/>
        </w:rPr>
      </w:pPr>
      <w:r>
        <w:rPr>
          <w:rFonts w:cs="宋体"/>
          <w:kern w:val="0"/>
          <w:szCs w:val="21"/>
        </w:rPr>
        <w:t>2、</w:t>
      </w:r>
      <w:r>
        <w:rPr>
          <w:rFonts w:hint="eastAsia"/>
        </w:rPr>
        <w:t>利用向导规划电路板</w:t>
      </w:r>
      <w:r>
        <w:rPr>
          <w:rFonts w:cs="宋体"/>
          <w:kern w:val="0"/>
          <w:szCs w:val="21"/>
        </w:rPr>
        <w:t>；</w:t>
      </w:r>
    </w:p>
    <w:p>
      <w:pPr>
        <w:adjustRightInd w:val="0"/>
        <w:snapToGrid w:val="0"/>
        <w:spacing w:line="360" w:lineRule="auto"/>
        <w:ind w:firstLine="420" w:firstLineChars="200"/>
        <w:rPr>
          <w:rFonts w:cs="宋体"/>
          <w:kern w:val="0"/>
          <w:szCs w:val="21"/>
        </w:rPr>
      </w:pPr>
      <w:r>
        <w:rPr>
          <w:rFonts w:cs="宋体"/>
          <w:kern w:val="0"/>
          <w:szCs w:val="21"/>
        </w:rPr>
        <w:t>3、</w:t>
      </w:r>
      <w:r>
        <w:rPr>
          <w:rFonts w:hint="eastAsia" w:cs="宋体"/>
          <w:kern w:val="0"/>
          <w:szCs w:val="21"/>
        </w:rPr>
        <w:t>按照要求对PCB板自动及手动布局和布线</w:t>
      </w:r>
      <w:r>
        <w:rPr>
          <w:rFonts w:cs="宋体"/>
          <w:kern w:val="0"/>
          <w:szCs w:val="21"/>
        </w:rPr>
        <w:t>；</w:t>
      </w:r>
    </w:p>
    <w:p>
      <w:pPr>
        <w:adjustRightInd w:val="0"/>
        <w:snapToGrid w:val="0"/>
        <w:spacing w:line="360" w:lineRule="auto"/>
        <w:ind w:firstLine="420" w:firstLineChars="200"/>
        <w:rPr>
          <w:rFonts w:cs="宋体"/>
          <w:kern w:val="0"/>
          <w:szCs w:val="21"/>
        </w:rPr>
      </w:pPr>
      <w:r>
        <w:rPr>
          <w:rFonts w:cs="宋体"/>
          <w:bCs/>
          <w:snapToGrid w:val="0"/>
          <w:kern w:val="0"/>
          <w:szCs w:val="21"/>
        </w:rPr>
        <w:t>本实验支撑课程目标</w:t>
      </w:r>
      <w:r>
        <w:rPr>
          <w:rFonts w:hint="eastAsia" w:cs="宋体"/>
          <w:bCs/>
          <w:snapToGrid w:val="0"/>
          <w:kern w:val="0"/>
          <w:szCs w:val="21"/>
        </w:rPr>
        <w:t>1、2、3。</w:t>
      </w:r>
    </w:p>
    <w:p>
      <w:pPr>
        <w:adjustRightInd w:val="0"/>
        <w:snapToGrid w:val="0"/>
        <w:spacing w:line="360" w:lineRule="auto"/>
        <w:rPr>
          <w:szCs w:val="21"/>
        </w:rPr>
      </w:pPr>
    </w:p>
    <w:p>
      <w:pPr>
        <w:widowControl/>
        <w:spacing w:line="360" w:lineRule="auto"/>
        <w:jc w:val="left"/>
        <w:rPr>
          <w:rFonts w:ascii="黑体" w:hAnsi="宋体" w:eastAsia="黑体" w:cs="宋体"/>
          <w:kern w:val="0"/>
          <w:szCs w:val="21"/>
        </w:rPr>
      </w:pPr>
      <w:r>
        <w:rPr>
          <w:rFonts w:hint="eastAsia" w:ascii="黑体" w:hAnsi="宋体" w:eastAsia="黑体" w:cs="宋体"/>
          <w:kern w:val="0"/>
          <w:szCs w:val="21"/>
        </w:rPr>
        <w:t>六、学时分配</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549"/>
        <w:gridCol w:w="1869"/>
        <w:gridCol w:w="1615"/>
        <w:gridCol w:w="149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081" w:type="pct"/>
            <w:vAlign w:val="center"/>
          </w:tcPr>
          <w:p>
            <w:pPr>
              <w:adjustRightInd w:val="0"/>
              <w:snapToGrid w:val="0"/>
              <w:jc w:val="center"/>
              <w:rPr>
                <w:sz w:val="18"/>
                <w:szCs w:val="18"/>
              </w:rPr>
            </w:pPr>
            <w:r>
              <w:rPr>
                <w:rFonts w:hint="eastAsia"/>
                <w:sz w:val="18"/>
                <w:szCs w:val="18"/>
              </w:rPr>
              <w:t>知识点及内容</w:t>
            </w:r>
          </w:p>
        </w:tc>
        <w:tc>
          <w:tcPr>
            <w:tcW w:w="1096" w:type="pct"/>
            <w:vAlign w:val="center"/>
          </w:tcPr>
          <w:p>
            <w:pPr>
              <w:adjustRightInd w:val="0"/>
              <w:snapToGrid w:val="0"/>
              <w:jc w:val="center"/>
              <w:rPr>
                <w:sz w:val="18"/>
                <w:szCs w:val="18"/>
              </w:rPr>
            </w:pPr>
            <w:r>
              <w:rPr>
                <w:rFonts w:hint="eastAsia"/>
                <w:sz w:val="18"/>
                <w:szCs w:val="18"/>
              </w:rPr>
              <w:t>讲授（学时）</w:t>
            </w:r>
          </w:p>
        </w:tc>
        <w:tc>
          <w:tcPr>
            <w:tcW w:w="947" w:type="pct"/>
            <w:vAlign w:val="center"/>
          </w:tcPr>
          <w:p>
            <w:pPr>
              <w:adjustRightInd w:val="0"/>
              <w:snapToGrid w:val="0"/>
              <w:jc w:val="center"/>
              <w:rPr>
                <w:sz w:val="18"/>
                <w:szCs w:val="18"/>
              </w:rPr>
            </w:pPr>
            <w:r>
              <w:rPr>
                <w:rFonts w:hint="eastAsia"/>
                <w:sz w:val="18"/>
                <w:szCs w:val="18"/>
              </w:rPr>
              <w:t>实验（学时）</w:t>
            </w:r>
          </w:p>
        </w:tc>
        <w:tc>
          <w:tcPr>
            <w:tcW w:w="876" w:type="pct"/>
            <w:vAlign w:val="center"/>
          </w:tcPr>
          <w:p>
            <w:pPr>
              <w:adjustRightInd w:val="0"/>
              <w:snapToGrid w:val="0"/>
              <w:jc w:val="center"/>
              <w:rPr>
                <w:sz w:val="18"/>
                <w:szCs w:val="18"/>
              </w:rPr>
            </w:pPr>
            <w:r>
              <w:rPr>
                <w:rFonts w:hint="eastAsia"/>
                <w:sz w:val="18"/>
                <w:szCs w:val="18"/>
              </w:rPr>
              <w:t>小计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081" w:type="pct"/>
            <w:vAlign w:val="center"/>
          </w:tcPr>
          <w:p>
            <w:pPr>
              <w:widowControl/>
              <w:adjustRightInd w:val="0"/>
              <w:snapToGrid w:val="0"/>
              <w:jc w:val="center"/>
              <w:rPr>
                <w:rFonts w:cs="宋体"/>
                <w:snapToGrid w:val="0"/>
                <w:kern w:val="0"/>
                <w:sz w:val="18"/>
                <w:szCs w:val="18"/>
              </w:rPr>
            </w:pPr>
            <w:r>
              <w:rPr>
                <w:rFonts w:hint="eastAsia" w:cs="宋体"/>
                <w:bCs/>
                <w:snapToGrid w:val="0"/>
                <w:kern w:val="0"/>
                <w:sz w:val="18"/>
                <w:szCs w:val="18"/>
              </w:rPr>
              <w:t>1</w:t>
            </w:r>
            <w:r>
              <w:rPr>
                <w:rFonts w:cs="宋体"/>
                <w:bCs/>
                <w:snapToGrid w:val="0"/>
                <w:kern w:val="0"/>
                <w:sz w:val="18"/>
                <w:szCs w:val="18"/>
              </w:rPr>
              <w:t>概述</w:t>
            </w:r>
          </w:p>
        </w:tc>
        <w:tc>
          <w:tcPr>
            <w:tcW w:w="1096" w:type="pct"/>
            <w:vAlign w:val="center"/>
          </w:tcPr>
          <w:p>
            <w:pPr>
              <w:widowControl/>
              <w:adjustRightInd w:val="0"/>
              <w:snapToGrid w:val="0"/>
              <w:jc w:val="center"/>
              <w:rPr>
                <w:rFonts w:cs="宋体"/>
                <w:kern w:val="0"/>
                <w:sz w:val="18"/>
                <w:szCs w:val="18"/>
              </w:rPr>
            </w:pPr>
            <w:r>
              <w:rPr>
                <w:rFonts w:hint="eastAsia" w:cs="宋体"/>
                <w:kern w:val="0"/>
                <w:sz w:val="18"/>
                <w:szCs w:val="18"/>
              </w:rPr>
              <w:t>1</w:t>
            </w:r>
          </w:p>
        </w:tc>
        <w:tc>
          <w:tcPr>
            <w:tcW w:w="947" w:type="pct"/>
            <w:vAlign w:val="center"/>
          </w:tcPr>
          <w:p>
            <w:pPr>
              <w:widowControl/>
              <w:adjustRightInd w:val="0"/>
              <w:snapToGrid w:val="0"/>
              <w:jc w:val="center"/>
              <w:rPr>
                <w:rFonts w:cs="宋体"/>
                <w:kern w:val="0"/>
                <w:sz w:val="18"/>
                <w:szCs w:val="18"/>
              </w:rPr>
            </w:pPr>
            <w:r>
              <w:rPr>
                <w:rFonts w:hint="eastAsia" w:cs="宋体"/>
                <w:kern w:val="0"/>
                <w:sz w:val="18"/>
                <w:szCs w:val="18"/>
              </w:rPr>
              <w:t>0</w:t>
            </w:r>
          </w:p>
        </w:tc>
        <w:tc>
          <w:tcPr>
            <w:tcW w:w="876" w:type="pct"/>
            <w:vAlign w:val="center"/>
          </w:tcPr>
          <w:p>
            <w:pPr>
              <w:widowControl/>
              <w:adjustRightInd w:val="0"/>
              <w:snapToGrid w:val="0"/>
              <w:jc w:val="center"/>
              <w:rPr>
                <w:rFonts w:cs="宋体"/>
                <w:kern w:val="0"/>
                <w:sz w:val="18"/>
                <w:szCs w:val="18"/>
              </w:rPr>
            </w:pPr>
            <w:r>
              <w:rPr>
                <w:rFonts w:hint="eastAsia" w:cs="宋体"/>
                <w:kern w:val="0"/>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081" w:type="pct"/>
            <w:vAlign w:val="center"/>
          </w:tcPr>
          <w:p>
            <w:pPr>
              <w:widowControl/>
              <w:adjustRightInd w:val="0"/>
              <w:snapToGrid w:val="0"/>
              <w:jc w:val="center"/>
              <w:rPr>
                <w:rFonts w:cs="宋体"/>
                <w:snapToGrid w:val="0"/>
                <w:kern w:val="0"/>
                <w:sz w:val="18"/>
                <w:szCs w:val="18"/>
              </w:rPr>
            </w:pPr>
            <w:r>
              <w:rPr>
                <w:rFonts w:hint="eastAsia" w:cs="宋体"/>
                <w:bCs/>
                <w:snapToGrid w:val="0"/>
                <w:kern w:val="0"/>
                <w:sz w:val="18"/>
                <w:szCs w:val="18"/>
              </w:rPr>
              <w:t>2</w:t>
            </w:r>
            <w:r>
              <w:rPr>
                <w:rFonts w:cs="宋体"/>
                <w:bCs/>
                <w:snapToGrid w:val="0"/>
                <w:kern w:val="0"/>
                <w:sz w:val="18"/>
                <w:szCs w:val="18"/>
              </w:rPr>
              <w:t>原理图设计基础</w:t>
            </w:r>
          </w:p>
        </w:tc>
        <w:tc>
          <w:tcPr>
            <w:tcW w:w="1096" w:type="pct"/>
            <w:vAlign w:val="center"/>
          </w:tcPr>
          <w:p>
            <w:pPr>
              <w:widowControl/>
              <w:adjustRightInd w:val="0"/>
              <w:snapToGrid w:val="0"/>
              <w:jc w:val="center"/>
              <w:rPr>
                <w:rFonts w:cs="宋体"/>
                <w:kern w:val="0"/>
                <w:sz w:val="18"/>
                <w:szCs w:val="18"/>
              </w:rPr>
            </w:pPr>
            <w:r>
              <w:rPr>
                <w:rFonts w:hint="eastAsia" w:cs="宋体"/>
                <w:kern w:val="0"/>
                <w:sz w:val="18"/>
                <w:szCs w:val="18"/>
              </w:rPr>
              <w:t>3</w:t>
            </w:r>
          </w:p>
        </w:tc>
        <w:tc>
          <w:tcPr>
            <w:tcW w:w="947" w:type="pct"/>
            <w:vAlign w:val="center"/>
          </w:tcPr>
          <w:p>
            <w:pPr>
              <w:widowControl/>
              <w:adjustRightInd w:val="0"/>
              <w:snapToGrid w:val="0"/>
              <w:jc w:val="center"/>
              <w:rPr>
                <w:rFonts w:cs="宋体"/>
                <w:kern w:val="0"/>
                <w:sz w:val="18"/>
                <w:szCs w:val="18"/>
              </w:rPr>
            </w:pPr>
            <w:r>
              <w:rPr>
                <w:rFonts w:hint="eastAsia" w:cs="宋体"/>
                <w:kern w:val="0"/>
                <w:sz w:val="18"/>
                <w:szCs w:val="18"/>
              </w:rPr>
              <w:t>2</w:t>
            </w:r>
          </w:p>
        </w:tc>
        <w:tc>
          <w:tcPr>
            <w:tcW w:w="876" w:type="pct"/>
            <w:vAlign w:val="center"/>
          </w:tcPr>
          <w:p>
            <w:pPr>
              <w:widowControl/>
              <w:adjustRightInd w:val="0"/>
              <w:snapToGrid w:val="0"/>
              <w:jc w:val="center"/>
              <w:rPr>
                <w:rFonts w:cs="宋体"/>
                <w:kern w:val="0"/>
                <w:sz w:val="18"/>
                <w:szCs w:val="18"/>
              </w:rPr>
            </w:pPr>
            <w:r>
              <w:rPr>
                <w:rFonts w:hint="eastAsia" w:cs="宋体"/>
                <w:kern w:val="0"/>
                <w:sz w:val="18"/>
                <w:szCs w:val="18"/>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081" w:type="pct"/>
            <w:vAlign w:val="center"/>
          </w:tcPr>
          <w:p>
            <w:pPr>
              <w:widowControl/>
              <w:adjustRightInd w:val="0"/>
              <w:snapToGrid w:val="0"/>
              <w:jc w:val="center"/>
              <w:rPr>
                <w:rFonts w:cs="宋体"/>
                <w:kern w:val="0"/>
                <w:sz w:val="18"/>
                <w:szCs w:val="18"/>
              </w:rPr>
            </w:pPr>
            <w:r>
              <w:rPr>
                <w:rFonts w:hint="eastAsia" w:cs="宋体"/>
                <w:snapToGrid w:val="0"/>
                <w:kern w:val="0"/>
                <w:sz w:val="18"/>
                <w:szCs w:val="18"/>
              </w:rPr>
              <w:t>3</w:t>
            </w:r>
            <w:r>
              <w:rPr>
                <w:rFonts w:cs="宋体"/>
                <w:snapToGrid w:val="0"/>
                <w:kern w:val="0"/>
                <w:sz w:val="18"/>
                <w:szCs w:val="18"/>
              </w:rPr>
              <w:t>绘制原理图</w:t>
            </w:r>
          </w:p>
        </w:tc>
        <w:tc>
          <w:tcPr>
            <w:tcW w:w="1096" w:type="pct"/>
            <w:vAlign w:val="center"/>
          </w:tcPr>
          <w:p>
            <w:pPr>
              <w:widowControl/>
              <w:adjustRightInd w:val="0"/>
              <w:snapToGrid w:val="0"/>
              <w:jc w:val="center"/>
              <w:rPr>
                <w:rFonts w:cs="宋体"/>
                <w:kern w:val="0"/>
                <w:sz w:val="18"/>
                <w:szCs w:val="18"/>
              </w:rPr>
            </w:pPr>
            <w:r>
              <w:rPr>
                <w:rFonts w:hint="eastAsia" w:cs="宋体"/>
                <w:kern w:val="0"/>
                <w:sz w:val="18"/>
                <w:szCs w:val="18"/>
              </w:rPr>
              <w:t>2</w:t>
            </w:r>
          </w:p>
        </w:tc>
        <w:tc>
          <w:tcPr>
            <w:tcW w:w="947" w:type="pct"/>
            <w:vAlign w:val="center"/>
          </w:tcPr>
          <w:p>
            <w:pPr>
              <w:widowControl/>
              <w:adjustRightInd w:val="0"/>
              <w:snapToGrid w:val="0"/>
              <w:jc w:val="center"/>
              <w:rPr>
                <w:rFonts w:cs="宋体"/>
                <w:kern w:val="0"/>
                <w:sz w:val="18"/>
                <w:szCs w:val="18"/>
              </w:rPr>
            </w:pPr>
            <w:r>
              <w:rPr>
                <w:rFonts w:hint="eastAsia" w:cs="宋体"/>
                <w:kern w:val="0"/>
                <w:sz w:val="18"/>
                <w:szCs w:val="18"/>
              </w:rPr>
              <w:t>4</w:t>
            </w:r>
          </w:p>
        </w:tc>
        <w:tc>
          <w:tcPr>
            <w:tcW w:w="876" w:type="pct"/>
            <w:vAlign w:val="center"/>
          </w:tcPr>
          <w:p>
            <w:pPr>
              <w:widowControl/>
              <w:adjustRightInd w:val="0"/>
              <w:snapToGrid w:val="0"/>
              <w:jc w:val="center"/>
              <w:rPr>
                <w:rFonts w:cs="宋体"/>
                <w:kern w:val="0"/>
                <w:sz w:val="18"/>
                <w:szCs w:val="18"/>
              </w:rPr>
            </w:pPr>
            <w:r>
              <w:rPr>
                <w:rFonts w:hint="eastAsia" w:cs="宋体"/>
                <w:kern w:val="0"/>
                <w:sz w:val="18"/>
                <w:szCs w:val="18"/>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081" w:type="pct"/>
            <w:vAlign w:val="center"/>
          </w:tcPr>
          <w:p>
            <w:pPr>
              <w:widowControl/>
              <w:adjustRightInd w:val="0"/>
              <w:snapToGrid w:val="0"/>
              <w:jc w:val="center"/>
              <w:rPr>
                <w:rFonts w:cs="宋体"/>
                <w:kern w:val="0"/>
                <w:sz w:val="18"/>
                <w:szCs w:val="18"/>
              </w:rPr>
            </w:pPr>
            <w:r>
              <w:rPr>
                <w:rFonts w:hint="eastAsia" w:cs="宋体"/>
                <w:snapToGrid w:val="0"/>
                <w:kern w:val="0"/>
                <w:sz w:val="18"/>
                <w:szCs w:val="18"/>
              </w:rPr>
              <w:t>4</w:t>
            </w:r>
            <w:r>
              <w:rPr>
                <w:rFonts w:hint="eastAsia" w:ascii="Calibri" w:hAnsi="Calibri"/>
                <w:snapToGrid w:val="0"/>
                <w:kern w:val="0"/>
                <w:sz w:val="18"/>
                <w:szCs w:val="18"/>
              </w:rPr>
              <w:t>元件集成库设计与管理</w:t>
            </w:r>
          </w:p>
        </w:tc>
        <w:tc>
          <w:tcPr>
            <w:tcW w:w="1096" w:type="pct"/>
            <w:vAlign w:val="center"/>
          </w:tcPr>
          <w:p>
            <w:pPr>
              <w:widowControl/>
              <w:adjustRightInd w:val="0"/>
              <w:snapToGrid w:val="0"/>
              <w:jc w:val="center"/>
              <w:rPr>
                <w:rFonts w:cs="宋体"/>
                <w:kern w:val="0"/>
                <w:sz w:val="18"/>
                <w:szCs w:val="18"/>
              </w:rPr>
            </w:pPr>
            <w:r>
              <w:rPr>
                <w:rFonts w:hint="eastAsia" w:cs="宋体"/>
                <w:kern w:val="0"/>
                <w:sz w:val="18"/>
                <w:szCs w:val="18"/>
              </w:rPr>
              <w:t>3</w:t>
            </w:r>
          </w:p>
        </w:tc>
        <w:tc>
          <w:tcPr>
            <w:tcW w:w="947" w:type="pct"/>
            <w:vAlign w:val="center"/>
          </w:tcPr>
          <w:p>
            <w:pPr>
              <w:widowControl/>
              <w:adjustRightInd w:val="0"/>
              <w:snapToGrid w:val="0"/>
              <w:jc w:val="center"/>
              <w:rPr>
                <w:rFonts w:cs="宋体"/>
                <w:kern w:val="0"/>
                <w:sz w:val="18"/>
                <w:szCs w:val="18"/>
              </w:rPr>
            </w:pPr>
            <w:r>
              <w:rPr>
                <w:rFonts w:hint="eastAsia" w:cs="宋体"/>
                <w:kern w:val="0"/>
                <w:sz w:val="18"/>
                <w:szCs w:val="18"/>
              </w:rPr>
              <w:t>2</w:t>
            </w:r>
          </w:p>
        </w:tc>
        <w:tc>
          <w:tcPr>
            <w:tcW w:w="876" w:type="pct"/>
            <w:vAlign w:val="center"/>
          </w:tcPr>
          <w:p>
            <w:pPr>
              <w:widowControl/>
              <w:adjustRightInd w:val="0"/>
              <w:snapToGrid w:val="0"/>
              <w:jc w:val="center"/>
              <w:rPr>
                <w:rFonts w:cs="宋体"/>
                <w:kern w:val="0"/>
                <w:sz w:val="18"/>
                <w:szCs w:val="18"/>
              </w:rPr>
            </w:pPr>
            <w:r>
              <w:rPr>
                <w:rFonts w:hint="eastAsia" w:cs="宋体"/>
                <w:kern w:val="0"/>
                <w:sz w:val="18"/>
                <w:szCs w:val="18"/>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081" w:type="pct"/>
            <w:vAlign w:val="center"/>
          </w:tcPr>
          <w:p>
            <w:pPr>
              <w:widowControl/>
              <w:adjustRightInd w:val="0"/>
              <w:snapToGrid w:val="0"/>
              <w:jc w:val="center"/>
              <w:rPr>
                <w:rFonts w:cs="宋体"/>
                <w:kern w:val="0"/>
                <w:sz w:val="18"/>
                <w:szCs w:val="18"/>
              </w:rPr>
            </w:pPr>
            <w:r>
              <w:rPr>
                <w:rFonts w:hint="eastAsia"/>
                <w:snapToGrid w:val="0"/>
                <w:kern w:val="0"/>
                <w:sz w:val="18"/>
                <w:szCs w:val="18"/>
              </w:rPr>
              <w:t>5</w:t>
            </w:r>
            <w:r>
              <w:rPr>
                <w:rFonts w:ascii="Calibri" w:hAnsi="Calibri"/>
                <w:snapToGrid w:val="0"/>
                <w:kern w:val="0"/>
                <w:sz w:val="18"/>
                <w:szCs w:val="18"/>
              </w:rPr>
              <w:t>设计层次原理图</w:t>
            </w:r>
          </w:p>
        </w:tc>
        <w:tc>
          <w:tcPr>
            <w:tcW w:w="1096" w:type="pct"/>
            <w:vAlign w:val="center"/>
          </w:tcPr>
          <w:p>
            <w:pPr>
              <w:widowControl/>
              <w:adjustRightInd w:val="0"/>
              <w:snapToGrid w:val="0"/>
              <w:jc w:val="center"/>
              <w:rPr>
                <w:rFonts w:cs="宋体"/>
                <w:kern w:val="0"/>
                <w:sz w:val="18"/>
                <w:szCs w:val="18"/>
              </w:rPr>
            </w:pPr>
            <w:r>
              <w:rPr>
                <w:rFonts w:hint="eastAsia" w:cs="宋体"/>
                <w:kern w:val="0"/>
                <w:sz w:val="18"/>
                <w:szCs w:val="18"/>
              </w:rPr>
              <w:t>2</w:t>
            </w:r>
          </w:p>
        </w:tc>
        <w:tc>
          <w:tcPr>
            <w:tcW w:w="947" w:type="pct"/>
            <w:vAlign w:val="center"/>
          </w:tcPr>
          <w:p>
            <w:pPr>
              <w:widowControl/>
              <w:adjustRightInd w:val="0"/>
              <w:snapToGrid w:val="0"/>
              <w:jc w:val="center"/>
              <w:rPr>
                <w:rFonts w:cs="宋体"/>
                <w:kern w:val="0"/>
                <w:sz w:val="18"/>
                <w:szCs w:val="18"/>
              </w:rPr>
            </w:pPr>
            <w:r>
              <w:rPr>
                <w:rFonts w:hint="eastAsia" w:cs="宋体"/>
                <w:kern w:val="0"/>
                <w:sz w:val="18"/>
                <w:szCs w:val="18"/>
              </w:rPr>
              <w:t>2</w:t>
            </w:r>
          </w:p>
        </w:tc>
        <w:tc>
          <w:tcPr>
            <w:tcW w:w="876" w:type="pct"/>
            <w:vAlign w:val="center"/>
          </w:tcPr>
          <w:p>
            <w:pPr>
              <w:widowControl/>
              <w:adjustRightInd w:val="0"/>
              <w:snapToGrid w:val="0"/>
              <w:jc w:val="center"/>
              <w:rPr>
                <w:rFonts w:cs="宋体"/>
                <w:kern w:val="0"/>
                <w:sz w:val="18"/>
                <w:szCs w:val="18"/>
              </w:rPr>
            </w:pPr>
            <w:r>
              <w:rPr>
                <w:rFonts w:hint="eastAsia" w:cs="宋体"/>
                <w:kern w:val="0"/>
                <w:sz w:val="18"/>
                <w:szCs w:val="18"/>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081" w:type="pct"/>
            <w:vAlign w:val="center"/>
          </w:tcPr>
          <w:p>
            <w:pPr>
              <w:widowControl/>
              <w:adjustRightInd w:val="0"/>
              <w:snapToGrid w:val="0"/>
              <w:jc w:val="center"/>
              <w:rPr>
                <w:rFonts w:cs="宋体"/>
                <w:kern w:val="0"/>
                <w:sz w:val="18"/>
                <w:szCs w:val="18"/>
              </w:rPr>
            </w:pPr>
            <w:r>
              <w:rPr>
                <w:rFonts w:hint="eastAsia" w:cs="宋体"/>
                <w:kern w:val="0"/>
                <w:sz w:val="18"/>
                <w:szCs w:val="18"/>
              </w:rPr>
              <w:t xml:space="preserve">6 </w:t>
            </w:r>
            <w:r>
              <w:rPr>
                <w:rFonts w:ascii="Calibri" w:hAnsi="Calibri"/>
                <w:snapToGrid w:val="0"/>
                <w:kern w:val="0"/>
                <w:sz w:val="18"/>
                <w:szCs w:val="18"/>
              </w:rPr>
              <w:t>PCB印制电路板设计基础</w:t>
            </w:r>
          </w:p>
        </w:tc>
        <w:tc>
          <w:tcPr>
            <w:tcW w:w="1096" w:type="pct"/>
            <w:vAlign w:val="center"/>
          </w:tcPr>
          <w:p>
            <w:pPr>
              <w:widowControl/>
              <w:adjustRightInd w:val="0"/>
              <w:snapToGrid w:val="0"/>
              <w:jc w:val="center"/>
              <w:rPr>
                <w:rFonts w:cs="宋体"/>
                <w:kern w:val="0"/>
                <w:sz w:val="18"/>
                <w:szCs w:val="18"/>
              </w:rPr>
            </w:pPr>
            <w:r>
              <w:rPr>
                <w:rFonts w:hint="eastAsia" w:cs="宋体"/>
                <w:kern w:val="0"/>
                <w:sz w:val="18"/>
                <w:szCs w:val="18"/>
              </w:rPr>
              <w:t>2</w:t>
            </w:r>
          </w:p>
        </w:tc>
        <w:tc>
          <w:tcPr>
            <w:tcW w:w="947" w:type="pct"/>
            <w:vAlign w:val="center"/>
          </w:tcPr>
          <w:p>
            <w:pPr>
              <w:widowControl/>
              <w:adjustRightInd w:val="0"/>
              <w:snapToGrid w:val="0"/>
              <w:jc w:val="center"/>
              <w:rPr>
                <w:rFonts w:cs="宋体"/>
                <w:kern w:val="0"/>
                <w:sz w:val="18"/>
                <w:szCs w:val="18"/>
              </w:rPr>
            </w:pPr>
            <w:r>
              <w:rPr>
                <w:rFonts w:hint="eastAsia" w:cs="宋体"/>
                <w:kern w:val="0"/>
                <w:sz w:val="18"/>
                <w:szCs w:val="18"/>
              </w:rPr>
              <w:t>2</w:t>
            </w:r>
          </w:p>
        </w:tc>
        <w:tc>
          <w:tcPr>
            <w:tcW w:w="876" w:type="pct"/>
            <w:vAlign w:val="center"/>
          </w:tcPr>
          <w:p>
            <w:pPr>
              <w:widowControl/>
              <w:adjustRightInd w:val="0"/>
              <w:snapToGrid w:val="0"/>
              <w:jc w:val="center"/>
              <w:rPr>
                <w:rFonts w:cs="宋体"/>
                <w:kern w:val="0"/>
                <w:sz w:val="18"/>
                <w:szCs w:val="18"/>
              </w:rPr>
            </w:pPr>
            <w:r>
              <w:rPr>
                <w:rFonts w:hint="eastAsia" w:cs="宋体"/>
                <w:kern w:val="0"/>
                <w:sz w:val="18"/>
                <w:szCs w:val="18"/>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081" w:type="pct"/>
            <w:vAlign w:val="center"/>
          </w:tcPr>
          <w:p>
            <w:pPr>
              <w:widowControl/>
              <w:adjustRightInd w:val="0"/>
              <w:snapToGrid w:val="0"/>
              <w:jc w:val="center"/>
              <w:rPr>
                <w:rFonts w:cs="宋体"/>
                <w:kern w:val="0"/>
                <w:sz w:val="18"/>
                <w:szCs w:val="18"/>
              </w:rPr>
            </w:pPr>
            <w:r>
              <w:rPr>
                <w:rFonts w:hint="eastAsia" w:cs="宋体"/>
                <w:kern w:val="0"/>
                <w:sz w:val="18"/>
                <w:szCs w:val="18"/>
              </w:rPr>
              <w:t>7</w:t>
            </w:r>
            <w:r>
              <w:rPr>
                <w:rFonts w:ascii="Calibri" w:hAnsi="Calibri"/>
                <w:snapToGrid w:val="0"/>
                <w:kern w:val="0"/>
                <w:sz w:val="18"/>
                <w:szCs w:val="18"/>
              </w:rPr>
              <w:t>制作印制电路板</w:t>
            </w:r>
          </w:p>
        </w:tc>
        <w:tc>
          <w:tcPr>
            <w:tcW w:w="1096" w:type="pct"/>
            <w:vAlign w:val="center"/>
          </w:tcPr>
          <w:p>
            <w:pPr>
              <w:widowControl/>
              <w:adjustRightInd w:val="0"/>
              <w:snapToGrid w:val="0"/>
              <w:jc w:val="center"/>
              <w:rPr>
                <w:rFonts w:cs="宋体"/>
                <w:kern w:val="0"/>
                <w:sz w:val="18"/>
                <w:szCs w:val="18"/>
              </w:rPr>
            </w:pPr>
            <w:r>
              <w:rPr>
                <w:rFonts w:hint="eastAsia" w:cs="宋体"/>
                <w:kern w:val="0"/>
                <w:sz w:val="18"/>
                <w:szCs w:val="18"/>
              </w:rPr>
              <w:t>3</w:t>
            </w:r>
          </w:p>
        </w:tc>
        <w:tc>
          <w:tcPr>
            <w:tcW w:w="947" w:type="pct"/>
            <w:vAlign w:val="center"/>
          </w:tcPr>
          <w:p>
            <w:pPr>
              <w:widowControl/>
              <w:adjustRightInd w:val="0"/>
              <w:snapToGrid w:val="0"/>
              <w:jc w:val="center"/>
              <w:rPr>
                <w:rFonts w:cs="宋体"/>
                <w:kern w:val="0"/>
                <w:sz w:val="18"/>
                <w:szCs w:val="18"/>
              </w:rPr>
            </w:pPr>
            <w:r>
              <w:rPr>
                <w:rFonts w:hint="eastAsia" w:cs="宋体"/>
                <w:kern w:val="0"/>
                <w:sz w:val="18"/>
                <w:szCs w:val="18"/>
              </w:rPr>
              <w:t>4</w:t>
            </w:r>
          </w:p>
        </w:tc>
        <w:tc>
          <w:tcPr>
            <w:tcW w:w="876" w:type="pct"/>
            <w:vAlign w:val="center"/>
          </w:tcPr>
          <w:p>
            <w:pPr>
              <w:widowControl/>
              <w:adjustRightInd w:val="0"/>
              <w:snapToGrid w:val="0"/>
              <w:jc w:val="center"/>
              <w:rPr>
                <w:rFonts w:cs="宋体"/>
                <w:kern w:val="0"/>
                <w:sz w:val="18"/>
                <w:szCs w:val="18"/>
              </w:rPr>
            </w:pPr>
            <w:r>
              <w:rPr>
                <w:rFonts w:hint="eastAsia" w:cs="宋体"/>
                <w:kern w:val="0"/>
                <w:sz w:val="18"/>
                <w:szCs w:val="18"/>
              </w:rPr>
              <w:t>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081" w:type="pct"/>
            <w:vAlign w:val="center"/>
          </w:tcPr>
          <w:p>
            <w:pPr>
              <w:widowControl/>
              <w:adjustRightInd w:val="0"/>
              <w:snapToGrid w:val="0"/>
              <w:jc w:val="center"/>
              <w:rPr>
                <w:rFonts w:cs="宋体"/>
                <w:kern w:val="0"/>
                <w:sz w:val="18"/>
                <w:szCs w:val="18"/>
              </w:rPr>
            </w:pPr>
            <w:r>
              <w:rPr>
                <w:snapToGrid w:val="0"/>
                <w:kern w:val="0"/>
                <w:sz w:val="18"/>
                <w:szCs w:val="18"/>
              </w:rPr>
              <w:t>合计</w:t>
            </w:r>
          </w:p>
        </w:tc>
        <w:tc>
          <w:tcPr>
            <w:tcW w:w="1096" w:type="pct"/>
            <w:vAlign w:val="center"/>
          </w:tcPr>
          <w:p>
            <w:pPr>
              <w:widowControl/>
              <w:adjustRightInd w:val="0"/>
              <w:snapToGrid w:val="0"/>
              <w:jc w:val="center"/>
              <w:rPr>
                <w:rFonts w:cs="宋体"/>
                <w:kern w:val="0"/>
                <w:sz w:val="18"/>
                <w:szCs w:val="18"/>
              </w:rPr>
            </w:pPr>
            <w:r>
              <w:rPr>
                <w:rFonts w:hint="eastAsia" w:cs="宋体"/>
                <w:kern w:val="0"/>
                <w:sz w:val="18"/>
                <w:szCs w:val="18"/>
              </w:rPr>
              <w:t>16</w:t>
            </w:r>
          </w:p>
        </w:tc>
        <w:tc>
          <w:tcPr>
            <w:tcW w:w="947" w:type="pct"/>
            <w:vAlign w:val="center"/>
          </w:tcPr>
          <w:p>
            <w:pPr>
              <w:widowControl/>
              <w:adjustRightInd w:val="0"/>
              <w:snapToGrid w:val="0"/>
              <w:jc w:val="center"/>
              <w:rPr>
                <w:rFonts w:cs="宋体"/>
                <w:kern w:val="0"/>
                <w:sz w:val="18"/>
                <w:szCs w:val="18"/>
              </w:rPr>
            </w:pPr>
            <w:r>
              <w:rPr>
                <w:rFonts w:hint="eastAsia" w:cs="宋体"/>
                <w:kern w:val="0"/>
                <w:sz w:val="18"/>
                <w:szCs w:val="18"/>
              </w:rPr>
              <w:t>16</w:t>
            </w:r>
          </w:p>
        </w:tc>
        <w:tc>
          <w:tcPr>
            <w:tcW w:w="876" w:type="pct"/>
            <w:vAlign w:val="center"/>
          </w:tcPr>
          <w:p>
            <w:pPr>
              <w:widowControl/>
              <w:adjustRightInd w:val="0"/>
              <w:snapToGrid w:val="0"/>
              <w:jc w:val="center"/>
              <w:rPr>
                <w:rFonts w:cs="宋体"/>
                <w:kern w:val="0"/>
                <w:sz w:val="18"/>
                <w:szCs w:val="18"/>
              </w:rPr>
            </w:pPr>
            <w:r>
              <w:rPr>
                <w:rFonts w:hint="eastAsia" w:cs="宋体"/>
                <w:kern w:val="0"/>
                <w:sz w:val="18"/>
                <w:szCs w:val="18"/>
              </w:rPr>
              <w:t>32</w:t>
            </w:r>
          </w:p>
        </w:tc>
      </w:tr>
    </w:tbl>
    <w:p>
      <w:pPr>
        <w:spacing w:line="360" w:lineRule="auto"/>
        <w:rPr>
          <w:b/>
          <w:sz w:val="24"/>
          <w:szCs w:val="24"/>
        </w:rPr>
      </w:pPr>
    </w:p>
    <w:p>
      <w:pPr>
        <w:tabs>
          <w:tab w:val="left" w:pos="420"/>
        </w:tabs>
        <w:spacing w:line="360" w:lineRule="auto"/>
        <w:ind w:left="420" w:hanging="420"/>
        <w:rPr>
          <w:rFonts w:eastAsia="黑体"/>
          <w:szCs w:val="24"/>
        </w:rPr>
      </w:pPr>
      <w:r>
        <w:rPr>
          <w:rFonts w:hint="eastAsia" w:eastAsia="黑体"/>
          <w:szCs w:val="24"/>
        </w:rPr>
        <w:t>七、教材、补充教材及参考资料</w:t>
      </w:r>
    </w:p>
    <w:p>
      <w:pPr>
        <w:spacing w:line="360" w:lineRule="auto"/>
        <w:ind w:firstLine="420" w:firstLineChars="200"/>
        <w:rPr>
          <w:szCs w:val="21"/>
        </w:rPr>
      </w:pPr>
      <w:r>
        <w:rPr>
          <w:rFonts w:hint="eastAsia"/>
          <w:szCs w:val="21"/>
        </w:rPr>
        <w:t>1、周润景，《Altium Designer原理图与PCB设计》，电子工业出版社.2019.1</w:t>
      </w:r>
    </w:p>
    <w:p>
      <w:pPr>
        <w:spacing w:line="360" w:lineRule="auto"/>
        <w:ind w:firstLine="420" w:firstLineChars="200"/>
        <w:rPr>
          <w:szCs w:val="21"/>
        </w:rPr>
      </w:pPr>
      <w:r>
        <w:rPr>
          <w:rFonts w:hint="eastAsia"/>
          <w:szCs w:val="21"/>
        </w:rPr>
        <w:t>2、李崇伟，《Altium Designer 19 PCB设计官方指南》，清华大学出版社.2019年6月</w:t>
      </w:r>
    </w:p>
    <w:p>
      <w:pPr>
        <w:spacing w:line="360" w:lineRule="auto"/>
        <w:ind w:firstLine="420" w:firstLineChars="200"/>
        <w:rPr>
          <w:szCs w:val="21"/>
        </w:rPr>
      </w:pPr>
      <w:r>
        <w:rPr>
          <w:rFonts w:hint="eastAsia"/>
          <w:szCs w:val="21"/>
        </w:rPr>
        <w:t>3、天工在线，《Altium Designer 17电路设计与仿真从入门到精通 131集同步视频106个实例案例》，水利水电出版社.2018.4。</w:t>
      </w:r>
    </w:p>
    <w:p>
      <w:pPr>
        <w:spacing w:line="360" w:lineRule="auto"/>
        <w:rPr>
          <w:rFonts w:eastAsia="黑体"/>
          <w:szCs w:val="24"/>
        </w:rPr>
      </w:pPr>
      <w:r>
        <w:rPr>
          <w:rFonts w:hint="eastAsia" w:eastAsia="黑体"/>
          <w:szCs w:val="24"/>
        </w:rPr>
        <w:t>八、课程目标达成的途径和措施</w:t>
      </w:r>
    </w:p>
    <w:p>
      <w:pPr>
        <w:spacing w:line="360" w:lineRule="auto"/>
        <w:ind w:firstLine="420" w:firstLineChars="200"/>
        <w:rPr>
          <w:szCs w:val="21"/>
        </w:rPr>
      </w:pPr>
      <w:r>
        <w:rPr>
          <w:szCs w:val="21"/>
        </w:rPr>
        <w:t>1</w:t>
      </w:r>
      <w:r>
        <w:rPr>
          <w:rFonts w:hint="eastAsia"/>
          <w:szCs w:val="21"/>
        </w:rPr>
        <w:t>、考核目标：</w:t>
      </w:r>
      <w:r>
        <w:rPr>
          <w:rFonts w:ascii="Calibri" w:hAnsi="Calibri"/>
          <w:szCs w:val="21"/>
        </w:rPr>
        <w:t>考核学生对</w:t>
      </w:r>
      <w:r>
        <w:rPr>
          <w:szCs w:val="21"/>
        </w:rPr>
        <w:t>Altium Designer</w:t>
      </w:r>
      <w:r>
        <w:rPr>
          <w:rFonts w:ascii="Calibri" w:hAnsi="Calibri"/>
          <w:szCs w:val="21"/>
        </w:rPr>
        <w:t>软件设计方法的掌握程度</w:t>
      </w:r>
      <w:r>
        <w:rPr>
          <w:rFonts w:hint="eastAsia"/>
          <w:szCs w:val="21"/>
        </w:rPr>
        <w:t>。</w:t>
      </w:r>
    </w:p>
    <w:p>
      <w:pPr>
        <w:spacing w:line="360" w:lineRule="auto"/>
        <w:ind w:firstLine="420" w:firstLineChars="200"/>
        <w:rPr>
          <w:szCs w:val="21"/>
        </w:rPr>
      </w:pPr>
      <w:r>
        <w:rPr>
          <w:szCs w:val="21"/>
        </w:rPr>
        <w:t>2</w:t>
      </w:r>
      <w:r>
        <w:rPr>
          <w:rFonts w:hint="eastAsia"/>
          <w:szCs w:val="21"/>
        </w:rPr>
        <w:t>、考核方式：</w:t>
      </w:r>
      <w:r>
        <w:rPr>
          <w:rFonts w:ascii="Calibri" w:hAnsi="Calibri"/>
          <w:szCs w:val="21"/>
        </w:rPr>
        <w:t>期末大作业、实验报告及课堂提问</w:t>
      </w:r>
      <w:r>
        <w:rPr>
          <w:rFonts w:hint="eastAsia"/>
          <w:szCs w:val="21"/>
        </w:rPr>
        <w:t>。</w:t>
      </w:r>
    </w:p>
    <w:p>
      <w:pPr>
        <w:spacing w:line="360" w:lineRule="auto"/>
        <w:ind w:firstLine="420" w:firstLineChars="200"/>
        <w:rPr>
          <w:color w:val="0000FF"/>
        </w:rPr>
      </w:pPr>
      <w:r>
        <w:rPr>
          <w:szCs w:val="21"/>
        </w:rPr>
        <w:t>3、</w:t>
      </w:r>
      <w:r>
        <w:rPr>
          <w:rFonts w:hint="eastAsia"/>
          <w:szCs w:val="21"/>
        </w:rPr>
        <w:t>评价环节对课程目标达成贡献率及支撑材料：</w:t>
      </w:r>
    </w:p>
    <w:tbl>
      <w:tblPr>
        <w:tblStyle w:val="19"/>
        <w:tblW w:w="5000" w:type="pct"/>
        <w:jc w:val="center"/>
        <w:tblLayout w:type="autofit"/>
        <w:tblCellMar>
          <w:top w:w="0" w:type="dxa"/>
          <w:left w:w="108" w:type="dxa"/>
          <w:bottom w:w="0" w:type="dxa"/>
          <w:right w:w="108" w:type="dxa"/>
        </w:tblCellMar>
      </w:tblPr>
      <w:tblGrid>
        <w:gridCol w:w="1840"/>
        <w:gridCol w:w="2557"/>
        <w:gridCol w:w="2127"/>
        <w:gridCol w:w="2004"/>
      </w:tblGrid>
      <w:tr>
        <w:tblPrEx>
          <w:tblCellMar>
            <w:top w:w="0" w:type="dxa"/>
            <w:left w:w="108" w:type="dxa"/>
            <w:bottom w:w="0" w:type="dxa"/>
            <w:right w:w="108" w:type="dxa"/>
          </w:tblCellMar>
        </w:tblPrEx>
        <w:trPr>
          <w:trHeight w:val="691" w:hRule="atLeast"/>
          <w:jc w:val="center"/>
        </w:trPr>
        <w:tc>
          <w:tcPr>
            <w:tcW w:w="1079" w:type="pct"/>
            <w:tcBorders>
              <w:top w:val="single" w:color="auto" w:sz="4" w:space="0"/>
              <w:bottom w:val="single" w:color="auto" w:sz="4" w:space="0"/>
              <w:right w:val="single" w:color="auto" w:sz="4" w:space="0"/>
            </w:tcBorders>
            <w:vAlign w:val="center"/>
          </w:tcPr>
          <w:p>
            <w:pPr>
              <w:widowControl/>
              <w:jc w:val="center"/>
              <w:rPr>
                <w:color w:val="000000" w:themeColor="text1"/>
                <w:kern w:val="0"/>
                <w:sz w:val="18"/>
                <w14:textFill>
                  <w14:solidFill>
                    <w14:schemeClr w14:val="tx1"/>
                  </w14:solidFill>
                </w14:textFill>
              </w:rPr>
            </w:pPr>
            <w:r>
              <w:rPr>
                <w:color w:val="000000" w:themeColor="text1"/>
                <w:kern w:val="0"/>
                <w:sz w:val="18"/>
                <w14:textFill>
                  <w14:solidFill>
                    <w14:schemeClr w14:val="tx1"/>
                  </w14:solidFill>
                </w14:textFill>
              </w:rPr>
              <w:t>考察环节</w:t>
            </w:r>
          </w:p>
        </w:tc>
        <w:tc>
          <w:tcPr>
            <w:tcW w:w="149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14:textFill>
                  <w14:solidFill>
                    <w14:schemeClr w14:val="tx1"/>
                  </w14:solidFill>
                </w14:textFill>
              </w:rPr>
            </w:pPr>
            <w:r>
              <w:rPr>
                <w:color w:val="000000" w:themeColor="text1"/>
                <w:kern w:val="0"/>
                <w:sz w:val="18"/>
                <w14:textFill>
                  <w14:solidFill>
                    <w14:schemeClr w14:val="tx1"/>
                  </w14:solidFill>
                </w14:textFill>
              </w:rPr>
              <w:t>课堂情况</w:t>
            </w:r>
          </w:p>
        </w:tc>
        <w:tc>
          <w:tcPr>
            <w:tcW w:w="1247" w:type="pct"/>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18"/>
                <w14:textFill>
                  <w14:solidFill>
                    <w14:schemeClr w14:val="tx1"/>
                  </w14:solidFill>
                </w14:textFill>
              </w:rPr>
            </w:pPr>
            <w:r>
              <w:rPr>
                <w:color w:val="000000" w:themeColor="text1"/>
                <w:kern w:val="0"/>
                <w:sz w:val="18"/>
                <w14:textFill>
                  <w14:solidFill>
                    <w14:schemeClr w14:val="tx1"/>
                  </w14:solidFill>
                </w14:textFill>
              </w:rPr>
              <w:t>实验</w:t>
            </w:r>
          </w:p>
        </w:tc>
        <w:tc>
          <w:tcPr>
            <w:tcW w:w="1175" w:type="pct"/>
            <w:tcBorders>
              <w:top w:val="single" w:color="auto" w:sz="4" w:space="0"/>
              <w:left w:val="single" w:color="auto" w:sz="4" w:space="0"/>
              <w:bottom w:val="single" w:color="auto" w:sz="4" w:space="0"/>
            </w:tcBorders>
            <w:shd w:val="clear" w:color="auto" w:fill="auto"/>
            <w:vAlign w:val="center"/>
          </w:tcPr>
          <w:p>
            <w:pPr>
              <w:widowControl/>
              <w:jc w:val="center"/>
              <w:rPr>
                <w:color w:val="000000" w:themeColor="text1"/>
                <w:kern w:val="0"/>
                <w:sz w:val="18"/>
                <w14:textFill>
                  <w14:solidFill>
                    <w14:schemeClr w14:val="tx1"/>
                  </w14:solidFill>
                </w14:textFill>
              </w:rPr>
            </w:pPr>
            <w:r>
              <w:rPr>
                <w:color w:val="000000" w:themeColor="text1"/>
                <w:kern w:val="0"/>
                <w:sz w:val="18"/>
                <w14:textFill>
                  <w14:solidFill>
                    <w14:schemeClr w14:val="tx1"/>
                  </w14:solidFill>
                </w14:textFill>
              </w:rPr>
              <w:t>期末大作业</w:t>
            </w:r>
          </w:p>
        </w:tc>
      </w:tr>
      <w:tr>
        <w:tblPrEx>
          <w:tblCellMar>
            <w:top w:w="0" w:type="dxa"/>
            <w:left w:w="108" w:type="dxa"/>
            <w:bottom w:w="0" w:type="dxa"/>
            <w:right w:w="108" w:type="dxa"/>
          </w:tblCellMar>
        </w:tblPrEx>
        <w:trPr>
          <w:trHeight w:val="775" w:hRule="atLeast"/>
          <w:jc w:val="center"/>
        </w:trPr>
        <w:tc>
          <w:tcPr>
            <w:tcW w:w="1079" w:type="pct"/>
            <w:tcBorders>
              <w:top w:val="single" w:color="auto" w:sz="4" w:space="0"/>
              <w:bottom w:val="single" w:color="auto" w:sz="4" w:space="0"/>
              <w:right w:val="single" w:color="auto" w:sz="4" w:space="0"/>
            </w:tcBorders>
            <w:vAlign w:val="center"/>
          </w:tcPr>
          <w:p>
            <w:pPr>
              <w:widowControl/>
              <w:jc w:val="center"/>
              <w:rPr>
                <w:color w:val="000000" w:themeColor="text1"/>
                <w:kern w:val="0"/>
                <w:sz w:val="18"/>
                <w14:textFill>
                  <w14:solidFill>
                    <w14:schemeClr w14:val="tx1"/>
                  </w14:solidFill>
                </w14:textFill>
              </w:rPr>
            </w:pPr>
            <w:r>
              <w:rPr>
                <w:color w:val="000000" w:themeColor="text1"/>
                <w:kern w:val="0"/>
                <w:sz w:val="18"/>
                <w14:textFill>
                  <w14:solidFill>
                    <w14:schemeClr w14:val="tx1"/>
                  </w14:solidFill>
                </w14:textFill>
              </w:rPr>
              <w:t>课程目标达成</w:t>
            </w:r>
          </w:p>
          <w:p>
            <w:pPr>
              <w:widowControl/>
              <w:jc w:val="center"/>
              <w:rPr>
                <w:color w:val="000000" w:themeColor="text1"/>
                <w:kern w:val="0"/>
                <w:sz w:val="18"/>
                <w14:textFill>
                  <w14:solidFill>
                    <w14:schemeClr w14:val="tx1"/>
                  </w14:solidFill>
                </w14:textFill>
              </w:rPr>
            </w:pPr>
            <w:r>
              <w:rPr>
                <w:color w:val="000000" w:themeColor="text1"/>
                <w:kern w:val="0"/>
                <w:sz w:val="18"/>
                <w14:textFill>
                  <w14:solidFill>
                    <w14:schemeClr w14:val="tx1"/>
                  </w14:solidFill>
                </w14:textFill>
              </w:rPr>
              <w:t>的贡献率</w:t>
            </w:r>
          </w:p>
        </w:tc>
        <w:tc>
          <w:tcPr>
            <w:tcW w:w="149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14:textFill>
                  <w14:solidFill>
                    <w14:schemeClr w14:val="tx1"/>
                  </w14:solidFill>
                </w14:textFill>
              </w:rPr>
            </w:pPr>
            <w:r>
              <w:rPr>
                <w:color w:val="000000" w:themeColor="text1"/>
                <w:kern w:val="0"/>
                <w:sz w:val="18"/>
                <w14:textFill>
                  <w14:solidFill>
                    <w14:schemeClr w14:val="tx1"/>
                  </w14:solidFill>
                </w14:textFill>
              </w:rPr>
              <w:t>0.20</w:t>
            </w:r>
          </w:p>
        </w:tc>
        <w:tc>
          <w:tcPr>
            <w:tcW w:w="1247" w:type="pct"/>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18"/>
                <w14:textFill>
                  <w14:solidFill>
                    <w14:schemeClr w14:val="tx1"/>
                  </w14:solidFill>
                </w14:textFill>
              </w:rPr>
            </w:pPr>
            <w:r>
              <w:rPr>
                <w:color w:val="000000" w:themeColor="text1"/>
                <w:kern w:val="0"/>
                <w:sz w:val="18"/>
                <w14:textFill>
                  <w14:solidFill>
                    <w14:schemeClr w14:val="tx1"/>
                  </w14:solidFill>
                </w14:textFill>
              </w:rPr>
              <w:t>0.20</w:t>
            </w:r>
          </w:p>
        </w:tc>
        <w:tc>
          <w:tcPr>
            <w:tcW w:w="1175" w:type="pct"/>
            <w:tcBorders>
              <w:top w:val="single" w:color="auto" w:sz="4" w:space="0"/>
              <w:left w:val="single" w:color="auto" w:sz="4" w:space="0"/>
              <w:bottom w:val="single" w:color="auto" w:sz="4" w:space="0"/>
            </w:tcBorders>
            <w:shd w:val="clear" w:color="auto" w:fill="auto"/>
            <w:vAlign w:val="center"/>
          </w:tcPr>
          <w:p>
            <w:pPr>
              <w:widowControl/>
              <w:jc w:val="center"/>
              <w:rPr>
                <w:color w:val="000000" w:themeColor="text1"/>
                <w:kern w:val="0"/>
                <w:sz w:val="18"/>
                <w14:textFill>
                  <w14:solidFill>
                    <w14:schemeClr w14:val="tx1"/>
                  </w14:solidFill>
                </w14:textFill>
              </w:rPr>
            </w:pPr>
            <w:r>
              <w:rPr>
                <w:color w:val="000000" w:themeColor="text1"/>
                <w:kern w:val="0"/>
                <w:sz w:val="18"/>
                <w14:textFill>
                  <w14:solidFill>
                    <w14:schemeClr w14:val="tx1"/>
                  </w14:solidFill>
                </w14:textFill>
              </w:rPr>
              <w:t>0.60</w:t>
            </w:r>
          </w:p>
        </w:tc>
      </w:tr>
      <w:tr>
        <w:tblPrEx>
          <w:tblCellMar>
            <w:top w:w="0" w:type="dxa"/>
            <w:left w:w="108" w:type="dxa"/>
            <w:bottom w:w="0" w:type="dxa"/>
            <w:right w:w="108" w:type="dxa"/>
          </w:tblCellMar>
        </w:tblPrEx>
        <w:trPr>
          <w:trHeight w:val="1005" w:hRule="atLeast"/>
          <w:jc w:val="center"/>
        </w:trPr>
        <w:tc>
          <w:tcPr>
            <w:tcW w:w="1079" w:type="pct"/>
            <w:tcBorders>
              <w:top w:val="single" w:color="auto" w:sz="4" w:space="0"/>
              <w:bottom w:val="single" w:color="auto" w:sz="4" w:space="0"/>
              <w:right w:val="single" w:color="auto" w:sz="4" w:space="0"/>
            </w:tcBorders>
            <w:vAlign w:val="center"/>
          </w:tcPr>
          <w:p>
            <w:pPr>
              <w:widowControl/>
              <w:jc w:val="center"/>
              <w:rPr>
                <w:color w:val="000000" w:themeColor="text1"/>
                <w:kern w:val="0"/>
                <w:sz w:val="18"/>
                <w14:textFill>
                  <w14:solidFill>
                    <w14:schemeClr w14:val="tx1"/>
                  </w14:solidFill>
                </w14:textFill>
              </w:rPr>
            </w:pPr>
            <w:r>
              <w:rPr>
                <w:color w:val="000000" w:themeColor="text1"/>
                <w:kern w:val="0"/>
                <w:sz w:val="18"/>
                <w14:textFill>
                  <w14:solidFill>
                    <w14:schemeClr w14:val="tx1"/>
                  </w14:solidFill>
                </w14:textFill>
              </w:rPr>
              <w:t>支撑材料</w:t>
            </w:r>
          </w:p>
        </w:tc>
        <w:tc>
          <w:tcPr>
            <w:tcW w:w="149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14:textFill>
                  <w14:solidFill>
                    <w14:schemeClr w14:val="tx1"/>
                  </w14:solidFill>
                </w14:textFill>
              </w:rPr>
            </w:pPr>
            <w:r>
              <w:rPr>
                <w:color w:val="000000" w:themeColor="text1"/>
                <w:kern w:val="0"/>
                <w:sz w:val="18"/>
                <w14:textFill>
                  <w14:solidFill>
                    <w14:schemeClr w14:val="tx1"/>
                  </w14:solidFill>
                </w14:textFill>
              </w:rPr>
              <w:t>课堂评价标准，课堂提问记录或随堂考试，结合出勤率等</w:t>
            </w:r>
          </w:p>
        </w:tc>
        <w:tc>
          <w:tcPr>
            <w:tcW w:w="1247" w:type="pct"/>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18"/>
                <w14:textFill>
                  <w14:solidFill>
                    <w14:schemeClr w14:val="tx1"/>
                  </w14:solidFill>
                </w14:textFill>
              </w:rPr>
            </w:pPr>
            <w:r>
              <w:rPr>
                <w:color w:val="000000" w:themeColor="text1"/>
                <w:kern w:val="0"/>
                <w:sz w:val="18"/>
                <w14:textFill>
                  <w14:solidFill>
                    <w14:schemeClr w14:val="tx1"/>
                  </w14:solidFill>
                </w14:textFill>
              </w:rPr>
              <w:t>课内实验评价标准，实验课堂记录，实验报告</w:t>
            </w:r>
          </w:p>
        </w:tc>
        <w:tc>
          <w:tcPr>
            <w:tcW w:w="1175" w:type="pct"/>
            <w:tcBorders>
              <w:top w:val="single" w:color="auto" w:sz="4" w:space="0"/>
              <w:left w:val="single" w:color="auto" w:sz="4" w:space="0"/>
              <w:bottom w:val="single" w:color="auto" w:sz="4" w:space="0"/>
            </w:tcBorders>
            <w:shd w:val="clear" w:color="auto" w:fill="auto"/>
            <w:vAlign w:val="center"/>
          </w:tcPr>
          <w:p>
            <w:pPr>
              <w:widowControl/>
              <w:jc w:val="center"/>
              <w:rPr>
                <w:color w:val="000000" w:themeColor="text1"/>
                <w:kern w:val="0"/>
                <w:sz w:val="18"/>
                <w14:textFill>
                  <w14:solidFill>
                    <w14:schemeClr w14:val="tx1"/>
                  </w14:solidFill>
                </w14:textFill>
              </w:rPr>
            </w:pPr>
            <w:r>
              <w:rPr>
                <w:color w:val="000000" w:themeColor="text1"/>
                <w:kern w:val="0"/>
                <w:sz w:val="18"/>
                <w14:textFill>
                  <w14:solidFill>
                    <w14:schemeClr w14:val="tx1"/>
                  </w14:solidFill>
                </w14:textFill>
              </w:rPr>
              <w:t>设计报告</w:t>
            </w:r>
          </w:p>
          <w:p>
            <w:pPr>
              <w:widowControl/>
              <w:jc w:val="center"/>
              <w:rPr>
                <w:color w:val="000000" w:themeColor="text1"/>
                <w:kern w:val="0"/>
                <w:sz w:val="18"/>
                <w14:textFill>
                  <w14:solidFill>
                    <w14:schemeClr w14:val="tx1"/>
                  </w14:solidFill>
                </w14:textFill>
              </w:rPr>
            </w:pPr>
            <w:r>
              <w:rPr>
                <w:color w:val="000000" w:themeColor="text1"/>
                <w:kern w:val="0"/>
                <w:sz w:val="18"/>
                <w14:textFill>
                  <w14:solidFill>
                    <w14:schemeClr w14:val="tx1"/>
                  </w14:solidFill>
                </w14:textFill>
              </w:rPr>
              <w:t>评分标准</w:t>
            </w:r>
          </w:p>
        </w:tc>
      </w:tr>
    </w:tbl>
    <w:p>
      <w:pPr>
        <w:spacing w:line="360" w:lineRule="auto"/>
        <w:rPr>
          <w:color w:val="0000FF"/>
        </w:rPr>
      </w:pPr>
    </w:p>
    <w:p>
      <w:pPr>
        <w:tabs>
          <w:tab w:val="left" w:pos="420"/>
        </w:tabs>
        <w:adjustRightInd w:val="0"/>
        <w:snapToGrid w:val="0"/>
        <w:spacing w:line="360" w:lineRule="auto"/>
        <w:ind w:left="420" w:hanging="420"/>
        <w:rPr>
          <w:rFonts w:asciiTheme="minorEastAsia" w:hAnsiTheme="minorEastAsia" w:eastAsiaTheme="minorEastAsia"/>
          <w:sz w:val="18"/>
          <w:szCs w:val="18"/>
        </w:rPr>
      </w:pPr>
      <w:r>
        <w:rPr>
          <w:rFonts w:eastAsia="黑体"/>
          <w:szCs w:val="24"/>
        </w:rPr>
        <w:t>九</w:t>
      </w:r>
      <w:r>
        <w:rPr>
          <w:rFonts w:hint="eastAsia" w:eastAsia="黑体"/>
          <w:szCs w:val="24"/>
        </w:rPr>
        <w:t>、覆盖课程目标达成评价的知识点及权重</w:t>
      </w:r>
    </w:p>
    <w:tbl>
      <w:tblPr>
        <w:tblStyle w:val="20"/>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236"/>
        <w:gridCol w:w="1308"/>
        <w:gridCol w:w="198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3070" w:type="pct"/>
            <w:vAlign w:val="center"/>
          </w:tcPr>
          <w:p>
            <w:pPr>
              <w:jc w:val="center"/>
              <w:rPr>
                <w:rFonts w:ascii="宋体" w:hAnsi="宋体"/>
                <w:sz w:val="18"/>
                <w:szCs w:val="18"/>
              </w:rPr>
            </w:pPr>
            <w:r>
              <w:rPr>
                <w:rFonts w:ascii="宋体" w:hAnsi="宋体"/>
                <w:sz w:val="18"/>
                <w:szCs w:val="18"/>
              </w:rPr>
              <w:t>知识点</w:t>
            </w:r>
          </w:p>
        </w:tc>
        <w:tc>
          <w:tcPr>
            <w:tcW w:w="767" w:type="pct"/>
            <w:vAlign w:val="center"/>
          </w:tcPr>
          <w:p>
            <w:pPr>
              <w:jc w:val="center"/>
              <w:rPr>
                <w:rFonts w:ascii="宋体" w:hAnsi="宋体"/>
                <w:sz w:val="18"/>
                <w:szCs w:val="18"/>
              </w:rPr>
            </w:pPr>
            <w:r>
              <w:rPr>
                <w:rFonts w:ascii="宋体" w:hAnsi="宋体"/>
                <w:sz w:val="18"/>
                <w:szCs w:val="18"/>
              </w:rPr>
              <w:t>权重</w:t>
            </w:r>
          </w:p>
        </w:tc>
        <w:tc>
          <w:tcPr>
            <w:tcW w:w="1163" w:type="pct"/>
            <w:vAlign w:val="center"/>
          </w:tcPr>
          <w:p>
            <w:pPr>
              <w:jc w:val="center"/>
              <w:rPr>
                <w:rFonts w:ascii="宋体" w:hAnsi="宋体"/>
                <w:sz w:val="18"/>
                <w:szCs w:val="18"/>
              </w:rPr>
            </w:pPr>
            <w:r>
              <w:rPr>
                <w:rFonts w:ascii="宋体" w:hAnsi="宋体"/>
                <w:sz w:val="18"/>
                <w:szCs w:val="18"/>
              </w:rPr>
              <w:t>支撑课程目标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70" w:type="pct"/>
            <w:vAlign w:val="center"/>
          </w:tcPr>
          <w:p>
            <w:pPr>
              <w:rPr>
                <w:snapToGrid w:val="0"/>
                <w:kern w:val="0"/>
                <w:sz w:val="18"/>
                <w:szCs w:val="18"/>
              </w:rPr>
            </w:pPr>
            <w:r>
              <w:rPr>
                <w:rFonts w:hint="eastAsia"/>
                <w:snapToGrid w:val="0"/>
                <w:kern w:val="0"/>
                <w:sz w:val="18"/>
                <w:szCs w:val="18"/>
              </w:rPr>
              <w:t>1、</w:t>
            </w:r>
            <w:r>
              <w:rPr>
                <w:snapToGrid w:val="0"/>
                <w:kern w:val="0"/>
                <w:sz w:val="18"/>
                <w:szCs w:val="18"/>
              </w:rPr>
              <w:t>概述</w:t>
            </w:r>
            <w:r>
              <w:rPr>
                <w:rFonts w:hint="eastAsia"/>
                <w:snapToGrid w:val="0"/>
                <w:kern w:val="0"/>
                <w:sz w:val="18"/>
                <w:szCs w:val="18"/>
              </w:rPr>
              <w:t>；</w:t>
            </w:r>
          </w:p>
        </w:tc>
        <w:tc>
          <w:tcPr>
            <w:tcW w:w="767" w:type="pct"/>
            <w:vAlign w:val="center"/>
          </w:tcPr>
          <w:p>
            <w:pPr>
              <w:jc w:val="center"/>
              <w:rPr>
                <w:snapToGrid w:val="0"/>
                <w:kern w:val="0"/>
                <w:sz w:val="18"/>
                <w:szCs w:val="18"/>
              </w:rPr>
            </w:pPr>
            <w:r>
              <w:rPr>
                <w:rFonts w:hint="eastAsia"/>
                <w:snapToGrid w:val="0"/>
                <w:kern w:val="0"/>
                <w:sz w:val="18"/>
                <w:szCs w:val="18"/>
              </w:rPr>
              <w:t>0.05</w:t>
            </w:r>
          </w:p>
        </w:tc>
        <w:tc>
          <w:tcPr>
            <w:tcW w:w="1163" w:type="pct"/>
            <w:vAlign w:val="center"/>
          </w:tcPr>
          <w:p>
            <w:pPr>
              <w:jc w:val="center"/>
              <w:rPr>
                <w:snapToGrid w:val="0"/>
                <w:kern w:val="0"/>
                <w:sz w:val="18"/>
                <w:szCs w:val="18"/>
              </w:rPr>
            </w:pPr>
            <w:r>
              <w:rPr>
                <w:rFonts w:hint="eastAsia"/>
                <w:snapToGrid w:val="0"/>
                <w:kern w:val="0"/>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70" w:type="pct"/>
            <w:vAlign w:val="center"/>
          </w:tcPr>
          <w:p>
            <w:pPr>
              <w:rPr>
                <w:snapToGrid w:val="0"/>
                <w:kern w:val="0"/>
                <w:sz w:val="18"/>
                <w:szCs w:val="18"/>
              </w:rPr>
            </w:pPr>
            <w:r>
              <w:rPr>
                <w:rFonts w:hint="eastAsia"/>
                <w:snapToGrid w:val="0"/>
                <w:kern w:val="0"/>
                <w:sz w:val="18"/>
                <w:szCs w:val="18"/>
              </w:rPr>
              <w:t>2、</w:t>
            </w:r>
            <w:r>
              <w:rPr>
                <w:snapToGrid w:val="0"/>
                <w:kern w:val="0"/>
                <w:sz w:val="18"/>
                <w:szCs w:val="18"/>
              </w:rPr>
              <w:t>原理图设计基础</w:t>
            </w:r>
            <w:r>
              <w:rPr>
                <w:rFonts w:hint="eastAsia"/>
                <w:snapToGrid w:val="0"/>
                <w:kern w:val="0"/>
                <w:sz w:val="18"/>
                <w:szCs w:val="18"/>
              </w:rPr>
              <w:t>；</w:t>
            </w:r>
          </w:p>
        </w:tc>
        <w:tc>
          <w:tcPr>
            <w:tcW w:w="767" w:type="pct"/>
            <w:vAlign w:val="center"/>
          </w:tcPr>
          <w:p>
            <w:pPr>
              <w:jc w:val="center"/>
              <w:rPr>
                <w:snapToGrid w:val="0"/>
                <w:kern w:val="0"/>
                <w:sz w:val="18"/>
                <w:szCs w:val="18"/>
              </w:rPr>
            </w:pPr>
            <w:r>
              <w:rPr>
                <w:rFonts w:hint="eastAsia"/>
                <w:snapToGrid w:val="0"/>
                <w:kern w:val="0"/>
                <w:sz w:val="18"/>
                <w:szCs w:val="18"/>
              </w:rPr>
              <w:t>0.1</w:t>
            </w:r>
          </w:p>
        </w:tc>
        <w:tc>
          <w:tcPr>
            <w:tcW w:w="1163" w:type="pct"/>
            <w:vAlign w:val="center"/>
          </w:tcPr>
          <w:p>
            <w:pPr>
              <w:jc w:val="center"/>
              <w:rPr>
                <w:snapToGrid w:val="0"/>
                <w:kern w:val="0"/>
                <w:sz w:val="18"/>
                <w:szCs w:val="18"/>
              </w:rPr>
            </w:pPr>
            <w:r>
              <w:rPr>
                <w:rFonts w:hint="eastAsia"/>
                <w:snapToGrid w:val="0"/>
                <w:kern w:val="0"/>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70" w:type="pct"/>
            <w:vAlign w:val="center"/>
          </w:tcPr>
          <w:p>
            <w:pPr>
              <w:rPr>
                <w:snapToGrid w:val="0"/>
                <w:kern w:val="0"/>
                <w:sz w:val="18"/>
                <w:szCs w:val="18"/>
              </w:rPr>
            </w:pPr>
            <w:r>
              <w:rPr>
                <w:rFonts w:hint="eastAsia"/>
                <w:snapToGrid w:val="0"/>
                <w:kern w:val="0"/>
                <w:sz w:val="18"/>
                <w:szCs w:val="18"/>
              </w:rPr>
              <w:t>3、</w:t>
            </w:r>
            <w:r>
              <w:rPr>
                <w:snapToGrid w:val="0"/>
                <w:kern w:val="0"/>
                <w:sz w:val="18"/>
                <w:szCs w:val="18"/>
              </w:rPr>
              <w:t>绘制原理图</w:t>
            </w:r>
            <w:r>
              <w:rPr>
                <w:rFonts w:hint="eastAsia"/>
                <w:snapToGrid w:val="0"/>
                <w:kern w:val="0"/>
                <w:sz w:val="18"/>
                <w:szCs w:val="18"/>
              </w:rPr>
              <w:t>；</w:t>
            </w:r>
          </w:p>
        </w:tc>
        <w:tc>
          <w:tcPr>
            <w:tcW w:w="767" w:type="pct"/>
            <w:vAlign w:val="center"/>
          </w:tcPr>
          <w:p>
            <w:pPr>
              <w:jc w:val="center"/>
              <w:rPr>
                <w:snapToGrid w:val="0"/>
                <w:kern w:val="0"/>
                <w:sz w:val="18"/>
                <w:szCs w:val="18"/>
              </w:rPr>
            </w:pPr>
            <w:r>
              <w:rPr>
                <w:rFonts w:hint="eastAsia"/>
                <w:snapToGrid w:val="0"/>
                <w:kern w:val="0"/>
                <w:sz w:val="18"/>
                <w:szCs w:val="18"/>
              </w:rPr>
              <w:t>0.2</w:t>
            </w:r>
          </w:p>
        </w:tc>
        <w:tc>
          <w:tcPr>
            <w:tcW w:w="1163" w:type="pct"/>
            <w:vAlign w:val="center"/>
          </w:tcPr>
          <w:p>
            <w:pPr>
              <w:jc w:val="center"/>
              <w:rPr>
                <w:snapToGrid w:val="0"/>
                <w:kern w:val="0"/>
                <w:sz w:val="18"/>
                <w:szCs w:val="18"/>
              </w:rPr>
            </w:pPr>
            <w:r>
              <w:rPr>
                <w:rFonts w:hint="eastAsia"/>
                <w:snapToGrid w:val="0"/>
                <w:kern w:val="0"/>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70" w:type="pct"/>
            <w:vAlign w:val="center"/>
          </w:tcPr>
          <w:p>
            <w:pPr>
              <w:rPr>
                <w:snapToGrid w:val="0"/>
                <w:kern w:val="0"/>
                <w:sz w:val="18"/>
                <w:szCs w:val="18"/>
              </w:rPr>
            </w:pPr>
            <w:r>
              <w:rPr>
                <w:rFonts w:hint="eastAsia"/>
                <w:snapToGrid w:val="0"/>
                <w:kern w:val="0"/>
                <w:sz w:val="18"/>
                <w:szCs w:val="18"/>
              </w:rPr>
              <w:t>4、元件集成库设计与管理；</w:t>
            </w:r>
          </w:p>
        </w:tc>
        <w:tc>
          <w:tcPr>
            <w:tcW w:w="767" w:type="pct"/>
            <w:vAlign w:val="center"/>
          </w:tcPr>
          <w:p>
            <w:pPr>
              <w:jc w:val="center"/>
              <w:rPr>
                <w:snapToGrid w:val="0"/>
                <w:kern w:val="0"/>
                <w:sz w:val="18"/>
                <w:szCs w:val="18"/>
              </w:rPr>
            </w:pPr>
            <w:r>
              <w:rPr>
                <w:rFonts w:hint="eastAsia"/>
                <w:snapToGrid w:val="0"/>
                <w:kern w:val="0"/>
                <w:sz w:val="18"/>
                <w:szCs w:val="18"/>
              </w:rPr>
              <w:t>0.15</w:t>
            </w:r>
          </w:p>
        </w:tc>
        <w:tc>
          <w:tcPr>
            <w:tcW w:w="1163" w:type="pct"/>
            <w:vAlign w:val="center"/>
          </w:tcPr>
          <w:p>
            <w:pPr>
              <w:jc w:val="center"/>
              <w:rPr>
                <w:snapToGrid w:val="0"/>
                <w:kern w:val="0"/>
                <w:sz w:val="18"/>
                <w:szCs w:val="18"/>
              </w:rPr>
            </w:pPr>
            <w:r>
              <w:rPr>
                <w:rFonts w:hint="eastAsia"/>
                <w:snapToGrid w:val="0"/>
                <w:kern w:val="0"/>
                <w:sz w:val="18"/>
                <w:szCs w:val="18"/>
              </w:rPr>
              <w:t>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70" w:type="pct"/>
            <w:vAlign w:val="center"/>
          </w:tcPr>
          <w:p>
            <w:pPr>
              <w:rPr>
                <w:snapToGrid w:val="0"/>
                <w:kern w:val="0"/>
                <w:sz w:val="18"/>
                <w:szCs w:val="18"/>
              </w:rPr>
            </w:pPr>
            <w:r>
              <w:rPr>
                <w:rFonts w:hint="eastAsia"/>
                <w:snapToGrid w:val="0"/>
                <w:kern w:val="0"/>
                <w:sz w:val="18"/>
                <w:szCs w:val="18"/>
              </w:rPr>
              <w:t>5、</w:t>
            </w:r>
            <w:r>
              <w:rPr>
                <w:snapToGrid w:val="0"/>
                <w:kern w:val="0"/>
                <w:sz w:val="18"/>
                <w:szCs w:val="18"/>
              </w:rPr>
              <w:t>设计层次原理图</w:t>
            </w:r>
            <w:r>
              <w:rPr>
                <w:rFonts w:hint="eastAsia"/>
                <w:snapToGrid w:val="0"/>
                <w:kern w:val="0"/>
                <w:sz w:val="18"/>
                <w:szCs w:val="18"/>
              </w:rPr>
              <w:t>；</w:t>
            </w:r>
          </w:p>
        </w:tc>
        <w:tc>
          <w:tcPr>
            <w:tcW w:w="767" w:type="pct"/>
            <w:vAlign w:val="center"/>
          </w:tcPr>
          <w:p>
            <w:pPr>
              <w:jc w:val="center"/>
              <w:rPr>
                <w:snapToGrid w:val="0"/>
                <w:kern w:val="0"/>
                <w:sz w:val="18"/>
                <w:szCs w:val="18"/>
              </w:rPr>
            </w:pPr>
            <w:r>
              <w:rPr>
                <w:rFonts w:hint="eastAsia"/>
                <w:snapToGrid w:val="0"/>
                <w:kern w:val="0"/>
                <w:sz w:val="18"/>
                <w:szCs w:val="18"/>
              </w:rPr>
              <w:t>0.1</w:t>
            </w:r>
          </w:p>
        </w:tc>
        <w:tc>
          <w:tcPr>
            <w:tcW w:w="1163" w:type="pct"/>
            <w:vAlign w:val="center"/>
          </w:tcPr>
          <w:p>
            <w:pPr>
              <w:jc w:val="center"/>
              <w:rPr>
                <w:snapToGrid w:val="0"/>
                <w:kern w:val="0"/>
                <w:sz w:val="18"/>
                <w:szCs w:val="18"/>
              </w:rPr>
            </w:pPr>
            <w:r>
              <w:rPr>
                <w:rFonts w:hint="eastAsia"/>
                <w:snapToGrid w:val="0"/>
                <w:kern w:val="0"/>
                <w:sz w:val="18"/>
                <w:szCs w:val="18"/>
              </w:rPr>
              <w:t>1、3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70" w:type="pct"/>
            <w:vAlign w:val="center"/>
          </w:tcPr>
          <w:p>
            <w:pPr>
              <w:rPr>
                <w:snapToGrid w:val="0"/>
                <w:kern w:val="0"/>
                <w:sz w:val="18"/>
                <w:szCs w:val="18"/>
              </w:rPr>
            </w:pPr>
            <w:r>
              <w:rPr>
                <w:rFonts w:hint="eastAsia"/>
                <w:snapToGrid w:val="0"/>
                <w:kern w:val="0"/>
                <w:sz w:val="18"/>
                <w:szCs w:val="18"/>
              </w:rPr>
              <w:t>6、</w:t>
            </w:r>
            <w:r>
              <w:rPr>
                <w:snapToGrid w:val="0"/>
                <w:kern w:val="0"/>
                <w:sz w:val="18"/>
                <w:szCs w:val="18"/>
              </w:rPr>
              <w:t>PCB印制电路板设计基础</w:t>
            </w:r>
            <w:r>
              <w:rPr>
                <w:rFonts w:hint="eastAsia"/>
                <w:snapToGrid w:val="0"/>
                <w:kern w:val="0"/>
                <w:sz w:val="18"/>
                <w:szCs w:val="18"/>
              </w:rPr>
              <w:t>；</w:t>
            </w:r>
          </w:p>
        </w:tc>
        <w:tc>
          <w:tcPr>
            <w:tcW w:w="767" w:type="pct"/>
            <w:vAlign w:val="center"/>
          </w:tcPr>
          <w:p>
            <w:pPr>
              <w:jc w:val="center"/>
              <w:rPr>
                <w:snapToGrid w:val="0"/>
                <w:kern w:val="0"/>
                <w:sz w:val="18"/>
                <w:szCs w:val="18"/>
              </w:rPr>
            </w:pPr>
            <w:r>
              <w:rPr>
                <w:rFonts w:hint="eastAsia"/>
                <w:snapToGrid w:val="0"/>
                <w:kern w:val="0"/>
                <w:sz w:val="18"/>
                <w:szCs w:val="18"/>
              </w:rPr>
              <w:t>0.2</w:t>
            </w:r>
          </w:p>
        </w:tc>
        <w:tc>
          <w:tcPr>
            <w:tcW w:w="1163" w:type="pct"/>
            <w:vAlign w:val="center"/>
          </w:tcPr>
          <w:p>
            <w:pPr>
              <w:jc w:val="center"/>
              <w:rPr>
                <w:snapToGrid w:val="0"/>
                <w:kern w:val="0"/>
                <w:sz w:val="18"/>
                <w:szCs w:val="18"/>
              </w:rPr>
            </w:pPr>
            <w:r>
              <w:rPr>
                <w:rFonts w:hint="eastAsia"/>
                <w:snapToGrid w:val="0"/>
                <w:kern w:val="0"/>
                <w:sz w:val="18"/>
                <w:szCs w:val="18"/>
              </w:rPr>
              <w:t>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70" w:type="pct"/>
            <w:vAlign w:val="center"/>
          </w:tcPr>
          <w:p>
            <w:pPr>
              <w:rPr>
                <w:snapToGrid w:val="0"/>
                <w:kern w:val="0"/>
                <w:sz w:val="18"/>
                <w:szCs w:val="18"/>
              </w:rPr>
            </w:pPr>
            <w:r>
              <w:rPr>
                <w:rFonts w:hint="eastAsia"/>
                <w:snapToGrid w:val="0"/>
                <w:kern w:val="0"/>
                <w:sz w:val="18"/>
                <w:szCs w:val="18"/>
              </w:rPr>
              <w:t>7、</w:t>
            </w:r>
            <w:r>
              <w:rPr>
                <w:snapToGrid w:val="0"/>
                <w:kern w:val="0"/>
                <w:sz w:val="18"/>
                <w:szCs w:val="18"/>
              </w:rPr>
              <w:t>制作印制电路板</w:t>
            </w:r>
            <w:r>
              <w:rPr>
                <w:rFonts w:hint="eastAsia"/>
                <w:snapToGrid w:val="0"/>
                <w:kern w:val="0"/>
                <w:sz w:val="18"/>
                <w:szCs w:val="18"/>
              </w:rPr>
              <w:t>。</w:t>
            </w:r>
          </w:p>
        </w:tc>
        <w:tc>
          <w:tcPr>
            <w:tcW w:w="767" w:type="pct"/>
            <w:vAlign w:val="center"/>
          </w:tcPr>
          <w:p>
            <w:pPr>
              <w:jc w:val="center"/>
              <w:rPr>
                <w:snapToGrid w:val="0"/>
                <w:kern w:val="0"/>
                <w:sz w:val="18"/>
                <w:szCs w:val="18"/>
              </w:rPr>
            </w:pPr>
            <w:r>
              <w:rPr>
                <w:rFonts w:hint="eastAsia"/>
                <w:snapToGrid w:val="0"/>
                <w:kern w:val="0"/>
                <w:sz w:val="18"/>
                <w:szCs w:val="18"/>
              </w:rPr>
              <w:t>0.2</w:t>
            </w:r>
          </w:p>
        </w:tc>
        <w:tc>
          <w:tcPr>
            <w:tcW w:w="1163" w:type="pct"/>
            <w:vAlign w:val="center"/>
          </w:tcPr>
          <w:p>
            <w:pPr>
              <w:jc w:val="center"/>
              <w:rPr>
                <w:snapToGrid w:val="0"/>
                <w:kern w:val="0"/>
                <w:sz w:val="18"/>
                <w:szCs w:val="18"/>
              </w:rPr>
            </w:pPr>
            <w:r>
              <w:rPr>
                <w:rFonts w:hint="eastAsia"/>
                <w:snapToGrid w:val="0"/>
                <w:kern w:val="0"/>
                <w:sz w:val="18"/>
                <w:szCs w:val="18"/>
              </w:rPr>
              <w:t>1</w:t>
            </w:r>
            <w:r>
              <w:rPr>
                <w:snapToGrid w:val="0"/>
                <w:kern w:val="0"/>
                <w:sz w:val="18"/>
                <w:szCs w:val="18"/>
              </w:rPr>
              <w:t>、</w:t>
            </w:r>
            <w:r>
              <w:rPr>
                <w:rFonts w:hint="eastAsia"/>
                <w:snapToGrid w:val="0"/>
                <w:kern w:val="0"/>
                <w:sz w:val="18"/>
                <w:szCs w:val="18"/>
              </w:rPr>
              <w:t>2</w:t>
            </w:r>
          </w:p>
        </w:tc>
      </w:tr>
    </w:tbl>
    <w:p>
      <w:pPr>
        <w:adjustRightInd w:val="0"/>
        <w:snapToGrid w:val="0"/>
        <w:spacing w:before="120" w:beforeLines="50" w:line="360" w:lineRule="auto"/>
        <w:ind w:firstLine="420" w:firstLineChars="200"/>
        <w:rPr>
          <w:rFonts w:ascii="宋体" w:hAnsi="宋体" w:cs="宋体"/>
          <w:szCs w:val="21"/>
        </w:rPr>
      </w:pPr>
      <w:r>
        <w:rPr>
          <w:rFonts w:hint="eastAsia"/>
          <w:szCs w:val="22"/>
        </w:rPr>
        <w:t>学生可以依据仪器与电子学院相关文件，以允许的第二课堂成果折算单项成绩，与对应知识点加权累计达到75（含）以上，且对所有课程目标的支撑不能有缺项，即可申请本门课程免修。</w:t>
      </w:r>
    </w:p>
    <w:p>
      <w:pPr>
        <w:spacing w:line="360" w:lineRule="auto"/>
        <w:ind w:firstLine="420" w:firstLineChars="200"/>
        <w:rPr>
          <w:color w:val="0000FF"/>
          <w:szCs w:val="21"/>
        </w:rPr>
        <w:sectPr>
          <w:footerReference r:id="rId61" w:type="default"/>
          <w:pgSz w:w="11906" w:h="16838"/>
          <w:pgMar w:top="1440" w:right="1797" w:bottom="1440" w:left="1797" w:header="851" w:footer="992" w:gutter="0"/>
          <w:pgNumType w:fmt="decimal"/>
          <w:cols w:space="425" w:num="1"/>
          <w:docGrid w:linePitch="312" w:charSpace="0"/>
        </w:sectPr>
      </w:pPr>
    </w:p>
    <w:p>
      <w:pPr>
        <w:tabs>
          <w:tab w:val="left" w:pos="420"/>
        </w:tabs>
        <w:adjustRightInd w:val="0"/>
        <w:snapToGrid w:val="0"/>
        <w:spacing w:line="360" w:lineRule="auto"/>
        <w:ind w:left="420" w:hanging="420"/>
        <w:rPr>
          <w:rFonts w:eastAsia="黑体"/>
          <w:szCs w:val="24"/>
        </w:rPr>
      </w:pPr>
      <w:r>
        <w:rPr>
          <w:rFonts w:hint="eastAsia" w:eastAsia="黑体"/>
          <w:szCs w:val="24"/>
        </w:rPr>
        <w:t>十、课程目标达成评价</w:t>
      </w:r>
    </w:p>
    <w:p>
      <w:pPr>
        <w:spacing w:line="360" w:lineRule="auto"/>
        <w:ind w:firstLine="420" w:firstLineChars="200"/>
        <w:jc w:val="center"/>
      </w:pPr>
      <w:r>
        <w:rPr>
          <w:rFonts w:hint="eastAsia"/>
        </w:rPr>
        <w:t>各环节对课程目标达成评价所使用到的权重占比分配及考核权重分配</w:t>
      </w:r>
    </w:p>
    <w:tbl>
      <w:tblPr>
        <w:tblStyle w:val="19"/>
        <w:tblW w:w="5000" w:type="pct"/>
        <w:jc w:val="center"/>
        <w:tblLayout w:type="autofit"/>
        <w:tblCellMar>
          <w:top w:w="0" w:type="dxa"/>
          <w:left w:w="108" w:type="dxa"/>
          <w:bottom w:w="0" w:type="dxa"/>
          <w:right w:w="108" w:type="dxa"/>
        </w:tblCellMar>
      </w:tblPr>
      <w:tblGrid>
        <w:gridCol w:w="586"/>
        <w:gridCol w:w="958"/>
        <w:gridCol w:w="1449"/>
        <w:gridCol w:w="1307"/>
        <w:gridCol w:w="1508"/>
        <w:gridCol w:w="1392"/>
        <w:gridCol w:w="1446"/>
        <w:gridCol w:w="1596"/>
        <w:gridCol w:w="1355"/>
        <w:gridCol w:w="1307"/>
        <w:gridCol w:w="1270"/>
      </w:tblGrid>
      <w:tr>
        <w:tblPrEx>
          <w:tblCellMar>
            <w:top w:w="0" w:type="dxa"/>
            <w:left w:w="108" w:type="dxa"/>
            <w:bottom w:w="0" w:type="dxa"/>
            <w:right w:w="108" w:type="dxa"/>
          </w:tblCellMar>
        </w:tblPrEx>
        <w:trPr>
          <w:trHeight w:val="1015" w:hRule="atLeast"/>
          <w:jc w:val="center"/>
        </w:trPr>
        <w:tc>
          <w:tcPr>
            <w:tcW w:w="20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课程目标</w:t>
            </w:r>
          </w:p>
        </w:tc>
        <w:tc>
          <w:tcPr>
            <w:tcW w:w="3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知识面比例</w:t>
            </w:r>
          </w:p>
          <w:p>
            <w:pPr>
              <w:widowControl/>
              <w:jc w:val="center"/>
              <w:rPr>
                <w:kern w:val="0"/>
                <w:sz w:val="18"/>
                <w:szCs w:val="18"/>
              </w:rPr>
            </w:pPr>
            <w:r>
              <w:rPr>
                <w:kern w:val="0"/>
                <w:sz w:val="18"/>
                <w:szCs w:val="18"/>
              </w:rPr>
              <w:t>（本列总和为1）</w:t>
            </w:r>
          </w:p>
          <w:p>
            <w:pPr>
              <w:widowControl/>
              <w:jc w:val="center"/>
              <w:rPr>
                <w:i/>
                <w:kern w:val="0"/>
                <w:sz w:val="18"/>
                <w:szCs w:val="18"/>
              </w:rPr>
            </w:pPr>
            <w:r>
              <w:rPr>
                <w:i/>
                <w:kern w:val="0"/>
                <w:sz w:val="18"/>
                <w:szCs w:val="18"/>
              </w:rPr>
              <w:t>P</w:t>
            </w:r>
            <w:r>
              <w:rPr>
                <w:i/>
                <w:kern w:val="0"/>
                <w:sz w:val="18"/>
                <w:szCs w:val="18"/>
                <w:vertAlign w:val="subscript"/>
              </w:rPr>
              <w:t>i</w:t>
            </w:r>
          </w:p>
        </w:tc>
        <w:tc>
          <w:tcPr>
            <w:tcW w:w="150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sz w:val="18"/>
                <w:szCs w:val="18"/>
              </w:rPr>
              <w:t>各环节评价比例分配</w:t>
            </w:r>
            <w:r>
              <w:rPr>
                <w:sz w:val="18"/>
                <w:szCs w:val="18"/>
              </w:rPr>
              <w:br w:type="textWrapping"/>
            </w:r>
            <w:r>
              <w:rPr>
                <w:sz w:val="18"/>
                <w:szCs w:val="18"/>
              </w:rPr>
              <w:t>（每行总和为1）</w:t>
            </w:r>
            <w:r>
              <w:rPr>
                <w:sz w:val="18"/>
                <w:szCs w:val="18"/>
              </w:rPr>
              <w:br w:type="textWrapping"/>
            </w:r>
            <w:r>
              <w:rPr>
                <w:i/>
                <w:sz w:val="18"/>
                <w:szCs w:val="18"/>
              </w:rPr>
              <w:t>W</w:t>
            </w:r>
            <w:r>
              <w:rPr>
                <w:i/>
                <w:sz w:val="18"/>
                <w:szCs w:val="18"/>
                <w:vertAlign w:val="subscript"/>
              </w:rPr>
              <w:t>ik</w:t>
            </w:r>
          </w:p>
        </w:tc>
        <w:tc>
          <w:tcPr>
            <w:tcW w:w="1563" w:type="pct"/>
            <w:gridSpan w:val="3"/>
            <w:tcBorders>
              <w:top w:val="single" w:color="auto" w:sz="4" w:space="0"/>
              <w:left w:val="nil"/>
              <w:bottom w:val="single" w:color="auto" w:sz="4" w:space="0"/>
              <w:right w:val="single" w:color="auto" w:sz="4" w:space="0"/>
            </w:tcBorders>
            <w:shd w:val="clear" w:color="auto" w:fill="auto"/>
            <w:vAlign w:val="center"/>
          </w:tcPr>
          <w:p>
            <w:pPr>
              <w:jc w:val="center"/>
              <w:rPr>
                <w:sz w:val="18"/>
                <w:szCs w:val="18"/>
              </w:rPr>
            </w:pPr>
            <w:r>
              <w:rPr>
                <w:sz w:val="18"/>
                <w:szCs w:val="18"/>
              </w:rPr>
              <w:t>各环节在课程达成中的占比</w:t>
            </w:r>
            <w:r>
              <w:rPr>
                <w:sz w:val="18"/>
                <w:szCs w:val="18"/>
              </w:rPr>
              <w:br w:type="textWrapping"/>
            </w:r>
            <w:r>
              <w:rPr>
                <w:sz w:val="18"/>
                <w:szCs w:val="18"/>
              </w:rPr>
              <w:t>（所有行列总和为1）</w:t>
            </w:r>
            <w:r>
              <w:rPr>
                <w:sz w:val="18"/>
                <w:szCs w:val="18"/>
              </w:rPr>
              <w:br w:type="textWrapping"/>
            </w:r>
            <w:r>
              <w:rPr>
                <w:i/>
                <w:sz w:val="18"/>
                <w:szCs w:val="18"/>
              </w:rPr>
              <w:t>S</w:t>
            </w:r>
            <w:r>
              <w:rPr>
                <w:i/>
                <w:sz w:val="18"/>
                <w:szCs w:val="18"/>
                <w:vertAlign w:val="subscript"/>
              </w:rPr>
              <w:t>ik</w:t>
            </w:r>
            <w:r>
              <w:rPr>
                <w:i/>
                <w:sz w:val="18"/>
                <w:szCs w:val="18"/>
              </w:rPr>
              <w:t>=P</w:t>
            </w:r>
            <w:r>
              <w:rPr>
                <w:i/>
                <w:sz w:val="18"/>
                <w:szCs w:val="18"/>
                <w:vertAlign w:val="subscript"/>
              </w:rPr>
              <w:t>i</w:t>
            </w:r>
            <w:r>
              <w:rPr>
                <w:i/>
                <w:sz w:val="18"/>
                <w:szCs w:val="18"/>
              </w:rPr>
              <w:t>*W</w:t>
            </w:r>
            <w:r>
              <w:rPr>
                <w:i/>
                <w:sz w:val="18"/>
                <w:szCs w:val="18"/>
                <w:vertAlign w:val="subscript"/>
              </w:rPr>
              <w:t>ik</w:t>
            </w:r>
          </w:p>
        </w:tc>
        <w:tc>
          <w:tcPr>
            <w:tcW w:w="1388"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各环节课程目标考核权重分布</w:t>
            </w:r>
          </w:p>
          <w:p>
            <w:pPr>
              <w:jc w:val="center"/>
              <w:rPr>
                <w:sz w:val="18"/>
                <w:szCs w:val="18"/>
              </w:rPr>
            </w:pPr>
            <w:r>
              <w:rPr>
                <w:sz w:val="18"/>
                <w:szCs w:val="18"/>
              </w:rPr>
              <w:t>（每一列总和为1）</w:t>
            </w:r>
          </w:p>
          <w:p>
            <w:pPr>
              <w:jc w:val="center"/>
              <w:rPr>
                <w:i/>
                <w:sz w:val="18"/>
                <w:szCs w:val="18"/>
              </w:rPr>
            </w:pPr>
            <w:r>
              <w:rPr>
                <w:i/>
                <w:sz w:val="18"/>
                <w:szCs w:val="18"/>
              </w:rPr>
              <w:t>E</w:t>
            </w:r>
            <w:r>
              <w:rPr>
                <w:i/>
                <w:sz w:val="18"/>
                <w:szCs w:val="18"/>
                <w:vertAlign w:val="subscript"/>
              </w:rPr>
              <w:t>ik</w:t>
            </w:r>
            <w:r>
              <w:rPr>
                <w:i/>
                <w:sz w:val="18"/>
                <w:szCs w:val="18"/>
              </w:rPr>
              <w:t>=S</w:t>
            </w:r>
            <w:r>
              <w:rPr>
                <w:i/>
                <w:sz w:val="18"/>
                <w:szCs w:val="18"/>
                <w:vertAlign w:val="subscript"/>
              </w:rPr>
              <w:t>ik</w:t>
            </w:r>
            <w:r>
              <w:rPr>
                <w:i/>
                <w:sz w:val="18"/>
                <w:szCs w:val="18"/>
              </w:rPr>
              <w:t>/M</w:t>
            </w:r>
            <w:r>
              <w:rPr>
                <w:i/>
                <w:sz w:val="18"/>
                <w:szCs w:val="18"/>
                <w:vertAlign w:val="subscript"/>
              </w:rPr>
              <w:t>ik</w:t>
            </w:r>
          </w:p>
        </w:tc>
      </w:tr>
      <w:tr>
        <w:tblPrEx>
          <w:tblCellMar>
            <w:top w:w="0" w:type="dxa"/>
            <w:left w:w="108" w:type="dxa"/>
            <w:bottom w:w="0" w:type="dxa"/>
            <w:right w:w="108" w:type="dxa"/>
          </w:tblCellMar>
        </w:tblPrEx>
        <w:trPr>
          <w:trHeight w:val="986" w:hRule="atLeast"/>
          <w:jc w:val="center"/>
        </w:trPr>
        <w:tc>
          <w:tcPr>
            <w:tcW w:w="20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18"/>
                <w:szCs w:val="18"/>
              </w:rPr>
            </w:pPr>
          </w:p>
        </w:tc>
        <w:tc>
          <w:tcPr>
            <w:tcW w:w="3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18"/>
                <w:szCs w:val="18"/>
              </w:rPr>
            </w:pPr>
          </w:p>
        </w:tc>
        <w:tc>
          <w:tcPr>
            <w:tcW w:w="511"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课堂</w:t>
            </w:r>
          </w:p>
          <w:p>
            <w:pPr>
              <w:widowControl/>
              <w:jc w:val="center"/>
              <w:rPr>
                <w:kern w:val="0"/>
                <w:sz w:val="18"/>
                <w:szCs w:val="18"/>
              </w:rPr>
            </w:pPr>
            <w:r>
              <w:rPr>
                <w:kern w:val="0"/>
                <w:sz w:val="18"/>
                <w:szCs w:val="18"/>
              </w:rPr>
              <w:t>情况</w:t>
            </w:r>
          </w:p>
          <w:p>
            <w:pPr>
              <w:widowControl/>
              <w:jc w:val="center"/>
              <w:rPr>
                <w:kern w:val="0"/>
                <w:sz w:val="18"/>
                <w:szCs w:val="18"/>
              </w:rPr>
            </w:pPr>
          </w:p>
        </w:tc>
        <w:tc>
          <w:tcPr>
            <w:tcW w:w="461"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实验</w:t>
            </w:r>
          </w:p>
          <w:p>
            <w:pPr>
              <w:widowControl/>
              <w:jc w:val="center"/>
              <w:rPr>
                <w:kern w:val="0"/>
                <w:sz w:val="18"/>
                <w:szCs w:val="18"/>
              </w:rPr>
            </w:pPr>
            <w:r>
              <w:rPr>
                <w:kern w:val="0"/>
                <w:sz w:val="18"/>
                <w:szCs w:val="18"/>
              </w:rPr>
              <w:t>报告</w:t>
            </w:r>
          </w:p>
          <w:p>
            <w:pPr>
              <w:widowControl/>
              <w:jc w:val="center"/>
              <w:rPr>
                <w:kern w:val="0"/>
                <w:sz w:val="18"/>
                <w:szCs w:val="18"/>
              </w:rPr>
            </w:pPr>
          </w:p>
        </w:tc>
        <w:tc>
          <w:tcPr>
            <w:tcW w:w="532" w:type="pct"/>
            <w:tcBorders>
              <w:top w:val="nil"/>
              <w:left w:val="nil"/>
              <w:bottom w:val="single" w:color="auto" w:sz="4" w:space="0"/>
              <w:right w:val="single" w:color="auto" w:sz="4" w:space="0"/>
            </w:tcBorders>
            <w:shd w:val="clear" w:color="auto" w:fill="auto"/>
            <w:vAlign w:val="center"/>
          </w:tcPr>
          <w:p>
            <w:pPr>
              <w:widowControl/>
              <w:adjustRightInd w:val="0"/>
              <w:jc w:val="center"/>
              <w:rPr>
                <w:kern w:val="0"/>
                <w:sz w:val="18"/>
                <w:szCs w:val="18"/>
              </w:rPr>
            </w:pPr>
            <w:r>
              <w:rPr>
                <w:kern w:val="0"/>
                <w:sz w:val="18"/>
                <w:szCs w:val="18"/>
              </w:rPr>
              <w:t>期末</w:t>
            </w:r>
          </w:p>
          <w:p>
            <w:pPr>
              <w:widowControl/>
              <w:jc w:val="center"/>
              <w:rPr>
                <w:kern w:val="0"/>
                <w:sz w:val="18"/>
                <w:szCs w:val="18"/>
              </w:rPr>
            </w:pPr>
            <w:r>
              <w:rPr>
                <w:kern w:val="0"/>
                <w:sz w:val="18"/>
                <w:szCs w:val="18"/>
              </w:rPr>
              <w:t>大作业</w:t>
            </w:r>
          </w:p>
        </w:tc>
        <w:tc>
          <w:tcPr>
            <w:tcW w:w="491"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课堂</w:t>
            </w:r>
          </w:p>
          <w:p>
            <w:pPr>
              <w:widowControl/>
              <w:jc w:val="center"/>
              <w:rPr>
                <w:kern w:val="0"/>
                <w:sz w:val="18"/>
                <w:szCs w:val="18"/>
              </w:rPr>
            </w:pPr>
            <w:r>
              <w:rPr>
                <w:kern w:val="0"/>
                <w:sz w:val="18"/>
                <w:szCs w:val="18"/>
              </w:rPr>
              <w:t>情况</w:t>
            </w:r>
          </w:p>
          <w:p>
            <w:pPr>
              <w:widowControl/>
              <w:jc w:val="center"/>
              <w:rPr>
                <w:kern w:val="0"/>
                <w:sz w:val="18"/>
                <w:szCs w:val="18"/>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实验</w:t>
            </w:r>
          </w:p>
          <w:p>
            <w:pPr>
              <w:widowControl/>
              <w:jc w:val="center"/>
              <w:rPr>
                <w:kern w:val="0"/>
                <w:sz w:val="18"/>
                <w:szCs w:val="18"/>
              </w:rPr>
            </w:pPr>
            <w:r>
              <w:rPr>
                <w:kern w:val="0"/>
                <w:sz w:val="18"/>
                <w:szCs w:val="18"/>
              </w:rPr>
              <w:t>报告</w:t>
            </w:r>
          </w:p>
          <w:p>
            <w:pPr>
              <w:widowControl/>
              <w:jc w:val="center"/>
              <w:rPr>
                <w:kern w:val="0"/>
                <w:sz w:val="18"/>
                <w:szCs w:val="18"/>
              </w:rPr>
            </w:pPr>
          </w:p>
        </w:tc>
        <w:tc>
          <w:tcPr>
            <w:tcW w:w="563" w:type="pct"/>
            <w:tcBorders>
              <w:top w:val="nil"/>
              <w:left w:val="nil"/>
              <w:bottom w:val="single" w:color="auto" w:sz="4" w:space="0"/>
              <w:right w:val="single" w:color="auto" w:sz="4" w:space="0"/>
            </w:tcBorders>
            <w:shd w:val="clear" w:color="auto" w:fill="auto"/>
            <w:vAlign w:val="center"/>
          </w:tcPr>
          <w:p>
            <w:pPr>
              <w:widowControl/>
              <w:adjustRightInd w:val="0"/>
              <w:jc w:val="center"/>
              <w:rPr>
                <w:kern w:val="0"/>
                <w:sz w:val="18"/>
                <w:szCs w:val="18"/>
              </w:rPr>
            </w:pPr>
            <w:r>
              <w:rPr>
                <w:kern w:val="0"/>
                <w:sz w:val="18"/>
                <w:szCs w:val="18"/>
              </w:rPr>
              <w:t>期末</w:t>
            </w:r>
          </w:p>
          <w:p>
            <w:pPr>
              <w:widowControl/>
              <w:jc w:val="center"/>
              <w:rPr>
                <w:kern w:val="0"/>
                <w:sz w:val="18"/>
                <w:szCs w:val="18"/>
              </w:rPr>
            </w:pPr>
            <w:r>
              <w:rPr>
                <w:kern w:val="0"/>
                <w:sz w:val="18"/>
                <w:szCs w:val="18"/>
              </w:rPr>
              <w:t>大作业</w:t>
            </w:r>
          </w:p>
        </w:tc>
        <w:tc>
          <w:tcPr>
            <w:tcW w:w="4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课堂</w:t>
            </w:r>
          </w:p>
          <w:p>
            <w:pPr>
              <w:widowControl/>
              <w:jc w:val="center"/>
              <w:rPr>
                <w:kern w:val="0"/>
                <w:sz w:val="18"/>
                <w:szCs w:val="18"/>
              </w:rPr>
            </w:pPr>
            <w:r>
              <w:rPr>
                <w:kern w:val="0"/>
                <w:sz w:val="18"/>
                <w:szCs w:val="18"/>
              </w:rPr>
              <w:t>情况</w:t>
            </w:r>
          </w:p>
          <w:p>
            <w:pPr>
              <w:widowControl/>
              <w:jc w:val="center"/>
              <w:rPr>
                <w:kern w:val="0"/>
                <w:sz w:val="18"/>
                <w:szCs w:val="18"/>
              </w:rPr>
            </w:pPr>
          </w:p>
        </w:tc>
        <w:tc>
          <w:tcPr>
            <w:tcW w:w="46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实验</w:t>
            </w:r>
          </w:p>
          <w:p>
            <w:pPr>
              <w:widowControl/>
              <w:jc w:val="center"/>
              <w:rPr>
                <w:kern w:val="0"/>
                <w:sz w:val="18"/>
                <w:szCs w:val="18"/>
              </w:rPr>
            </w:pPr>
            <w:r>
              <w:rPr>
                <w:kern w:val="0"/>
                <w:sz w:val="18"/>
                <w:szCs w:val="18"/>
              </w:rPr>
              <w:t>报告</w:t>
            </w:r>
          </w:p>
          <w:p>
            <w:pPr>
              <w:widowControl/>
              <w:jc w:val="center"/>
              <w:rPr>
                <w:kern w:val="0"/>
                <w:sz w:val="18"/>
                <w:szCs w:val="18"/>
              </w:rPr>
            </w:pP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kern w:val="0"/>
                <w:sz w:val="18"/>
                <w:szCs w:val="18"/>
              </w:rPr>
            </w:pPr>
            <w:r>
              <w:rPr>
                <w:kern w:val="0"/>
                <w:sz w:val="18"/>
                <w:szCs w:val="18"/>
              </w:rPr>
              <w:t>期末</w:t>
            </w:r>
          </w:p>
          <w:p>
            <w:pPr>
              <w:widowControl/>
              <w:jc w:val="center"/>
              <w:rPr>
                <w:kern w:val="0"/>
                <w:sz w:val="18"/>
                <w:szCs w:val="18"/>
              </w:rPr>
            </w:pPr>
            <w:r>
              <w:rPr>
                <w:kern w:val="0"/>
                <w:sz w:val="18"/>
                <w:szCs w:val="18"/>
              </w:rPr>
              <w:t>大作业</w:t>
            </w:r>
          </w:p>
        </w:tc>
      </w:tr>
      <w:tr>
        <w:tblPrEx>
          <w:tblCellMar>
            <w:top w:w="0" w:type="dxa"/>
            <w:left w:w="108" w:type="dxa"/>
            <w:bottom w:w="0" w:type="dxa"/>
            <w:right w:w="108" w:type="dxa"/>
          </w:tblCellMar>
        </w:tblPrEx>
        <w:trPr>
          <w:trHeight w:val="1020" w:hRule="atLeast"/>
          <w:jc w:val="center"/>
        </w:trPr>
        <w:tc>
          <w:tcPr>
            <w:tcW w:w="207" w:type="pct"/>
            <w:tcBorders>
              <w:top w:val="nil"/>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1</w:t>
            </w:r>
          </w:p>
        </w:tc>
        <w:tc>
          <w:tcPr>
            <w:tcW w:w="338"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18"/>
                <w:szCs w:val="18"/>
              </w:rPr>
            </w:pPr>
            <w:r>
              <w:rPr>
                <w:sz w:val="18"/>
                <w:szCs w:val="18"/>
              </w:rPr>
              <w:t>0.6</w:t>
            </w:r>
          </w:p>
        </w:tc>
        <w:tc>
          <w:tcPr>
            <w:tcW w:w="511" w:type="pct"/>
            <w:tcBorders>
              <w:top w:val="single" w:color="auto" w:sz="4" w:space="0"/>
              <w:left w:val="nil"/>
              <w:bottom w:val="single" w:color="auto" w:sz="4" w:space="0"/>
              <w:right w:val="single" w:color="auto" w:sz="4" w:space="0"/>
            </w:tcBorders>
            <w:shd w:val="clear" w:color="auto" w:fill="auto"/>
            <w:noWrap/>
            <w:vAlign w:val="center"/>
          </w:tcPr>
          <w:p>
            <w:pPr>
              <w:jc w:val="center"/>
              <w:rPr>
                <w:sz w:val="18"/>
                <w:szCs w:val="18"/>
              </w:rPr>
            </w:pPr>
          </w:p>
          <w:p>
            <w:pPr>
              <w:jc w:val="center"/>
              <w:rPr>
                <w:sz w:val="18"/>
                <w:szCs w:val="18"/>
              </w:rPr>
            </w:pPr>
            <w:r>
              <w:rPr>
                <w:sz w:val="18"/>
                <w:szCs w:val="18"/>
              </w:rPr>
              <w:t>0.2</w:t>
            </w:r>
          </w:p>
          <w:p>
            <w:pPr>
              <w:jc w:val="center"/>
              <w:rPr>
                <w:sz w:val="18"/>
                <w:szCs w:val="18"/>
              </w:rPr>
            </w:pPr>
          </w:p>
        </w:tc>
        <w:tc>
          <w:tcPr>
            <w:tcW w:w="461" w:type="pct"/>
            <w:tcBorders>
              <w:top w:val="single" w:color="auto" w:sz="4" w:space="0"/>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0.2</w:t>
            </w:r>
          </w:p>
        </w:tc>
        <w:tc>
          <w:tcPr>
            <w:tcW w:w="532" w:type="pct"/>
            <w:tcBorders>
              <w:top w:val="single" w:color="auto" w:sz="4" w:space="0"/>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0.6</w:t>
            </w:r>
          </w:p>
        </w:tc>
        <w:tc>
          <w:tcPr>
            <w:tcW w:w="491" w:type="pct"/>
            <w:tcBorders>
              <w:top w:val="single" w:color="auto" w:sz="4" w:space="0"/>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0.12</w:t>
            </w:r>
          </w:p>
        </w:tc>
        <w:tc>
          <w:tcPr>
            <w:tcW w:w="510" w:type="pct"/>
            <w:tcBorders>
              <w:top w:val="single" w:color="auto" w:sz="4" w:space="0"/>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0.12</w:t>
            </w:r>
          </w:p>
        </w:tc>
        <w:tc>
          <w:tcPr>
            <w:tcW w:w="563" w:type="pct"/>
            <w:tcBorders>
              <w:top w:val="single" w:color="auto" w:sz="4" w:space="0"/>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0.36</w:t>
            </w:r>
          </w:p>
        </w:tc>
        <w:tc>
          <w:tcPr>
            <w:tcW w:w="47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0.6</w:t>
            </w:r>
          </w:p>
        </w:tc>
        <w:tc>
          <w:tcPr>
            <w:tcW w:w="46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0.8</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0.8</w:t>
            </w:r>
          </w:p>
        </w:tc>
      </w:tr>
      <w:tr>
        <w:tblPrEx>
          <w:tblCellMar>
            <w:top w:w="0" w:type="dxa"/>
            <w:left w:w="108" w:type="dxa"/>
            <w:bottom w:w="0" w:type="dxa"/>
            <w:right w:w="108" w:type="dxa"/>
          </w:tblCellMar>
        </w:tblPrEx>
        <w:trPr>
          <w:trHeight w:val="694" w:hRule="atLeast"/>
          <w:jc w:val="center"/>
        </w:trPr>
        <w:tc>
          <w:tcPr>
            <w:tcW w:w="207" w:type="pct"/>
            <w:tcBorders>
              <w:top w:val="nil"/>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2</w:t>
            </w:r>
          </w:p>
        </w:tc>
        <w:tc>
          <w:tcPr>
            <w:tcW w:w="338" w:type="pct"/>
            <w:tcBorders>
              <w:top w:val="nil"/>
              <w:left w:val="single" w:color="auto" w:sz="4" w:space="0"/>
              <w:bottom w:val="single" w:color="auto" w:sz="4" w:space="0"/>
              <w:right w:val="single" w:color="auto" w:sz="4" w:space="0"/>
            </w:tcBorders>
            <w:shd w:val="clear" w:color="auto" w:fill="auto"/>
            <w:noWrap/>
            <w:vAlign w:val="center"/>
          </w:tcPr>
          <w:p>
            <w:pPr>
              <w:jc w:val="center"/>
              <w:rPr>
                <w:sz w:val="18"/>
                <w:szCs w:val="18"/>
              </w:rPr>
            </w:pPr>
            <w:r>
              <w:rPr>
                <w:sz w:val="18"/>
                <w:szCs w:val="18"/>
              </w:rPr>
              <w:t>0.2</w:t>
            </w:r>
          </w:p>
        </w:tc>
        <w:tc>
          <w:tcPr>
            <w:tcW w:w="511" w:type="pct"/>
            <w:tcBorders>
              <w:top w:val="nil"/>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0.2</w:t>
            </w:r>
          </w:p>
        </w:tc>
        <w:tc>
          <w:tcPr>
            <w:tcW w:w="461" w:type="pct"/>
            <w:tcBorders>
              <w:top w:val="nil"/>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0.2</w:t>
            </w:r>
          </w:p>
        </w:tc>
        <w:tc>
          <w:tcPr>
            <w:tcW w:w="532" w:type="pct"/>
            <w:tcBorders>
              <w:top w:val="nil"/>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0.6</w:t>
            </w:r>
          </w:p>
        </w:tc>
        <w:tc>
          <w:tcPr>
            <w:tcW w:w="491" w:type="pct"/>
            <w:tcBorders>
              <w:top w:val="nil"/>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0.04</w:t>
            </w:r>
          </w:p>
        </w:tc>
        <w:tc>
          <w:tcPr>
            <w:tcW w:w="510" w:type="pct"/>
            <w:tcBorders>
              <w:top w:val="nil"/>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0.04</w:t>
            </w:r>
          </w:p>
        </w:tc>
        <w:tc>
          <w:tcPr>
            <w:tcW w:w="563" w:type="pct"/>
            <w:tcBorders>
              <w:top w:val="nil"/>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0.12</w:t>
            </w:r>
          </w:p>
        </w:tc>
        <w:tc>
          <w:tcPr>
            <w:tcW w:w="47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0.2</w:t>
            </w:r>
          </w:p>
        </w:tc>
        <w:tc>
          <w:tcPr>
            <w:tcW w:w="46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0.1</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0.1</w:t>
            </w:r>
          </w:p>
        </w:tc>
      </w:tr>
      <w:tr>
        <w:tblPrEx>
          <w:tblCellMar>
            <w:top w:w="0" w:type="dxa"/>
            <w:left w:w="108" w:type="dxa"/>
            <w:bottom w:w="0" w:type="dxa"/>
            <w:right w:w="108" w:type="dxa"/>
          </w:tblCellMar>
        </w:tblPrEx>
        <w:trPr>
          <w:trHeight w:val="690" w:hRule="atLeast"/>
          <w:jc w:val="center"/>
        </w:trPr>
        <w:tc>
          <w:tcPr>
            <w:tcW w:w="207" w:type="pct"/>
            <w:tcBorders>
              <w:top w:val="nil"/>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3</w:t>
            </w:r>
          </w:p>
        </w:tc>
        <w:tc>
          <w:tcPr>
            <w:tcW w:w="338" w:type="pct"/>
            <w:tcBorders>
              <w:top w:val="nil"/>
              <w:left w:val="single" w:color="auto" w:sz="4" w:space="0"/>
              <w:bottom w:val="single" w:color="auto" w:sz="4" w:space="0"/>
              <w:right w:val="single" w:color="auto" w:sz="4" w:space="0"/>
            </w:tcBorders>
            <w:shd w:val="clear" w:color="auto" w:fill="auto"/>
            <w:noWrap/>
            <w:vAlign w:val="center"/>
          </w:tcPr>
          <w:p>
            <w:pPr>
              <w:jc w:val="center"/>
              <w:rPr>
                <w:sz w:val="18"/>
                <w:szCs w:val="18"/>
              </w:rPr>
            </w:pPr>
            <w:r>
              <w:rPr>
                <w:sz w:val="18"/>
                <w:szCs w:val="18"/>
              </w:rPr>
              <w:t>0.2</w:t>
            </w:r>
          </w:p>
        </w:tc>
        <w:tc>
          <w:tcPr>
            <w:tcW w:w="511" w:type="pct"/>
            <w:tcBorders>
              <w:top w:val="nil"/>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0.2</w:t>
            </w:r>
          </w:p>
        </w:tc>
        <w:tc>
          <w:tcPr>
            <w:tcW w:w="461" w:type="pct"/>
            <w:tcBorders>
              <w:top w:val="nil"/>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0.2</w:t>
            </w:r>
          </w:p>
        </w:tc>
        <w:tc>
          <w:tcPr>
            <w:tcW w:w="532" w:type="pct"/>
            <w:tcBorders>
              <w:top w:val="nil"/>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0.6</w:t>
            </w:r>
          </w:p>
        </w:tc>
        <w:tc>
          <w:tcPr>
            <w:tcW w:w="491" w:type="pct"/>
            <w:tcBorders>
              <w:top w:val="nil"/>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0.04</w:t>
            </w:r>
          </w:p>
        </w:tc>
        <w:tc>
          <w:tcPr>
            <w:tcW w:w="510" w:type="pct"/>
            <w:tcBorders>
              <w:top w:val="nil"/>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0.04</w:t>
            </w:r>
          </w:p>
        </w:tc>
        <w:tc>
          <w:tcPr>
            <w:tcW w:w="563" w:type="pct"/>
            <w:tcBorders>
              <w:top w:val="nil"/>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0.12</w:t>
            </w:r>
          </w:p>
        </w:tc>
        <w:tc>
          <w:tcPr>
            <w:tcW w:w="47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0.2</w:t>
            </w:r>
          </w:p>
        </w:tc>
        <w:tc>
          <w:tcPr>
            <w:tcW w:w="46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0.1</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0.1</w:t>
            </w:r>
          </w:p>
        </w:tc>
      </w:tr>
      <w:tr>
        <w:tblPrEx>
          <w:tblCellMar>
            <w:top w:w="0" w:type="dxa"/>
            <w:left w:w="108" w:type="dxa"/>
            <w:bottom w:w="0" w:type="dxa"/>
            <w:right w:w="108" w:type="dxa"/>
          </w:tblCellMar>
        </w:tblPrEx>
        <w:trPr>
          <w:trHeight w:val="1026" w:hRule="atLeast"/>
          <w:jc w:val="center"/>
        </w:trPr>
        <w:tc>
          <w:tcPr>
            <w:tcW w:w="2048" w:type="pct"/>
            <w:gridSpan w:val="5"/>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kern w:val="0"/>
                <w:sz w:val="18"/>
                <w:szCs w:val="18"/>
              </w:rPr>
            </w:pPr>
            <w:r>
              <w:rPr>
                <w:kern w:val="0"/>
                <w:sz w:val="18"/>
                <w:szCs w:val="18"/>
              </w:rPr>
              <w:t>各环节对课程目标达成的贡献率（</w:t>
            </w:r>
            <w:r>
              <w:rPr>
                <w:i/>
                <w:kern w:val="0"/>
                <w:sz w:val="18"/>
                <w:szCs w:val="18"/>
              </w:rPr>
              <w:t>M</w:t>
            </w:r>
            <w:r>
              <w:rPr>
                <w:i/>
                <w:kern w:val="0"/>
                <w:sz w:val="18"/>
                <w:szCs w:val="18"/>
                <w:vertAlign w:val="subscript"/>
              </w:rPr>
              <w:t>k</w:t>
            </w:r>
            <w:r>
              <w:rPr>
                <w:kern w:val="0"/>
                <w:sz w:val="18"/>
                <w:szCs w:val="18"/>
              </w:rPr>
              <w:t>）</w:t>
            </w:r>
          </w:p>
        </w:tc>
        <w:tc>
          <w:tcPr>
            <w:tcW w:w="49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18"/>
                <w:szCs w:val="18"/>
              </w:rPr>
            </w:pPr>
            <w:r>
              <w:rPr>
                <w:sz w:val="18"/>
                <w:szCs w:val="18"/>
              </w:rPr>
              <w:t>0.2</w:t>
            </w:r>
          </w:p>
        </w:tc>
        <w:tc>
          <w:tcPr>
            <w:tcW w:w="510" w:type="pct"/>
            <w:tcBorders>
              <w:top w:val="single" w:color="auto" w:sz="4" w:space="0"/>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0.2</w:t>
            </w:r>
          </w:p>
        </w:tc>
        <w:tc>
          <w:tcPr>
            <w:tcW w:w="563" w:type="pct"/>
            <w:tcBorders>
              <w:top w:val="single" w:color="auto" w:sz="4" w:space="0"/>
              <w:left w:val="nil"/>
              <w:bottom w:val="single" w:color="auto" w:sz="4" w:space="0"/>
              <w:right w:val="single" w:color="auto" w:sz="4" w:space="0"/>
            </w:tcBorders>
            <w:shd w:val="clear" w:color="auto" w:fill="auto"/>
            <w:noWrap/>
            <w:vAlign w:val="center"/>
          </w:tcPr>
          <w:p>
            <w:pPr>
              <w:jc w:val="center"/>
              <w:rPr>
                <w:sz w:val="18"/>
                <w:szCs w:val="18"/>
              </w:rPr>
            </w:pPr>
            <w:r>
              <w:rPr>
                <w:sz w:val="18"/>
                <w:szCs w:val="18"/>
              </w:rPr>
              <w:t>0.6</w:t>
            </w:r>
          </w:p>
        </w:tc>
        <w:tc>
          <w:tcPr>
            <w:tcW w:w="1388"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教师出题或布置作业时</w:t>
            </w:r>
          </w:p>
          <w:p>
            <w:pPr>
              <w:jc w:val="center"/>
              <w:rPr>
                <w:sz w:val="18"/>
                <w:szCs w:val="18"/>
              </w:rPr>
            </w:pPr>
            <w:r>
              <w:rPr>
                <w:sz w:val="18"/>
                <w:szCs w:val="18"/>
              </w:rPr>
              <w:t>要尽量做到按照以上比例布局</w:t>
            </w:r>
          </w:p>
        </w:tc>
      </w:tr>
    </w:tbl>
    <w:p>
      <w:pPr>
        <w:spacing w:line="360" w:lineRule="auto"/>
        <w:jc w:val="left"/>
      </w:pPr>
    </w:p>
    <w:p>
      <w:pPr>
        <w:spacing w:line="360" w:lineRule="auto"/>
        <w:sectPr>
          <w:pgSz w:w="16838" w:h="11906" w:orient="landscape"/>
          <w:pgMar w:top="1797" w:right="1440" w:bottom="1797" w:left="1440" w:header="851" w:footer="992" w:gutter="0"/>
          <w:pgNumType w:fmt="decimal"/>
          <w:cols w:space="425" w:num="1"/>
          <w:docGrid w:linePitch="312" w:charSpace="0"/>
        </w:sectPr>
      </w:pPr>
    </w:p>
    <w:p>
      <w:pPr>
        <w:spacing w:line="360" w:lineRule="auto"/>
        <w:ind w:firstLine="420" w:firstLineChars="200"/>
        <w:rPr>
          <w:szCs w:val="21"/>
        </w:rPr>
      </w:pPr>
      <w:r>
        <w:rPr>
          <w:rFonts w:hint="eastAsia"/>
          <w:szCs w:val="21"/>
        </w:rPr>
        <w:t>采用达成值计算法，辅以对学生的问卷调查法。</w:t>
      </w:r>
    </w:p>
    <w:p>
      <w:pPr>
        <w:spacing w:line="360" w:lineRule="auto"/>
        <w:ind w:firstLine="422" w:firstLineChars="200"/>
        <w:rPr>
          <w:b/>
          <w:bCs/>
          <w:szCs w:val="21"/>
        </w:rPr>
      </w:pPr>
      <w:r>
        <w:rPr>
          <w:rFonts w:hint="eastAsia"/>
          <w:b/>
          <w:bCs/>
          <w:szCs w:val="21"/>
        </w:rPr>
        <w:t>课程目标定量评价：</w:t>
      </w:r>
    </w:p>
    <w:p>
      <w:pPr>
        <w:spacing w:line="360" w:lineRule="auto"/>
        <w:ind w:firstLine="420" w:firstLineChars="200"/>
        <w:rPr>
          <w:szCs w:val="21"/>
        </w:rPr>
      </w:pPr>
      <w:r>
        <w:rPr>
          <w:szCs w:val="21"/>
        </w:rPr>
        <w:t>达成值计算法结合上表权重分配，采用</w:t>
      </w:r>
      <w:r>
        <w:rPr>
          <w:rFonts w:hint="eastAsia"/>
          <w:szCs w:val="21"/>
        </w:rPr>
        <w:t>下表进行计算。</w:t>
      </w:r>
    </w:p>
    <w:p>
      <w:pPr>
        <w:spacing w:line="360" w:lineRule="auto"/>
        <w:ind w:firstLine="420" w:firstLineChars="200"/>
        <w:rPr>
          <w:szCs w:val="21"/>
        </w:rPr>
      </w:pPr>
      <w:r>
        <w:rPr>
          <w:szCs w:val="21"/>
        </w:rPr>
        <w:t>单一课程目标达成度评价采用下式：</w:t>
      </w:r>
    </w:p>
    <w:p>
      <w:pPr>
        <w:spacing w:line="360" w:lineRule="auto"/>
        <w:ind w:firstLine="420" w:firstLineChars="200"/>
        <w:rPr>
          <w:szCs w:val="21"/>
        </w:rPr>
      </w:pPr>
      <w:r>
        <w:rPr>
          <w:position w:val="-30"/>
          <w:szCs w:val="21"/>
        </w:rPr>
        <w:object>
          <v:shape id="_x0000_i1085" o:spt="75" type="#_x0000_t75" style="height:36pt;width:165.5pt;" o:ole="t" filled="f" o:preferrelative="t" stroked="f" coordsize="21600,21600">
            <v:path/>
            <v:fill on="f" focussize="0,0"/>
            <v:stroke on="f" joinstyle="miter"/>
            <v:imagedata r:id="rId145" o:title=""/>
            <o:lock v:ext="edit" aspectratio="t"/>
            <w10:wrap type="none"/>
            <w10:anchorlock/>
          </v:shape>
          <o:OLEObject Type="Embed" ProgID="Equation.3" ShapeID="_x0000_i1085" DrawAspect="Content" ObjectID="_1468075785" r:id="rId219">
            <o:LockedField>false</o:LockedField>
          </o:OLEObject>
        </w:object>
      </w:r>
    </w:p>
    <w:p>
      <w:pPr>
        <w:spacing w:line="360" w:lineRule="auto"/>
        <w:ind w:firstLine="420" w:firstLineChars="200"/>
        <w:rPr>
          <w:szCs w:val="21"/>
        </w:rPr>
      </w:pPr>
      <w:r>
        <w:rPr>
          <w:szCs w:val="21"/>
        </w:rPr>
        <w:t>总的课程目标达成度评价采用下式：</w:t>
      </w:r>
    </w:p>
    <w:p>
      <w:pPr>
        <w:spacing w:line="360" w:lineRule="auto"/>
        <w:ind w:firstLine="420" w:firstLineChars="200"/>
        <w:rPr>
          <w:szCs w:val="21"/>
        </w:rPr>
      </w:pPr>
      <w:r>
        <w:rPr>
          <w:position w:val="-30"/>
          <w:szCs w:val="21"/>
        </w:rPr>
        <w:object>
          <v:shape id="_x0000_i1086" o:spt="75" type="#_x0000_t75" style="height:36pt;width:151pt;" o:ole="t" filled="f" o:preferrelative="t" stroked="f" coordsize="21600,21600">
            <v:path/>
            <v:fill on="f" focussize="0,0"/>
            <v:stroke on="f" joinstyle="miter"/>
            <v:imagedata r:id="rId147" o:title=""/>
            <o:lock v:ext="edit" aspectratio="t"/>
            <w10:wrap type="none"/>
            <w10:anchorlock/>
          </v:shape>
          <o:OLEObject Type="Embed" ProgID="Equation.3" ShapeID="_x0000_i1086" DrawAspect="Content" ObjectID="_1468075786" r:id="rId220">
            <o:LockedField>false</o:LockedField>
          </o:OLEObject>
        </w:object>
      </w:r>
    </w:p>
    <w:p>
      <w:pPr>
        <w:spacing w:line="360" w:lineRule="auto"/>
        <w:ind w:firstLine="420" w:firstLineChars="200"/>
        <w:rPr>
          <w:szCs w:val="21"/>
        </w:rPr>
      </w:pPr>
      <w:r>
        <w:rPr>
          <w:szCs w:val="21"/>
        </w:rPr>
        <w:t>以上公式中：</w:t>
      </w:r>
    </w:p>
    <w:p>
      <w:pPr>
        <w:spacing w:line="360" w:lineRule="auto"/>
        <w:ind w:firstLine="420" w:firstLineChars="200"/>
        <w:rPr>
          <w:szCs w:val="21"/>
        </w:rPr>
      </w:pPr>
      <w:r>
        <w:rPr>
          <w:i/>
          <w:szCs w:val="21"/>
        </w:rPr>
        <w:t>k</w:t>
      </w:r>
      <w:r>
        <w:rPr>
          <w:szCs w:val="21"/>
        </w:rPr>
        <w:t>表示不同的评价方式，</w:t>
      </w:r>
      <w:r>
        <w:rPr>
          <w:i/>
          <w:szCs w:val="21"/>
        </w:rPr>
        <w:t>i</w:t>
      </w:r>
      <w:r>
        <w:rPr>
          <w:szCs w:val="21"/>
        </w:rPr>
        <w:t>表示不同的课程目标。</w:t>
      </w:r>
    </w:p>
    <w:p>
      <w:pPr>
        <w:spacing w:line="360" w:lineRule="auto"/>
        <w:ind w:firstLine="420" w:firstLineChars="200"/>
      </w:pPr>
      <w:r>
        <w:rPr>
          <w:position w:val="-10"/>
        </w:rPr>
        <w:object>
          <v:shape id="_x0000_i1087" o:spt="75" type="#_x0000_t75" style="height:14.5pt;width:14.5pt;" o:ole="t" filled="f" o:preferrelative="t" stroked="f" coordsize="21600,21600">
            <v:path/>
            <v:fill on="f" focussize="0,0"/>
            <v:stroke on="f" joinstyle="miter"/>
            <v:imagedata r:id="rId149" o:title=""/>
            <o:lock v:ext="edit" aspectratio="t"/>
            <w10:wrap type="none"/>
            <w10:anchorlock/>
          </v:shape>
          <o:OLEObject Type="Embed" ProgID="Equation.3" ShapeID="_x0000_i1087" DrawAspect="Content" ObjectID="_1468075787" r:id="rId221">
            <o:LockedField>false</o:LockedField>
          </o:OLEObject>
        </w:object>
      </w:r>
      <w:r>
        <w:t>表示第</w:t>
      </w:r>
      <w:r>
        <w:rPr>
          <w:i/>
        </w:rPr>
        <w:t>k</w:t>
      </w:r>
      <w:r>
        <w:t>种评价方式期末评价成绩平均分，均为百分制；</w:t>
      </w:r>
    </w:p>
    <w:p>
      <w:pPr>
        <w:spacing w:line="360" w:lineRule="auto"/>
        <w:ind w:firstLine="420" w:firstLineChars="200"/>
      </w:pPr>
      <w:r>
        <w:rPr>
          <w:position w:val="-10"/>
        </w:rPr>
        <w:object>
          <v:shape id="_x0000_i1088" o:spt="75" type="#_x0000_t75" style="height:14.5pt;width:72pt;" o:ole="t" filled="f" o:preferrelative="t" stroked="f" coordsize="21600,21600">
            <v:path/>
            <v:fill on="f" focussize="0,0"/>
            <v:stroke on="f" joinstyle="miter"/>
            <v:imagedata r:id="rId151" o:title=""/>
            <o:lock v:ext="edit" aspectratio="t"/>
            <w10:wrap type="none"/>
            <w10:anchorlock/>
          </v:shape>
          <o:OLEObject Type="Embed" ProgID="Equation.3" ShapeID="_x0000_i1088" DrawAspect="Content" ObjectID="_1468075788" r:id="rId222">
            <o:LockedField>false</o:LockedField>
          </o:OLEObject>
        </w:object>
      </w:r>
      <w:r>
        <w:t>是第</w:t>
      </w:r>
      <w:r>
        <w:rPr>
          <w:i/>
        </w:rPr>
        <w:t>k</w:t>
      </w:r>
      <w:r>
        <w:t>种评价方式通过第</w:t>
      </w:r>
      <w:r>
        <w:rPr>
          <w:i/>
        </w:rPr>
        <w:t>i</w:t>
      </w:r>
      <w:r>
        <w:t>个课程目标反映在总的课程目标评分占比；</w:t>
      </w:r>
    </w:p>
    <w:p>
      <w:pPr>
        <w:spacing w:line="360" w:lineRule="auto"/>
        <w:ind w:firstLine="420" w:firstLineChars="200"/>
        <w:rPr>
          <w:szCs w:val="21"/>
        </w:rPr>
      </w:pPr>
      <w:r>
        <w:rPr>
          <w:position w:val="-10"/>
        </w:rPr>
        <w:object>
          <v:shape id="_x0000_i1089" o:spt="75" type="#_x0000_t75" style="height:14.5pt;width:14.5pt;" o:ole="t" filled="f" o:preferrelative="t" stroked="f" coordsize="21600,21600">
            <v:path/>
            <v:fill on="f" focussize="0,0"/>
            <v:stroke on="f" joinstyle="miter"/>
            <v:imagedata r:id="rId153" o:title=""/>
            <o:lock v:ext="edit" aspectratio="t"/>
            <w10:wrap type="none"/>
            <w10:anchorlock/>
          </v:shape>
          <o:OLEObject Type="Embed" ProgID="Equation.3" ShapeID="_x0000_i1089" DrawAspect="Content" ObjectID="_1468075789" r:id="rId223">
            <o:LockedField>false</o:LockedField>
          </o:OLEObject>
        </w:object>
      </w:r>
      <w:r>
        <w:t>表示第</w:t>
      </w:r>
      <w:r>
        <w:rPr>
          <w:i/>
        </w:rPr>
        <w:t>k</w:t>
      </w:r>
      <w:r>
        <w:t>种评价方式对第</w:t>
      </w:r>
      <w:r>
        <w:rPr>
          <w:i/>
        </w:rPr>
        <w:t>i</w:t>
      </w:r>
      <w:r>
        <w:t>个课程目标百分占比；</w:t>
      </w:r>
    </w:p>
    <w:p>
      <w:pPr>
        <w:spacing w:line="360" w:lineRule="auto"/>
        <w:ind w:firstLine="420" w:firstLineChars="200"/>
      </w:pPr>
      <w:r>
        <w:rPr>
          <w:position w:val="-10"/>
        </w:rPr>
        <w:object>
          <v:shape id="_x0000_i1090" o:spt="75" type="#_x0000_t75" style="height:14.5pt;width:14.5pt;" o:ole="t" filled="f" o:preferrelative="t" stroked="f" coordsize="21600,21600">
            <v:path/>
            <v:fill on="f" focussize="0,0"/>
            <v:stroke on="f" joinstyle="miter"/>
            <v:imagedata r:id="rId155" o:title=""/>
            <o:lock v:ext="edit" aspectratio="t"/>
            <w10:wrap type="none"/>
            <w10:anchorlock/>
          </v:shape>
          <o:OLEObject Type="Embed" ProgID="Equation.3" ShapeID="_x0000_i1090" DrawAspect="Content" ObjectID="_1468075790" r:id="rId224">
            <o:LockedField>false</o:LockedField>
          </o:OLEObject>
        </w:object>
      </w:r>
      <w:r>
        <w:t>表示第</w:t>
      </w:r>
      <w:r>
        <w:rPr>
          <w:i/>
        </w:rPr>
        <w:t>i</w:t>
      </w:r>
      <w:r>
        <w:t>个课程目标在课程总评价中的占比；</w:t>
      </w:r>
    </w:p>
    <w:p>
      <w:pPr>
        <w:spacing w:line="360" w:lineRule="auto"/>
        <w:ind w:firstLine="422" w:firstLineChars="200"/>
        <w:rPr>
          <w:b/>
          <w:bCs/>
          <w:position w:val="-10"/>
          <w:szCs w:val="22"/>
        </w:rPr>
      </w:pPr>
      <w:r>
        <w:rPr>
          <w:rFonts w:hint="eastAsia"/>
          <w:b/>
          <w:bCs/>
          <w:position w:val="-10"/>
          <w:szCs w:val="22"/>
        </w:rPr>
        <w:t>课程目标定性评价：</w:t>
      </w:r>
    </w:p>
    <w:p>
      <w:pPr>
        <w:spacing w:line="360" w:lineRule="auto"/>
        <w:ind w:firstLine="420" w:firstLineChars="200"/>
        <w:rPr>
          <w:rFonts w:ascii="宋体" w:hAnsi="宋体" w:cs="宋体"/>
          <w:szCs w:val="21"/>
        </w:rPr>
      </w:pPr>
      <w:r>
        <w:rPr>
          <w:rFonts w:hint="eastAsia" w:ascii="宋体" w:hAnsi="宋体" w:cs="宋体"/>
          <w:szCs w:val="21"/>
        </w:rPr>
        <w:t>针对每门课的课程目标，直接设计问题，并要求学生明确给出目标能力达到的程度“很好（0.95）、较好（0.75）、中（0.60）、较差（0.45）、很差（0.25）”，根据各区段统计比例与括号中的目标分值加权后求和得出定性评价的结果。</w:t>
      </w:r>
    </w:p>
    <w:p>
      <w:pPr>
        <w:spacing w:line="360" w:lineRule="auto"/>
        <w:ind w:firstLine="422" w:firstLineChars="200"/>
        <w:rPr>
          <w:b/>
          <w:bCs/>
          <w:position w:val="-10"/>
          <w:szCs w:val="22"/>
        </w:rPr>
      </w:pPr>
      <w:r>
        <w:rPr>
          <w:rFonts w:hint="eastAsia"/>
          <w:b/>
          <w:bCs/>
          <w:position w:val="-10"/>
          <w:szCs w:val="22"/>
        </w:rPr>
        <w:t>课程目标达成结果：</w:t>
      </w:r>
    </w:p>
    <w:p>
      <w:pPr>
        <w:spacing w:line="360" w:lineRule="auto"/>
        <w:ind w:firstLine="420" w:firstLineChars="200"/>
        <w:rPr>
          <w:rFonts w:ascii="宋体" w:hAnsi="宋体" w:cs="宋体"/>
          <w:szCs w:val="21"/>
        </w:rPr>
      </w:pPr>
      <w:r>
        <w:rPr>
          <w:rFonts w:hint="eastAsia" w:ascii="宋体" w:hAnsi="宋体" w:cs="宋体"/>
          <w:szCs w:val="21"/>
        </w:rPr>
        <w:t>同一课程目标的评价，取定性评价和定量评价的平均值，作为最终评价结果。</w:t>
      </w:r>
    </w:p>
    <w:p>
      <w:pPr>
        <w:spacing w:line="360" w:lineRule="auto"/>
        <w:ind w:firstLine="420" w:firstLineChars="200"/>
        <w:rPr>
          <w:position w:val="-10"/>
          <w:szCs w:val="22"/>
        </w:rPr>
      </w:pPr>
      <w:r>
        <w:rPr>
          <w:rFonts w:hint="eastAsia"/>
          <w:position w:val="-10"/>
          <w:szCs w:val="22"/>
        </w:rPr>
        <w:t>课程目标达成度大于等于0.71为一级达成，大于等于0.65为二级达成。</w:t>
      </w:r>
    </w:p>
    <w:p>
      <w:pPr>
        <w:widowControl/>
        <w:jc w:val="left"/>
        <w:rPr>
          <w:rFonts w:eastAsia="黑体"/>
          <w:szCs w:val="24"/>
        </w:rPr>
      </w:pPr>
    </w:p>
    <w:p>
      <w:pPr>
        <w:tabs>
          <w:tab w:val="left" w:pos="420"/>
        </w:tabs>
        <w:adjustRightInd w:val="0"/>
        <w:snapToGrid w:val="0"/>
        <w:spacing w:line="360" w:lineRule="auto"/>
        <w:ind w:left="420" w:hanging="420"/>
        <w:rPr>
          <w:rFonts w:eastAsia="黑体"/>
          <w:szCs w:val="24"/>
        </w:rPr>
      </w:pPr>
      <w:r>
        <w:rPr>
          <w:rFonts w:hint="eastAsia" w:eastAsia="黑体"/>
          <w:szCs w:val="24"/>
        </w:rPr>
        <w:t>十一、各环节评价标准</w:t>
      </w:r>
    </w:p>
    <w:p>
      <w:pPr>
        <w:spacing w:line="360" w:lineRule="auto"/>
        <w:ind w:firstLine="420" w:firstLineChars="200"/>
        <w:rPr>
          <w:szCs w:val="21"/>
        </w:rPr>
      </w:pPr>
      <w:r>
        <w:rPr>
          <w:rFonts w:hint="eastAsia"/>
          <w:szCs w:val="21"/>
        </w:rPr>
        <w:t>本课程允许教师在各评价环节根据具体情况采取多样化、个性化的考核手段，其评价标准应当在《</w:t>
      </w:r>
      <w:r>
        <w:rPr>
          <w:rFonts w:hint="eastAsia" w:ascii="宋体" w:hAnsi="宋体"/>
          <w:szCs w:val="21"/>
        </w:rPr>
        <w:t>SIE-CT-01：</w:t>
      </w:r>
      <w:r>
        <w:rPr>
          <w:rFonts w:hint="eastAsia"/>
          <w:szCs w:val="21"/>
        </w:rPr>
        <w:t>授课计划》中明确并向学生公布，教学过程中的考核评价应当严格按照标准完成。</w:t>
      </w:r>
    </w:p>
    <w:p>
      <w:pPr>
        <w:tabs>
          <w:tab w:val="left" w:pos="420"/>
        </w:tabs>
        <w:adjustRightInd w:val="0"/>
        <w:snapToGrid w:val="0"/>
        <w:spacing w:line="360" w:lineRule="auto"/>
        <w:ind w:left="420" w:hanging="420"/>
        <w:rPr>
          <w:color w:val="0000FF"/>
        </w:rPr>
      </w:pPr>
    </w:p>
    <w:p>
      <w:pPr>
        <w:tabs>
          <w:tab w:val="left" w:pos="420"/>
        </w:tabs>
        <w:adjustRightInd w:val="0"/>
        <w:snapToGrid w:val="0"/>
        <w:spacing w:line="360" w:lineRule="auto"/>
        <w:ind w:left="420" w:hanging="420"/>
        <w:rPr>
          <w:rFonts w:eastAsia="黑体"/>
          <w:szCs w:val="24"/>
        </w:rPr>
      </w:pPr>
      <w:r>
        <w:rPr>
          <w:rFonts w:hint="eastAsia" w:eastAsia="黑体"/>
          <w:szCs w:val="24"/>
        </w:rPr>
        <w:t>十二、课程目标达成评价结果用于持续改进</w:t>
      </w:r>
    </w:p>
    <w:p>
      <w:pPr>
        <w:spacing w:line="360" w:lineRule="auto"/>
        <w:ind w:firstLine="420" w:firstLineChars="200"/>
        <w:rPr>
          <w:szCs w:val="21"/>
        </w:rPr>
      </w:pPr>
      <w:r>
        <w:rPr>
          <w:rFonts w:hint="eastAsia"/>
          <w:szCs w:val="21"/>
        </w:rPr>
        <w:t>课程目标达成评价结果将用于后续教学过程的持续改进。</w:t>
      </w:r>
    </w:p>
    <w:p>
      <w:pPr>
        <w:spacing w:line="360" w:lineRule="auto"/>
        <w:ind w:firstLine="420" w:firstLineChars="200"/>
        <w:rPr>
          <w:szCs w:val="21"/>
        </w:rPr>
      </w:pPr>
      <w:r>
        <w:rPr>
          <w:rFonts w:hint="eastAsia"/>
          <w:szCs w:val="21"/>
        </w:rPr>
        <w:t>针对课程目标达成评价中发现的问题与不足，重点是达成值相对较低的项，在本次授课总结中应由授课教师分析具体原因，并给出改进建议。后续任课教师应当针对以前的问题和建议，在授课计划中做好落实改进计划，并在授课过程中予以落实。</w:t>
      </w:r>
    </w:p>
    <w:p>
      <w:pPr>
        <w:pStyle w:val="18"/>
        <w:spacing w:before="240" w:after="360"/>
      </w:pPr>
      <w:bookmarkStart w:id="21" w:name="_Toc2526"/>
      <w:r>
        <w:rPr>
          <w:rFonts w:hint="eastAsia"/>
        </w:rPr>
        <w:t>《光电探测技术》教学大纲</w:t>
      </w:r>
      <w:bookmarkEnd w:id="21"/>
    </w:p>
    <w:p>
      <w:pPr>
        <w:adjustRightInd w:val="0"/>
        <w:snapToGrid w:val="0"/>
        <w:spacing w:line="360" w:lineRule="auto"/>
        <w:rPr>
          <w:bCs/>
          <w:kern w:val="0"/>
        </w:rPr>
      </w:pPr>
      <w:r>
        <w:rPr>
          <w:rFonts w:hint="eastAsia" w:eastAsia="黑体"/>
          <w:szCs w:val="21"/>
        </w:rPr>
        <w:t>课程编号：</w:t>
      </w:r>
      <w:r>
        <w:rPr>
          <w:bCs/>
          <w:kern w:val="0"/>
        </w:rPr>
        <w:t>Y06060027</w:t>
      </w:r>
    </w:p>
    <w:p>
      <w:pPr>
        <w:adjustRightInd w:val="0"/>
        <w:snapToGrid w:val="0"/>
        <w:spacing w:line="360" w:lineRule="auto"/>
        <w:rPr>
          <w:snapToGrid w:val="0"/>
          <w:kern w:val="0"/>
          <w:szCs w:val="21"/>
        </w:rPr>
      </w:pPr>
      <w:r>
        <w:rPr>
          <w:rFonts w:hint="eastAsia" w:eastAsia="黑体"/>
          <w:szCs w:val="21"/>
        </w:rPr>
        <w:t>课程名称：</w:t>
      </w:r>
      <w:r>
        <w:rPr>
          <w:rFonts w:hint="eastAsia"/>
          <w:szCs w:val="21"/>
        </w:rPr>
        <w:t>光电探测技术</w:t>
      </w:r>
      <w:r>
        <w:rPr>
          <w:szCs w:val="21"/>
        </w:rPr>
        <w:tab/>
      </w:r>
      <w:r>
        <w:rPr>
          <w:szCs w:val="21"/>
        </w:rPr>
        <w:tab/>
      </w:r>
      <w:r>
        <w:rPr>
          <w:szCs w:val="21"/>
        </w:rPr>
        <w:tab/>
      </w:r>
      <w:r>
        <w:rPr>
          <w:szCs w:val="21"/>
        </w:rPr>
        <w:tab/>
      </w:r>
      <w:r>
        <w:rPr>
          <w:szCs w:val="21"/>
        </w:rPr>
        <w:tab/>
      </w:r>
      <w:r>
        <w:rPr>
          <w:rFonts w:hint="eastAsia" w:eastAsia="黑体"/>
          <w:szCs w:val="21"/>
        </w:rPr>
        <w:t>开课单位：</w:t>
      </w:r>
      <w:r>
        <w:rPr>
          <w:rFonts w:hint="eastAsia"/>
          <w:szCs w:val="21"/>
        </w:rPr>
        <w:t>仪器与电子学院</w:t>
      </w:r>
      <w:r>
        <w:rPr>
          <w:rFonts w:eastAsia="黑体"/>
          <w:szCs w:val="21"/>
        </w:rPr>
        <w:tab/>
      </w:r>
    </w:p>
    <w:p>
      <w:pPr>
        <w:adjustRightInd w:val="0"/>
        <w:snapToGrid w:val="0"/>
        <w:spacing w:line="360" w:lineRule="auto"/>
        <w:rPr>
          <w:rFonts w:eastAsia="黑体"/>
          <w:szCs w:val="21"/>
        </w:rPr>
      </w:pPr>
      <w:r>
        <w:rPr>
          <w:rFonts w:hint="eastAsia" w:eastAsia="黑体"/>
          <w:szCs w:val="21"/>
        </w:rPr>
        <w:t>总学时：</w:t>
      </w:r>
      <w:r>
        <w:rPr>
          <w:szCs w:val="21"/>
        </w:rPr>
        <w:t>32 (</w:t>
      </w:r>
      <w:r>
        <w:rPr>
          <w:rFonts w:hint="eastAsia"/>
          <w:szCs w:val="21"/>
        </w:rPr>
        <w:t>实验</w:t>
      </w:r>
      <w:r>
        <w:rPr>
          <w:szCs w:val="21"/>
        </w:rPr>
        <w:t>10</w:t>
      </w:r>
      <w:r>
        <w:rPr>
          <w:rFonts w:hint="eastAsia"/>
          <w:szCs w:val="21"/>
        </w:rPr>
        <w:t>学时</w:t>
      </w:r>
      <w:r>
        <w:rPr>
          <w:szCs w:val="21"/>
        </w:rPr>
        <w:t>)</w:t>
      </w:r>
      <w:r>
        <w:rPr>
          <w:rFonts w:eastAsia="黑体"/>
          <w:szCs w:val="21"/>
        </w:rPr>
        <w:tab/>
      </w:r>
      <w:r>
        <w:rPr>
          <w:rFonts w:eastAsia="黑体"/>
          <w:szCs w:val="21"/>
        </w:rPr>
        <w:tab/>
      </w:r>
      <w:r>
        <w:rPr>
          <w:rFonts w:eastAsia="黑体"/>
          <w:szCs w:val="21"/>
        </w:rPr>
        <w:tab/>
      </w:r>
      <w:r>
        <w:rPr>
          <w:rFonts w:eastAsia="黑体"/>
          <w:szCs w:val="21"/>
        </w:rPr>
        <w:tab/>
      </w:r>
      <w:r>
        <w:rPr>
          <w:rFonts w:hint="eastAsia" w:eastAsia="黑体"/>
          <w:szCs w:val="21"/>
        </w:rPr>
        <w:t>学分：</w:t>
      </w:r>
      <w:r>
        <w:rPr>
          <w:rFonts w:eastAsia="黑体"/>
          <w:szCs w:val="21"/>
        </w:rPr>
        <w:t>2</w:t>
      </w:r>
    </w:p>
    <w:p>
      <w:pPr>
        <w:adjustRightInd w:val="0"/>
        <w:snapToGrid w:val="0"/>
        <w:spacing w:line="360" w:lineRule="auto"/>
        <w:rPr>
          <w:rFonts w:eastAsia="黑体"/>
          <w:szCs w:val="21"/>
        </w:rPr>
      </w:pPr>
      <w:r>
        <w:rPr>
          <w:rFonts w:hint="eastAsia" w:eastAsia="黑体"/>
          <w:szCs w:val="21"/>
        </w:rPr>
        <w:t>适用专业：</w:t>
      </w:r>
      <w:r>
        <w:rPr>
          <w:szCs w:val="21"/>
        </w:rPr>
        <w:t>测控技术与仪器</w:t>
      </w:r>
      <w:r>
        <w:rPr>
          <w:rFonts w:hint="eastAsia"/>
          <w:szCs w:val="21"/>
        </w:rPr>
        <w:t>专业、电子科学与技术专业、</w:t>
      </w:r>
      <w:r>
        <w:rPr>
          <w:rFonts w:hint="eastAsia"/>
          <w:szCs w:val="21"/>
          <w:lang w:eastAsia="zh-CN"/>
        </w:rPr>
        <w:t>智能感知工程</w:t>
      </w:r>
      <w:r>
        <w:rPr>
          <w:rFonts w:hint="eastAsia"/>
          <w:szCs w:val="21"/>
        </w:rPr>
        <w:t>专业</w:t>
      </w:r>
    </w:p>
    <w:p>
      <w:pPr>
        <w:adjustRightInd w:val="0"/>
        <w:snapToGrid w:val="0"/>
        <w:spacing w:line="360" w:lineRule="auto"/>
        <w:rPr>
          <w:szCs w:val="21"/>
        </w:rPr>
      </w:pPr>
      <w:r>
        <w:rPr>
          <w:rFonts w:hint="eastAsia" w:eastAsia="黑体"/>
          <w:szCs w:val="21"/>
        </w:rPr>
        <w:t>先修课程：</w:t>
      </w:r>
      <w:r>
        <w:rPr>
          <w:rFonts w:hint="eastAsia"/>
          <w:szCs w:val="21"/>
        </w:rPr>
        <w:t>大学物理、模拟电子技术、数字电子技术、半导体物理、传感器原理及设计</w:t>
      </w:r>
    </w:p>
    <w:p>
      <w:pPr>
        <w:adjustRightInd w:val="0"/>
        <w:snapToGrid w:val="0"/>
        <w:spacing w:line="360" w:lineRule="auto"/>
        <w:rPr>
          <w:szCs w:val="21"/>
        </w:rPr>
      </w:pPr>
      <w:r>
        <w:rPr>
          <w:rFonts w:hint="eastAsia" w:eastAsia="黑体"/>
          <w:szCs w:val="21"/>
        </w:rPr>
        <w:t>大纲撰写人：</w:t>
      </w:r>
      <w:r>
        <w:rPr>
          <w:rFonts w:hint="eastAsia"/>
          <w:szCs w:val="21"/>
        </w:rPr>
        <w:t>刘文耀</w:t>
      </w:r>
    </w:p>
    <w:p>
      <w:pPr>
        <w:adjustRightInd w:val="0"/>
        <w:snapToGrid w:val="0"/>
        <w:spacing w:line="360" w:lineRule="auto"/>
        <w:rPr>
          <w:szCs w:val="21"/>
        </w:rPr>
      </w:pPr>
      <w:r>
        <w:rPr>
          <w:rFonts w:hint="eastAsia" w:eastAsia="黑体"/>
          <w:szCs w:val="21"/>
        </w:rPr>
        <w:t>大纲编写（修订）</w:t>
      </w:r>
      <w:r>
        <w:rPr>
          <w:rFonts w:eastAsia="黑体"/>
          <w:szCs w:val="21"/>
        </w:rPr>
        <w:t>时间：</w:t>
      </w:r>
      <w:r>
        <w:rPr>
          <w:szCs w:val="21"/>
        </w:rPr>
        <w:t>2019年5月</w:t>
      </w:r>
    </w:p>
    <w:p>
      <w:pPr>
        <w:rPr>
          <w:b/>
          <w:szCs w:val="21"/>
        </w:rPr>
      </w:pPr>
    </w:p>
    <w:p>
      <w:pPr>
        <w:numPr>
          <w:ilvl w:val="0"/>
          <w:numId w:val="9"/>
        </w:numPr>
        <w:adjustRightInd w:val="0"/>
        <w:snapToGrid w:val="0"/>
        <w:spacing w:line="360" w:lineRule="auto"/>
        <w:rPr>
          <w:rFonts w:eastAsia="黑体"/>
          <w:szCs w:val="21"/>
        </w:rPr>
      </w:pPr>
      <w:r>
        <w:rPr>
          <w:rFonts w:hint="eastAsia" w:eastAsia="黑体"/>
          <w:szCs w:val="21"/>
        </w:rPr>
        <w:t>课程在教学计划中的地位、作用</w:t>
      </w:r>
    </w:p>
    <w:p>
      <w:pPr>
        <w:spacing w:line="360" w:lineRule="auto"/>
        <w:ind w:firstLine="420" w:firstLineChars="200"/>
        <w:rPr>
          <w:szCs w:val="21"/>
        </w:rPr>
      </w:pPr>
      <w:r>
        <w:rPr>
          <w:rFonts w:hint="eastAsia"/>
          <w:szCs w:val="21"/>
        </w:rPr>
        <w:t>光电探测技术是一门将传统的光学技术与现代微电子技术、计算机技术紧密结合在一起的一门高新技术，以光电技术为支撑的光电子产业是当今世界各国争相发展的支柱产业，是竞争激烈、发展最快的信息技术产业的主力军。这一技术具有高精度、高速度、远距离、大量程、非接触测量和寿命长等特点，目前已经渗透到诸多科学领域，在工业、农业、军事、航空航天以及日常生活中均得到了广泛的应用。课程内容以光电探测的物理原理、光电探测器、光电信号探测与处理和典型光电探测系统分析为主线，使学生理解掌握光电探测系统的总体框架，形成较完整的光电技术知识体系，具备光电探测所涉及的器件分析、设计能力。</w:t>
      </w:r>
    </w:p>
    <w:p>
      <w:pPr>
        <w:tabs>
          <w:tab w:val="left" w:pos="420"/>
        </w:tabs>
        <w:adjustRightInd w:val="0"/>
        <w:snapToGrid w:val="0"/>
        <w:spacing w:line="360" w:lineRule="auto"/>
        <w:ind w:left="420" w:hanging="420"/>
        <w:rPr>
          <w:rFonts w:eastAsia="黑体"/>
          <w:szCs w:val="21"/>
        </w:rPr>
      </w:pPr>
    </w:p>
    <w:p>
      <w:pPr>
        <w:tabs>
          <w:tab w:val="left" w:pos="420"/>
        </w:tabs>
        <w:adjustRightInd w:val="0"/>
        <w:snapToGrid w:val="0"/>
        <w:spacing w:line="360" w:lineRule="auto"/>
        <w:ind w:left="420" w:hanging="420"/>
        <w:rPr>
          <w:rFonts w:eastAsia="黑体"/>
          <w:szCs w:val="21"/>
        </w:rPr>
      </w:pPr>
      <w:r>
        <w:rPr>
          <w:rFonts w:hint="eastAsia" w:eastAsia="黑体"/>
          <w:szCs w:val="21"/>
        </w:rPr>
        <w:t>二、课程目标</w:t>
      </w:r>
    </w:p>
    <w:p>
      <w:pPr>
        <w:tabs>
          <w:tab w:val="left" w:pos="420"/>
        </w:tabs>
        <w:adjustRightInd w:val="0"/>
        <w:snapToGrid w:val="0"/>
        <w:spacing w:line="360" w:lineRule="auto"/>
        <w:ind w:left="420" w:hanging="420"/>
        <w:jc w:val="left"/>
        <w:rPr>
          <w:szCs w:val="21"/>
        </w:rPr>
      </w:pPr>
      <w:r>
        <w:rPr>
          <w:szCs w:val="21"/>
        </w:rPr>
        <w:t>测控技术与仪器</w:t>
      </w:r>
      <w:r>
        <w:rPr>
          <w:rFonts w:hint="eastAsia"/>
          <w:szCs w:val="21"/>
        </w:rPr>
        <w:t>专业：</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4000"/>
        <w:gridCol w:w="390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before="120" w:beforeLines="50" w:line="360" w:lineRule="auto"/>
              <w:jc w:val="center"/>
              <w:rPr>
                <w:sz w:val="18"/>
                <w:szCs w:val="18"/>
              </w:rPr>
            </w:pPr>
            <w:r>
              <w:rPr>
                <w:sz w:val="18"/>
                <w:szCs w:val="18"/>
              </w:rPr>
              <w:t>序号</w:t>
            </w:r>
          </w:p>
        </w:tc>
        <w:tc>
          <w:tcPr>
            <w:tcW w:w="2345" w:type="pct"/>
            <w:vAlign w:val="center"/>
          </w:tcPr>
          <w:p>
            <w:pPr>
              <w:spacing w:before="120" w:beforeLines="50" w:line="360" w:lineRule="auto"/>
              <w:jc w:val="center"/>
              <w:rPr>
                <w:sz w:val="18"/>
                <w:szCs w:val="18"/>
              </w:rPr>
            </w:pPr>
            <w:r>
              <w:rPr>
                <w:sz w:val="18"/>
                <w:szCs w:val="18"/>
              </w:rPr>
              <w:t>课程目标</w:t>
            </w:r>
          </w:p>
        </w:tc>
        <w:tc>
          <w:tcPr>
            <w:tcW w:w="2288" w:type="pct"/>
            <w:vAlign w:val="center"/>
          </w:tcPr>
          <w:p>
            <w:pPr>
              <w:spacing w:before="120" w:beforeLines="50" w:line="360" w:lineRule="auto"/>
              <w:jc w:val="center"/>
              <w:rPr>
                <w:sz w:val="18"/>
                <w:szCs w:val="18"/>
              </w:rPr>
            </w:pPr>
            <w:r>
              <w:rPr>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1</w:t>
            </w:r>
          </w:p>
        </w:tc>
        <w:tc>
          <w:tcPr>
            <w:tcW w:w="2345" w:type="pct"/>
          </w:tcPr>
          <w:p>
            <w:pPr>
              <w:spacing w:line="360" w:lineRule="auto"/>
              <w:rPr>
                <w:sz w:val="18"/>
                <w:szCs w:val="18"/>
              </w:rPr>
            </w:pPr>
            <w:r>
              <w:rPr>
                <w:rFonts w:hint="eastAsia"/>
                <w:sz w:val="18"/>
                <w:szCs w:val="18"/>
              </w:rPr>
              <w:t>能够掌握</w:t>
            </w:r>
            <w:r>
              <w:rPr>
                <w:sz w:val="18"/>
                <w:szCs w:val="18"/>
              </w:rPr>
              <w:t>辐射度和光度学基本概念、</w:t>
            </w:r>
            <w:r>
              <w:rPr>
                <w:rFonts w:hint="eastAsia"/>
                <w:sz w:val="18"/>
                <w:szCs w:val="18"/>
              </w:rPr>
              <w:t>光电探测器中的常见光源，光电导探测器，光伏探测器，光电子发射探测器，热探测器，光电图像探测器等方面的基本理论知识和应用技术。</w:t>
            </w:r>
          </w:p>
        </w:tc>
        <w:tc>
          <w:tcPr>
            <w:tcW w:w="2288" w:type="pct"/>
          </w:tcPr>
          <w:p>
            <w:pPr>
              <w:spacing w:line="360" w:lineRule="auto"/>
              <w:rPr>
                <w:sz w:val="18"/>
                <w:szCs w:val="18"/>
              </w:rPr>
            </w:pPr>
            <w:r>
              <w:rPr>
                <w:rFonts w:hint="eastAsia"/>
                <w:b/>
                <w:sz w:val="18"/>
                <w:szCs w:val="18"/>
              </w:rPr>
              <w:t>指标点</w:t>
            </w:r>
            <w:r>
              <w:rPr>
                <w:b/>
                <w:sz w:val="18"/>
                <w:szCs w:val="18"/>
              </w:rPr>
              <w:t xml:space="preserve">1-1 </w:t>
            </w:r>
            <w:r>
              <w:rPr>
                <w:rFonts w:hint="eastAsia"/>
                <w:b/>
                <w:sz w:val="18"/>
                <w:szCs w:val="18"/>
              </w:rPr>
              <w:t>知识体系</w:t>
            </w:r>
            <w:r>
              <w:rPr>
                <w:rFonts w:hint="eastAsia"/>
                <w:sz w:val="18"/>
                <w:szCs w:val="18"/>
              </w:rPr>
              <w:t>：具备本专业相关的数学、自然科学、工程基础和专业等多方面的知识。</w:t>
            </w:r>
          </w:p>
          <w:p>
            <w:pPr>
              <w:spacing w:line="360" w:lineRule="auto"/>
              <w:rPr>
                <w:b/>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2</w:t>
            </w:r>
          </w:p>
        </w:tc>
        <w:tc>
          <w:tcPr>
            <w:tcW w:w="2345" w:type="pct"/>
          </w:tcPr>
          <w:p>
            <w:pPr>
              <w:spacing w:line="360" w:lineRule="auto"/>
              <w:rPr>
                <w:sz w:val="18"/>
                <w:szCs w:val="18"/>
              </w:rPr>
            </w:pPr>
            <w:r>
              <w:rPr>
                <w:sz w:val="18"/>
                <w:szCs w:val="18"/>
              </w:rPr>
              <w:t>能够</w:t>
            </w:r>
            <w:r>
              <w:rPr>
                <w:rFonts w:hint="eastAsia"/>
                <w:sz w:val="18"/>
                <w:szCs w:val="18"/>
              </w:rPr>
              <w:t>了解典型光电器件的基本原理结构、特性参数和典型应用</w:t>
            </w:r>
            <w:r>
              <w:rPr>
                <w:sz w:val="18"/>
                <w:szCs w:val="18"/>
              </w:rPr>
              <w:t>，</w:t>
            </w:r>
            <w:r>
              <w:rPr>
                <w:rFonts w:hint="eastAsia"/>
                <w:sz w:val="18"/>
                <w:szCs w:val="18"/>
              </w:rPr>
              <w:t>借助</w:t>
            </w:r>
            <w:r>
              <w:rPr>
                <w:sz w:val="18"/>
                <w:szCs w:val="18"/>
              </w:rPr>
              <w:t>光电信号的转换电路与探测方法，能设计简单的光电探测系统</w:t>
            </w:r>
            <w:r>
              <w:rPr>
                <w:rFonts w:hint="eastAsia"/>
                <w:sz w:val="18"/>
                <w:szCs w:val="18"/>
              </w:rPr>
              <w:t>，</w:t>
            </w:r>
            <w:r>
              <w:rPr>
                <w:sz w:val="18"/>
                <w:szCs w:val="18"/>
              </w:rPr>
              <w:t>并通过对领域最新进展的调研</w:t>
            </w:r>
            <w:r>
              <w:rPr>
                <w:rFonts w:hint="eastAsia"/>
                <w:sz w:val="18"/>
                <w:szCs w:val="18"/>
              </w:rPr>
              <w:t>，提出系统的改善和优化方法。</w:t>
            </w:r>
          </w:p>
        </w:tc>
        <w:tc>
          <w:tcPr>
            <w:tcW w:w="2288" w:type="pct"/>
          </w:tcPr>
          <w:p>
            <w:pPr>
              <w:spacing w:line="360" w:lineRule="auto"/>
              <w:rPr>
                <w:b/>
                <w:sz w:val="18"/>
                <w:szCs w:val="18"/>
              </w:rPr>
            </w:pPr>
            <w:r>
              <w:rPr>
                <w:rFonts w:hint="eastAsia"/>
                <w:b/>
                <w:sz w:val="18"/>
                <w:szCs w:val="18"/>
              </w:rPr>
              <w:t>指标点</w:t>
            </w:r>
            <w:r>
              <w:rPr>
                <w:b/>
                <w:sz w:val="18"/>
                <w:szCs w:val="18"/>
              </w:rPr>
              <w:t xml:space="preserve">4-1 </w:t>
            </w:r>
            <w:r>
              <w:rPr>
                <w:rFonts w:hint="eastAsia"/>
                <w:b/>
                <w:sz w:val="18"/>
                <w:szCs w:val="18"/>
              </w:rPr>
              <w:t>领域现状认知能力</w:t>
            </w:r>
            <w:r>
              <w:rPr>
                <w:rFonts w:hint="eastAsia"/>
                <w:sz w:val="18"/>
                <w:szCs w:val="18"/>
              </w:rPr>
              <w:t>：了解电子、微电子或仪器领域背景及经典案例，能够针对复杂工程问题提出研究思路和分析方法，并有意识地将实验结果用于指导解决方案的改善和优化。</w:t>
            </w:r>
          </w:p>
        </w:tc>
      </w:tr>
    </w:tbl>
    <w:p>
      <w:pPr>
        <w:tabs>
          <w:tab w:val="left" w:pos="420"/>
        </w:tabs>
        <w:adjustRightInd w:val="0"/>
        <w:snapToGrid w:val="0"/>
        <w:spacing w:line="360" w:lineRule="auto"/>
        <w:ind w:left="420" w:hanging="420"/>
        <w:rPr>
          <w:szCs w:val="21"/>
        </w:rPr>
      </w:pPr>
    </w:p>
    <w:p>
      <w:pPr>
        <w:tabs>
          <w:tab w:val="left" w:pos="420"/>
        </w:tabs>
        <w:adjustRightInd w:val="0"/>
        <w:snapToGrid w:val="0"/>
        <w:spacing w:line="360" w:lineRule="auto"/>
        <w:ind w:left="420" w:hanging="420"/>
        <w:jc w:val="left"/>
        <w:rPr>
          <w:szCs w:val="21"/>
        </w:rPr>
      </w:pPr>
      <w:r>
        <w:rPr>
          <w:rFonts w:hint="eastAsia"/>
          <w:szCs w:val="21"/>
        </w:rPr>
        <w:t>电子科学与技术专业：</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4000"/>
        <w:gridCol w:w="390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before="120" w:beforeLines="50" w:line="360" w:lineRule="auto"/>
              <w:jc w:val="center"/>
              <w:rPr>
                <w:sz w:val="18"/>
                <w:szCs w:val="18"/>
              </w:rPr>
            </w:pPr>
            <w:r>
              <w:rPr>
                <w:sz w:val="18"/>
                <w:szCs w:val="18"/>
              </w:rPr>
              <w:t>序号</w:t>
            </w:r>
          </w:p>
        </w:tc>
        <w:tc>
          <w:tcPr>
            <w:tcW w:w="2345" w:type="pct"/>
            <w:vAlign w:val="center"/>
          </w:tcPr>
          <w:p>
            <w:pPr>
              <w:spacing w:before="120" w:beforeLines="50" w:line="360" w:lineRule="auto"/>
              <w:jc w:val="center"/>
              <w:rPr>
                <w:sz w:val="18"/>
                <w:szCs w:val="18"/>
              </w:rPr>
            </w:pPr>
            <w:r>
              <w:rPr>
                <w:sz w:val="18"/>
                <w:szCs w:val="18"/>
              </w:rPr>
              <w:t>课程目标</w:t>
            </w:r>
          </w:p>
        </w:tc>
        <w:tc>
          <w:tcPr>
            <w:tcW w:w="2288" w:type="pct"/>
            <w:vAlign w:val="center"/>
          </w:tcPr>
          <w:p>
            <w:pPr>
              <w:spacing w:before="120" w:beforeLines="50" w:line="360" w:lineRule="auto"/>
              <w:jc w:val="center"/>
              <w:rPr>
                <w:sz w:val="18"/>
                <w:szCs w:val="18"/>
              </w:rPr>
            </w:pPr>
            <w:r>
              <w:rPr>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1</w:t>
            </w:r>
          </w:p>
        </w:tc>
        <w:tc>
          <w:tcPr>
            <w:tcW w:w="2345" w:type="pct"/>
          </w:tcPr>
          <w:p>
            <w:pPr>
              <w:spacing w:line="360" w:lineRule="auto"/>
              <w:rPr>
                <w:sz w:val="18"/>
                <w:szCs w:val="18"/>
              </w:rPr>
            </w:pPr>
            <w:r>
              <w:rPr>
                <w:rFonts w:hint="eastAsia"/>
                <w:sz w:val="18"/>
                <w:szCs w:val="18"/>
              </w:rPr>
              <w:t>能够掌握</w:t>
            </w:r>
            <w:r>
              <w:rPr>
                <w:sz w:val="18"/>
                <w:szCs w:val="18"/>
              </w:rPr>
              <w:t>辐射度和光度学基本概念、</w:t>
            </w:r>
            <w:r>
              <w:rPr>
                <w:rFonts w:hint="eastAsia"/>
                <w:sz w:val="18"/>
                <w:szCs w:val="18"/>
              </w:rPr>
              <w:t>光电探测器中的常见光源，光电导探测器，光伏探测器，光电子发射探测器，热探测器，光电图像探测器等方面的基本理论知识和应用技术。</w:t>
            </w:r>
          </w:p>
        </w:tc>
        <w:tc>
          <w:tcPr>
            <w:tcW w:w="2288" w:type="pct"/>
          </w:tcPr>
          <w:p>
            <w:pPr>
              <w:spacing w:line="360" w:lineRule="auto"/>
              <w:rPr>
                <w:sz w:val="18"/>
                <w:szCs w:val="18"/>
              </w:rPr>
            </w:pPr>
            <w:r>
              <w:rPr>
                <w:rFonts w:hint="eastAsia"/>
                <w:b/>
                <w:sz w:val="18"/>
                <w:szCs w:val="18"/>
              </w:rPr>
              <w:t>指标点</w:t>
            </w:r>
            <w:r>
              <w:rPr>
                <w:b/>
                <w:sz w:val="18"/>
                <w:szCs w:val="18"/>
              </w:rPr>
              <w:t xml:space="preserve">1-1 </w:t>
            </w:r>
            <w:r>
              <w:rPr>
                <w:rFonts w:hint="eastAsia"/>
                <w:b/>
                <w:sz w:val="18"/>
                <w:szCs w:val="18"/>
              </w:rPr>
              <w:t>知识体系</w:t>
            </w:r>
            <w:r>
              <w:rPr>
                <w:rFonts w:hint="eastAsia"/>
                <w:sz w:val="18"/>
                <w:szCs w:val="18"/>
              </w:rPr>
              <w:t>：具备本专业相关的数学、自然科学、工程基础和专业等多方面的知识。</w:t>
            </w:r>
          </w:p>
          <w:p>
            <w:pPr>
              <w:spacing w:line="360" w:lineRule="auto"/>
              <w:rPr>
                <w:b/>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2</w:t>
            </w:r>
          </w:p>
        </w:tc>
        <w:tc>
          <w:tcPr>
            <w:tcW w:w="2345" w:type="pct"/>
          </w:tcPr>
          <w:p>
            <w:pPr>
              <w:spacing w:line="360" w:lineRule="auto"/>
              <w:rPr>
                <w:sz w:val="18"/>
                <w:szCs w:val="18"/>
              </w:rPr>
            </w:pPr>
            <w:r>
              <w:rPr>
                <w:sz w:val="18"/>
                <w:szCs w:val="18"/>
              </w:rPr>
              <w:t>能够</w:t>
            </w:r>
            <w:r>
              <w:rPr>
                <w:rFonts w:hint="eastAsia"/>
                <w:sz w:val="18"/>
                <w:szCs w:val="18"/>
              </w:rPr>
              <w:t>了解典型光电器件的基本原理结构、特性参数和典型应用</w:t>
            </w:r>
            <w:r>
              <w:rPr>
                <w:sz w:val="18"/>
                <w:szCs w:val="18"/>
              </w:rPr>
              <w:t>，</w:t>
            </w:r>
            <w:r>
              <w:rPr>
                <w:rFonts w:hint="eastAsia"/>
                <w:sz w:val="18"/>
                <w:szCs w:val="18"/>
              </w:rPr>
              <w:t>借助</w:t>
            </w:r>
            <w:r>
              <w:rPr>
                <w:sz w:val="18"/>
                <w:szCs w:val="18"/>
              </w:rPr>
              <w:t>光电信号的转换电路与探测方法，能设计简单的光电探测系统</w:t>
            </w:r>
            <w:r>
              <w:rPr>
                <w:rFonts w:hint="eastAsia"/>
                <w:sz w:val="18"/>
                <w:szCs w:val="18"/>
              </w:rPr>
              <w:t>，</w:t>
            </w:r>
            <w:r>
              <w:rPr>
                <w:sz w:val="18"/>
                <w:szCs w:val="18"/>
              </w:rPr>
              <w:t>并通过对领域最新进展的调研</w:t>
            </w:r>
            <w:r>
              <w:rPr>
                <w:rFonts w:hint="eastAsia"/>
                <w:sz w:val="18"/>
                <w:szCs w:val="18"/>
              </w:rPr>
              <w:t>，提出系统的改善和优化方法。</w:t>
            </w:r>
          </w:p>
        </w:tc>
        <w:tc>
          <w:tcPr>
            <w:tcW w:w="2288" w:type="pct"/>
          </w:tcPr>
          <w:p>
            <w:pPr>
              <w:spacing w:line="360" w:lineRule="auto"/>
              <w:rPr>
                <w:b/>
                <w:sz w:val="18"/>
                <w:szCs w:val="18"/>
              </w:rPr>
            </w:pPr>
            <w:r>
              <w:rPr>
                <w:rFonts w:hint="eastAsia"/>
                <w:b/>
                <w:sz w:val="18"/>
                <w:szCs w:val="18"/>
              </w:rPr>
              <w:t>指标点</w:t>
            </w:r>
            <w:r>
              <w:rPr>
                <w:b/>
                <w:sz w:val="18"/>
                <w:szCs w:val="18"/>
              </w:rPr>
              <w:t xml:space="preserve">4-1 </w:t>
            </w:r>
            <w:r>
              <w:rPr>
                <w:rFonts w:hint="eastAsia"/>
                <w:b/>
                <w:sz w:val="18"/>
                <w:szCs w:val="18"/>
              </w:rPr>
              <w:t>领域现状认知能力</w:t>
            </w:r>
            <w:r>
              <w:rPr>
                <w:rFonts w:hint="eastAsia"/>
                <w:sz w:val="18"/>
                <w:szCs w:val="18"/>
              </w:rPr>
              <w:t>：了解电子、微电子或仪器领域背景及经典案例，能够针对复杂工程问题提出研究思路和分析方法，并有意识地将实验结果用于指导解决方案的改善和优化。</w:t>
            </w:r>
          </w:p>
        </w:tc>
      </w:tr>
    </w:tbl>
    <w:p>
      <w:pPr>
        <w:tabs>
          <w:tab w:val="left" w:pos="420"/>
        </w:tabs>
        <w:adjustRightInd w:val="0"/>
        <w:snapToGrid w:val="0"/>
        <w:spacing w:line="360" w:lineRule="auto"/>
        <w:ind w:left="420" w:hanging="420"/>
        <w:rPr>
          <w:rFonts w:eastAsia="黑体"/>
          <w:szCs w:val="21"/>
        </w:rPr>
      </w:pPr>
    </w:p>
    <w:p>
      <w:pPr>
        <w:tabs>
          <w:tab w:val="left" w:pos="420"/>
        </w:tabs>
        <w:adjustRightInd w:val="0"/>
        <w:snapToGrid w:val="0"/>
        <w:spacing w:line="360" w:lineRule="auto"/>
        <w:ind w:left="420" w:hanging="420"/>
        <w:jc w:val="left"/>
        <w:rPr>
          <w:szCs w:val="21"/>
        </w:rPr>
      </w:pPr>
      <w:r>
        <w:rPr>
          <w:rFonts w:hint="eastAsia"/>
          <w:szCs w:val="21"/>
          <w:lang w:eastAsia="zh-CN"/>
        </w:rPr>
        <w:t>智能感知工程</w:t>
      </w:r>
      <w:r>
        <w:rPr>
          <w:rFonts w:hint="eastAsia"/>
          <w:szCs w:val="21"/>
        </w:rPr>
        <w:t>专业：</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4000"/>
        <w:gridCol w:w="390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before="120" w:beforeLines="50" w:line="360" w:lineRule="auto"/>
              <w:jc w:val="center"/>
              <w:rPr>
                <w:sz w:val="18"/>
                <w:szCs w:val="18"/>
              </w:rPr>
            </w:pPr>
            <w:r>
              <w:rPr>
                <w:sz w:val="18"/>
                <w:szCs w:val="18"/>
              </w:rPr>
              <w:t>序号</w:t>
            </w:r>
          </w:p>
        </w:tc>
        <w:tc>
          <w:tcPr>
            <w:tcW w:w="2345" w:type="pct"/>
            <w:vAlign w:val="center"/>
          </w:tcPr>
          <w:p>
            <w:pPr>
              <w:spacing w:before="120" w:beforeLines="50" w:line="360" w:lineRule="auto"/>
              <w:jc w:val="center"/>
              <w:rPr>
                <w:sz w:val="18"/>
                <w:szCs w:val="18"/>
              </w:rPr>
            </w:pPr>
            <w:r>
              <w:rPr>
                <w:sz w:val="18"/>
                <w:szCs w:val="18"/>
              </w:rPr>
              <w:t>课程目标</w:t>
            </w:r>
          </w:p>
        </w:tc>
        <w:tc>
          <w:tcPr>
            <w:tcW w:w="2288" w:type="pct"/>
            <w:vAlign w:val="center"/>
          </w:tcPr>
          <w:p>
            <w:pPr>
              <w:spacing w:before="120" w:beforeLines="50" w:line="360" w:lineRule="auto"/>
              <w:jc w:val="center"/>
              <w:rPr>
                <w:sz w:val="18"/>
                <w:szCs w:val="18"/>
              </w:rPr>
            </w:pPr>
            <w:r>
              <w:rPr>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1</w:t>
            </w:r>
          </w:p>
        </w:tc>
        <w:tc>
          <w:tcPr>
            <w:tcW w:w="2345" w:type="pct"/>
          </w:tcPr>
          <w:p>
            <w:pPr>
              <w:spacing w:line="360" w:lineRule="auto"/>
              <w:rPr>
                <w:sz w:val="18"/>
                <w:szCs w:val="18"/>
              </w:rPr>
            </w:pPr>
            <w:r>
              <w:rPr>
                <w:rFonts w:hint="eastAsia"/>
                <w:sz w:val="18"/>
                <w:szCs w:val="18"/>
              </w:rPr>
              <w:t>能够掌握</w:t>
            </w:r>
            <w:r>
              <w:rPr>
                <w:sz w:val="18"/>
                <w:szCs w:val="18"/>
              </w:rPr>
              <w:t>辐射度和光度学基本概念、</w:t>
            </w:r>
            <w:r>
              <w:rPr>
                <w:rFonts w:hint="eastAsia"/>
                <w:sz w:val="18"/>
                <w:szCs w:val="18"/>
              </w:rPr>
              <w:t>光电探测器中的常见光源，光电导探测器，光伏探测器，光电子发射探测器，热探测器，光电图像探测器等方面的基本理论知识和应用技术。</w:t>
            </w:r>
          </w:p>
        </w:tc>
        <w:tc>
          <w:tcPr>
            <w:tcW w:w="2288" w:type="pct"/>
          </w:tcPr>
          <w:p>
            <w:pPr>
              <w:spacing w:line="360" w:lineRule="auto"/>
              <w:rPr>
                <w:sz w:val="18"/>
                <w:szCs w:val="18"/>
              </w:rPr>
            </w:pPr>
            <w:r>
              <w:rPr>
                <w:rFonts w:hint="eastAsia"/>
                <w:b/>
                <w:sz w:val="18"/>
                <w:szCs w:val="18"/>
              </w:rPr>
              <w:t>指标点</w:t>
            </w:r>
            <w:r>
              <w:rPr>
                <w:b/>
                <w:sz w:val="18"/>
                <w:szCs w:val="18"/>
              </w:rPr>
              <w:t xml:space="preserve">1-1 </w:t>
            </w:r>
            <w:r>
              <w:rPr>
                <w:rFonts w:hint="eastAsia"/>
                <w:b/>
                <w:sz w:val="18"/>
                <w:szCs w:val="18"/>
              </w:rPr>
              <w:t>知识体系</w:t>
            </w:r>
            <w:r>
              <w:rPr>
                <w:rFonts w:hint="eastAsia"/>
                <w:sz w:val="18"/>
                <w:szCs w:val="18"/>
              </w:rPr>
              <w:t>：</w:t>
            </w:r>
            <w:r>
              <w:rPr>
                <w:bCs/>
                <w:sz w:val="18"/>
                <w:szCs w:val="18"/>
              </w:rPr>
              <w:t>具备本专业相关的数学、自然科学、计算机和电子学工程基础及传感、控制等多方面的知识。</w:t>
            </w:r>
          </w:p>
          <w:p>
            <w:pPr>
              <w:spacing w:line="360" w:lineRule="auto"/>
              <w:rPr>
                <w:b/>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2</w:t>
            </w:r>
          </w:p>
        </w:tc>
        <w:tc>
          <w:tcPr>
            <w:tcW w:w="2345" w:type="pct"/>
          </w:tcPr>
          <w:p>
            <w:pPr>
              <w:spacing w:line="360" w:lineRule="auto"/>
              <w:rPr>
                <w:sz w:val="18"/>
                <w:szCs w:val="18"/>
              </w:rPr>
            </w:pPr>
            <w:r>
              <w:rPr>
                <w:sz w:val="18"/>
                <w:szCs w:val="18"/>
              </w:rPr>
              <w:t>能够</w:t>
            </w:r>
            <w:r>
              <w:rPr>
                <w:rFonts w:hint="eastAsia"/>
                <w:sz w:val="18"/>
                <w:szCs w:val="18"/>
              </w:rPr>
              <w:t>了解典型光电器件的基本原理结构、特性参数和典型应用</w:t>
            </w:r>
            <w:r>
              <w:rPr>
                <w:sz w:val="18"/>
                <w:szCs w:val="18"/>
              </w:rPr>
              <w:t>，</w:t>
            </w:r>
            <w:r>
              <w:rPr>
                <w:rFonts w:hint="eastAsia"/>
                <w:sz w:val="18"/>
                <w:szCs w:val="18"/>
              </w:rPr>
              <w:t>借助</w:t>
            </w:r>
            <w:r>
              <w:rPr>
                <w:sz w:val="18"/>
                <w:szCs w:val="18"/>
              </w:rPr>
              <w:t>光电信号的转换电路与探测方法，能设计简单的光电探测系统</w:t>
            </w:r>
            <w:r>
              <w:rPr>
                <w:rFonts w:hint="eastAsia"/>
                <w:sz w:val="18"/>
                <w:szCs w:val="18"/>
              </w:rPr>
              <w:t>，</w:t>
            </w:r>
            <w:r>
              <w:rPr>
                <w:sz w:val="18"/>
                <w:szCs w:val="18"/>
              </w:rPr>
              <w:t>并通过对领域最新进展的调研</w:t>
            </w:r>
            <w:r>
              <w:rPr>
                <w:rFonts w:hint="eastAsia"/>
                <w:sz w:val="18"/>
                <w:szCs w:val="18"/>
              </w:rPr>
              <w:t>，提出系统的改善和优化方法。</w:t>
            </w:r>
          </w:p>
        </w:tc>
        <w:tc>
          <w:tcPr>
            <w:tcW w:w="2288" w:type="pct"/>
          </w:tcPr>
          <w:p>
            <w:pPr>
              <w:spacing w:line="360" w:lineRule="auto"/>
              <w:rPr>
                <w:b/>
                <w:sz w:val="18"/>
                <w:szCs w:val="18"/>
              </w:rPr>
            </w:pPr>
            <w:r>
              <w:rPr>
                <w:rFonts w:hint="eastAsia"/>
                <w:b/>
                <w:sz w:val="18"/>
                <w:szCs w:val="18"/>
              </w:rPr>
              <w:t>指标点</w:t>
            </w:r>
            <w:r>
              <w:rPr>
                <w:b/>
                <w:sz w:val="18"/>
                <w:szCs w:val="18"/>
              </w:rPr>
              <w:t xml:space="preserve">4-1 </w:t>
            </w:r>
            <w:r>
              <w:rPr>
                <w:rFonts w:hint="eastAsia"/>
                <w:b/>
                <w:sz w:val="18"/>
                <w:szCs w:val="18"/>
              </w:rPr>
              <w:t>领域现状认知能力</w:t>
            </w:r>
            <w:r>
              <w:rPr>
                <w:rFonts w:hint="eastAsia"/>
                <w:sz w:val="18"/>
                <w:szCs w:val="18"/>
              </w:rPr>
              <w:t>：</w:t>
            </w:r>
            <w:r>
              <w:rPr>
                <w:bCs/>
                <w:sz w:val="18"/>
                <w:szCs w:val="18"/>
              </w:rPr>
              <w:t>了解智能感知工程专业领域背景及经典案例，能够针对复杂工程问题提出研究思路和分析方法，并有意识地将实验结果用于指导解决方案的改善和优化。</w:t>
            </w:r>
          </w:p>
        </w:tc>
      </w:tr>
    </w:tbl>
    <w:p>
      <w:pPr>
        <w:tabs>
          <w:tab w:val="left" w:pos="420"/>
        </w:tabs>
        <w:adjustRightInd w:val="0"/>
        <w:snapToGrid w:val="0"/>
        <w:spacing w:line="360" w:lineRule="auto"/>
        <w:ind w:left="420" w:hanging="420"/>
        <w:rPr>
          <w:rFonts w:eastAsia="黑体"/>
          <w:szCs w:val="21"/>
        </w:rPr>
      </w:pPr>
    </w:p>
    <w:p>
      <w:pPr>
        <w:tabs>
          <w:tab w:val="left" w:pos="420"/>
        </w:tabs>
        <w:adjustRightInd w:val="0"/>
        <w:snapToGrid w:val="0"/>
        <w:spacing w:line="360" w:lineRule="auto"/>
        <w:ind w:left="420" w:hanging="420"/>
        <w:rPr>
          <w:rFonts w:eastAsia="黑体"/>
          <w:szCs w:val="21"/>
        </w:rPr>
      </w:pPr>
      <w:r>
        <w:rPr>
          <w:rFonts w:hint="eastAsia" w:eastAsia="黑体"/>
          <w:szCs w:val="21"/>
        </w:rPr>
        <w:t>三、基本要求</w:t>
      </w:r>
    </w:p>
    <w:p>
      <w:pPr>
        <w:spacing w:line="360" w:lineRule="auto"/>
        <w:ind w:firstLine="420" w:firstLineChars="200"/>
        <w:rPr>
          <w:szCs w:val="21"/>
        </w:rPr>
      </w:pPr>
      <w:r>
        <w:rPr>
          <w:szCs w:val="21"/>
        </w:rPr>
        <w:t>1、本课程为专业课，要求先修</w:t>
      </w:r>
      <w:r>
        <w:rPr>
          <w:rFonts w:hint="eastAsia"/>
          <w:szCs w:val="21"/>
        </w:rPr>
        <w:t>大学物理、模拟电子技术、传感器原理及设计、测控电路设计、半导体物理</w:t>
      </w:r>
      <w:r>
        <w:rPr>
          <w:szCs w:val="21"/>
        </w:rPr>
        <w:t>等课程，在教学中</w:t>
      </w:r>
      <w:r>
        <w:rPr>
          <w:rFonts w:hint="eastAsia"/>
          <w:szCs w:val="21"/>
        </w:rPr>
        <w:t>应注重基础知识、基本概念的回顾，同时运用类比式教学，使学生能快速掌握相近的概念，如辐射度和光度学、光电导探测器和光伏探测器等。</w:t>
      </w:r>
    </w:p>
    <w:p>
      <w:pPr>
        <w:adjustRightInd w:val="0"/>
        <w:snapToGrid w:val="0"/>
        <w:spacing w:line="360" w:lineRule="auto"/>
        <w:ind w:firstLine="420" w:firstLineChars="200"/>
        <w:rPr>
          <w:szCs w:val="21"/>
        </w:rPr>
      </w:pPr>
      <w:r>
        <w:rPr>
          <w:szCs w:val="21"/>
        </w:rPr>
        <w:t>2、教师应处理好各知识点之间的关系</w:t>
      </w:r>
      <w:r>
        <w:rPr>
          <w:rFonts w:hint="eastAsia"/>
          <w:szCs w:val="21"/>
        </w:rPr>
        <w:t>，</w:t>
      </w:r>
      <w:r>
        <w:rPr>
          <w:szCs w:val="21"/>
        </w:rPr>
        <w:t>在讲解每个知识点之后，能结合实例及典型应用</w:t>
      </w:r>
      <w:r>
        <w:rPr>
          <w:rFonts w:hint="eastAsia"/>
          <w:szCs w:val="21"/>
        </w:rPr>
        <w:t>，</w:t>
      </w:r>
      <w:r>
        <w:rPr>
          <w:szCs w:val="21"/>
        </w:rPr>
        <w:t>使学生对整个知识体系有个更全面、更深刻的理解，可以为以后的系统设计工作打下基础。</w:t>
      </w:r>
    </w:p>
    <w:p>
      <w:pPr>
        <w:adjustRightInd w:val="0"/>
        <w:snapToGrid w:val="0"/>
        <w:spacing w:line="360" w:lineRule="auto"/>
        <w:ind w:firstLine="420" w:firstLineChars="200"/>
        <w:rPr>
          <w:szCs w:val="21"/>
        </w:rPr>
      </w:pPr>
      <w:r>
        <w:rPr>
          <w:szCs w:val="21"/>
        </w:rPr>
        <w:t>3、因为光电探测技术发展较快，而目前的教材</w:t>
      </w:r>
      <w:r>
        <w:rPr>
          <w:rFonts w:hint="eastAsia"/>
          <w:szCs w:val="21"/>
        </w:rPr>
        <w:t>中</w:t>
      </w:r>
      <w:r>
        <w:rPr>
          <w:szCs w:val="21"/>
        </w:rPr>
        <w:t>部分内容已跟不上最新技术的发展，所以教学过程中教师应该针对前沿的进展适当地扩充讲授内容</w:t>
      </w:r>
      <w:r>
        <w:rPr>
          <w:rFonts w:hint="eastAsia"/>
          <w:szCs w:val="21"/>
        </w:rPr>
        <w:t>，最好能</w:t>
      </w:r>
      <w:r>
        <w:rPr>
          <w:szCs w:val="21"/>
        </w:rPr>
        <w:t>将最新相关科研成果融</w:t>
      </w:r>
      <w:r>
        <w:rPr>
          <w:rFonts w:hint="eastAsia"/>
          <w:szCs w:val="21"/>
        </w:rPr>
        <w:t>入</w:t>
      </w:r>
      <w:r>
        <w:rPr>
          <w:szCs w:val="21"/>
        </w:rPr>
        <w:t>在教学</w:t>
      </w:r>
      <w:r>
        <w:rPr>
          <w:rFonts w:hint="eastAsia"/>
          <w:szCs w:val="21"/>
        </w:rPr>
        <w:t>内容</w:t>
      </w:r>
      <w:r>
        <w:rPr>
          <w:szCs w:val="21"/>
        </w:rPr>
        <w:t>，拓宽学生的视野</w:t>
      </w:r>
      <w:r>
        <w:rPr>
          <w:rFonts w:hint="eastAsia"/>
          <w:szCs w:val="21"/>
        </w:rPr>
        <w:t>。</w:t>
      </w:r>
    </w:p>
    <w:p>
      <w:pPr>
        <w:adjustRightInd w:val="0"/>
        <w:snapToGrid w:val="0"/>
        <w:spacing w:line="360" w:lineRule="auto"/>
        <w:ind w:firstLine="420" w:firstLineChars="200"/>
        <w:rPr>
          <w:szCs w:val="21"/>
        </w:rPr>
      </w:pPr>
      <w:r>
        <w:rPr>
          <w:rFonts w:hint="eastAsia"/>
          <w:szCs w:val="21"/>
        </w:rPr>
        <w:t>4、课程讲授中可以适当拓展光电仪器的发展历程，如微光夜视仪、红外探测器等，写其在我国的重要意义与发展历程，及在国防和民用安全中意义；或者以我国为光学仪器发展做过贡献的人为例，激发学生向他们学习，鼓励学生以极致的态度对待事情，具有精雕细琢，精益求精、追求更完美的精神理念。</w:t>
      </w:r>
    </w:p>
    <w:p>
      <w:pPr>
        <w:adjustRightInd w:val="0"/>
        <w:snapToGrid w:val="0"/>
        <w:spacing w:line="360" w:lineRule="auto"/>
        <w:ind w:firstLine="420" w:firstLineChars="200"/>
        <w:rPr>
          <w:szCs w:val="21"/>
        </w:rPr>
      </w:pPr>
      <w:r>
        <w:rPr>
          <w:szCs w:val="21"/>
        </w:rPr>
        <w:t>5、</w:t>
      </w:r>
      <w:r>
        <w:t>深度和广度说明：</w:t>
      </w:r>
      <w:r>
        <w:rPr>
          <w:szCs w:val="21"/>
        </w:rPr>
        <w:t>本课程从工程技术中应用光电器件的角度出发，理论方面力求清楚易懂，阐述各种光电现象和光电效应；光电探测器件是课程的重点，它们的原理、结构、性能参数和应用要详细讲解。光电探测器件的偏置电路、光电探测电路的静态和动态设计、噪声与抑制前置放大电路适当了解。</w:t>
      </w:r>
    </w:p>
    <w:p>
      <w:pPr>
        <w:spacing w:line="360" w:lineRule="auto"/>
        <w:ind w:firstLine="420" w:firstLineChars="200"/>
        <w:rPr>
          <w:szCs w:val="21"/>
        </w:rPr>
      </w:pPr>
      <w:r>
        <w:rPr>
          <w:szCs w:val="21"/>
        </w:rPr>
        <w:t>6</w:t>
      </w:r>
      <w:r>
        <w:rPr>
          <w:rFonts w:hint="eastAsia"/>
          <w:szCs w:val="21"/>
        </w:rPr>
        <w:t>、</w:t>
      </w:r>
      <w:r>
        <w:rPr>
          <w:szCs w:val="21"/>
        </w:rPr>
        <w:t>偏差说明：为了鼓励教师引入个人授课风格或者适应技术发展的紧迫性，本课程允许教师授课内容做适当调整，最大正偏差为10%，不允许负偏差。正偏差通过压缩同等内容的学时数来完成。特殊情况，最大正偏差和置换偏差累计可达到20%，但在开课前要申请专业责任人批准。（正偏差指大纲知识点不变，新增知识点；负偏差是大纲知识点减少；置换偏差是指大纲中部分知识点被其它类似知识点替换）。</w:t>
      </w:r>
    </w:p>
    <w:p>
      <w:pPr>
        <w:spacing w:line="360" w:lineRule="auto"/>
        <w:ind w:firstLine="420" w:firstLineChars="200"/>
        <w:rPr>
          <w:szCs w:val="21"/>
        </w:rPr>
      </w:pPr>
    </w:p>
    <w:p>
      <w:pPr>
        <w:tabs>
          <w:tab w:val="left" w:pos="420"/>
        </w:tabs>
        <w:spacing w:line="360" w:lineRule="auto"/>
        <w:ind w:left="420" w:hanging="420"/>
        <w:rPr>
          <w:rFonts w:eastAsia="黑体"/>
          <w:szCs w:val="21"/>
        </w:rPr>
      </w:pPr>
      <w:r>
        <w:rPr>
          <w:rFonts w:hint="eastAsia" w:eastAsia="黑体"/>
          <w:szCs w:val="21"/>
        </w:rPr>
        <w:t>四、教学内容和教学方法</w:t>
      </w:r>
    </w:p>
    <w:p>
      <w:pPr>
        <w:spacing w:line="360" w:lineRule="auto"/>
        <w:ind w:firstLine="420" w:firstLineChars="200"/>
        <w:rPr>
          <w:rFonts w:ascii="黑体" w:hAnsi="黑体" w:eastAsia="黑体"/>
          <w:szCs w:val="21"/>
        </w:rPr>
      </w:pPr>
      <w:r>
        <w:rPr>
          <w:rFonts w:hint="eastAsia"/>
          <w:szCs w:val="21"/>
        </w:rPr>
        <w:t>本课程重点讲授的内容包括：辐射度和光度学基本概念、光电探测器中的常见光源，光电导探测器，光伏探测器，光电子发射探测器，热探测器，光电图像探测器等方面的基本理论知识和应用技术。</w:t>
      </w:r>
    </w:p>
    <w:p>
      <w:pPr>
        <w:adjustRightInd w:val="0"/>
        <w:snapToGrid w:val="0"/>
        <w:spacing w:line="360" w:lineRule="auto"/>
        <w:ind w:firstLine="420" w:firstLineChars="200"/>
        <w:rPr>
          <w:szCs w:val="21"/>
        </w:rPr>
      </w:pPr>
      <w:r>
        <w:rPr>
          <w:szCs w:val="21"/>
        </w:rPr>
        <w:t>本课程在教学方法上，充分利用各种媒体教学手段，采取课堂教学、多媒体课件、课外分组实验方式有机结合，提高教学效率。也可</w:t>
      </w:r>
      <w:r>
        <w:rPr>
          <w:rFonts w:hint="eastAsia"/>
          <w:szCs w:val="21"/>
        </w:rPr>
        <w:t>登录大学</w:t>
      </w:r>
      <w:r>
        <w:rPr>
          <w:szCs w:val="21"/>
        </w:rPr>
        <w:t>MOOC</w:t>
      </w:r>
      <w:r>
        <w:rPr>
          <w:rFonts w:hint="eastAsia"/>
          <w:szCs w:val="21"/>
        </w:rPr>
        <w:t>观看视频资料：《光电技术》。为了提高学生的学习兴趣，并取得良好的教学效果，教师在知识讲解的过程中要充分利用问题引导、案例分析等多种教学方法，以进一步提高教学质量。此外，</w:t>
      </w:r>
      <w:r>
        <w:rPr>
          <w:szCs w:val="21"/>
        </w:rPr>
        <w:t>光电探测技术发展较快，固定的教材</w:t>
      </w:r>
      <w:r>
        <w:rPr>
          <w:rFonts w:hint="eastAsia"/>
          <w:szCs w:val="21"/>
        </w:rPr>
        <w:t>有时</w:t>
      </w:r>
      <w:r>
        <w:rPr>
          <w:szCs w:val="21"/>
        </w:rPr>
        <w:t>跟不上最新技术的发展，所以教学过程中须</w:t>
      </w:r>
      <w:r>
        <w:rPr>
          <w:rFonts w:hint="eastAsia"/>
          <w:szCs w:val="21"/>
        </w:rPr>
        <w:t>更新</w:t>
      </w:r>
      <w:r>
        <w:rPr>
          <w:szCs w:val="21"/>
        </w:rPr>
        <w:t>内容</w:t>
      </w:r>
      <w:r>
        <w:rPr>
          <w:rFonts w:hint="eastAsia"/>
          <w:szCs w:val="21"/>
        </w:rPr>
        <w:t>，能够将前沿的</w:t>
      </w:r>
      <w:r>
        <w:rPr>
          <w:szCs w:val="21"/>
        </w:rPr>
        <w:t>相关科研成果</w:t>
      </w:r>
      <w:r>
        <w:rPr>
          <w:rFonts w:hint="eastAsia"/>
          <w:szCs w:val="21"/>
        </w:rPr>
        <w:t>引入</w:t>
      </w:r>
      <w:r>
        <w:rPr>
          <w:szCs w:val="21"/>
        </w:rPr>
        <w:t>教学过程，提高</w:t>
      </w:r>
      <w:r>
        <w:rPr>
          <w:rFonts w:hint="eastAsia"/>
          <w:szCs w:val="21"/>
        </w:rPr>
        <w:t>学生</w:t>
      </w:r>
      <w:r>
        <w:rPr>
          <w:szCs w:val="21"/>
        </w:rPr>
        <w:t>们的学习兴趣。</w:t>
      </w:r>
    </w:p>
    <w:p>
      <w:pPr>
        <w:adjustRightInd w:val="0"/>
        <w:snapToGrid w:val="0"/>
        <w:spacing w:line="360" w:lineRule="auto"/>
        <w:ind w:left="426"/>
        <w:jc w:val="left"/>
        <w:rPr>
          <w:rFonts w:eastAsia="黑体"/>
          <w:szCs w:val="21"/>
        </w:rPr>
      </w:pPr>
    </w:p>
    <w:p>
      <w:pPr>
        <w:adjustRightInd w:val="0"/>
        <w:snapToGrid w:val="0"/>
        <w:spacing w:line="360" w:lineRule="auto"/>
        <w:ind w:left="426"/>
        <w:jc w:val="left"/>
        <w:rPr>
          <w:rFonts w:eastAsia="黑体"/>
          <w:kern w:val="0"/>
          <w:szCs w:val="21"/>
          <w:lang w:val="zh-CN"/>
        </w:rPr>
      </w:pPr>
      <w:r>
        <w:rPr>
          <w:rFonts w:eastAsia="黑体"/>
          <w:szCs w:val="21"/>
        </w:rPr>
        <w:t>1 绪论</w:t>
      </w:r>
      <w:r>
        <w:rPr>
          <w:rFonts w:eastAsia="黑体"/>
          <w:kern w:val="0"/>
          <w:szCs w:val="21"/>
          <w:lang w:val="zh-CN"/>
        </w:rPr>
        <w:t>（1学时）</w:t>
      </w:r>
    </w:p>
    <w:p>
      <w:pPr>
        <w:adjustRightInd w:val="0"/>
        <w:snapToGrid w:val="0"/>
        <w:spacing w:line="360" w:lineRule="auto"/>
        <w:ind w:left="426"/>
        <w:jc w:val="left"/>
        <w:rPr>
          <w:szCs w:val="21"/>
        </w:rPr>
      </w:pPr>
      <w:r>
        <w:rPr>
          <w:szCs w:val="21"/>
        </w:rPr>
        <w:t>1.1、</w:t>
      </w:r>
      <w:r>
        <w:rPr>
          <w:rFonts w:hint="eastAsia" w:cs="宋体"/>
          <w:snapToGrid w:val="0"/>
          <w:kern w:val="0"/>
          <w:szCs w:val="21"/>
        </w:rPr>
        <w:t>本课程在专业课程体系中的地位和作用介绍；</w:t>
      </w:r>
    </w:p>
    <w:p>
      <w:pPr>
        <w:adjustRightInd w:val="0"/>
        <w:snapToGrid w:val="0"/>
        <w:spacing w:line="360" w:lineRule="auto"/>
        <w:ind w:left="426"/>
        <w:jc w:val="left"/>
        <w:rPr>
          <w:szCs w:val="21"/>
        </w:rPr>
      </w:pPr>
      <w:r>
        <w:rPr>
          <w:rFonts w:hint="eastAsia"/>
          <w:szCs w:val="21"/>
        </w:rPr>
        <w:t>1</w:t>
      </w:r>
      <w:r>
        <w:rPr>
          <w:szCs w:val="21"/>
        </w:rPr>
        <w:t>.2</w:t>
      </w:r>
      <w:r>
        <w:rPr>
          <w:rFonts w:hint="eastAsia"/>
          <w:szCs w:val="21"/>
        </w:rPr>
        <w:t>、</w:t>
      </w:r>
      <w:r>
        <w:rPr>
          <w:rFonts w:hint="eastAsia" w:cs="宋体"/>
          <w:snapToGrid w:val="0"/>
          <w:kern w:val="0"/>
          <w:szCs w:val="21"/>
        </w:rPr>
        <w:t>课程内容、学习方法、讲授方式、评价方式介绍；</w:t>
      </w:r>
    </w:p>
    <w:p>
      <w:pPr>
        <w:adjustRightInd w:val="0"/>
        <w:snapToGrid w:val="0"/>
        <w:spacing w:line="360" w:lineRule="auto"/>
        <w:ind w:left="426"/>
        <w:jc w:val="left"/>
        <w:rPr>
          <w:szCs w:val="21"/>
        </w:rPr>
      </w:pPr>
      <w:r>
        <w:rPr>
          <w:rFonts w:hint="eastAsia"/>
          <w:szCs w:val="21"/>
        </w:rPr>
        <w:t>1</w:t>
      </w:r>
      <w:r>
        <w:rPr>
          <w:szCs w:val="21"/>
        </w:rPr>
        <w:t>.3</w:t>
      </w:r>
      <w:r>
        <w:rPr>
          <w:rFonts w:hint="eastAsia"/>
          <w:szCs w:val="21"/>
        </w:rPr>
        <w:t>、</w:t>
      </w:r>
      <w:r>
        <w:rPr>
          <w:szCs w:val="21"/>
        </w:rPr>
        <w:t>光电探测技术的内涵及发展</w:t>
      </w:r>
      <w:r>
        <w:rPr>
          <w:rFonts w:hint="eastAsia"/>
          <w:szCs w:val="21"/>
        </w:rPr>
        <w:t>；</w:t>
      </w:r>
    </w:p>
    <w:p>
      <w:pPr>
        <w:adjustRightInd w:val="0"/>
        <w:snapToGrid w:val="0"/>
        <w:spacing w:line="360" w:lineRule="auto"/>
        <w:ind w:firstLine="420" w:firstLineChars="200"/>
        <w:rPr>
          <w:rFonts w:cs="宋体"/>
          <w:bCs/>
          <w:snapToGrid w:val="0"/>
          <w:kern w:val="0"/>
          <w:szCs w:val="21"/>
        </w:rPr>
      </w:pPr>
      <w:r>
        <w:rPr>
          <w:rFonts w:cs="宋体"/>
          <w:bCs/>
          <w:snapToGrid w:val="0"/>
          <w:kern w:val="0"/>
          <w:szCs w:val="21"/>
        </w:rPr>
        <w:t>本章内容支撑课程目标2</w:t>
      </w:r>
      <w:r>
        <w:rPr>
          <w:rFonts w:hint="eastAsia" w:cs="宋体"/>
          <w:bCs/>
          <w:snapToGrid w:val="0"/>
          <w:kern w:val="0"/>
          <w:szCs w:val="21"/>
        </w:rPr>
        <w:t>。</w:t>
      </w:r>
    </w:p>
    <w:p>
      <w:pPr>
        <w:adjustRightInd w:val="0"/>
        <w:snapToGrid w:val="0"/>
        <w:spacing w:line="360" w:lineRule="auto"/>
        <w:ind w:left="426"/>
        <w:jc w:val="left"/>
        <w:rPr>
          <w:szCs w:val="21"/>
        </w:rPr>
      </w:pPr>
      <w:r>
        <w:rPr>
          <w:szCs w:val="21"/>
        </w:rPr>
        <w:t xml:space="preserve">2 </w:t>
      </w:r>
      <w:r>
        <w:rPr>
          <w:rFonts w:eastAsia="黑体"/>
          <w:szCs w:val="21"/>
        </w:rPr>
        <w:t>辐射度与光度学基础</w:t>
      </w:r>
      <w:r>
        <w:rPr>
          <w:rFonts w:eastAsia="黑体"/>
          <w:kern w:val="0"/>
          <w:szCs w:val="21"/>
          <w:lang w:val="zh-CN"/>
        </w:rPr>
        <w:t>（2学时）</w:t>
      </w:r>
    </w:p>
    <w:p>
      <w:pPr>
        <w:adjustRightInd w:val="0"/>
        <w:snapToGrid w:val="0"/>
        <w:spacing w:line="360" w:lineRule="auto"/>
        <w:ind w:left="426"/>
        <w:jc w:val="left"/>
        <w:rPr>
          <w:szCs w:val="21"/>
        </w:rPr>
      </w:pPr>
      <w:r>
        <w:rPr>
          <w:szCs w:val="21"/>
        </w:rPr>
        <w:t>2.1</w:t>
      </w:r>
      <w:r>
        <w:rPr>
          <w:rFonts w:hint="eastAsia"/>
          <w:szCs w:val="21"/>
        </w:rPr>
        <w:t>、掌握</w:t>
      </w:r>
      <w:r>
        <w:rPr>
          <w:szCs w:val="21"/>
        </w:rPr>
        <w:t>辐射度与光度学概念</w:t>
      </w:r>
      <w:r>
        <w:rPr>
          <w:rFonts w:hint="eastAsia"/>
          <w:szCs w:val="21"/>
        </w:rPr>
        <w:t>；</w:t>
      </w:r>
    </w:p>
    <w:p>
      <w:pPr>
        <w:adjustRightInd w:val="0"/>
        <w:snapToGrid w:val="0"/>
        <w:spacing w:line="360" w:lineRule="auto"/>
        <w:ind w:left="426"/>
        <w:jc w:val="left"/>
        <w:rPr>
          <w:szCs w:val="21"/>
        </w:rPr>
      </w:pPr>
      <w:r>
        <w:rPr>
          <w:rFonts w:hint="eastAsia"/>
          <w:szCs w:val="21"/>
        </w:rPr>
        <w:t>2</w:t>
      </w:r>
      <w:r>
        <w:rPr>
          <w:szCs w:val="21"/>
        </w:rPr>
        <w:t>.2</w:t>
      </w:r>
      <w:r>
        <w:rPr>
          <w:rFonts w:hint="eastAsia"/>
          <w:szCs w:val="21"/>
        </w:rPr>
        <w:t>、掌握</w:t>
      </w:r>
      <w:r>
        <w:rPr>
          <w:szCs w:val="21"/>
        </w:rPr>
        <w:t>辐射度与光度学的基本</w:t>
      </w:r>
      <w:r>
        <w:rPr>
          <w:rFonts w:hint="eastAsia"/>
          <w:szCs w:val="21"/>
        </w:rPr>
        <w:t>物理量；</w:t>
      </w:r>
      <w:r>
        <w:rPr>
          <w:bCs/>
          <w:szCs w:val="21"/>
        </w:rPr>
        <w:t>（重点）</w:t>
      </w:r>
    </w:p>
    <w:p>
      <w:pPr>
        <w:adjustRightInd w:val="0"/>
        <w:snapToGrid w:val="0"/>
        <w:spacing w:line="360" w:lineRule="auto"/>
        <w:ind w:left="426"/>
        <w:jc w:val="left"/>
        <w:rPr>
          <w:bCs/>
          <w:szCs w:val="21"/>
        </w:rPr>
      </w:pPr>
      <w:r>
        <w:rPr>
          <w:szCs w:val="21"/>
        </w:rPr>
        <w:t>2.3、</w:t>
      </w:r>
      <w:r>
        <w:rPr>
          <w:rFonts w:hint="eastAsia"/>
          <w:szCs w:val="21"/>
        </w:rPr>
        <w:t>了解</w:t>
      </w:r>
      <w:r>
        <w:rPr>
          <w:szCs w:val="21"/>
        </w:rPr>
        <w:t>辐射度与光度学的基本定律</w:t>
      </w:r>
      <w:r>
        <w:rPr>
          <w:rFonts w:hint="eastAsia"/>
          <w:szCs w:val="21"/>
        </w:rPr>
        <w:t>。</w:t>
      </w:r>
      <w:r>
        <w:rPr>
          <w:bCs/>
          <w:szCs w:val="21"/>
        </w:rPr>
        <w:t>（难点）</w:t>
      </w:r>
    </w:p>
    <w:p>
      <w:pPr>
        <w:adjustRightInd w:val="0"/>
        <w:snapToGrid w:val="0"/>
        <w:spacing w:line="360" w:lineRule="auto"/>
        <w:ind w:firstLine="420" w:firstLineChars="200"/>
        <w:rPr>
          <w:rFonts w:cs="宋体"/>
          <w:bCs/>
          <w:snapToGrid w:val="0"/>
          <w:kern w:val="0"/>
          <w:szCs w:val="21"/>
        </w:rPr>
      </w:pPr>
      <w:r>
        <w:rPr>
          <w:rFonts w:cs="宋体"/>
          <w:bCs/>
          <w:snapToGrid w:val="0"/>
          <w:kern w:val="0"/>
          <w:szCs w:val="21"/>
        </w:rPr>
        <w:t>本章内容支撑课程目标1</w:t>
      </w:r>
      <w:r>
        <w:rPr>
          <w:rFonts w:hint="eastAsia" w:cs="宋体"/>
          <w:bCs/>
          <w:snapToGrid w:val="0"/>
          <w:kern w:val="0"/>
          <w:szCs w:val="21"/>
        </w:rPr>
        <w:t>。</w:t>
      </w:r>
    </w:p>
    <w:p>
      <w:pPr>
        <w:adjustRightInd w:val="0"/>
        <w:snapToGrid w:val="0"/>
        <w:spacing w:line="360" w:lineRule="auto"/>
        <w:ind w:left="426"/>
        <w:jc w:val="left"/>
        <w:rPr>
          <w:rFonts w:eastAsia="黑体"/>
          <w:szCs w:val="21"/>
        </w:rPr>
      </w:pPr>
      <w:r>
        <w:rPr>
          <w:rFonts w:eastAsia="黑体"/>
          <w:szCs w:val="21"/>
        </w:rPr>
        <w:t>3 光电仪器中常用的光源</w:t>
      </w:r>
      <w:r>
        <w:rPr>
          <w:rFonts w:eastAsia="黑体"/>
          <w:kern w:val="0"/>
          <w:szCs w:val="21"/>
          <w:lang w:val="zh-CN"/>
        </w:rPr>
        <w:t>（2学时）</w:t>
      </w:r>
    </w:p>
    <w:p>
      <w:pPr>
        <w:adjustRightInd w:val="0"/>
        <w:snapToGrid w:val="0"/>
        <w:spacing w:line="360" w:lineRule="auto"/>
        <w:ind w:left="426"/>
        <w:jc w:val="left"/>
        <w:rPr>
          <w:kern w:val="0"/>
          <w:szCs w:val="21"/>
        </w:rPr>
      </w:pPr>
      <w:r>
        <w:rPr>
          <w:szCs w:val="21"/>
        </w:rPr>
        <w:t>3.1、</w:t>
      </w:r>
      <w:r>
        <w:rPr>
          <w:rFonts w:hint="eastAsia"/>
          <w:szCs w:val="21"/>
        </w:rPr>
        <w:t>熟悉</w:t>
      </w:r>
      <w:r>
        <w:rPr>
          <w:szCs w:val="21"/>
        </w:rPr>
        <w:t>光源的基本特性参数</w:t>
      </w:r>
      <w:r>
        <w:rPr>
          <w:rFonts w:hint="eastAsia"/>
          <w:szCs w:val="21"/>
        </w:rPr>
        <w:t>；</w:t>
      </w:r>
      <w:r>
        <w:rPr>
          <w:bCs/>
          <w:szCs w:val="21"/>
        </w:rPr>
        <w:t>（重点）</w:t>
      </w:r>
    </w:p>
    <w:p>
      <w:pPr>
        <w:adjustRightInd w:val="0"/>
        <w:snapToGrid w:val="0"/>
        <w:spacing w:line="360" w:lineRule="auto"/>
        <w:ind w:left="426"/>
        <w:jc w:val="left"/>
        <w:rPr>
          <w:szCs w:val="21"/>
        </w:rPr>
      </w:pPr>
      <w:r>
        <w:rPr>
          <w:szCs w:val="21"/>
        </w:rPr>
        <w:t>3.2、了解气体放电光源和固体发光光源特点</w:t>
      </w:r>
      <w:r>
        <w:rPr>
          <w:rFonts w:hint="eastAsia"/>
          <w:szCs w:val="21"/>
        </w:rPr>
        <w:t>；</w:t>
      </w:r>
    </w:p>
    <w:p>
      <w:pPr>
        <w:adjustRightInd w:val="0"/>
        <w:snapToGrid w:val="0"/>
        <w:spacing w:line="360" w:lineRule="auto"/>
        <w:ind w:left="426"/>
        <w:jc w:val="left"/>
        <w:rPr>
          <w:szCs w:val="21"/>
        </w:rPr>
      </w:pPr>
      <w:r>
        <w:rPr>
          <w:szCs w:val="21"/>
        </w:rPr>
        <w:t>3.3、了解激光器的基本原理和分类</w:t>
      </w:r>
      <w:r>
        <w:rPr>
          <w:rFonts w:hint="eastAsia"/>
          <w:szCs w:val="21"/>
        </w:rPr>
        <w:t>；</w:t>
      </w:r>
    </w:p>
    <w:p>
      <w:pPr>
        <w:adjustRightInd w:val="0"/>
        <w:snapToGrid w:val="0"/>
        <w:spacing w:line="360" w:lineRule="auto"/>
        <w:ind w:left="426"/>
        <w:jc w:val="left"/>
        <w:rPr>
          <w:bCs/>
          <w:szCs w:val="21"/>
        </w:rPr>
      </w:pPr>
      <w:r>
        <w:rPr>
          <w:szCs w:val="21"/>
        </w:rPr>
        <w:t>3.4、</w:t>
      </w:r>
      <w:r>
        <w:rPr>
          <w:rFonts w:hint="eastAsia"/>
          <w:szCs w:val="21"/>
        </w:rPr>
        <w:t>了解</w:t>
      </w:r>
      <w:r>
        <w:rPr>
          <w:szCs w:val="21"/>
        </w:rPr>
        <w:t>半导体激光器特性与应用领域</w:t>
      </w:r>
      <w:r>
        <w:rPr>
          <w:rFonts w:hint="eastAsia"/>
          <w:szCs w:val="21"/>
        </w:rPr>
        <w:t>。</w:t>
      </w:r>
      <w:r>
        <w:rPr>
          <w:bCs/>
          <w:szCs w:val="21"/>
        </w:rPr>
        <w:t>（重点</w:t>
      </w:r>
      <w:r>
        <w:rPr>
          <w:rFonts w:hint="eastAsia"/>
          <w:bCs/>
          <w:szCs w:val="21"/>
        </w:rPr>
        <w:t>、</w:t>
      </w:r>
      <w:r>
        <w:rPr>
          <w:bCs/>
          <w:szCs w:val="21"/>
        </w:rPr>
        <w:t>难点）</w:t>
      </w:r>
    </w:p>
    <w:p>
      <w:pPr>
        <w:adjustRightInd w:val="0"/>
        <w:snapToGrid w:val="0"/>
        <w:spacing w:line="360" w:lineRule="auto"/>
        <w:ind w:firstLine="420" w:firstLineChars="200"/>
        <w:rPr>
          <w:rFonts w:cs="宋体"/>
          <w:bCs/>
          <w:snapToGrid w:val="0"/>
          <w:kern w:val="0"/>
          <w:szCs w:val="21"/>
        </w:rPr>
      </w:pPr>
      <w:r>
        <w:rPr>
          <w:rFonts w:cs="宋体"/>
          <w:bCs/>
          <w:snapToGrid w:val="0"/>
          <w:kern w:val="0"/>
          <w:szCs w:val="21"/>
        </w:rPr>
        <w:t>本章内容支撑课程目标1</w:t>
      </w:r>
      <w:r>
        <w:rPr>
          <w:rFonts w:hint="eastAsia" w:cs="宋体"/>
          <w:bCs/>
          <w:snapToGrid w:val="0"/>
          <w:kern w:val="0"/>
          <w:szCs w:val="21"/>
        </w:rPr>
        <w:t>、2。</w:t>
      </w:r>
    </w:p>
    <w:p>
      <w:pPr>
        <w:adjustRightInd w:val="0"/>
        <w:snapToGrid w:val="0"/>
        <w:spacing w:line="360" w:lineRule="auto"/>
        <w:ind w:left="426"/>
        <w:jc w:val="left"/>
        <w:rPr>
          <w:rFonts w:eastAsia="黑体"/>
          <w:szCs w:val="21"/>
        </w:rPr>
      </w:pPr>
      <w:r>
        <w:rPr>
          <w:rFonts w:eastAsia="黑体"/>
          <w:szCs w:val="21"/>
        </w:rPr>
        <w:t>4 光辐射探测器的理论基础</w:t>
      </w:r>
      <w:r>
        <w:rPr>
          <w:rFonts w:eastAsia="黑体"/>
          <w:kern w:val="0"/>
          <w:szCs w:val="21"/>
          <w:lang w:val="zh-CN"/>
        </w:rPr>
        <w:t>（2学时）</w:t>
      </w:r>
    </w:p>
    <w:p>
      <w:pPr>
        <w:adjustRightInd w:val="0"/>
        <w:snapToGrid w:val="0"/>
        <w:spacing w:line="360" w:lineRule="auto"/>
        <w:ind w:left="426"/>
        <w:jc w:val="left"/>
        <w:rPr>
          <w:szCs w:val="21"/>
        </w:rPr>
      </w:pPr>
      <w:r>
        <w:rPr>
          <w:szCs w:val="21"/>
        </w:rPr>
        <w:t>4.1、</w:t>
      </w:r>
      <w:r>
        <w:rPr>
          <w:rFonts w:hint="eastAsia"/>
          <w:szCs w:val="21"/>
        </w:rPr>
        <w:t>了解</w:t>
      </w:r>
      <w:r>
        <w:rPr>
          <w:szCs w:val="21"/>
        </w:rPr>
        <w:t>半导体的光电效应</w:t>
      </w:r>
      <w:r>
        <w:rPr>
          <w:rFonts w:hint="eastAsia"/>
          <w:szCs w:val="21"/>
        </w:rPr>
        <w:t>；</w:t>
      </w:r>
      <w:r>
        <w:rPr>
          <w:bCs/>
          <w:szCs w:val="21"/>
        </w:rPr>
        <w:t>（重点）</w:t>
      </w:r>
    </w:p>
    <w:p>
      <w:pPr>
        <w:adjustRightInd w:val="0"/>
        <w:snapToGrid w:val="0"/>
        <w:spacing w:line="360" w:lineRule="auto"/>
        <w:ind w:left="426"/>
        <w:jc w:val="left"/>
        <w:rPr>
          <w:szCs w:val="21"/>
        </w:rPr>
      </w:pPr>
      <w:r>
        <w:rPr>
          <w:szCs w:val="21"/>
        </w:rPr>
        <w:t>4.2、了解光电探测器中的噪声信号</w:t>
      </w:r>
      <w:r>
        <w:rPr>
          <w:rFonts w:hint="eastAsia"/>
          <w:szCs w:val="21"/>
        </w:rPr>
        <w:t>；</w:t>
      </w:r>
    </w:p>
    <w:p>
      <w:pPr>
        <w:adjustRightInd w:val="0"/>
        <w:snapToGrid w:val="0"/>
        <w:spacing w:line="360" w:lineRule="auto"/>
        <w:ind w:left="426"/>
        <w:jc w:val="left"/>
        <w:rPr>
          <w:bCs/>
          <w:szCs w:val="21"/>
        </w:rPr>
      </w:pPr>
      <w:r>
        <w:rPr>
          <w:szCs w:val="21"/>
        </w:rPr>
        <w:t>4.3、</w:t>
      </w:r>
      <w:r>
        <w:rPr>
          <w:rFonts w:hint="eastAsia"/>
          <w:szCs w:val="21"/>
        </w:rPr>
        <w:t>熟悉</w:t>
      </w:r>
      <w:r>
        <w:rPr>
          <w:szCs w:val="21"/>
        </w:rPr>
        <w:t>探测器的主要特性参数</w:t>
      </w:r>
      <w:r>
        <w:rPr>
          <w:rFonts w:hint="eastAsia"/>
          <w:szCs w:val="21"/>
        </w:rPr>
        <w:t>。</w:t>
      </w:r>
      <w:r>
        <w:rPr>
          <w:bCs/>
          <w:szCs w:val="21"/>
        </w:rPr>
        <w:t>（重点）</w:t>
      </w:r>
    </w:p>
    <w:p>
      <w:pPr>
        <w:adjustRightInd w:val="0"/>
        <w:snapToGrid w:val="0"/>
        <w:spacing w:line="360" w:lineRule="auto"/>
        <w:ind w:firstLine="420" w:firstLineChars="200"/>
        <w:rPr>
          <w:rFonts w:cs="宋体"/>
          <w:bCs/>
          <w:snapToGrid w:val="0"/>
          <w:kern w:val="0"/>
          <w:szCs w:val="21"/>
        </w:rPr>
      </w:pPr>
      <w:r>
        <w:rPr>
          <w:rFonts w:cs="宋体"/>
          <w:bCs/>
          <w:snapToGrid w:val="0"/>
          <w:kern w:val="0"/>
          <w:szCs w:val="21"/>
        </w:rPr>
        <w:t>本章内容支撑课程目标1</w:t>
      </w:r>
      <w:r>
        <w:rPr>
          <w:rFonts w:hint="eastAsia" w:cs="宋体"/>
          <w:bCs/>
          <w:snapToGrid w:val="0"/>
          <w:kern w:val="0"/>
          <w:szCs w:val="21"/>
        </w:rPr>
        <w:t>。</w:t>
      </w:r>
    </w:p>
    <w:p>
      <w:pPr>
        <w:adjustRightInd w:val="0"/>
        <w:snapToGrid w:val="0"/>
        <w:spacing w:line="360" w:lineRule="auto"/>
        <w:ind w:left="426"/>
        <w:jc w:val="left"/>
        <w:rPr>
          <w:rFonts w:eastAsia="黑体"/>
          <w:szCs w:val="21"/>
        </w:rPr>
      </w:pPr>
      <w:r>
        <w:rPr>
          <w:rFonts w:eastAsia="黑体"/>
          <w:szCs w:val="21"/>
        </w:rPr>
        <w:t>5 真空光电器件</w:t>
      </w:r>
      <w:r>
        <w:rPr>
          <w:rFonts w:eastAsia="黑体"/>
          <w:kern w:val="0"/>
          <w:szCs w:val="21"/>
          <w:lang w:val="zh-CN"/>
        </w:rPr>
        <w:t>（3学时）</w:t>
      </w:r>
    </w:p>
    <w:p>
      <w:pPr>
        <w:adjustRightInd w:val="0"/>
        <w:snapToGrid w:val="0"/>
        <w:spacing w:line="360" w:lineRule="auto"/>
        <w:ind w:left="426"/>
        <w:jc w:val="left"/>
        <w:rPr>
          <w:szCs w:val="21"/>
        </w:rPr>
      </w:pPr>
      <w:r>
        <w:rPr>
          <w:szCs w:val="21"/>
        </w:rPr>
        <w:t>5.1、</w:t>
      </w:r>
      <w:r>
        <w:rPr>
          <w:rFonts w:hint="eastAsia"/>
          <w:szCs w:val="21"/>
        </w:rPr>
        <w:t>掌握</w:t>
      </w:r>
      <w:r>
        <w:rPr>
          <w:szCs w:val="21"/>
        </w:rPr>
        <w:t>光电管与光电倍增管的工作原理及主要特性参数</w:t>
      </w:r>
      <w:r>
        <w:rPr>
          <w:rFonts w:hint="eastAsia"/>
          <w:szCs w:val="21"/>
        </w:rPr>
        <w:t>；</w:t>
      </w:r>
      <w:r>
        <w:rPr>
          <w:bCs/>
          <w:szCs w:val="21"/>
        </w:rPr>
        <w:t>（重点）</w:t>
      </w:r>
    </w:p>
    <w:p>
      <w:pPr>
        <w:adjustRightInd w:val="0"/>
        <w:snapToGrid w:val="0"/>
        <w:spacing w:line="360" w:lineRule="auto"/>
        <w:ind w:left="426"/>
        <w:jc w:val="left"/>
        <w:rPr>
          <w:bCs/>
          <w:szCs w:val="21"/>
        </w:rPr>
      </w:pPr>
      <w:r>
        <w:rPr>
          <w:szCs w:val="21"/>
        </w:rPr>
        <w:t>5.2、</w:t>
      </w:r>
      <w:r>
        <w:rPr>
          <w:rFonts w:hint="eastAsia"/>
          <w:szCs w:val="21"/>
        </w:rPr>
        <w:t>熟悉</w:t>
      </w:r>
      <w:r>
        <w:rPr>
          <w:szCs w:val="21"/>
        </w:rPr>
        <w:t>光电倍增管的供电和信号输出电路</w:t>
      </w:r>
      <w:r>
        <w:rPr>
          <w:rFonts w:hint="eastAsia"/>
          <w:szCs w:val="21"/>
        </w:rPr>
        <w:t>；</w:t>
      </w:r>
      <w:r>
        <w:rPr>
          <w:bCs/>
          <w:szCs w:val="21"/>
        </w:rPr>
        <w:t>（重点</w:t>
      </w:r>
      <w:r>
        <w:rPr>
          <w:rFonts w:hint="eastAsia"/>
          <w:szCs w:val="21"/>
        </w:rPr>
        <w:t>、难点</w:t>
      </w:r>
      <w:r>
        <w:rPr>
          <w:bCs/>
          <w:szCs w:val="21"/>
        </w:rPr>
        <w:t>）</w:t>
      </w:r>
    </w:p>
    <w:p>
      <w:pPr>
        <w:adjustRightInd w:val="0"/>
        <w:snapToGrid w:val="0"/>
        <w:spacing w:line="360" w:lineRule="auto"/>
        <w:ind w:left="426"/>
        <w:jc w:val="left"/>
        <w:rPr>
          <w:szCs w:val="21"/>
        </w:rPr>
      </w:pPr>
      <w:r>
        <w:rPr>
          <w:szCs w:val="21"/>
        </w:rPr>
        <w:t>5.3、了解微通道板光电倍增管</w:t>
      </w:r>
      <w:r>
        <w:rPr>
          <w:rFonts w:hint="eastAsia"/>
          <w:szCs w:val="21"/>
        </w:rPr>
        <w:t>。</w:t>
      </w:r>
    </w:p>
    <w:p>
      <w:pPr>
        <w:adjustRightInd w:val="0"/>
        <w:snapToGrid w:val="0"/>
        <w:spacing w:line="360" w:lineRule="auto"/>
        <w:ind w:firstLine="420" w:firstLineChars="200"/>
        <w:rPr>
          <w:rFonts w:cs="宋体"/>
          <w:bCs/>
          <w:snapToGrid w:val="0"/>
          <w:kern w:val="0"/>
          <w:szCs w:val="21"/>
        </w:rPr>
      </w:pPr>
      <w:r>
        <w:rPr>
          <w:rFonts w:cs="宋体"/>
          <w:bCs/>
          <w:snapToGrid w:val="0"/>
          <w:kern w:val="0"/>
          <w:szCs w:val="21"/>
        </w:rPr>
        <w:t>本章内容支撑课程目标1</w:t>
      </w:r>
      <w:r>
        <w:rPr>
          <w:rFonts w:hint="eastAsia" w:cs="宋体"/>
          <w:bCs/>
          <w:snapToGrid w:val="0"/>
          <w:kern w:val="0"/>
          <w:szCs w:val="21"/>
        </w:rPr>
        <w:t>、2。</w:t>
      </w:r>
    </w:p>
    <w:p>
      <w:pPr>
        <w:adjustRightInd w:val="0"/>
        <w:snapToGrid w:val="0"/>
        <w:spacing w:line="360" w:lineRule="auto"/>
        <w:ind w:left="426"/>
        <w:jc w:val="left"/>
        <w:rPr>
          <w:rFonts w:eastAsia="黑体"/>
          <w:szCs w:val="21"/>
        </w:rPr>
      </w:pPr>
      <w:r>
        <w:rPr>
          <w:rFonts w:eastAsia="黑体"/>
          <w:szCs w:val="21"/>
        </w:rPr>
        <w:t>6 半导体光电导器件</w:t>
      </w:r>
      <w:r>
        <w:rPr>
          <w:rFonts w:eastAsia="黑体"/>
          <w:kern w:val="0"/>
          <w:szCs w:val="21"/>
          <w:lang w:val="zh-CN"/>
        </w:rPr>
        <w:t>（4学时）</w:t>
      </w:r>
    </w:p>
    <w:p>
      <w:pPr>
        <w:adjustRightInd w:val="0"/>
        <w:snapToGrid w:val="0"/>
        <w:spacing w:line="360" w:lineRule="auto"/>
        <w:ind w:left="426"/>
        <w:jc w:val="left"/>
        <w:rPr>
          <w:szCs w:val="21"/>
        </w:rPr>
      </w:pPr>
      <w:r>
        <w:rPr>
          <w:szCs w:val="21"/>
        </w:rPr>
        <w:t>6.1、熟悉</w:t>
      </w:r>
      <w:r>
        <w:rPr>
          <w:rFonts w:hint="eastAsia"/>
          <w:szCs w:val="21"/>
        </w:rPr>
        <w:t>光电导探测器的原理与结构；（重点）</w:t>
      </w:r>
    </w:p>
    <w:p>
      <w:pPr>
        <w:adjustRightInd w:val="0"/>
        <w:snapToGrid w:val="0"/>
        <w:spacing w:line="360" w:lineRule="auto"/>
        <w:ind w:left="426"/>
        <w:jc w:val="left"/>
        <w:rPr>
          <w:szCs w:val="21"/>
        </w:rPr>
      </w:pPr>
      <w:r>
        <w:rPr>
          <w:rFonts w:hint="eastAsia"/>
          <w:szCs w:val="21"/>
        </w:rPr>
        <w:t>6</w:t>
      </w:r>
      <w:r>
        <w:rPr>
          <w:szCs w:val="21"/>
        </w:rPr>
        <w:t>.2</w:t>
      </w:r>
      <w:r>
        <w:rPr>
          <w:rFonts w:hint="eastAsia"/>
          <w:szCs w:val="21"/>
        </w:rPr>
        <w:t>、了解</w:t>
      </w:r>
      <w:r>
        <w:rPr>
          <w:szCs w:val="21"/>
        </w:rPr>
        <w:t>光敏电阻的主要特性参数</w:t>
      </w:r>
      <w:r>
        <w:rPr>
          <w:rFonts w:hint="eastAsia"/>
          <w:szCs w:val="21"/>
        </w:rPr>
        <w:t>；</w:t>
      </w:r>
    </w:p>
    <w:p>
      <w:pPr>
        <w:adjustRightInd w:val="0"/>
        <w:snapToGrid w:val="0"/>
        <w:spacing w:line="360" w:lineRule="auto"/>
        <w:ind w:left="426"/>
        <w:jc w:val="left"/>
        <w:rPr>
          <w:szCs w:val="21"/>
        </w:rPr>
      </w:pPr>
      <w:r>
        <w:rPr>
          <w:szCs w:val="21"/>
        </w:rPr>
        <w:t>6.3、</w:t>
      </w:r>
      <w:r>
        <w:rPr>
          <w:rFonts w:hint="eastAsia"/>
          <w:szCs w:val="21"/>
        </w:rPr>
        <w:t>了解</w:t>
      </w:r>
      <w:r>
        <w:rPr>
          <w:szCs w:val="21"/>
        </w:rPr>
        <w:t>光敏电阻的基本偏置电路</w:t>
      </w:r>
      <w:r>
        <w:rPr>
          <w:rFonts w:hint="eastAsia"/>
          <w:szCs w:val="21"/>
        </w:rPr>
        <w:t>；</w:t>
      </w:r>
      <w:r>
        <w:rPr>
          <w:bCs/>
          <w:szCs w:val="21"/>
        </w:rPr>
        <w:t>（难点）</w:t>
      </w:r>
    </w:p>
    <w:p>
      <w:pPr>
        <w:adjustRightInd w:val="0"/>
        <w:snapToGrid w:val="0"/>
        <w:spacing w:line="360" w:lineRule="auto"/>
        <w:ind w:left="426"/>
        <w:jc w:val="left"/>
        <w:rPr>
          <w:szCs w:val="21"/>
        </w:rPr>
      </w:pPr>
      <w:r>
        <w:rPr>
          <w:szCs w:val="21"/>
        </w:rPr>
        <w:t>6.4</w:t>
      </w:r>
      <w:r>
        <w:rPr>
          <w:rFonts w:hint="eastAsia"/>
          <w:szCs w:val="21"/>
        </w:rPr>
        <w:t>、了解</w:t>
      </w:r>
      <w:r>
        <w:rPr>
          <w:szCs w:val="21"/>
        </w:rPr>
        <w:t>光敏电阻的典型应用</w:t>
      </w:r>
      <w:r>
        <w:rPr>
          <w:rFonts w:hint="eastAsia"/>
          <w:szCs w:val="21"/>
        </w:rPr>
        <w:t>。</w:t>
      </w:r>
    </w:p>
    <w:p>
      <w:pPr>
        <w:adjustRightInd w:val="0"/>
        <w:snapToGrid w:val="0"/>
        <w:spacing w:line="360" w:lineRule="auto"/>
        <w:ind w:firstLine="420" w:firstLineChars="200"/>
        <w:rPr>
          <w:rFonts w:cs="宋体"/>
          <w:bCs/>
          <w:snapToGrid w:val="0"/>
          <w:kern w:val="0"/>
          <w:szCs w:val="21"/>
        </w:rPr>
      </w:pPr>
      <w:r>
        <w:rPr>
          <w:rFonts w:cs="宋体"/>
          <w:bCs/>
          <w:snapToGrid w:val="0"/>
          <w:kern w:val="0"/>
          <w:szCs w:val="21"/>
        </w:rPr>
        <w:t>本章内容支撑课程目标1</w:t>
      </w:r>
      <w:r>
        <w:rPr>
          <w:rFonts w:hint="eastAsia" w:cs="宋体"/>
          <w:bCs/>
          <w:snapToGrid w:val="0"/>
          <w:kern w:val="0"/>
          <w:szCs w:val="21"/>
        </w:rPr>
        <w:t>、2。</w:t>
      </w:r>
    </w:p>
    <w:p>
      <w:pPr>
        <w:adjustRightInd w:val="0"/>
        <w:snapToGrid w:val="0"/>
        <w:spacing w:line="360" w:lineRule="auto"/>
        <w:ind w:left="426"/>
        <w:jc w:val="left"/>
        <w:rPr>
          <w:rFonts w:eastAsia="黑体"/>
          <w:szCs w:val="21"/>
        </w:rPr>
      </w:pPr>
      <w:r>
        <w:rPr>
          <w:rFonts w:eastAsia="黑体"/>
          <w:szCs w:val="21"/>
        </w:rPr>
        <w:t>7 半导体结型光电器件</w:t>
      </w:r>
      <w:r>
        <w:rPr>
          <w:rFonts w:eastAsia="黑体"/>
          <w:kern w:val="0"/>
          <w:szCs w:val="21"/>
          <w:lang w:val="zh-CN"/>
        </w:rPr>
        <w:t>（4学时）</w:t>
      </w:r>
    </w:p>
    <w:p>
      <w:pPr>
        <w:adjustRightInd w:val="0"/>
        <w:snapToGrid w:val="0"/>
        <w:spacing w:line="360" w:lineRule="auto"/>
        <w:ind w:left="426"/>
        <w:jc w:val="left"/>
        <w:rPr>
          <w:szCs w:val="21"/>
        </w:rPr>
      </w:pPr>
      <w:r>
        <w:rPr>
          <w:szCs w:val="21"/>
        </w:rPr>
        <w:t>7.1、</w:t>
      </w:r>
      <w:r>
        <w:rPr>
          <w:rFonts w:hint="eastAsia"/>
          <w:szCs w:val="21"/>
        </w:rPr>
        <w:t>掌握</w:t>
      </w:r>
      <w:r>
        <w:rPr>
          <w:szCs w:val="21"/>
        </w:rPr>
        <w:t>结型光电器件原理</w:t>
      </w:r>
      <w:r>
        <w:rPr>
          <w:rFonts w:hint="eastAsia"/>
          <w:szCs w:val="21"/>
        </w:rPr>
        <w:t>；（重点、难点）</w:t>
      </w:r>
    </w:p>
    <w:p>
      <w:pPr>
        <w:adjustRightInd w:val="0"/>
        <w:snapToGrid w:val="0"/>
        <w:spacing w:line="360" w:lineRule="auto"/>
        <w:ind w:left="426"/>
        <w:jc w:val="left"/>
        <w:rPr>
          <w:szCs w:val="21"/>
        </w:rPr>
      </w:pPr>
      <w:r>
        <w:rPr>
          <w:szCs w:val="21"/>
        </w:rPr>
        <w:t>7.2、</w:t>
      </w:r>
      <w:r>
        <w:rPr>
          <w:rFonts w:hint="eastAsia"/>
          <w:szCs w:val="21"/>
        </w:rPr>
        <w:t>熟悉</w:t>
      </w:r>
      <w:r>
        <w:rPr>
          <w:szCs w:val="21"/>
        </w:rPr>
        <w:t>硅光电池特性</w:t>
      </w:r>
      <w:r>
        <w:rPr>
          <w:rFonts w:hint="eastAsia"/>
          <w:szCs w:val="21"/>
        </w:rPr>
        <w:t>；</w:t>
      </w:r>
    </w:p>
    <w:p>
      <w:pPr>
        <w:adjustRightInd w:val="0"/>
        <w:snapToGrid w:val="0"/>
        <w:spacing w:line="360" w:lineRule="auto"/>
        <w:ind w:left="426"/>
        <w:jc w:val="left"/>
        <w:rPr>
          <w:bCs/>
          <w:szCs w:val="21"/>
        </w:rPr>
      </w:pPr>
      <w:r>
        <w:rPr>
          <w:szCs w:val="21"/>
        </w:rPr>
        <w:t>7.3、</w:t>
      </w:r>
      <w:r>
        <w:rPr>
          <w:rFonts w:hint="eastAsia"/>
          <w:szCs w:val="21"/>
        </w:rPr>
        <w:t>熟悉</w:t>
      </w:r>
      <w:r>
        <w:rPr>
          <w:szCs w:val="21"/>
        </w:rPr>
        <w:t>硅光电二极管和硅光电三极管特性及选型</w:t>
      </w:r>
      <w:r>
        <w:rPr>
          <w:rFonts w:hint="eastAsia"/>
          <w:szCs w:val="21"/>
        </w:rPr>
        <w:t>；</w:t>
      </w:r>
      <w:r>
        <w:rPr>
          <w:bCs/>
          <w:szCs w:val="21"/>
        </w:rPr>
        <w:t>（重点）</w:t>
      </w:r>
    </w:p>
    <w:p>
      <w:pPr>
        <w:adjustRightInd w:val="0"/>
        <w:snapToGrid w:val="0"/>
        <w:spacing w:line="360" w:lineRule="auto"/>
        <w:ind w:left="426"/>
        <w:jc w:val="left"/>
        <w:rPr>
          <w:szCs w:val="21"/>
        </w:rPr>
      </w:pPr>
      <w:r>
        <w:rPr>
          <w:szCs w:val="21"/>
        </w:rPr>
        <w:t>7.4、了解光电变换电路</w:t>
      </w:r>
      <w:r>
        <w:rPr>
          <w:rFonts w:hint="eastAsia"/>
          <w:szCs w:val="21"/>
        </w:rPr>
        <w:t>；（难点）</w:t>
      </w:r>
    </w:p>
    <w:p>
      <w:pPr>
        <w:adjustRightInd w:val="0"/>
        <w:snapToGrid w:val="0"/>
        <w:spacing w:line="360" w:lineRule="auto"/>
        <w:ind w:left="426"/>
        <w:jc w:val="left"/>
        <w:rPr>
          <w:bCs/>
          <w:szCs w:val="21"/>
        </w:rPr>
      </w:pPr>
      <w:r>
        <w:rPr>
          <w:szCs w:val="21"/>
        </w:rPr>
        <w:t>7.5、</w:t>
      </w:r>
      <w:r>
        <w:rPr>
          <w:rFonts w:hint="eastAsia"/>
          <w:szCs w:val="21"/>
        </w:rPr>
        <w:t>熟悉</w:t>
      </w:r>
      <w:r>
        <w:rPr>
          <w:szCs w:val="21"/>
        </w:rPr>
        <w:t>特殊结型光电器件</w:t>
      </w:r>
      <w:r>
        <w:rPr>
          <w:rFonts w:hint="eastAsia"/>
          <w:szCs w:val="21"/>
        </w:rPr>
        <w:t>。</w:t>
      </w:r>
      <w:r>
        <w:rPr>
          <w:bCs/>
          <w:szCs w:val="21"/>
        </w:rPr>
        <w:t>（难点）</w:t>
      </w:r>
    </w:p>
    <w:p>
      <w:pPr>
        <w:adjustRightInd w:val="0"/>
        <w:snapToGrid w:val="0"/>
        <w:spacing w:line="360" w:lineRule="auto"/>
        <w:ind w:firstLine="420" w:firstLineChars="200"/>
        <w:rPr>
          <w:rFonts w:cs="宋体"/>
          <w:bCs/>
          <w:snapToGrid w:val="0"/>
          <w:kern w:val="0"/>
          <w:szCs w:val="21"/>
        </w:rPr>
      </w:pPr>
      <w:r>
        <w:rPr>
          <w:rFonts w:cs="宋体"/>
          <w:bCs/>
          <w:snapToGrid w:val="0"/>
          <w:kern w:val="0"/>
          <w:szCs w:val="21"/>
        </w:rPr>
        <w:t>本章内容支撑课程目标1</w:t>
      </w:r>
      <w:r>
        <w:rPr>
          <w:rFonts w:hint="eastAsia" w:cs="宋体"/>
          <w:bCs/>
          <w:snapToGrid w:val="0"/>
          <w:kern w:val="0"/>
          <w:szCs w:val="21"/>
        </w:rPr>
        <w:t>、2。</w:t>
      </w:r>
    </w:p>
    <w:p>
      <w:pPr>
        <w:adjustRightInd w:val="0"/>
        <w:snapToGrid w:val="0"/>
        <w:spacing w:line="360" w:lineRule="auto"/>
        <w:ind w:left="426"/>
        <w:jc w:val="left"/>
        <w:rPr>
          <w:rFonts w:eastAsia="黑体"/>
          <w:szCs w:val="21"/>
        </w:rPr>
      </w:pPr>
      <w:r>
        <w:rPr>
          <w:rFonts w:eastAsia="黑体"/>
          <w:szCs w:val="21"/>
        </w:rPr>
        <w:t>8 光电成像器件</w:t>
      </w:r>
      <w:r>
        <w:rPr>
          <w:rFonts w:eastAsia="黑体"/>
          <w:kern w:val="0"/>
          <w:szCs w:val="21"/>
          <w:lang w:val="zh-CN"/>
        </w:rPr>
        <w:t>（2学时）</w:t>
      </w:r>
    </w:p>
    <w:p>
      <w:pPr>
        <w:adjustRightInd w:val="0"/>
        <w:snapToGrid w:val="0"/>
        <w:spacing w:line="360" w:lineRule="auto"/>
        <w:ind w:left="426"/>
        <w:jc w:val="left"/>
        <w:rPr>
          <w:szCs w:val="21"/>
        </w:rPr>
      </w:pPr>
      <w:r>
        <w:rPr>
          <w:szCs w:val="21"/>
        </w:rPr>
        <w:t>8.1、</w:t>
      </w:r>
      <w:r>
        <w:rPr>
          <w:rFonts w:hint="eastAsia"/>
          <w:szCs w:val="21"/>
        </w:rPr>
        <w:t>掌握</w:t>
      </w:r>
      <w:r>
        <w:rPr>
          <w:szCs w:val="21"/>
        </w:rPr>
        <w:t>变像管和像增强器的工作原理</w:t>
      </w:r>
      <w:r>
        <w:rPr>
          <w:rFonts w:hint="eastAsia"/>
          <w:szCs w:val="21"/>
        </w:rPr>
        <w:t>；（重点）</w:t>
      </w:r>
    </w:p>
    <w:p>
      <w:pPr>
        <w:adjustRightInd w:val="0"/>
        <w:snapToGrid w:val="0"/>
        <w:spacing w:line="360" w:lineRule="auto"/>
        <w:ind w:left="426"/>
        <w:jc w:val="left"/>
        <w:rPr>
          <w:bCs/>
          <w:szCs w:val="21"/>
        </w:rPr>
      </w:pPr>
      <w:r>
        <w:rPr>
          <w:szCs w:val="21"/>
        </w:rPr>
        <w:t>8.2、</w:t>
      </w:r>
      <w:r>
        <w:rPr>
          <w:rFonts w:hint="eastAsia"/>
          <w:szCs w:val="21"/>
        </w:rPr>
        <w:t>熟悉</w:t>
      </w:r>
      <w:r>
        <w:rPr>
          <w:szCs w:val="21"/>
        </w:rPr>
        <w:t>电荷耦合器件的工作原理及其典型应用</w:t>
      </w:r>
      <w:r>
        <w:rPr>
          <w:rFonts w:hint="eastAsia"/>
          <w:szCs w:val="21"/>
        </w:rPr>
        <w:t>；</w:t>
      </w:r>
      <w:r>
        <w:rPr>
          <w:bCs/>
          <w:szCs w:val="21"/>
        </w:rPr>
        <w:t>（重点</w:t>
      </w:r>
      <w:r>
        <w:rPr>
          <w:rFonts w:hint="eastAsia"/>
          <w:bCs/>
          <w:szCs w:val="21"/>
        </w:rPr>
        <w:t>、</w:t>
      </w:r>
      <w:r>
        <w:rPr>
          <w:bCs/>
          <w:szCs w:val="21"/>
        </w:rPr>
        <w:t>难点）</w:t>
      </w:r>
    </w:p>
    <w:p>
      <w:pPr>
        <w:adjustRightInd w:val="0"/>
        <w:snapToGrid w:val="0"/>
        <w:spacing w:line="360" w:lineRule="auto"/>
        <w:ind w:left="426"/>
        <w:jc w:val="left"/>
        <w:rPr>
          <w:bCs/>
          <w:szCs w:val="21"/>
        </w:rPr>
      </w:pPr>
      <w:r>
        <w:rPr>
          <w:rFonts w:hint="eastAsia"/>
          <w:szCs w:val="21"/>
        </w:rPr>
        <w:t>8</w:t>
      </w:r>
      <w:r>
        <w:rPr>
          <w:szCs w:val="21"/>
        </w:rPr>
        <w:t>.3</w:t>
      </w:r>
      <w:r>
        <w:rPr>
          <w:rFonts w:hint="eastAsia"/>
          <w:szCs w:val="21"/>
        </w:rPr>
        <w:t>、了解CMOS图像传感器</w:t>
      </w:r>
      <w:r>
        <w:rPr>
          <w:szCs w:val="21"/>
        </w:rPr>
        <w:t>的工作原理及其典型应用</w:t>
      </w:r>
      <w:r>
        <w:rPr>
          <w:rFonts w:hint="eastAsia"/>
          <w:szCs w:val="21"/>
        </w:rPr>
        <w:t>。</w:t>
      </w:r>
      <w:r>
        <w:rPr>
          <w:bCs/>
          <w:szCs w:val="21"/>
        </w:rPr>
        <w:t>（难点）</w:t>
      </w:r>
    </w:p>
    <w:p>
      <w:pPr>
        <w:adjustRightInd w:val="0"/>
        <w:snapToGrid w:val="0"/>
        <w:spacing w:line="360" w:lineRule="auto"/>
        <w:ind w:firstLine="420" w:firstLineChars="200"/>
        <w:rPr>
          <w:rFonts w:cs="宋体"/>
          <w:bCs/>
          <w:snapToGrid w:val="0"/>
          <w:kern w:val="0"/>
          <w:szCs w:val="21"/>
        </w:rPr>
      </w:pPr>
      <w:r>
        <w:rPr>
          <w:rFonts w:cs="宋体"/>
          <w:bCs/>
          <w:snapToGrid w:val="0"/>
          <w:kern w:val="0"/>
          <w:szCs w:val="21"/>
        </w:rPr>
        <w:t>本章内容支撑课程目标1</w:t>
      </w:r>
      <w:r>
        <w:rPr>
          <w:rFonts w:hint="eastAsia" w:cs="宋体"/>
          <w:bCs/>
          <w:snapToGrid w:val="0"/>
          <w:kern w:val="0"/>
          <w:szCs w:val="21"/>
        </w:rPr>
        <w:t>、2。</w:t>
      </w:r>
    </w:p>
    <w:p>
      <w:pPr>
        <w:adjustRightInd w:val="0"/>
        <w:snapToGrid w:val="0"/>
        <w:spacing w:line="360" w:lineRule="auto"/>
        <w:ind w:left="426"/>
        <w:jc w:val="left"/>
        <w:rPr>
          <w:rFonts w:eastAsia="黑体"/>
          <w:szCs w:val="21"/>
        </w:rPr>
      </w:pPr>
      <w:r>
        <w:rPr>
          <w:rFonts w:eastAsia="黑体"/>
          <w:szCs w:val="21"/>
        </w:rPr>
        <w:t>9 常用红外光电探测技术</w:t>
      </w:r>
      <w:r>
        <w:rPr>
          <w:rFonts w:eastAsia="黑体"/>
          <w:kern w:val="0"/>
          <w:szCs w:val="21"/>
          <w:lang w:val="zh-CN"/>
        </w:rPr>
        <w:t>（2学时）</w:t>
      </w:r>
    </w:p>
    <w:p>
      <w:pPr>
        <w:adjustRightInd w:val="0"/>
        <w:snapToGrid w:val="0"/>
        <w:spacing w:line="360" w:lineRule="auto"/>
        <w:ind w:left="426"/>
        <w:jc w:val="left"/>
        <w:rPr>
          <w:szCs w:val="21"/>
        </w:rPr>
      </w:pPr>
      <w:r>
        <w:rPr>
          <w:szCs w:val="21"/>
        </w:rPr>
        <w:t>9.1、了解红外</w:t>
      </w:r>
      <w:r>
        <w:rPr>
          <w:rFonts w:hint="eastAsia"/>
          <w:szCs w:val="21"/>
        </w:rPr>
        <w:t>探测器的基本</w:t>
      </w:r>
      <w:r>
        <w:rPr>
          <w:szCs w:val="21"/>
        </w:rPr>
        <w:t>原理</w:t>
      </w:r>
      <w:r>
        <w:rPr>
          <w:rFonts w:hint="eastAsia"/>
          <w:szCs w:val="21"/>
        </w:rPr>
        <w:t>；</w:t>
      </w:r>
    </w:p>
    <w:p>
      <w:pPr>
        <w:adjustRightInd w:val="0"/>
        <w:snapToGrid w:val="0"/>
        <w:spacing w:line="360" w:lineRule="auto"/>
        <w:ind w:left="426"/>
        <w:jc w:val="left"/>
        <w:rPr>
          <w:szCs w:val="21"/>
        </w:rPr>
      </w:pPr>
      <w:r>
        <w:rPr>
          <w:szCs w:val="21"/>
        </w:rPr>
        <w:t>9.2、</w:t>
      </w:r>
      <w:r>
        <w:rPr>
          <w:rFonts w:hint="eastAsia"/>
          <w:szCs w:val="21"/>
        </w:rPr>
        <w:t>了解热电偶与热释电探测器；（难点）</w:t>
      </w:r>
    </w:p>
    <w:p>
      <w:pPr>
        <w:adjustRightInd w:val="0"/>
        <w:snapToGrid w:val="0"/>
        <w:spacing w:line="360" w:lineRule="auto"/>
        <w:ind w:left="426"/>
        <w:jc w:val="left"/>
        <w:rPr>
          <w:szCs w:val="21"/>
        </w:rPr>
      </w:pPr>
      <w:r>
        <w:rPr>
          <w:szCs w:val="21"/>
        </w:rPr>
        <w:t>9</w:t>
      </w:r>
      <w:r>
        <w:rPr>
          <w:rFonts w:hint="eastAsia"/>
          <w:szCs w:val="21"/>
        </w:rPr>
        <w:t>.3、了解红外探测器的典型应用。</w:t>
      </w:r>
    </w:p>
    <w:p>
      <w:pPr>
        <w:adjustRightInd w:val="0"/>
        <w:snapToGrid w:val="0"/>
        <w:spacing w:line="360" w:lineRule="auto"/>
        <w:ind w:firstLine="420" w:firstLineChars="200"/>
        <w:rPr>
          <w:rFonts w:cs="宋体"/>
          <w:bCs/>
          <w:snapToGrid w:val="0"/>
          <w:kern w:val="0"/>
          <w:szCs w:val="21"/>
        </w:rPr>
      </w:pPr>
      <w:r>
        <w:rPr>
          <w:rFonts w:cs="宋体"/>
          <w:bCs/>
          <w:snapToGrid w:val="0"/>
          <w:kern w:val="0"/>
          <w:szCs w:val="21"/>
        </w:rPr>
        <w:t>本章内容支撑课程目标</w:t>
      </w:r>
      <w:r>
        <w:rPr>
          <w:rFonts w:hint="eastAsia" w:cs="宋体"/>
          <w:bCs/>
          <w:snapToGrid w:val="0"/>
          <w:kern w:val="0"/>
          <w:szCs w:val="21"/>
        </w:rPr>
        <w:t>1、2。</w:t>
      </w:r>
    </w:p>
    <w:p>
      <w:pPr>
        <w:adjustRightInd w:val="0"/>
        <w:snapToGrid w:val="0"/>
        <w:spacing w:line="360" w:lineRule="auto"/>
        <w:rPr>
          <w:kern w:val="0"/>
          <w:szCs w:val="21"/>
        </w:rPr>
      </w:pPr>
      <w:r>
        <w:rPr>
          <w:rFonts w:eastAsia="黑体"/>
          <w:szCs w:val="21"/>
        </w:rPr>
        <w:t>五、实验内容</w:t>
      </w:r>
    </w:p>
    <w:p>
      <w:pPr>
        <w:adjustRightInd w:val="0"/>
        <w:snapToGrid w:val="0"/>
        <w:spacing w:line="360" w:lineRule="auto"/>
        <w:ind w:firstLine="420" w:firstLineChars="200"/>
        <w:rPr>
          <w:rFonts w:cs="宋体"/>
          <w:kern w:val="0"/>
          <w:szCs w:val="21"/>
        </w:rPr>
      </w:pPr>
      <w:r>
        <w:rPr>
          <w:rFonts w:hint="eastAsia" w:cs="宋体"/>
          <w:kern w:val="0"/>
          <w:szCs w:val="21"/>
        </w:rPr>
        <w:t>实验环节主要是利用现有的操作台和光电元件，进行简单光电探测系统的搭建，以实现巩固课堂所学内容的目的。要求学生熟悉半导体光电导器件、结型光电器件的特性参数与应用环境；掌握主要光电器件的工作原理，并能动手搭建简单的光电探测系统，并能从实验曲线中探究相关的物理特性。</w:t>
      </w:r>
    </w:p>
    <w:p>
      <w:pPr>
        <w:adjustRightInd w:val="0"/>
        <w:snapToGrid w:val="0"/>
        <w:spacing w:line="360" w:lineRule="auto"/>
        <w:ind w:firstLine="420" w:firstLineChars="200"/>
        <w:rPr>
          <w:rFonts w:cs="宋体"/>
          <w:kern w:val="0"/>
          <w:szCs w:val="21"/>
        </w:rPr>
      </w:pPr>
      <w:r>
        <w:rPr>
          <w:rFonts w:cs="宋体"/>
          <w:kern w:val="0"/>
          <w:szCs w:val="21"/>
        </w:rPr>
        <w:t>10</w:t>
      </w:r>
      <w:r>
        <w:rPr>
          <w:rFonts w:hint="eastAsia" w:cs="宋体"/>
          <w:kern w:val="0"/>
          <w:szCs w:val="21"/>
        </w:rPr>
        <w:t>个学时共完成</w:t>
      </w:r>
      <w:r>
        <w:rPr>
          <w:rFonts w:cs="宋体"/>
          <w:kern w:val="0"/>
          <w:szCs w:val="21"/>
        </w:rPr>
        <w:t>5</w:t>
      </w:r>
      <w:r>
        <w:rPr>
          <w:rFonts w:hint="eastAsia" w:cs="宋体"/>
          <w:kern w:val="0"/>
          <w:szCs w:val="21"/>
        </w:rPr>
        <w:t>个实验，均为正常课内实验。分配</w:t>
      </w:r>
      <w:r>
        <w:rPr>
          <w:rFonts w:cs="宋体"/>
          <w:kern w:val="0"/>
          <w:szCs w:val="21"/>
        </w:rPr>
        <w:t>1</w:t>
      </w:r>
      <w:r>
        <w:rPr>
          <w:rFonts w:hint="eastAsia" w:cs="宋体"/>
          <w:kern w:val="0"/>
          <w:szCs w:val="21"/>
        </w:rPr>
        <w:t>学时用来讲解实验要求和指导，学生课外完成后，再分配</w:t>
      </w:r>
      <w:r>
        <w:rPr>
          <w:rFonts w:cs="宋体"/>
          <w:kern w:val="0"/>
          <w:szCs w:val="21"/>
        </w:rPr>
        <w:t>1</w:t>
      </w:r>
      <w:r>
        <w:rPr>
          <w:rFonts w:hint="eastAsia" w:cs="宋体"/>
          <w:kern w:val="0"/>
          <w:szCs w:val="21"/>
        </w:rPr>
        <w:t>学时组织讨论与检查。</w:t>
      </w:r>
    </w:p>
    <w:p>
      <w:pPr>
        <w:widowControl/>
        <w:adjustRightInd w:val="0"/>
        <w:snapToGrid w:val="0"/>
        <w:spacing w:line="360" w:lineRule="auto"/>
        <w:ind w:firstLine="420" w:firstLineChars="200"/>
        <w:jc w:val="left"/>
        <w:rPr>
          <w:rFonts w:eastAsia="黑体"/>
          <w:szCs w:val="21"/>
        </w:rPr>
      </w:pPr>
      <w:r>
        <w:rPr>
          <w:rFonts w:eastAsia="黑体"/>
          <w:szCs w:val="21"/>
        </w:rPr>
        <w:t>实验一光敏电阻特性测试及应用（3学时）</w:t>
      </w:r>
    </w:p>
    <w:p>
      <w:pPr>
        <w:autoSpaceDE w:val="0"/>
        <w:autoSpaceDN w:val="0"/>
        <w:adjustRightInd w:val="0"/>
        <w:snapToGrid w:val="0"/>
        <w:spacing w:line="360" w:lineRule="auto"/>
        <w:ind w:firstLine="420" w:firstLineChars="200"/>
        <w:jc w:val="left"/>
        <w:rPr>
          <w:szCs w:val="21"/>
        </w:rPr>
      </w:pPr>
      <w:r>
        <w:rPr>
          <w:kern w:val="0"/>
          <w:szCs w:val="21"/>
          <w:lang w:val="zh-CN"/>
        </w:rPr>
        <w:t>内容</w:t>
      </w:r>
      <w:r>
        <w:rPr>
          <w:szCs w:val="21"/>
        </w:rPr>
        <w:t>：分别测出两种光敏电阻的亮电流，并做性能比较。画出伏安特性曲线。</w:t>
      </w:r>
    </w:p>
    <w:p>
      <w:pPr>
        <w:autoSpaceDE w:val="0"/>
        <w:autoSpaceDN w:val="0"/>
        <w:adjustRightInd w:val="0"/>
        <w:snapToGrid w:val="0"/>
        <w:spacing w:line="360" w:lineRule="auto"/>
        <w:ind w:firstLine="420" w:firstLineChars="200"/>
        <w:jc w:val="left"/>
        <w:rPr>
          <w:kern w:val="0"/>
          <w:szCs w:val="21"/>
          <w:lang w:val="zh-CN"/>
        </w:rPr>
      </w:pPr>
      <w:r>
        <w:rPr>
          <w:kern w:val="0"/>
          <w:szCs w:val="21"/>
          <w:lang w:val="zh-CN"/>
        </w:rPr>
        <w:t>基本要求：</w:t>
      </w:r>
    </w:p>
    <w:p>
      <w:pPr>
        <w:autoSpaceDE w:val="0"/>
        <w:autoSpaceDN w:val="0"/>
        <w:adjustRightInd w:val="0"/>
        <w:snapToGrid w:val="0"/>
        <w:spacing w:line="360" w:lineRule="auto"/>
        <w:ind w:firstLine="420" w:firstLineChars="200"/>
        <w:jc w:val="left"/>
        <w:rPr>
          <w:kern w:val="0"/>
          <w:szCs w:val="21"/>
          <w:lang w:val="zh-CN"/>
        </w:rPr>
      </w:pPr>
      <w:r>
        <w:rPr>
          <w:kern w:val="0"/>
          <w:szCs w:val="21"/>
          <w:lang w:val="zh-CN"/>
        </w:rPr>
        <w:t>1、</w:t>
      </w:r>
      <w:r>
        <w:rPr>
          <w:kern w:val="0"/>
          <w:szCs w:val="21"/>
        </w:rPr>
        <w:t>测试光敏电阻的暗电阻，亮电阻，光电阻</w:t>
      </w:r>
      <w:r>
        <w:rPr>
          <w:kern w:val="0"/>
          <w:szCs w:val="21"/>
          <w:lang w:val="zh-CN"/>
        </w:rPr>
        <w:t>；</w:t>
      </w:r>
    </w:p>
    <w:p>
      <w:pPr>
        <w:autoSpaceDE w:val="0"/>
        <w:autoSpaceDN w:val="0"/>
        <w:adjustRightInd w:val="0"/>
        <w:snapToGrid w:val="0"/>
        <w:spacing w:line="360" w:lineRule="auto"/>
        <w:ind w:firstLine="420" w:firstLineChars="200"/>
        <w:jc w:val="left"/>
        <w:rPr>
          <w:kern w:val="0"/>
          <w:szCs w:val="21"/>
        </w:rPr>
      </w:pPr>
      <w:r>
        <w:rPr>
          <w:kern w:val="0"/>
          <w:szCs w:val="21"/>
          <w:lang w:val="zh-CN"/>
        </w:rPr>
        <w:t>2、</w:t>
      </w:r>
      <w:r>
        <w:rPr>
          <w:kern w:val="0"/>
          <w:szCs w:val="21"/>
        </w:rPr>
        <w:t>光敏电阻的暗电流，亮电流，光电流；</w:t>
      </w:r>
    </w:p>
    <w:p>
      <w:pPr>
        <w:autoSpaceDE w:val="0"/>
        <w:autoSpaceDN w:val="0"/>
        <w:adjustRightInd w:val="0"/>
        <w:snapToGrid w:val="0"/>
        <w:spacing w:line="360" w:lineRule="auto"/>
        <w:ind w:firstLine="420" w:firstLineChars="200"/>
        <w:jc w:val="left"/>
        <w:rPr>
          <w:kern w:val="0"/>
          <w:szCs w:val="21"/>
        </w:rPr>
      </w:pPr>
      <w:r>
        <w:rPr>
          <w:kern w:val="0"/>
          <w:szCs w:val="21"/>
        </w:rPr>
        <w:t>3、光敏电阻的光谱特性；</w:t>
      </w:r>
    </w:p>
    <w:p>
      <w:pPr>
        <w:autoSpaceDE w:val="0"/>
        <w:autoSpaceDN w:val="0"/>
        <w:adjustRightInd w:val="0"/>
        <w:snapToGrid w:val="0"/>
        <w:spacing w:line="360" w:lineRule="auto"/>
        <w:ind w:firstLine="420" w:firstLineChars="200"/>
        <w:jc w:val="left"/>
        <w:rPr>
          <w:kern w:val="0"/>
          <w:szCs w:val="21"/>
          <w:lang w:val="zh-CN"/>
        </w:rPr>
      </w:pPr>
      <w:r>
        <w:rPr>
          <w:kern w:val="0"/>
          <w:szCs w:val="21"/>
        </w:rPr>
        <w:t>4、光敏电阻的伏安特性；</w:t>
      </w:r>
    </w:p>
    <w:p>
      <w:pPr>
        <w:autoSpaceDE w:val="0"/>
        <w:autoSpaceDN w:val="0"/>
        <w:adjustRightInd w:val="0"/>
        <w:snapToGrid w:val="0"/>
        <w:spacing w:line="360" w:lineRule="auto"/>
        <w:ind w:firstLine="420" w:firstLineChars="200"/>
        <w:jc w:val="left"/>
        <w:rPr>
          <w:kern w:val="0"/>
          <w:szCs w:val="21"/>
        </w:rPr>
      </w:pPr>
      <w:r>
        <w:rPr>
          <w:kern w:val="0"/>
          <w:szCs w:val="21"/>
        </w:rPr>
        <w:t>5、绘制曲线图，总结规律。</w:t>
      </w:r>
    </w:p>
    <w:p>
      <w:pPr>
        <w:adjustRightInd w:val="0"/>
        <w:snapToGrid w:val="0"/>
        <w:spacing w:line="360" w:lineRule="auto"/>
        <w:ind w:firstLine="420" w:firstLineChars="200"/>
        <w:rPr>
          <w:rFonts w:cs="宋体"/>
          <w:bCs/>
          <w:snapToGrid w:val="0"/>
          <w:kern w:val="0"/>
          <w:szCs w:val="21"/>
        </w:rPr>
      </w:pPr>
      <w:r>
        <w:rPr>
          <w:rFonts w:cs="宋体"/>
          <w:bCs/>
          <w:snapToGrid w:val="0"/>
          <w:kern w:val="0"/>
          <w:szCs w:val="21"/>
        </w:rPr>
        <w:t>本章内容支撑课程目标</w:t>
      </w:r>
      <w:r>
        <w:rPr>
          <w:rFonts w:hint="eastAsia" w:cs="宋体"/>
          <w:bCs/>
          <w:snapToGrid w:val="0"/>
          <w:kern w:val="0"/>
          <w:szCs w:val="21"/>
        </w:rPr>
        <w:t>1、2。</w:t>
      </w:r>
    </w:p>
    <w:p>
      <w:pPr>
        <w:widowControl/>
        <w:adjustRightInd w:val="0"/>
        <w:snapToGrid w:val="0"/>
        <w:spacing w:line="360" w:lineRule="auto"/>
        <w:ind w:firstLine="420" w:firstLineChars="200"/>
        <w:jc w:val="left"/>
        <w:rPr>
          <w:rFonts w:eastAsia="黑体"/>
          <w:szCs w:val="21"/>
        </w:rPr>
      </w:pPr>
      <w:r>
        <w:rPr>
          <w:rFonts w:eastAsia="黑体"/>
          <w:szCs w:val="21"/>
        </w:rPr>
        <w:t>实验二光敏管的应用—光控电路（2学时）</w:t>
      </w:r>
    </w:p>
    <w:p>
      <w:pPr>
        <w:autoSpaceDE w:val="0"/>
        <w:autoSpaceDN w:val="0"/>
        <w:adjustRightInd w:val="0"/>
        <w:snapToGrid w:val="0"/>
        <w:spacing w:line="360" w:lineRule="auto"/>
        <w:ind w:firstLine="420" w:firstLineChars="200"/>
        <w:jc w:val="left"/>
        <w:rPr>
          <w:kern w:val="0"/>
          <w:szCs w:val="21"/>
          <w:lang w:val="zh-CN"/>
        </w:rPr>
      </w:pPr>
      <w:r>
        <w:rPr>
          <w:kern w:val="0"/>
          <w:szCs w:val="21"/>
          <w:lang w:val="zh-CN"/>
        </w:rPr>
        <w:t>内容：设计基于</w:t>
      </w:r>
      <w:r>
        <w:rPr>
          <w:kern w:val="0"/>
          <w:szCs w:val="21"/>
        </w:rPr>
        <w:t>光敏管的光控电路，在不同光照条件下验证光强对电路影响。</w:t>
      </w:r>
    </w:p>
    <w:p>
      <w:pPr>
        <w:autoSpaceDE w:val="0"/>
        <w:autoSpaceDN w:val="0"/>
        <w:adjustRightInd w:val="0"/>
        <w:snapToGrid w:val="0"/>
        <w:spacing w:line="360" w:lineRule="auto"/>
        <w:ind w:firstLine="420" w:firstLineChars="200"/>
        <w:jc w:val="left"/>
        <w:rPr>
          <w:rFonts w:eastAsia="黑体"/>
          <w:kern w:val="0"/>
          <w:szCs w:val="21"/>
          <w:lang w:val="zh-CN"/>
        </w:rPr>
      </w:pPr>
      <w:r>
        <w:rPr>
          <w:kern w:val="0"/>
          <w:szCs w:val="21"/>
          <w:lang w:val="zh-CN"/>
        </w:rPr>
        <w:t>基本要求：</w:t>
      </w:r>
    </w:p>
    <w:p>
      <w:pPr>
        <w:autoSpaceDE w:val="0"/>
        <w:autoSpaceDN w:val="0"/>
        <w:adjustRightInd w:val="0"/>
        <w:snapToGrid w:val="0"/>
        <w:spacing w:line="360" w:lineRule="auto"/>
        <w:ind w:firstLine="420" w:firstLineChars="200"/>
        <w:jc w:val="left"/>
        <w:rPr>
          <w:kern w:val="0"/>
          <w:szCs w:val="21"/>
          <w:lang w:val="zh-CN"/>
        </w:rPr>
      </w:pPr>
      <w:r>
        <w:rPr>
          <w:kern w:val="0"/>
          <w:szCs w:val="21"/>
          <w:lang w:val="zh-CN"/>
        </w:rPr>
        <w:t>1、</w:t>
      </w:r>
      <w:r>
        <w:rPr>
          <w:rFonts w:hint="eastAsia"/>
          <w:kern w:val="0"/>
          <w:szCs w:val="21"/>
        </w:rPr>
        <w:t>了解</w:t>
      </w:r>
      <w:r>
        <w:rPr>
          <w:kern w:val="0"/>
          <w:szCs w:val="21"/>
        </w:rPr>
        <w:t>光敏管的基本原理；</w:t>
      </w:r>
    </w:p>
    <w:p>
      <w:pPr>
        <w:autoSpaceDE w:val="0"/>
        <w:autoSpaceDN w:val="0"/>
        <w:adjustRightInd w:val="0"/>
        <w:snapToGrid w:val="0"/>
        <w:spacing w:line="360" w:lineRule="auto"/>
        <w:ind w:firstLine="420" w:firstLineChars="200"/>
        <w:jc w:val="left"/>
        <w:rPr>
          <w:kern w:val="0"/>
          <w:szCs w:val="21"/>
          <w:lang w:val="zh-CN"/>
        </w:rPr>
      </w:pPr>
      <w:r>
        <w:rPr>
          <w:kern w:val="0"/>
          <w:szCs w:val="21"/>
          <w:lang w:val="zh-CN"/>
        </w:rPr>
        <w:t>2、</w:t>
      </w:r>
      <w:r>
        <w:rPr>
          <w:rFonts w:hint="eastAsia"/>
          <w:kern w:val="0"/>
          <w:szCs w:val="21"/>
        </w:rPr>
        <w:t>学会</w:t>
      </w:r>
      <w:r>
        <w:rPr>
          <w:kern w:val="0"/>
          <w:szCs w:val="21"/>
        </w:rPr>
        <w:t>光敏管的使用方法；</w:t>
      </w:r>
    </w:p>
    <w:p>
      <w:pPr>
        <w:autoSpaceDE w:val="0"/>
        <w:autoSpaceDN w:val="0"/>
        <w:adjustRightInd w:val="0"/>
        <w:snapToGrid w:val="0"/>
        <w:spacing w:line="360" w:lineRule="auto"/>
        <w:ind w:firstLine="420" w:firstLineChars="200"/>
        <w:jc w:val="left"/>
        <w:rPr>
          <w:kern w:val="0"/>
          <w:szCs w:val="21"/>
        </w:rPr>
      </w:pPr>
      <w:r>
        <w:rPr>
          <w:kern w:val="0"/>
          <w:szCs w:val="21"/>
          <w:lang w:val="zh-CN"/>
        </w:rPr>
        <w:t>3、设计并验证</w:t>
      </w:r>
      <w:r>
        <w:rPr>
          <w:kern w:val="0"/>
          <w:szCs w:val="21"/>
        </w:rPr>
        <w:t>光控电路；</w:t>
      </w:r>
    </w:p>
    <w:p>
      <w:pPr>
        <w:autoSpaceDE w:val="0"/>
        <w:autoSpaceDN w:val="0"/>
        <w:adjustRightInd w:val="0"/>
        <w:snapToGrid w:val="0"/>
        <w:spacing w:line="360" w:lineRule="auto"/>
        <w:ind w:firstLine="420" w:firstLineChars="200"/>
        <w:jc w:val="left"/>
        <w:rPr>
          <w:kern w:val="0"/>
          <w:szCs w:val="21"/>
        </w:rPr>
      </w:pPr>
      <w:r>
        <w:rPr>
          <w:kern w:val="0"/>
          <w:szCs w:val="21"/>
        </w:rPr>
        <w:t>4、根据暗通电路原理，设计亮通电路。</w:t>
      </w:r>
    </w:p>
    <w:p>
      <w:pPr>
        <w:autoSpaceDE w:val="0"/>
        <w:autoSpaceDN w:val="0"/>
        <w:adjustRightInd w:val="0"/>
        <w:snapToGrid w:val="0"/>
        <w:spacing w:line="360" w:lineRule="auto"/>
        <w:ind w:firstLine="420" w:firstLineChars="200"/>
        <w:jc w:val="left"/>
        <w:rPr>
          <w:kern w:val="0"/>
          <w:szCs w:val="21"/>
        </w:rPr>
      </w:pPr>
      <w:r>
        <w:rPr>
          <w:kern w:val="0"/>
          <w:szCs w:val="21"/>
        </w:rPr>
        <w:t>此实验要求完成光电器件的原理、光敏管在使用方法、基本电路的设计。</w:t>
      </w:r>
    </w:p>
    <w:p>
      <w:pPr>
        <w:adjustRightInd w:val="0"/>
        <w:snapToGrid w:val="0"/>
        <w:spacing w:line="360" w:lineRule="auto"/>
        <w:ind w:firstLine="420" w:firstLineChars="200"/>
        <w:rPr>
          <w:rFonts w:cs="宋体"/>
          <w:bCs/>
          <w:snapToGrid w:val="0"/>
          <w:kern w:val="0"/>
          <w:szCs w:val="21"/>
        </w:rPr>
      </w:pPr>
      <w:r>
        <w:rPr>
          <w:rFonts w:cs="宋体"/>
          <w:bCs/>
          <w:snapToGrid w:val="0"/>
          <w:kern w:val="0"/>
          <w:szCs w:val="21"/>
        </w:rPr>
        <w:t>本章内容支撑课程目标</w:t>
      </w:r>
      <w:r>
        <w:rPr>
          <w:rFonts w:hint="eastAsia" w:cs="宋体"/>
          <w:bCs/>
          <w:snapToGrid w:val="0"/>
          <w:kern w:val="0"/>
          <w:szCs w:val="21"/>
        </w:rPr>
        <w:t>2。</w:t>
      </w:r>
    </w:p>
    <w:p>
      <w:pPr>
        <w:widowControl/>
        <w:adjustRightInd w:val="0"/>
        <w:snapToGrid w:val="0"/>
        <w:spacing w:line="360" w:lineRule="auto"/>
        <w:ind w:firstLine="420" w:firstLineChars="200"/>
        <w:jc w:val="left"/>
        <w:rPr>
          <w:rFonts w:eastAsia="黑体"/>
          <w:szCs w:val="21"/>
        </w:rPr>
      </w:pPr>
      <w:r>
        <w:rPr>
          <w:rFonts w:eastAsia="黑体"/>
          <w:szCs w:val="21"/>
        </w:rPr>
        <w:t>实验三光敏三极管特性测试及应用（3学时）设计性</w:t>
      </w:r>
    </w:p>
    <w:p>
      <w:pPr>
        <w:autoSpaceDE w:val="0"/>
        <w:autoSpaceDN w:val="0"/>
        <w:adjustRightInd w:val="0"/>
        <w:snapToGrid w:val="0"/>
        <w:spacing w:line="360" w:lineRule="auto"/>
        <w:ind w:firstLine="420" w:firstLineChars="200"/>
        <w:jc w:val="left"/>
        <w:rPr>
          <w:kern w:val="0"/>
          <w:szCs w:val="21"/>
          <w:lang w:val="zh-CN"/>
        </w:rPr>
      </w:pPr>
      <w:r>
        <w:rPr>
          <w:kern w:val="0"/>
          <w:szCs w:val="21"/>
          <w:lang w:val="zh-CN"/>
        </w:rPr>
        <w:t>内容：测出给定光敏三极管对不同光谱的响应曲线，总结使用光敏三极管时对光源的选择规律。</w:t>
      </w:r>
    </w:p>
    <w:p>
      <w:pPr>
        <w:autoSpaceDE w:val="0"/>
        <w:autoSpaceDN w:val="0"/>
        <w:adjustRightInd w:val="0"/>
        <w:snapToGrid w:val="0"/>
        <w:spacing w:line="360" w:lineRule="auto"/>
        <w:ind w:firstLine="420" w:firstLineChars="200"/>
        <w:jc w:val="left"/>
        <w:rPr>
          <w:rFonts w:eastAsia="黑体"/>
          <w:kern w:val="0"/>
          <w:szCs w:val="21"/>
          <w:lang w:val="zh-CN"/>
        </w:rPr>
      </w:pPr>
      <w:r>
        <w:rPr>
          <w:kern w:val="0"/>
          <w:szCs w:val="21"/>
          <w:lang w:val="zh-CN"/>
        </w:rPr>
        <w:t>基本要求：</w:t>
      </w:r>
    </w:p>
    <w:p>
      <w:pPr>
        <w:widowControl/>
        <w:adjustRightInd w:val="0"/>
        <w:snapToGrid w:val="0"/>
        <w:spacing w:line="360" w:lineRule="auto"/>
        <w:ind w:right="26" w:firstLine="420" w:firstLineChars="200"/>
        <w:jc w:val="left"/>
        <w:rPr>
          <w:kern w:val="0"/>
          <w:szCs w:val="21"/>
        </w:rPr>
      </w:pPr>
      <w:r>
        <w:rPr>
          <w:kern w:val="0"/>
          <w:szCs w:val="21"/>
        </w:rPr>
        <w:t>1、搭建测量电路；</w:t>
      </w:r>
    </w:p>
    <w:p>
      <w:pPr>
        <w:widowControl/>
        <w:adjustRightInd w:val="0"/>
        <w:snapToGrid w:val="0"/>
        <w:spacing w:line="360" w:lineRule="auto"/>
        <w:ind w:right="26" w:firstLine="420" w:firstLineChars="200"/>
        <w:jc w:val="left"/>
        <w:rPr>
          <w:kern w:val="0"/>
          <w:szCs w:val="21"/>
        </w:rPr>
      </w:pPr>
      <w:r>
        <w:rPr>
          <w:kern w:val="0"/>
          <w:szCs w:val="21"/>
        </w:rPr>
        <w:t>2、</w:t>
      </w:r>
      <w:r>
        <w:rPr>
          <w:rFonts w:hint="eastAsia"/>
          <w:kern w:val="0"/>
          <w:szCs w:val="21"/>
        </w:rPr>
        <w:t>判断光敏三极管C、E极性，测试光敏三极管的伏安特性；</w:t>
      </w:r>
    </w:p>
    <w:p>
      <w:pPr>
        <w:widowControl/>
        <w:adjustRightInd w:val="0"/>
        <w:snapToGrid w:val="0"/>
        <w:spacing w:line="360" w:lineRule="auto"/>
        <w:ind w:right="26" w:firstLine="420" w:firstLineChars="200"/>
        <w:jc w:val="left"/>
        <w:rPr>
          <w:kern w:val="0"/>
          <w:szCs w:val="21"/>
        </w:rPr>
      </w:pPr>
      <w:r>
        <w:rPr>
          <w:kern w:val="0"/>
          <w:szCs w:val="21"/>
        </w:rPr>
        <w:t>3</w:t>
      </w:r>
      <w:r>
        <w:rPr>
          <w:rFonts w:hint="eastAsia"/>
          <w:kern w:val="0"/>
          <w:szCs w:val="21"/>
        </w:rPr>
        <w:t>、</w:t>
      </w:r>
      <w:r>
        <w:rPr>
          <w:kern w:val="0"/>
          <w:szCs w:val="21"/>
        </w:rPr>
        <w:t>分别用不同光源照射</w:t>
      </w:r>
      <w:r>
        <w:rPr>
          <w:kern w:val="0"/>
          <w:szCs w:val="21"/>
          <w:lang w:val="zh-CN"/>
        </w:rPr>
        <w:t>光敏三极管光敏面，测试光电流的大小；</w:t>
      </w:r>
    </w:p>
    <w:p>
      <w:pPr>
        <w:widowControl/>
        <w:adjustRightInd w:val="0"/>
        <w:snapToGrid w:val="0"/>
        <w:spacing w:line="360" w:lineRule="auto"/>
        <w:ind w:right="26" w:firstLine="420" w:firstLineChars="200"/>
        <w:jc w:val="left"/>
        <w:rPr>
          <w:kern w:val="0"/>
          <w:szCs w:val="21"/>
          <w:lang w:val="zh-CN"/>
        </w:rPr>
      </w:pPr>
      <w:r>
        <w:rPr>
          <w:kern w:val="0"/>
          <w:szCs w:val="21"/>
        </w:rPr>
        <w:t>3、选用不同颜色的发光二极管，连接光源电路；</w:t>
      </w:r>
      <w:r>
        <w:rPr>
          <w:kern w:val="0"/>
          <w:szCs w:val="21"/>
          <w:lang w:val="zh-CN"/>
        </w:rPr>
        <w:t>绘制光谱响应曲线。</w:t>
      </w:r>
    </w:p>
    <w:p>
      <w:pPr>
        <w:autoSpaceDE w:val="0"/>
        <w:autoSpaceDN w:val="0"/>
        <w:adjustRightInd w:val="0"/>
        <w:snapToGrid w:val="0"/>
        <w:spacing w:line="360" w:lineRule="auto"/>
        <w:ind w:firstLine="420" w:firstLineChars="200"/>
        <w:jc w:val="left"/>
        <w:rPr>
          <w:kern w:val="0"/>
          <w:szCs w:val="21"/>
        </w:rPr>
      </w:pPr>
      <w:r>
        <w:rPr>
          <w:kern w:val="0"/>
          <w:szCs w:val="21"/>
        </w:rPr>
        <w:t>此实验要求完成光敏</w:t>
      </w:r>
      <w:r>
        <w:rPr>
          <w:kern w:val="0"/>
          <w:szCs w:val="21"/>
          <w:lang w:val="zh-CN"/>
        </w:rPr>
        <w:t>三极管</w:t>
      </w:r>
      <w:r>
        <w:rPr>
          <w:kern w:val="0"/>
          <w:szCs w:val="21"/>
        </w:rPr>
        <w:t>在使用方法、光源的电路的设计。</w:t>
      </w:r>
    </w:p>
    <w:p>
      <w:pPr>
        <w:adjustRightInd w:val="0"/>
        <w:snapToGrid w:val="0"/>
        <w:spacing w:line="360" w:lineRule="auto"/>
        <w:ind w:firstLine="420" w:firstLineChars="200"/>
        <w:rPr>
          <w:rFonts w:cs="宋体"/>
          <w:bCs/>
          <w:snapToGrid w:val="0"/>
          <w:kern w:val="0"/>
          <w:szCs w:val="21"/>
        </w:rPr>
      </w:pPr>
      <w:r>
        <w:rPr>
          <w:rFonts w:cs="宋体"/>
          <w:bCs/>
          <w:snapToGrid w:val="0"/>
          <w:kern w:val="0"/>
          <w:szCs w:val="21"/>
        </w:rPr>
        <w:t>本章内容支撑课程目标</w:t>
      </w:r>
      <w:r>
        <w:rPr>
          <w:rFonts w:hint="eastAsia" w:cs="宋体"/>
          <w:bCs/>
          <w:snapToGrid w:val="0"/>
          <w:kern w:val="0"/>
          <w:szCs w:val="21"/>
        </w:rPr>
        <w:t>1、2。</w:t>
      </w:r>
    </w:p>
    <w:p>
      <w:pPr>
        <w:autoSpaceDE w:val="0"/>
        <w:autoSpaceDN w:val="0"/>
        <w:adjustRightInd w:val="0"/>
        <w:snapToGrid w:val="0"/>
        <w:spacing w:line="360" w:lineRule="auto"/>
        <w:ind w:firstLine="420" w:firstLineChars="200"/>
        <w:jc w:val="left"/>
        <w:rPr>
          <w:rFonts w:eastAsia="黑体"/>
          <w:kern w:val="0"/>
          <w:szCs w:val="21"/>
          <w:lang w:val="zh-CN"/>
        </w:rPr>
      </w:pPr>
      <w:r>
        <w:rPr>
          <w:rFonts w:eastAsia="黑体"/>
          <w:kern w:val="0"/>
          <w:szCs w:val="21"/>
          <w:lang w:val="zh-CN"/>
        </w:rPr>
        <w:t>实验四</w:t>
      </w:r>
      <w:r>
        <w:rPr>
          <w:rFonts w:eastAsia="黑体"/>
          <w:kern w:val="0"/>
          <w:szCs w:val="21"/>
        </w:rPr>
        <w:t>衍射光栅-</w:t>
      </w:r>
      <w:r>
        <w:rPr>
          <w:rFonts w:hint="eastAsia" w:eastAsia="黑体"/>
          <w:kern w:val="0"/>
          <w:szCs w:val="21"/>
        </w:rPr>
        <w:t>距离</w:t>
      </w:r>
      <w:r>
        <w:rPr>
          <w:rFonts w:eastAsia="黑体"/>
          <w:kern w:val="0"/>
          <w:szCs w:val="21"/>
        </w:rPr>
        <w:t>测试实验</w:t>
      </w:r>
      <w:r>
        <w:rPr>
          <w:rFonts w:eastAsia="黑体"/>
          <w:szCs w:val="21"/>
        </w:rPr>
        <w:t>（1学时）</w:t>
      </w:r>
    </w:p>
    <w:p>
      <w:pPr>
        <w:autoSpaceDE w:val="0"/>
        <w:autoSpaceDN w:val="0"/>
        <w:adjustRightInd w:val="0"/>
        <w:snapToGrid w:val="0"/>
        <w:spacing w:line="360" w:lineRule="auto"/>
        <w:ind w:firstLine="420" w:firstLineChars="200"/>
        <w:jc w:val="left"/>
        <w:rPr>
          <w:kern w:val="0"/>
          <w:szCs w:val="21"/>
          <w:lang w:val="zh-CN"/>
        </w:rPr>
      </w:pPr>
      <w:r>
        <w:rPr>
          <w:kern w:val="0"/>
          <w:szCs w:val="21"/>
          <w:lang w:val="zh-CN"/>
        </w:rPr>
        <w:t>内容：研究衍射光栅位移测量原理，测试位移-光斑距离输出曲线。</w:t>
      </w:r>
    </w:p>
    <w:p>
      <w:pPr>
        <w:autoSpaceDE w:val="0"/>
        <w:autoSpaceDN w:val="0"/>
        <w:adjustRightInd w:val="0"/>
        <w:snapToGrid w:val="0"/>
        <w:spacing w:line="360" w:lineRule="auto"/>
        <w:ind w:firstLine="420" w:firstLineChars="200"/>
        <w:jc w:val="left"/>
        <w:rPr>
          <w:rFonts w:eastAsia="黑体"/>
          <w:kern w:val="0"/>
          <w:szCs w:val="21"/>
          <w:lang w:val="zh-CN"/>
        </w:rPr>
      </w:pPr>
      <w:r>
        <w:rPr>
          <w:kern w:val="0"/>
          <w:szCs w:val="21"/>
          <w:lang w:val="zh-CN"/>
        </w:rPr>
        <w:t>基本要求：</w:t>
      </w:r>
    </w:p>
    <w:p>
      <w:pPr>
        <w:autoSpaceDE w:val="0"/>
        <w:autoSpaceDN w:val="0"/>
        <w:adjustRightInd w:val="0"/>
        <w:snapToGrid w:val="0"/>
        <w:spacing w:line="360" w:lineRule="auto"/>
        <w:ind w:firstLine="420" w:firstLineChars="200"/>
        <w:jc w:val="left"/>
        <w:rPr>
          <w:kern w:val="0"/>
          <w:szCs w:val="21"/>
          <w:lang w:val="zh-CN"/>
        </w:rPr>
      </w:pPr>
      <w:r>
        <w:rPr>
          <w:kern w:val="0"/>
          <w:szCs w:val="21"/>
          <w:lang w:val="zh-CN"/>
        </w:rPr>
        <w:t>1、</w:t>
      </w:r>
      <w:r>
        <w:rPr>
          <w:rFonts w:hint="eastAsia"/>
          <w:kern w:val="0"/>
          <w:szCs w:val="21"/>
        </w:rPr>
        <w:t>理解</w:t>
      </w:r>
      <w:r>
        <w:rPr>
          <w:kern w:val="0"/>
          <w:szCs w:val="21"/>
          <w:lang w:val="zh-CN"/>
        </w:rPr>
        <w:t>衍射光栅</w:t>
      </w:r>
      <w:r>
        <w:rPr>
          <w:rFonts w:hint="eastAsia"/>
          <w:kern w:val="0"/>
          <w:szCs w:val="21"/>
          <w:lang w:val="zh-CN"/>
        </w:rPr>
        <w:t>距离</w:t>
      </w:r>
      <w:r>
        <w:rPr>
          <w:kern w:val="0"/>
          <w:szCs w:val="21"/>
          <w:lang w:val="zh-CN"/>
        </w:rPr>
        <w:t>测量的基本原理；</w:t>
      </w:r>
    </w:p>
    <w:p>
      <w:pPr>
        <w:autoSpaceDE w:val="0"/>
        <w:autoSpaceDN w:val="0"/>
        <w:adjustRightInd w:val="0"/>
        <w:snapToGrid w:val="0"/>
        <w:spacing w:line="360" w:lineRule="auto"/>
        <w:ind w:firstLine="420" w:firstLineChars="200"/>
        <w:jc w:val="left"/>
        <w:rPr>
          <w:kern w:val="0"/>
          <w:szCs w:val="21"/>
          <w:lang w:val="zh-CN"/>
        </w:rPr>
      </w:pPr>
      <w:r>
        <w:rPr>
          <w:kern w:val="0"/>
          <w:szCs w:val="21"/>
          <w:lang w:val="zh-CN"/>
        </w:rPr>
        <w:t>2、观察光电检测系统的结构；</w:t>
      </w:r>
    </w:p>
    <w:p>
      <w:pPr>
        <w:autoSpaceDE w:val="0"/>
        <w:autoSpaceDN w:val="0"/>
        <w:adjustRightInd w:val="0"/>
        <w:snapToGrid w:val="0"/>
        <w:spacing w:line="360" w:lineRule="auto"/>
        <w:ind w:firstLine="420" w:firstLineChars="200"/>
        <w:jc w:val="left"/>
        <w:rPr>
          <w:kern w:val="0"/>
          <w:szCs w:val="21"/>
          <w:lang w:val="zh-CN"/>
        </w:rPr>
      </w:pPr>
      <w:r>
        <w:rPr>
          <w:kern w:val="0"/>
          <w:szCs w:val="21"/>
          <w:lang w:val="zh-CN"/>
        </w:rPr>
        <w:t>3、测试出位移-光斑距离曲线。</w:t>
      </w:r>
    </w:p>
    <w:p>
      <w:pPr>
        <w:adjustRightInd w:val="0"/>
        <w:snapToGrid w:val="0"/>
        <w:spacing w:line="360" w:lineRule="auto"/>
        <w:ind w:firstLine="420" w:firstLineChars="200"/>
        <w:rPr>
          <w:rFonts w:cs="宋体"/>
          <w:bCs/>
          <w:snapToGrid w:val="0"/>
          <w:kern w:val="0"/>
          <w:szCs w:val="21"/>
        </w:rPr>
      </w:pPr>
      <w:r>
        <w:rPr>
          <w:rFonts w:cs="宋体"/>
          <w:bCs/>
          <w:snapToGrid w:val="0"/>
          <w:kern w:val="0"/>
          <w:szCs w:val="21"/>
        </w:rPr>
        <w:t>本章内容支撑课程目标</w:t>
      </w:r>
      <w:r>
        <w:rPr>
          <w:rFonts w:hint="eastAsia" w:cs="宋体"/>
          <w:bCs/>
          <w:snapToGrid w:val="0"/>
          <w:kern w:val="0"/>
          <w:szCs w:val="21"/>
        </w:rPr>
        <w:t>2。</w:t>
      </w:r>
    </w:p>
    <w:p>
      <w:pPr>
        <w:autoSpaceDE w:val="0"/>
        <w:autoSpaceDN w:val="0"/>
        <w:adjustRightInd w:val="0"/>
        <w:snapToGrid w:val="0"/>
        <w:spacing w:line="360" w:lineRule="auto"/>
        <w:ind w:firstLine="420" w:firstLineChars="200"/>
        <w:jc w:val="left"/>
        <w:rPr>
          <w:rFonts w:eastAsia="黑体"/>
          <w:kern w:val="0"/>
          <w:szCs w:val="21"/>
          <w:lang w:val="zh-CN"/>
        </w:rPr>
      </w:pPr>
      <w:r>
        <w:rPr>
          <w:rFonts w:eastAsia="黑体"/>
          <w:kern w:val="0"/>
          <w:szCs w:val="21"/>
          <w:lang w:val="zh-CN"/>
        </w:rPr>
        <w:t>实验五</w:t>
      </w:r>
      <w:r>
        <w:rPr>
          <w:rFonts w:eastAsia="黑体"/>
          <w:kern w:val="0"/>
          <w:szCs w:val="21"/>
        </w:rPr>
        <w:t>光电位置敏感器件—PSD</w:t>
      </w:r>
      <w:r>
        <w:rPr>
          <w:rFonts w:eastAsia="黑体"/>
          <w:kern w:val="0"/>
          <w:szCs w:val="21"/>
          <w:lang w:val="zh-CN"/>
        </w:rPr>
        <w:t>（</w:t>
      </w:r>
      <w:r>
        <w:rPr>
          <w:rFonts w:hint="eastAsia" w:eastAsia="黑体"/>
          <w:kern w:val="0"/>
          <w:szCs w:val="21"/>
          <w:lang w:val="zh-CN"/>
        </w:rPr>
        <w:t>1</w:t>
      </w:r>
      <w:r>
        <w:rPr>
          <w:rFonts w:eastAsia="黑体"/>
          <w:kern w:val="0"/>
          <w:szCs w:val="21"/>
          <w:lang w:val="zh-CN"/>
        </w:rPr>
        <w:t>学时）</w:t>
      </w:r>
    </w:p>
    <w:p>
      <w:pPr>
        <w:autoSpaceDE w:val="0"/>
        <w:autoSpaceDN w:val="0"/>
        <w:adjustRightInd w:val="0"/>
        <w:snapToGrid w:val="0"/>
        <w:spacing w:line="360" w:lineRule="auto"/>
        <w:ind w:firstLine="420" w:firstLineChars="200"/>
        <w:jc w:val="left"/>
        <w:rPr>
          <w:kern w:val="0"/>
          <w:szCs w:val="21"/>
          <w:lang w:val="zh-CN"/>
        </w:rPr>
      </w:pPr>
      <w:r>
        <w:rPr>
          <w:kern w:val="0"/>
          <w:szCs w:val="21"/>
          <w:lang w:val="zh-CN"/>
        </w:rPr>
        <w:t>内容：验证PSD的原理，找出光斑大小与输出电流之间的关系。测试给定系统位移-电压曲线，求出其灵敏度。</w:t>
      </w:r>
    </w:p>
    <w:p>
      <w:pPr>
        <w:autoSpaceDE w:val="0"/>
        <w:autoSpaceDN w:val="0"/>
        <w:adjustRightInd w:val="0"/>
        <w:snapToGrid w:val="0"/>
        <w:spacing w:line="360" w:lineRule="auto"/>
        <w:ind w:firstLine="420" w:firstLineChars="200"/>
        <w:jc w:val="left"/>
        <w:rPr>
          <w:rFonts w:eastAsia="黑体"/>
          <w:kern w:val="0"/>
          <w:szCs w:val="21"/>
          <w:lang w:val="zh-CN"/>
        </w:rPr>
      </w:pPr>
      <w:r>
        <w:rPr>
          <w:kern w:val="0"/>
          <w:szCs w:val="21"/>
          <w:lang w:val="zh-CN"/>
        </w:rPr>
        <w:t>基本要求：</w:t>
      </w:r>
    </w:p>
    <w:p>
      <w:pPr>
        <w:autoSpaceDE w:val="0"/>
        <w:autoSpaceDN w:val="0"/>
        <w:adjustRightInd w:val="0"/>
        <w:snapToGrid w:val="0"/>
        <w:spacing w:line="360" w:lineRule="auto"/>
        <w:ind w:firstLine="420" w:firstLineChars="200"/>
        <w:jc w:val="left"/>
        <w:rPr>
          <w:kern w:val="0"/>
          <w:szCs w:val="21"/>
          <w:lang w:val="zh-CN"/>
        </w:rPr>
      </w:pPr>
      <w:r>
        <w:rPr>
          <w:kern w:val="0"/>
          <w:szCs w:val="21"/>
          <w:lang w:val="zh-CN"/>
        </w:rPr>
        <w:t>1、</w:t>
      </w:r>
      <w:r>
        <w:rPr>
          <w:rFonts w:hint="eastAsia"/>
          <w:kern w:val="0"/>
          <w:szCs w:val="21"/>
        </w:rPr>
        <w:t>了解</w:t>
      </w:r>
      <w:r>
        <w:rPr>
          <w:kern w:val="0"/>
          <w:szCs w:val="21"/>
          <w:lang w:val="zh-CN"/>
        </w:rPr>
        <w:t>PSD的光电特性；</w:t>
      </w:r>
    </w:p>
    <w:p>
      <w:pPr>
        <w:autoSpaceDE w:val="0"/>
        <w:autoSpaceDN w:val="0"/>
        <w:adjustRightInd w:val="0"/>
        <w:snapToGrid w:val="0"/>
        <w:spacing w:line="360" w:lineRule="auto"/>
        <w:ind w:firstLine="420" w:firstLineChars="200"/>
        <w:jc w:val="left"/>
        <w:rPr>
          <w:kern w:val="0"/>
          <w:szCs w:val="21"/>
          <w:lang w:val="zh-CN"/>
        </w:rPr>
      </w:pPr>
      <w:r>
        <w:rPr>
          <w:kern w:val="0"/>
          <w:szCs w:val="21"/>
          <w:lang w:val="zh-CN"/>
        </w:rPr>
        <w:t>2、测试位移检测系统的输出曲线。</w:t>
      </w:r>
    </w:p>
    <w:p>
      <w:pPr>
        <w:autoSpaceDE w:val="0"/>
        <w:autoSpaceDN w:val="0"/>
        <w:adjustRightInd w:val="0"/>
        <w:snapToGrid w:val="0"/>
        <w:spacing w:line="360" w:lineRule="auto"/>
        <w:ind w:firstLine="420" w:firstLineChars="200"/>
        <w:jc w:val="left"/>
        <w:rPr>
          <w:kern w:val="0"/>
          <w:szCs w:val="21"/>
          <w:lang w:val="zh-CN"/>
        </w:rPr>
      </w:pPr>
      <w:r>
        <w:rPr>
          <w:kern w:val="0"/>
          <w:szCs w:val="21"/>
          <w:lang w:val="zh-CN"/>
        </w:rPr>
        <w:t>此实验要求学生完成选择光源，PSD器件，PSD的信号处理电路，画出光路图。</w:t>
      </w:r>
    </w:p>
    <w:p>
      <w:pPr>
        <w:adjustRightInd w:val="0"/>
        <w:snapToGrid w:val="0"/>
        <w:spacing w:line="360" w:lineRule="auto"/>
        <w:ind w:firstLine="420" w:firstLineChars="200"/>
        <w:rPr>
          <w:rFonts w:cs="宋体"/>
          <w:bCs/>
          <w:snapToGrid w:val="0"/>
          <w:kern w:val="0"/>
          <w:szCs w:val="21"/>
        </w:rPr>
      </w:pPr>
      <w:r>
        <w:rPr>
          <w:rFonts w:cs="宋体"/>
          <w:bCs/>
          <w:snapToGrid w:val="0"/>
          <w:kern w:val="0"/>
          <w:szCs w:val="21"/>
        </w:rPr>
        <w:t>本章内容支撑课程目标</w:t>
      </w:r>
      <w:r>
        <w:rPr>
          <w:rFonts w:hint="eastAsia" w:cs="宋体"/>
          <w:bCs/>
          <w:snapToGrid w:val="0"/>
          <w:kern w:val="0"/>
          <w:szCs w:val="21"/>
        </w:rPr>
        <w:t>2。</w:t>
      </w:r>
    </w:p>
    <w:p>
      <w:pPr>
        <w:adjustRightInd w:val="0"/>
        <w:snapToGrid w:val="0"/>
        <w:spacing w:line="360" w:lineRule="auto"/>
        <w:ind w:firstLine="420" w:firstLineChars="200"/>
        <w:rPr>
          <w:rFonts w:cs="宋体"/>
          <w:bCs/>
          <w:snapToGrid w:val="0"/>
          <w:kern w:val="0"/>
          <w:szCs w:val="21"/>
        </w:rPr>
      </w:pPr>
    </w:p>
    <w:p>
      <w:pPr>
        <w:adjustRightInd w:val="0"/>
        <w:snapToGrid w:val="0"/>
        <w:spacing w:line="360" w:lineRule="auto"/>
        <w:rPr>
          <w:rFonts w:eastAsia="黑体"/>
          <w:kern w:val="0"/>
          <w:szCs w:val="21"/>
        </w:rPr>
      </w:pPr>
      <w:r>
        <w:rPr>
          <w:rFonts w:eastAsia="黑体"/>
          <w:kern w:val="0"/>
          <w:szCs w:val="21"/>
        </w:rPr>
        <w:t>六、学时分配</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822"/>
        <w:gridCol w:w="1658"/>
        <w:gridCol w:w="1677"/>
        <w:gridCol w:w="137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241" w:type="pct"/>
          </w:tcPr>
          <w:p>
            <w:pPr>
              <w:adjustRightInd w:val="0"/>
              <w:snapToGrid w:val="0"/>
              <w:jc w:val="center"/>
              <w:rPr>
                <w:sz w:val="18"/>
                <w:szCs w:val="18"/>
              </w:rPr>
            </w:pPr>
            <w:r>
              <w:rPr>
                <w:sz w:val="18"/>
                <w:szCs w:val="18"/>
              </w:rPr>
              <w:t>知识点及内容</w:t>
            </w:r>
          </w:p>
        </w:tc>
        <w:tc>
          <w:tcPr>
            <w:tcW w:w="972" w:type="pct"/>
          </w:tcPr>
          <w:p>
            <w:pPr>
              <w:adjustRightInd w:val="0"/>
              <w:snapToGrid w:val="0"/>
              <w:jc w:val="center"/>
              <w:rPr>
                <w:sz w:val="18"/>
                <w:szCs w:val="18"/>
              </w:rPr>
            </w:pPr>
            <w:r>
              <w:rPr>
                <w:sz w:val="18"/>
                <w:szCs w:val="18"/>
              </w:rPr>
              <w:t>讲授（学时）</w:t>
            </w:r>
          </w:p>
        </w:tc>
        <w:tc>
          <w:tcPr>
            <w:tcW w:w="983" w:type="pct"/>
          </w:tcPr>
          <w:p>
            <w:pPr>
              <w:adjustRightInd w:val="0"/>
              <w:snapToGrid w:val="0"/>
              <w:jc w:val="center"/>
              <w:rPr>
                <w:sz w:val="18"/>
                <w:szCs w:val="18"/>
              </w:rPr>
            </w:pPr>
            <w:r>
              <w:rPr>
                <w:sz w:val="18"/>
                <w:szCs w:val="18"/>
              </w:rPr>
              <w:t>实验（学时）</w:t>
            </w:r>
          </w:p>
        </w:tc>
        <w:tc>
          <w:tcPr>
            <w:tcW w:w="804" w:type="pct"/>
          </w:tcPr>
          <w:p>
            <w:pPr>
              <w:adjustRightInd w:val="0"/>
              <w:snapToGrid w:val="0"/>
              <w:jc w:val="center"/>
              <w:rPr>
                <w:sz w:val="18"/>
                <w:szCs w:val="18"/>
              </w:rPr>
            </w:pPr>
            <w:r>
              <w:rPr>
                <w:sz w:val="18"/>
                <w:szCs w:val="18"/>
              </w:rPr>
              <w:t>小计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241" w:type="pct"/>
          </w:tcPr>
          <w:p>
            <w:pPr>
              <w:widowControl/>
              <w:adjustRightInd w:val="0"/>
              <w:snapToGrid w:val="0"/>
              <w:spacing w:before="100" w:beforeAutospacing="1" w:after="100" w:afterAutospacing="1"/>
              <w:jc w:val="center"/>
              <w:rPr>
                <w:snapToGrid w:val="0"/>
                <w:kern w:val="0"/>
                <w:sz w:val="18"/>
                <w:szCs w:val="18"/>
              </w:rPr>
            </w:pPr>
            <w:r>
              <w:rPr>
                <w:kern w:val="0"/>
                <w:sz w:val="18"/>
                <w:szCs w:val="18"/>
              </w:rPr>
              <w:t>1绪论</w:t>
            </w:r>
          </w:p>
        </w:tc>
        <w:tc>
          <w:tcPr>
            <w:tcW w:w="972" w:type="pct"/>
            <w:vAlign w:val="center"/>
          </w:tcPr>
          <w:p>
            <w:pPr>
              <w:widowControl/>
              <w:adjustRightInd w:val="0"/>
              <w:snapToGrid w:val="0"/>
              <w:jc w:val="center"/>
              <w:rPr>
                <w:kern w:val="0"/>
                <w:sz w:val="18"/>
                <w:szCs w:val="18"/>
              </w:rPr>
            </w:pPr>
            <w:r>
              <w:rPr>
                <w:kern w:val="0"/>
                <w:sz w:val="18"/>
                <w:szCs w:val="18"/>
              </w:rPr>
              <w:t>1</w:t>
            </w:r>
          </w:p>
        </w:tc>
        <w:tc>
          <w:tcPr>
            <w:tcW w:w="983" w:type="pct"/>
          </w:tcPr>
          <w:p>
            <w:pPr>
              <w:widowControl/>
              <w:adjustRightInd w:val="0"/>
              <w:snapToGrid w:val="0"/>
              <w:spacing w:before="100" w:beforeAutospacing="1" w:after="100" w:afterAutospacing="1"/>
              <w:jc w:val="center"/>
              <w:rPr>
                <w:kern w:val="0"/>
                <w:sz w:val="18"/>
                <w:szCs w:val="18"/>
              </w:rPr>
            </w:pPr>
            <w:r>
              <w:rPr>
                <w:rFonts w:hint="eastAsia"/>
                <w:kern w:val="0"/>
                <w:sz w:val="18"/>
                <w:szCs w:val="18"/>
              </w:rPr>
              <w:t>0</w:t>
            </w:r>
          </w:p>
        </w:tc>
        <w:tc>
          <w:tcPr>
            <w:tcW w:w="804" w:type="pct"/>
            <w:vAlign w:val="center"/>
          </w:tcPr>
          <w:p>
            <w:pPr>
              <w:widowControl/>
              <w:adjustRightInd w:val="0"/>
              <w:snapToGrid w:val="0"/>
              <w:jc w:val="center"/>
              <w:rPr>
                <w:kern w:val="0"/>
                <w:sz w:val="18"/>
                <w:szCs w:val="18"/>
              </w:rPr>
            </w:pPr>
            <w:r>
              <w:rPr>
                <w:kern w:val="0"/>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241" w:type="pct"/>
          </w:tcPr>
          <w:p>
            <w:pPr>
              <w:widowControl/>
              <w:adjustRightInd w:val="0"/>
              <w:snapToGrid w:val="0"/>
              <w:spacing w:before="100" w:beforeAutospacing="1" w:after="100" w:afterAutospacing="1"/>
              <w:jc w:val="center"/>
              <w:rPr>
                <w:kern w:val="0"/>
                <w:sz w:val="18"/>
                <w:szCs w:val="18"/>
              </w:rPr>
            </w:pPr>
            <w:r>
              <w:rPr>
                <w:rFonts w:hint="eastAsia"/>
                <w:kern w:val="0"/>
                <w:sz w:val="18"/>
                <w:szCs w:val="18"/>
              </w:rPr>
              <w:t>2辐射度与光度学基础</w:t>
            </w:r>
          </w:p>
        </w:tc>
        <w:tc>
          <w:tcPr>
            <w:tcW w:w="972" w:type="pct"/>
            <w:vAlign w:val="center"/>
          </w:tcPr>
          <w:p>
            <w:pPr>
              <w:widowControl/>
              <w:adjustRightInd w:val="0"/>
              <w:snapToGrid w:val="0"/>
              <w:jc w:val="center"/>
              <w:rPr>
                <w:kern w:val="0"/>
                <w:sz w:val="18"/>
                <w:szCs w:val="18"/>
              </w:rPr>
            </w:pPr>
            <w:r>
              <w:rPr>
                <w:rFonts w:hint="eastAsia"/>
                <w:kern w:val="0"/>
                <w:sz w:val="18"/>
                <w:szCs w:val="18"/>
              </w:rPr>
              <w:t>2</w:t>
            </w:r>
          </w:p>
        </w:tc>
        <w:tc>
          <w:tcPr>
            <w:tcW w:w="983" w:type="pct"/>
          </w:tcPr>
          <w:p>
            <w:pPr>
              <w:widowControl/>
              <w:adjustRightInd w:val="0"/>
              <w:snapToGrid w:val="0"/>
              <w:spacing w:before="100" w:beforeAutospacing="1" w:after="100" w:afterAutospacing="1"/>
              <w:jc w:val="center"/>
              <w:rPr>
                <w:kern w:val="0"/>
                <w:sz w:val="18"/>
                <w:szCs w:val="18"/>
              </w:rPr>
            </w:pPr>
            <w:r>
              <w:rPr>
                <w:rFonts w:hint="eastAsia"/>
                <w:kern w:val="0"/>
                <w:sz w:val="18"/>
                <w:szCs w:val="18"/>
              </w:rPr>
              <w:t>0</w:t>
            </w:r>
          </w:p>
        </w:tc>
        <w:tc>
          <w:tcPr>
            <w:tcW w:w="804" w:type="pct"/>
            <w:vAlign w:val="center"/>
          </w:tcPr>
          <w:p>
            <w:pPr>
              <w:widowControl/>
              <w:adjustRightInd w:val="0"/>
              <w:snapToGrid w:val="0"/>
              <w:jc w:val="center"/>
              <w:rPr>
                <w:kern w:val="0"/>
                <w:sz w:val="18"/>
                <w:szCs w:val="18"/>
              </w:rPr>
            </w:pPr>
            <w:r>
              <w:rPr>
                <w:rFonts w:hint="eastAsia"/>
                <w:kern w:val="0"/>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241" w:type="pct"/>
          </w:tcPr>
          <w:p>
            <w:pPr>
              <w:widowControl/>
              <w:adjustRightInd w:val="0"/>
              <w:snapToGrid w:val="0"/>
              <w:spacing w:before="100" w:beforeAutospacing="1" w:after="100" w:afterAutospacing="1"/>
              <w:jc w:val="center"/>
              <w:rPr>
                <w:snapToGrid w:val="0"/>
                <w:kern w:val="0"/>
                <w:sz w:val="18"/>
                <w:szCs w:val="18"/>
              </w:rPr>
            </w:pPr>
            <w:r>
              <w:rPr>
                <w:kern w:val="0"/>
                <w:sz w:val="18"/>
                <w:szCs w:val="18"/>
              </w:rPr>
              <w:t>3光电仪器中常用的光源</w:t>
            </w:r>
          </w:p>
        </w:tc>
        <w:tc>
          <w:tcPr>
            <w:tcW w:w="972" w:type="pct"/>
            <w:vAlign w:val="center"/>
          </w:tcPr>
          <w:p>
            <w:pPr>
              <w:widowControl/>
              <w:adjustRightInd w:val="0"/>
              <w:snapToGrid w:val="0"/>
              <w:jc w:val="center"/>
              <w:rPr>
                <w:kern w:val="0"/>
                <w:sz w:val="18"/>
                <w:szCs w:val="18"/>
              </w:rPr>
            </w:pPr>
            <w:r>
              <w:rPr>
                <w:kern w:val="0"/>
                <w:sz w:val="18"/>
                <w:szCs w:val="18"/>
              </w:rPr>
              <w:t>2</w:t>
            </w:r>
          </w:p>
        </w:tc>
        <w:tc>
          <w:tcPr>
            <w:tcW w:w="983" w:type="pct"/>
          </w:tcPr>
          <w:p>
            <w:pPr>
              <w:widowControl/>
              <w:adjustRightInd w:val="0"/>
              <w:snapToGrid w:val="0"/>
              <w:spacing w:before="100" w:beforeAutospacing="1" w:after="100" w:afterAutospacing="1"/>
              <w:jc w:val="center"/>
              <w:rPr>
                <w:kern w:val="0"/>
                <w:sz w:val="18"/>
                <w:szCs w:val="18"/>
              </w:rPr>
            </w:pPr>
            <w:r>
              <w:rPr>
                <w:kern w:val="0"/>
                <w:sz w:val="18"/>
                <w:szCs w:val="18"/>
              </w:rPr>
              <w:t>1</w:t>
            </w:r>
          </w:p>
        </w:tc>
        <w:tc>
          <w:tcPr>
            <w:tcW w:w="804" w:type="pct"/>
            <w:vAlign w:val="center"/>
          </w:tcPr>
          <w:p>
            <w:pPr>
              <w:widowControl/>
              <w:adjustRightInd w:val="0"/>
              <w:snapToGrid w:val="0"/>
              <w:jc w:val="center"/>
              <w:rPr>
                <w:kern w:val="0"/>
                <w:sz w:val="18"/>
                <w:szCs w:val="18"/>
              </w:rPr>
            </w:pPr>
            <w:r>
              <w:rPr>
                <w:kern w:val="0"/>
                <w:sz w:val="18"/>
                <w:szCs w:val="18"/>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241" w:type="pct"/>
          </w:tcPr>
          <w:p>
            <w:pPr>
              <w:widowControl/>
              <w:adjustRightInd w:val="0"/>
              <w:snapToGrid w:val="0"/>
              <w:spacing w:before="100" w:beforeAutospacing="1" w:after="100" w:afterAutospacing="1"/>
              <w:jc w:val="center"/>
              <w:rPr>
                <w:snapToGrid w:val="0"/>
                <w:kern w:val="0"/>
                <w:sz w:val="18"/>
                <w:szCs w:val="18"/>
              </w:rPr>
            </w:pPr>
            <w:r>
              <w:rPr>
                <w:kern w:val="0"/>
                <w:sz w:val="18"/>
                <w:szCs w:val="18"/>
              </w:rPr>
              <w:t>4光辐射探测器的理论基础</w:t>
            </w:r>
          </w:p>
        </w:tc>
        <w:tc>
          <w:tcPr>
            <w:tcW w:w="972" w:type="pct"/>
            <w:vAlign w:val="center"/>
          </w:tcPr>
          <w:p>
            <w:pPr>
              <w:widowControl/>
              <w:adjustRightInd w:val="0"/>
              <w:snapToGrid w:val="0"/>
              <w:jc w:val="center"/>
              <w:rPr>
                <w:kern w:val="0"/>
                <w:sz w:val="18"/>
                <w:szCs w:val="18"/>
              </w:rPr>
            </w:pPr>
            <w:r>
              <w:rPr>
                <w:kern w:val="0"/>
                <w:sz w:val="18"/>
                <w:szCs w:val="18"/>
              </w:rPr>
              <w:t>2</w:t>
            </w:r>
          </w:p>
        </w:tc>
        <w:tc>
          <w:tcPr>
            <w:tcW w:w="983" w:type="pct"/>
          </w:tcPr>
          <w:p>
            <w:pPr>
              <w:widowControl/>
              <w:adjustRightInd w:val="0"/>
              <w:snapToGrid w:val="0"/>
              <w:spacing w:before="100" w:beforeAutospacing="1" w:after="100" w:afterAutospacing="1"/>
              <w:jc w:val="center"/>
              <w:rPr>
                <w:kern w:val="0"/>
                <w:sz w:val="18"/>
                <w:szCs w:val="18"/>
              </w:rPr>
            </w:pPr>
            <w:r>
              <w:rPr>
                <w:rFonts w:hint="eastAsia"/>
                <w:kern w:val="0"/>
                <w:sz w:val="18"/>
                <w:szCs w:val="18"/>
              </w:rPr>
              <w:t>0</w:t>
            </w:r>
          </w:p>
        </w:tc>
        <w:tc>
          <w:tcPr>
            <w:tcW w:w="804" w:type="pct"/>
            <w:vAlign w:val="center"/>
          </w:tcPr>
          <w:p>
            <w:pPr>
              <w:widowControl/>
              <w:adjustRightInd w:val="0"/>
              <w:snapToGrid w:val="0"/>
              <w:jc w:val="center"/>
              <w:rPr>
                <w:kern w:val="0"/>
                <w:sz w:val="18"/>
                <w:szCs w:val="18"/>
              </w:rPr>
            </w:pPr>
            <w:r>
              <w:rPr>
                <w:kern w:val="0"/>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241" w:type="pct"/>
          </w:tcPr>
          <w:p>
            <w:pPr>
              <w:widowControl/>
              <w:adjustRightInd w:val="0"/>
              <w:snapToGrid w:val="0"/>
              <w:spacing w:before="100" w:beforeAutospacing="1" w:after="100" w:afterAutospacing="1"/>
              <w:jc w:val="center"/>
              <w:rPr>
                <w:snapToGrid w:val="0"/>
                <w:kern w:val="0"/>
                <w:sz w:val="18"/>
                <w:szCs w:val="18"/>
              </w:rPr>
            </w:pPr>
            <w:r>
              <w:rPr>
                <w:kern w:val="0"/>
                <w:sz w:val="18"/>
                <w:szCs w:val="18"/>
              </w:rPr>
              <w:t>5真空光电器件</w:t>
            </w:r>
          </w:p>
        </w:tc>
        <w:tc>
          <w:tcPr>
            <w:tcW w:w="972" w:type="pct"/>
            <w:vAlign w:val="center"/>
          </w:tcPr>
          <w:p>
            <w:pPr>
              <w:widowControl/>
              <w:adjustRightInd w:val="0"/>
              <w:snapToGrid w:val="0"/>
              <w:jc w:val="center"/>
              <w:rPr>
                <w:kern w:val="0"/>
                <w:sz w:val="18"/>
                <w:szCs w:val="18"/>
              </w:rPr>
            </w:pPr>
            <w:r>
              <w:rPr>
                <w:kern w:val="0"/>
                <w:sz w:val="18"/>
                <w:szCs w:val="18"/>
              </w:rPr>
              <w:t>3</w:t>
            </w:r>
          </w:p>
        </w:tc>
        <w:tc>
          <w:tcPr>
            <w:tcW w:w="983" w:type="pct"/>
            <w:vAlign w:val="center"/>
          </w:tcPr>
          <w:p>
            <w:pPr>
              <w:widowControl/>
              <w:adjustRightInd w:val="0"/>
              <w:snapToGrid w:val="0"/>
              <w:jc w:val="center"/>
              <w:rPr>
                <w:kern w:val="0"/>
                <w:sz w:val="18"/>
                <w:szCs w:val="18"/>
              </w:rPr>
            </w:pPr>
            <w:r>
              <w:rPr>
                <w:kern w:val="0"/>
                <w:sz w:val="18"/>
                <w:szCs w:val="18"/>
              </w:rPr>
              <w:t>2</w:t>
            </w:r>
          </w:p>
        </w:tc>
        <w:tc>
          <w:tcPr>
            <w:tcW w:w="804" w:type="pct"/>
            <w:vAlign w:val="center"/>
          </w:tcPr>
          <w:p>
            <w:pPr>
              <w:widowControl/>
              <w:adjustRightInd w:val="0"/>
              <w:snapToGrid w:val="0"/>
              <w:jc w:val="center"/>
              <w:rPr>
                <w:kern w:val="0"/>
                <w:sz w:val="18"/>
                <w:szCs w:val="18"/>
              </w:rPr>
            </w:pPr>
            <w:r>
              <w:rPr>
                <w:kern w:val="0"/>
                <w:sz w:val="18"/>
                <w:szCs w:val="18"/>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241" w:type="pct"/>
          </w:tcPr>
          <w:p>
            <w:pPr>
              <w:widowControl/>
              <w:adjustRightInd w:val="0"/>
              <w:snapToGrid w:val="0"/>
              <w:spacing w:before="100" w:beforeAutospacing="1" w:after="100" w:afterAutospacing="1"/>
              <w:jc w:val="center"/>
              <w:rPr>
                <w:snapToGrid w:val="0"/>
                <w:kern w:val="0"/>
                <w:sz w:val="18"/>
                <w:szCs w:val="18"/>
              </w:rPr>
            </w:pPr>
            <w:r>
              <w:rPr>
                <w:kern w:val="0"/>
                <w:sz w:val="18"/>
                <w:szCs w:val="18"/>
              </w:rPr>
              <w:t>6半导体光电导器件</w:t>
            </w:r>
          </w:p>
        </w:tc>
        <w:tc>
          <w:tcPr>
            <w:tcW w:w="972" w:type="pct"/>
            <w:vAlign w:val="center"/>
          </w:tcPr>
          <w:p>
            <w:pPr>
              <w:widowControl/>
              <w:adjustRightInd w:val="0"/>
              <w:snapToGrid w:val="0"/>
              <w:jc w:val="center"/>
              <w:rPr>
                <w:kern w:val="0"/>
                <w:sz w:val="18"/>
                <w:szCs w:val="18"/>
              </w:rPr>
            </w:pPr>
            <w:r>
              <w:rPr>
                <w:kern w:val="0"/>
                <w:sz w:val="18"/>
                <w:szCs w:val="18"/>
              </w:rPr>
              <w:t>4</w:t>
            </w:r>
          </w:p>
        </w:tc>
        <w:tc>
          <w:tcPr>
            <w:tcW w:w="983" w:type="pct"/>
            <w:vAlign w:val="center"/>
          </w:tcPr>
          <w:p>
            <w:pPr>
              <w:widowControl/>
              <w:adjustRightInd w:val="0"/>
              <w:snapToGrid w:val="0"/>
              <w:jc w:val="center"/>
              <w:rPr>
                <w:kern w:val="0"/>
                <w:sz w:val="18"/>
                <w:szCs w:val="18"/>
              </w:rPr>
            </w:pPr>
            <w:r>
              <w:rPr>
                <w:kern w:val="0"/>
                <w:sz w:val="18"/>
                <w:szCs w:val="18"/>
              </w:rPr>
              <w:t>4</w:t>
            </w:r>
          </w:p>
        </w:tc>
        <w:tc>
          <w:tcPr>
            <w:tcW w:w="804" w:type="pct"/>
            <w:vAlign w:val="center"/>
          </w:tcPr>
          <w:p>
            <w:pPr>
              <w:widowControl/>
              <w:adjustRightInd w:val="0"/>
              <w:snapToGrid w:val="0"/>
              <w:jc w:val="center"/>
              <w:rPr>
                <w:kern w:val="0"/>
                <w:sz w:val="18"/>
                <w:szCs w:val="18"/>
              </w:rPr>
            </w:pPr>
            <w:r>
              <w:rPr>
                <w:kern w:val="0"/>
                <w:sz w:val="18"/>
                <w:szCs w:val="18"/>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241" w:type="pct"/>
          </w:tcPr>
          <w:p>
            <w:pPr>
              <w:widowControl/>
              <w:adjustRightInd w:val="0"/>
              <w:snapToGrid w:val="0"/>
              <w:spacing w:before="100" w:beforeAutospacing="1" w:after="100" w:afterAutospacing="1"/>
              <w:jc w:val="center"/>
              <w:rPr>
                <w:snapToGrid w:val="0"/>
                <w:kern w:val="0"/>
                <w:sz w:val="18"/>
                <w:szCs w:val="18"/>
              </w:rPr>
            </w:pPr>
            <w:r>
              <w:rPr>
                <w:kern w:val="0"/>
                <w:sz w:val="18"/>
                <w:szCs w:val="18"/>
              </w:rPr>
              <w:t>7半导体结型光电器件</w:t>
            </w:r>
          </w:p>
        </w:tc>
        <w:tc>
          <w:tcPr>
            <w:tcW w:w="972" w:type="pct"/>
            <w:vAlign w:val="center"/>
          </w:tcPr>
          <w:p>
            <w:pPr>
              <w:widowControl/>
              <w:adjustRightInd w:val="0"/>
              <w:snapToGrid w:val="0"/>
              <w:jc w:val="center"/>
              <w:rPr>
                <w:kern w:val="0"/>
                <w:sz w:val="18"/>
                <w:szCs w:val="18"/>
              </w:rPr>
            </w:pPr>
            <w:r>
              <w:rPr>
                <w:kern w:val="0"/>
                <w:sz w:val="18"/>
                <w:szCs w:val="18"/>
              </w:rPr>
              <w:t>4</w:t>
            </w:r>
          </w:p>
        </w:tc>
        <w:tc>
          <w:tcPr>
            <w:tcW w:w="983" w:type="pct"/>
            <w:vAlign w:val="center"/>
          </w:tcPr>
          <w:p>
            <w:pPr>
              <w:widowControl/>
              <w:adjustRightInd w:val="0"/>
              <w:snapToGrid w:val="0"/>
              <w:jc w:val="center"/>
              <w:rPr>
                <w:kern w:val="0"/>
                <w:sz w:val="18"/>
                <w:szCs w:val="18"/>
              </w:rPr>
            </w:pPr>
            <w:r>
              <w:rPr>
                <w:kern w:val="0"/>
                <w:sz w:val="18"/>
                <w:szCs w:val="18"/>
              </w:rPr>
              <w:t>3</w:t>
            </w:r>
          </w:p>
        </w:tc>
        <w:tc>
          <w:tcPr>
            <w:tcW w:w="804" w:type="pct"/>
            <w:vAlign w:val="center"/>
          </w:tcPr>
          <w:p>
            <w:pPr>
              <w:widowControl/>
              <w:adjustRightInd w:val="0"/>
              <w:snapToGrid w:val="0"/>
              <w:jc w:val="center"/>
              <w:rPr>
                <w:kern w:val="0"/>
                <w:sz w:val="18"/>
                <w:szCs w:val="18"/>
              </w:rPr>
            </w:pPr>
            <w:r>
              <w:rPr>
                <w:kern w:val="0"/>
                <w:sz w:val="18"/>
                <w:szCs w:val="18"/>
              </w:rPr>
              <w:t>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241" w:type="pct"/>
          </w:tcPr>
          <w:p>
            <w:pPr>
              <w:widowControl/>
              <w:adjustRightInd w:val="0"/>
              <w:snapToGrid w:val="0"/>
              <w:spacing w:before="100" w:beforeAutospacing="1" w:after="100" w:afterAutospacing="1"/>
              <w:jc w:val="center"/>
              <w:rPr>
                <w:kern w:val="0"/>
                <w:sz w:val="18"/>
                <w:szCs w:val="18"/>
              </w:rPr>
            </w:pPr>
            <w:r>
              <w:rPr>
                <w:kern w:val="0"/>
                <w:sz w:val="18"/>
                <w:szCs w:val="18"/>
              </w:rPr>
              <w:t>8光电成像器件</w:t>
            </w:r>
          </w:p>
        </w:tc>
        <w:tc>
          <w:tcPr>
            <w:tcW w:w="972" w:type="pct"/>
            <w:vAlign w:val="center"/>
          </w:tcPr>
          <w:p>
            <w:pPr>
              <w:widowControl/>
              <w:adjustRightInd w:val="0"/>
              <w:snapToGrid w:val="0"/>
              <w:jc w:val="center"/>
              <w:rPr>
                <w:kern w:val="0"/>
                <w:sz w:val="18"/>
                <w:szCs w:val="18"/>
              </w:rPr>
            </w:pPr>
            <w:r>
              <w:rPr>
                <w:kern w:val="0"/>
                <w:sz w:val="18"/>
                <w:szCs w:val="18"/>
              </w:rPr>
              <w:t>2</w:t>
            </w:r>
          </w:p>
        </w:tc>
        <w:tc>
          <w:tcPr>
            <w:tcW w:w="983" w:type="pct"/>
            <w:vAlign w:val="center"/>
          </w:tcPr>
          <w:p>
            <w:pPr>
              <w:widowControl/>
              <w:adjustRightInd w:val="0"/>
              <w:snapToGrid w:val="0"/>
              <w:jc w:val="center"/>
              <w:rPr>
                <w:kern w:val="0"/>
                <w:sz w:val="18"/>
                <w:szCs w:val="18"/>
              </w:rPr>
            </w:pPr>
            <w:r>
              <w:rPr>
                <w:kern w:val="0"/>
                <w:sz w:val="18"/>
                <w:szCs w:val="18"/>
              </w:rPr>
              <w:t>0</w:t>
            </w:r>
          </w:p>
        </w:tc>
        <w:tc>
          <w:tcPr>
            <w:tcW w:w="804" w:type="pct"/>
            <w:vAlign w:val="center"/>
          </w:tcPr>
          <w:p>
            <w:pPr>
              <w:widowControl/>
              <w:adjustRightInd w:val="0"/>
              <w:snapToGrid w:val="0"/>
              <w:jc w:val="center"/>
              <w:rPr>
                <w:kern w:val="0"/>
                <w:sz w:val="18"/>
                <w:szCs w:val="18"/>
              </w:rPr>
            </w:pPr>
            <w:r>
              <w:rPr>
                <w:kern w:val="0"/>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241" w:type="pct"/>
          </w:tcPr>
          <w:p>
            <w:pPr>
              <w:widowControl/>
              <w:adjustRightInd w:val="0"/>
              <w:snapToGrid w:val="0"/>
              <w:spacing w:before="100" w:beforeAutospacing="1" w:after="100" w:afterAutospacing="1"/>
              <w:jc w:val="center"/>
              <w:rPr>
                <w:kern w:val="0"/>
                <w:sz w:val="18"/>
                <w:szCs w:val="18"/>
              </w:rPr>
            </w:pPr>
            <w:r>
              <w:rPr>
                <w:kern w:val="0"/>
                <w:sz w:val="18"/>
                <w:szCs w:val="18"/>
              </w:rPr>
              <w:t>9常用红外光电探测技术</w:t>
            </w:r>
          </w:p>
        </w:tc>
        <w:tc>
          <w:tcPr>
            <w:tcW w:w="972" w:type="pct"/>
            <w:vAlign w:val="center"/>
          </w:tcPr>
          <w:p>
            <w:pPr>
              <w:widowControl/>
              <w:adjustRightInd w:val="0"/>
              <w:snapToGrid w:val="0"/>
              <w:jc w:val="center"/>
              <w:rPr>
                <w:kern w:val="0"/>
                <w:sz w:val="18"/>
                <w:szCs w:val="18"/>
              </w:rPr>
            </w:pPr>
            <w:r>
              <w:rPr>
                <w:kern w:val="0"/>
                <w:sz w:val="18"/>
                <w:szCs w:val="18"/>
              </w:rPr>
              <w:t>2</w:t>
            </w:r>
          </w:p>
        </w:tc>
        <w:tc>
          <w:tcPr>
            <w:tcW w:w="983" w:type="pct"/>
            <w:vAlign w:val="center"/>
          </w:tcPr>
          <w:p>
            <w:pPr>
              <w:widowControl/>
              <w:adjustRightInd w:val="0"/>
              <w:snapToGrid w:val="0"/>
              <w:jc w:val="center"/>
              <w:rPr>
                <w:kern w:val="0"/>
                <w:sz w:val="18"/>
                <w:szCs w:val="18"/>
              </w:rPr>
            </w:pPr>
            <w:r>
              <w:rPr>
                <w:rFonts w:hint="eastAsia"/>
                <w:kern w:val="0"/>
                <w:sz w:val="18"/>
                <w:szCs w:val="18"/>
              </w:rPr>
              <w:t>0</w:t>
            </w:r>
          </w:p>
        </w:tc>
        <w:tc>
          <w:tcPr>
            <w:tcW w:w="804" w:type="pct"/>
            <w:vAlign w:val="center"/>
          </w:tcPr>
          <w:p>
            <w:pPr>
              <w:widowControl/>
              <w:adjustRightInd w:val="0"/>
              <w:snapToGrid w:val="0"/>
              <w:jc w:val="center"/>
              <w:rPr>
                <w:kern w:val="0"/>
                <w:sz w:val="18"/>
                <w:szCs w:val="18"/>
              </w:rPr>
            </w:pPr>
            <w:r>
              <w:rPr>
                <w:kern w:val="0"/>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241" w:type="pct"/>
          </w:tcPr>
          <w:p>
            <w:pPr>
              <w:widowControl/>
              <w:adjustRightInd w:val="0"/>
              <w:snapToGrid w:val="0"/>
              <w:spacing w:before="100" w:beforeAutospacing="1" w:after="100" w:afterAutospacing="1"/>
              <w:jc w:val="center"/>
              <w:rPr>
                <w:kern w:val="0"/>
                <w:sz w:val="18"/>
                <w:szCs w:val="18"/>
              </w:rPr>
            </w:pPr>
            <w:r>
              <w:rPr>
                <w:kern w:val="0"/>
                <w:sz w:val="18"/>
                <w:szCs w:val="18"/>
              </w:rPr>
              <w:t>合计</w:t>
            </w:r>
          </w:p>
        </w:tc>
        <w:tc>
          <w:tcPr>
            <w:tcW w:w="972" w:type="pct"/>
            <w:vAlign w:val="center"/>
          </w:tcPr>
          <w:p>
            <w:pPr>
              <w:widowControl/>
              <w:adjustRightInd w:val="0"/>
              <w:snapToGrid w:val="0"/>
              <w:jc w:val="center"/>
              <w:rPr>
                <w:kern w:val="0"/>
                <w:sz w:val="18"/>
                <w:szCs w:val="18"/>
              </w:rPr>
            </w:pPr>
            <w:r>
              <w:rPr>
                <w:kern w:val="0"/>
                <w:sz w:val="18"/>
                <w:szCs w:val="18"/>
              </w:rPr>
              <w:t>22</w:t>
            </w:r>
          </w:p>
        </w:tc>
        <w:tc>
          <w:tcPr>
            <w:tcW w:w="983" w:type="pct"/>
            <w:vAlign w:val="center"/>
          </w:tcPr>
          <w:p>
            <w:pPr>
              <w:widowControl/>
              <w:adjustRightInd w:val="0"/>
              <w:snapToGrid w:val="0"/>
              <w:jc w:val="center"/>
              <w:rPr>
                <w:kern w:val="0"/>
                <w:sz w:val="18"/>
                <w:szCs w:val="18"/>
              </w:rPr>
            </w:pPr>
            <w:r>
              <w:rPr>
                <w:kern w:val="0"/>
                <w:sz w:val="18"/>
                <w:szCs w:val="18"/>
              </w:rPr>
              <w:t>10</w:t>
            </w:r>
          </w:p>
        </w:tc>
        <w:tc>
          <w:tcPr>
            <w:tcW w:w="804" w:type="pct"/>
            <w:vAlign w:val="center"/>
          </w:tcPr>
          <w:p>
            <w:pPr>
              <w:widowControl/>
              <w:adjustRightInd w:val="0"/>
              <w:snapToGrid w:val="0"/>
              <w:jc w:val="center"/>
              <w:rPr>
                <w:kern w:val="0"/>
                <w:sz w:val="18"/>
                <w:szCs w:val="18"/>
              </w:rPr>
            </w:pPr>
            <w:r>
              <w:rPr>
                <w:kern w:val="0"/>
                <w:sz w:val="18"/>
                <w:szCs w:val="18"/>
              </w:rPr>
              <w:t>32</w:t>
            </w:r>
          </w:p>
        </w:tc>
      </w:tr>
    </w:tbl>
    <w:p>
      <w:pPr>
        <w:adjustRightInd w:val="0"/>
        <w:snapToGrid w:val="0"/>
        <w:spacing w:line="360" w:lineRule="auto"/>
        <w:rPr>
          <w:b/>
          <w:sz w:val="24"/>
          <w:szCs w:val="24"/>
        </w:rPr>
      </w:pPr>
    </w:p>
    <w:p>
      <w:pPr>
        <w:tabs>
          <w:tab w:val="left" w:pos="420"/>
        </w:tabs>
        <w:spacing w:line="360" w:lineRule="auto"/>
        <w:ind w:left="420" w:hanging="420"/>
        <w:rPr>
          <w:rFonts w:eastAsia="黑体"/>
          <w:szCs w:val="24"/>
        </w:rPr>
      </w:pPr>
      <w:r>
        <w:rPr>
          <w:rFonts w:hint="eastAsia" w:eastAsia="黑体"/>
          <w:szCs w:val="24"/>
        </w:rPr>
        <w:t>七、教材、补充教材及参考资料</w:t>
      </w:r>
    </w:p>
    <w:p>
      <w:pPr>
        <w:spacing w:line="360" w:lineRule="auto"/>
        <w:ind w:firstLine="420" w:firstLineChars="200"/>
        <w:rPr>
          <w:szCs w:val="21"/>
        </w:rPr>
      </w:pPr>
      <w:r>
        <w:rPr>
          <w:rFonts w:hint="eastAsia"/>
          <w:szCs w:val="21"/>
        </w:rPr>
        <w:t>1、《光电技术》，杨应平，胡昌奎，陈梦苇等编著，清华大学出版社，2019 (2)</w:t>
      </w:r>
    </w:p>
    <w:p>
      <w:pPr>
        <w:spacing w:line="360" w:lineRule="auto"/>
        <w:ind w:firstLine="420" w:firstLineChars="200"/>
        <w:rPr>
          <w:szCs w:val="21"/>
        </w:rPr>
      </w:pPr>
      <w:r>
        <w:rPr>
          <w:szCs w:val="21"/>
        </w:rPr>
        <w:t>2</w:t>
      </w:r>
      <w:r>
        <w:rPr>
          <w:rFonts w:hint="eastAsia"/>
          <w:szCs w:val="21"/>
        </w:rPr>
        <w:t>、《光电技术》, 江文杰等主编，(第2版)2014年，科学出版社</w:t>
      </w:r>
    </w:p>
    <w:p>
      <w:pPr>
        <w:spacing w:line="360" w:lineRule="auto"/>
        <w:ind w:firstLine="420" w:firstLineChars="200"/>
        <w:rPr>
          <w:szCs w:val="21"/>
        </w:rPr>
      </w:pPr>
      <w:r>
        <w:rPr>
          <w:szCs w:val="21"/>
        </w:rPr>
        <w:t>3</w:t>
      </w:r>
      <w:r>
        <w:rPr>
          <w:rFonts w:hint="eastAsia"/>
          <w:szCs w:val="21"/>
        </w:rPr>
        <w:t>、《Optoelectronics and Photonics-Principle and Practics》,S.O.Kasap，电子工业出版社，2003</w:t>
      </w:r>
    </w:p>
    <w:p>
      <w:pPr>
        <w:spacing w:line="360" w:lineRule="auto"/>
        <w:ind w:firstLine="420" w:firstLineChars="200"/>
        <w:rPr>
          <w:szCs w:val="21"/>
        </w:rPr>
      </w:pPr>
      <w:r>
        <w:rPr>
          <w:szCs w:val="21"/>
        </w:rPr>
        <w:t>4</w:t>
      </w:r>
      <w:r>
        <w:rPr>
          <w:rFonts w:hint="eastAsia"/>
          <w:szCs w:val="21"/>
        </w:rPr>
        <w:t xml:space="preserve">、《光电探测与信号处理》，安毓英曾晓东冯喆珺编著，科学出版社，2009.12  </w:t>
      </w:r>
    </w:p>
    <w:p>
      <w:pPr>
        <w:spacing w:line="360" w:lineRule="auto"/>
        <w:ind w:firstLine="420" w:firstLineChars="200"/>
        <w:rPr>
          <w:szCs w:val="21"/>
        </w:rPr>
      </w:pPr>
      <w:r>
        <w:rPr>
          <w:szCs w:val="21"/>
        </w:rPr>
        <w:t>5</w:t>
      </w:r>
      <w:r>
        <w:rPr>
          <w:rFonts w:hint="eastAsia"/>
          <w:szCs w:val="21"/>
        </w:rPr>
        <w:t>、《CCD/CMOS图像传感器基础与应用》，米本和也著，科学出版社，2007年</w:t>
      </w:r>
    </w:p>
    <w:p>
      <w:pPr>
        <w:spacing w:line="360" w:lineRule="auto"/>
        <w:ind w:firstLine="420" w:firstLineChars="200"/>
        <w:rPr>
          <w:szCs w:val="21"/>
        </w:rPr>
      </w:pPr>
      <w:r>
        <w:rPr>
          <w:szCs w:val="21"/>
        </w:rPr>
        <w:t>6</w:t>
      </w:r>
      <w:r>
        <w:rPr>
          <w:rFonts w:hint="eastAsia"/>
          <w:szCs w:val="21"/>
        </w:rPr>
        <w:t>、《光电技术与实验》，江月松主编，北京理工大学出版社，2000.5</w:t>
      </w:r>
    </w:p>
    <w:p>
      <w:pPr>
        <w:spacing w:line="360" w:lineRule="auto"/>
        <w:ind w:firstLine="420" w:firstLineChars="200"/>
        <w:rPr>
          <w:szCs w:val="21"/>
        </w:rPr>
      </w:pPr>
      <w:r>
        <w:rPr>
          <w:szCs w:val="21"/>
        </w:rPr>
        <w:t>7</w:t>
      </w:r>
      <w:r>
        <w:rPr>
          <w:rFonts w:hint="eastAsia"/>
          <w:szCs w:val="21"/>
        </w:rPr>
        <w:t>、视频资料：《光电技术》，中国大学</w:t>
      </w:r>
      <w:r>
        <w:rPr>
          <w:szCs w:val="21"/>
        </w:rPr>
        <w:t>MOOC</w:t>
      </w:r>
      <w:r>
        <w:rPr>
          <w:rFonts w:hint="eastAsia"/>
          <w:szCs w:val="21"/>
        </w:rPr>
        <w:t>，资料链接：</w:t>
      </w:r>
      <w:r>
        <w:rPr>
          <w:rStyle w:val="22"/>
          <w:color w:val="auto"/>
          <w:szCs w:val="21"/>
        </w:rPr>
        <w:t>http://www.icourse163.org/course/WHUT-1205966810</w:t>
      </w:r>
      <w:r>
        <w:rPr>
          <w:rFonts w:hint="eastAsia"/>
          <w:szCs w:val="21"/>
        </w:rPr>
        <w:t>。</w:t>
      </w:r>
    </w:p>
    <w:p>
      <w:pPr>
        <w:tabs>
          <w:tab w:val="left" w:pos="420"/>
        </w:tabs>
        <w:spacing w:line="360" w:lineRule="auto"/>
        <w:ind w:left="420" w:hanging="420"/>
        <w:rPr>
          <w:rFonts w:eastAsia="黑体"/>
          <w:szCs w:val="24"/>
        </w:rPr>
      </w:pPr>
    </w:p>
    <w:p>
      <w:pPr>
        <w:tabs>
          <w:tab w:val="left" w:pos="420"/>
        </w:tabs>
        <w:spacing w:line="360" w:lineRule="auto"/>
        <w:ind w:left="420" w:hanging="420"/>
        <w:rPr>
          <w:rFonts w:eastAsia="黑体"/>
          <w:szCs w:val="24"/>
        </w:rPr>
      </w:pPr>
      <w:r>
        <w:rPr>
          <w:rFonts w:hint="eastAsia" w:eastAsia="黑体"/>
          <w:szCs w:val="24"/>
        </w:rPr>
        <w:t>八、课程目标达成的途径和措施</w:t>
      </w:r>
    </w:p>
    <w:p>
      <w:pPr>
        <w:spacing w:line="360" w:lineRule="auto"/>
        <w:ind w:firstLine="420" w:firstLineChars="200"/>
        <w:rPr>
          <w:szCs w:val="21"/>
        </w:rPr>
      </w:pPr>
      <w:r>
        <w:rPr>
          <w:szCs w:val="21"/>
        </w:rPr>
        <w:t>1、考核目标：在考核学生对</w:t>
      </w:r>
      <w:r>
        <w:rPr>
          <w:rFonts w:hint="eastAsia"/>
          <w:szCs w:val="21"/>
        </w:rPr>
        <w:t>光电探测器中的常见光源，光电导探测器，光伏探测器，光电子发射探测器，热探测器，光电图像探测器等基本理论知识和应用技术的基础上，</w:t>
      </w:r>
      <w:r>
        <w:rPr>
          <w:szCs w:val="21"/>
        </w:rPr>
        <w:t>重点考核学生</w:t>
      </w:r>
      <w:r>
        <w:rPr>
          <w:rFonts w:hint="eastAsia"/>
          <w:szCs w:val="21"/>
        </w:rPr>
        <w:t>对</w:t>
      </w:r>
      <w:r>
        <w:rPr>
          <w:rFonts w:hint="eastAsia"/>
        </w:rPr>
        <w:t>典型光电器件的基本原理结构、特性参数和典型应用的理解，并能设计简单的测试系统，通过对领域最新进展的调研，提出改善和优化方法。</w:t>
      </w:r>
    </w:p>
    <w:p>
      <w:pPr>
        <w:spacing w:line="360" w:lineRule="auto"/>
        <w:ind w:firstLine="420" w:firstLineChars="200"/>
        <w:rPr>
          <w:szCs w:val="21"/>
        </w:rPr>
      </w:pPr>
      <w:r>
        <w:rPr>
          <w:szCs w:val="21"/>
        </w:rPr>
        <w:t>2、考核方式：</w:t>
      </w:r>
      <w:r>
        <w:rPr>
          <w:rFonts w:hint="eastAsia"/>
          <w:szCs w:val="21"/>
        </w:rPr>
        <w:t>课堂情况、作业、实验、课程考查报告</w:t>
      </w:r>
      <w:r>
        <w:rPr>
          <w:szCs w:val="21"/>
        </w:rPr>
        <w:t>。</w:t>
      </w:r>
    </w:p>
    <w:p>
      <w:pPr>
        <w:spacing w:line="360" w:lineRule="auto"/>
        <w:ind w:firstLine="420" w:firstLineChars="200"/>
      </w:pPr>
      <w:r>
        <w:rPr>
          <w:szCs w:val="21"/>
        </w:rPr>
        <w:t>3、评价环节对课程目标达成贡献率及支撑材料：</w:t>
      </w:r>
    </w:p>
    <w:tbl>
      <w:tblPr>
        <w:tblStyle w:val="19"/>
        <w:tblW w:w="5000" w:type="pct"/>
        <w:jc w:val="center"/>
        <w:tblLayout w:type="autofit"/>
        <w:tblCellMar>
          <w:top w:w="0" w:type="dxa"/>
          <w:left w:w="108" w:type="dxa"/>
          <w:bottom w:w="0" w:type="dxa"/>
          <w:right w:w="108" w:type="dxa"/>
        </w:tblCellMar>
      </w:tblPr>
      <w:tblGrid>
        <w:gridCol w:w="1683"/>
        <w:gridCol w:w="1537"/>
        <w:gridCol w:w="1608"/>
        <w:gridCol w:w="1610"/>
        <w:gridCol w:w="2090"/>
      </w:tblGrid>
      <w:tr>
        <w:tblPrEx>
          <w:tblCellMar>
            <w:top w:w="0" w:type="dxa"/>
            <w:left w:w="108" w:type="dxa"/>
            <w:bottom w:w="0" w:type="dxa"/>
            <w:right w:w="108" w:type="dxa"/>
          </w:tblCellMar>
        </w:tblPrEx>
        <w:trPr>
          <w:trHeight w:val="567" w:hRule="atLeast"/>
          <w:jc w:val="center"/>
        </w:trPr>
        <w:tc>
          <w:tcPr>
            <w:tcW w:w="987" w:type="pct"/>
            <w:tcBorders>
              <w:top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考察环节</w:t>
            </w:r>
          </w:p>
        </w:tc>
        <w:tc>
          <w:tcPr>
            <w:tcW w:w="901"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课堂情况</w:t>
            </w:r>
          </w:p>
        </w:tc>
        <w:tc>
          <w:tcPr>
            <w:tcW w:w="943"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作业</w:t>
            </w:r>
          </w:p>
        </w:tc>
        <w:tc>
          <w:tcPr>
            <w:tcW w:w="944"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实验</w:t>
            </w:r>
          </w:p>
        </w:tc>
        <w:tc>
          <w:tcPr>
            <w:tcW w:w="1226" w:type="pct"/>
            <w:tcBorders>
              <w:top w:val="single" w:color="auto" w:sz="4" w:space="0"/>
              <w:left w:val="single" w:color="auto" w:sz="4" w:space="0"/>
              <w:bottom w:val="single" w:color="auto" w:sz="4" w:space="0"/>
            </w:tcBorders>
            <w:vAlign w:val="center"/>
          </w:tcPr>
          <w:p>
            <w:pPr>
              <w:widowControl/>
              <w:jc w:val="center"/>
              <w:rPr>
                <w:kern w:val="0"/>
                <w:sz w:val="18"/>
                <w:szCs w:val="18"/>
              </w:rPr>
            </w:pPr>
            <w:r>
              <w:rPr>
                <w:kern w:val="0"/>
                <w:sz w:val="18"/>
                <w:szCs w:val="18"/>
              </w:rPr>
              <w:t>课程考查报告</w:t>
            </w:r>
          </w:p>
        </w:tc>
      </w:tr>
      <w:tr>
        <w:tblPrEx>
          <w:tblCellMar>
            <w:top w:w="0" w:type="dxa"/>
            <w:left w:w="108" w:type="dxa"/>
            <w:bottom w:w="0" w:type="dxa"/>
            <w:right w:w="108" w:type="dxa"/>
          </w:tblCellMar>
        </w:tblPrEx>
        <w:trPr>
          <w:trHeight w:val="1061" w:hRule="atLeast"/>
          <w:jc w:val="center"/>
        </w:trPr>
        <w:tc>
          <w:tcPr>
            <w:tcW w:w="987" w:type="pct"/>
            <w:tcBorders>
              <w:top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课程目标达成</w:t>
            </w:r>
          </w:p>
          <w:p>
            <w:pPr>
              <w:widowControl/>
              <w:jc w:val="center"/>
              <w:rPr>
                <w:kern w:val="0"/>
                <w:sz w:val="18"/>
                <w:szCs w:val="18"/>
              </w:rPr>
            </w:pPr>
            <w:r>
              <w:rPr>
                <w:kern w:val="0"/>
                <w:sz w:val="18"/>
                <w:szCs w:val="18"/>
              </w:rPr>
              <w:t>的贡献率</w:t>
            </w:r>
          </w:p>
        </w:tc>
        <w:tc>
          <w:tcPr>
            <w:tcW w:w="901"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0.10</w:t>
            </w:r>
          </w:p>
        </w:tc>
        <w:tc>
          <w:tcPr>
            <w:tcW w:w="943"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0.13</w:t>
            </w:r>
          </w:p>
        </w:tc>
        <w:tc>
          <w:tcPr>
            <w:tcW w:w="944"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0.31</w:t>
            </w:r>
          </w:p>
        </w:tc>
        <w:tc>
          <w:tcPr>
            <w:tcW w:w="1226" w:type="pct"/>
            <w:tcBorders>
              <w:top w:val="single" w:color="auto" w:sz="4" w:space="0"/>
              <w:left w:val="single" w:color="auto" w:sz="4" w:space="0"/>
              <w:bottom w:val="single" w:color="auto" w:sz="4" w:space="0"/>
            </w:tcBorders>
            <w:vAlign w:val="center"/>
          </w:tcPr>
          <w:p>
            <w:pPr>
              <w:jc w:val="center"/>
              <w:rPr>
                <w:sz w:val="18"/>
                <w:szCs w:val="18"/>
              </w:rPr>
            </w:pPr>
            <w:r>
              <w:rPr>
                <w:sz w:val="18"/>
                <w:szCs w:val="18"/>
              </w:rPr>
              <w:t>0.46</w:t>
            </w:r>
          </w:p>
        </w:tc>
      </w:tr>
      <w:tr>
        <w:trPr>
          <w:trHeight w:val="1560" w:hRule="atLeast"/>
          <w:jc w:val="center"/>
        </w:trPr>
        <w:tc>
          <w:tcPr>
            <w:tcW w:w="987" w:type="pct"/>
            <w:tcBorders>
              <w:top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支撑材料</w:t>
            </w:r>
          </w:p>
        </w:tc>
        <w:tc>
          <w:tcPr>
            <w:tcW w:w="901"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课堂评价标准，课堂提问记录或随堂考试，结合出勤率等</w:t>
            </w:r>
          </w:p>
        </w:tc>
        <w:tc>
          <w:tcPr>
            <w:tcW w:w="943"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作业评价标准，典型作业拍照，或电子版</w:t>
            </w:r>
          </w:p>
        </w:tc>
        <w:tc>
          <w:tcPr>
            <w:tcW w:w="944"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课内实验评价标准，实验课堂记录记录，典型实验报告</w:t>
            </w:r>
          </w:p>
        </w:tc>
        <w:tc>
          <w:tcPr>
            <w:tcW w:w="1226" w:type="pct"/>
            <w:tcBorders>
              <w:top w:val="single" w:color="auto" w:sz="4" w:space="0"/>
              <w:left w:val="single" w:color="auto" w:sz="4" w:space="0"/>
              <w:bottom w:val="single" w:color="auto" w:sz="4" w:space="0"/>
            </w:tcBorders>
            <w:vAlign w:val="center"/>
          </w:tcPr>
          <w:p>
            <w:pPr>
              <w:widowControl/>
              <w:jc w:val="center"/>
              <w:rPr>
                <w:kern w:val="0"/>
                <w:sz w:val="18"/>
                <w:szCs w:val="18"/>
              </w:rPr>
            </w:pPr>
            <w:r>
              <w:rPr>
                <w:kern w:val="0"/>
                <w:sz w:val="18"/>
                <w:szCs w:val="18"/>
              </w:rPr>
              <w:t>课程考查报告评分标准，课程考查报告，</w:t>
            </w:r>
          </w:p>
        </w:tc>
      </w:tr>
    </w:tbl>
    <w:p>
      <w:pPr>
        <w:spacing w:line="360" w:lineRule="auto"/>
        <w:rPr>
          <w:rFonts w:eastAsia="黑体"/>
          <w:szCs w:val="24"/>
        </w:rPr>
      </w:pPr>
      <w:r>
        <w:rPr>
          <w:rFonts w:eastAsia="黑体"/>
          <w:szCs w:val="24"/>
        </w:rPr>
        <w:t>九</w:t>
      </w:r>
      <w:r>
        <w:rPr>
          <w:rFonts w:hint="eastAsia" w:eastAsia="黑体"/>
          <w:szCs w:val="24"/>
        </w:rPr>
        <w:t>、覆盖课程目标达成评价的知识点及权重</w:t>
      </w:r>
    </w:p>
    <w:tbl>
      <w:tblPr>
        <w:tblStyle w:val="20"/>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562"/>
        <w:gridCol w:w="1179"/>
        <w:gridCol w:w="178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3261" w:type="pct"/>
            <w:vAlign w:val="center"/>
          </w:tcPr>
          <w:p>
            <w:pPr>
              <w:jc w:val="center"/>
              <w:rPr>
                <w:sz w:val="18"/>
                <w:szCs w:val="18"/>
              </w:rPr>
            </w:pPr>
            <w:r>
              <w:rPr>
                <w:sz w:val="18"/>
                <w:szCs w:val="18"/>
              </w:rPr>
              <w:t>知识点</w:t>
            </w:r>
          </w:p>
        </w:tc>
        <w:tc>
          <w:tcPr>
            <w:tcW w:w="691" w:type="pct"/>
            <w:vAlign w:val="center"/>
          </w:tcPr>
          <w:p>
            <w:pPr>
              <w:jc w:val="center"/>
              <w:rPr>
                <w:sz w:val="18"/>
                <w:szCs w:val="18"/>
              </w:rPr>
            </w:pPr>
            <w:r>
              <w:rPr>
                <w:sz w:val="18"/>
                <w:szCs w:val="18"/>
              </w:rPr>
              <w:t>权重</w:t>
            </w:r>
          </w:p>
        </w:tc>
        <w:tc>
          <w:tcPr>
            <w:tcW w:w="1048" w:type="pct"/>
            <w:vAlign w:val="center"/>
          </w:tcPr>
          <w:p>
            <w:pPr>
              <w:jc w:val="center"/>
              <w:rPr>
                <w:sz w:val="18"/>
                <w:szCs w:val="18"/>
              </w:rPr>
            </w:pPr>
            <w:r>
              <w:rPr>
                <w:sz w:val="18"/>
                <w:szCs w:val="18"/>
              </w:rPr>
              <w:t>支撑课程目标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61" w:type="pct"/>
            <w:vAlign w:val="center"/>
          </w:tcPr>
          <w:p>
            <w:pPr>
              <w:rPr>
                <w:sz w:val="18"/>
                <w:szCs w:val="18"/>
              </w:rPr>
            </w:pPr>
            <w:r>
              <w:rPr>
                <w:rFonts w:hint="eastAsia"/>
                <w:sz w:val="18"/>
                <w:szCs w:val="18"/>
              </w:rPr>
              <w:t>1、辐射度与光度学概念及基本物理量</w:t>
            </w:r>
          </w:p>
        </w:tc>
        <w:tc>
          <w:tcPr>
            <w:tcW w:w="691" w:type="pct"/>
            <w:vAlign w:val="center"/>
          </w:tcPr>
          <w:p>
            <w:pPr>
              <w:jc w:val="center"/>
              <w:rPr>
                <w:sz w:val="18"/>
                <w:szCs w:val="18"/>
              </w:rPr>
            </w:pPr>
            <w:r>
              <w:rPr>
                <w:rFonts w:hint="eastAsia"/>
                <w:sz w:val="18"/>
                <w:szCs w:val="18"/>
              </w:rPr>
              <w:t>0.</w:t>
            </w:r>
            <w:r>
              <w:rPr>
                <w:sz w:val="18"/>
                <w:szCs w:val="18"/>
              </w:rPr>
              <w:t>15</w:t>
            </w:r>
          </w:p>
        </w:tc>
        <w:tc>
          <w:tcPr>
            <w:tcW w:w="1048" w:type="pct"/>
            <w:vAlign w:val="center"/>
          </w:tcPr>
          <w:p>
            <w:pPr>
              <w:jc w:val="center"/>
              <w:rPr>
                <w:sz w:val="18"/>
                <w:szCs w:val="18"/>
              </w:rPr>
            </w:pPr>
            <w:r>
              <w:rPr>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61" w:type="pct"/>
            <w:vAlign w:val="center"/>
          </w:tcPr>
          <w:p>
            <w:pPr>
              <w:rPr>
                <w:sz w:val="18"/>
                <w:szCs w:val="18"/>
              </w:rPr>
            </w:pPr>
            <w:r>
              <w:rPr>
                <w:rFonts w:hint="eastAsia"/>
                <w:sz w:val="18"/>
                <w:szCs w:val="18"/>
              </w:rPr>
              <w:t>2、半导体激光光源的基本特性参数</w:t>
            </w:r>
          </w:p>
        </w:tc>
        <w:tc>
          <w:tcPr>
            <w:tcW w:w="691" w:type="pct"/>
            <w:vAlign w:val="center"/>
          </w:tcPr>
          <w:p>
            <w:pPr>
              <w:jc w:val="center"/>
              <w:rPr>
                <w:sz w:val="18"/>
                <w:szCs w:val="18"/>
              </w:rPr>
            </w:pPr>
            <w:r>
              <w:rPr>
                <w:rFonts w:hint="eastAsia"/>
                <w:sz w:val="18"/>
                <w:szCs w:val="18"/>
              </w:rPr>
              <w:t>0.</w:t>
            </w:r>
            <w:r>
              <w:rPr>
                <w:sz w:val="18"/>
                <w:szCs w:val="18"/>
              </w:rPr>
              <w:t>10</w:t>
            </w:r>
          </w:p>
        </w:tc>
        <w:tc>
          <w:tcPr>
            <w:tcW w:w="1048" w:type="pct"/>
            <w:vAlign w:val="center"/>
          </w:tcPr>
          <w:p>
            <w:pPr>
              <w:jc w:val="center"/>
              <w:rPr>
                <w:sz w:val="18"/>
                <w:szCs w:val="18"/>
              </w:rPr>
            </w:pPr>
            <w:r>
              <w:rPr>
                <w:sz w:val="18"/>
                <w:szCs w:val="18"/>
              </w:rPr>
              <w:t>1</w:t>
            </w:r>
            <w:r>
              <w:rPr>
                <w:rFonts w:hint="eastAsia"/>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61" w:type="pct"/>
            <w:vAlign w:val="center"/>
          </w:tcPr>
          <w:p>
            <w:pPr>
              <w:rPr>
                <w:sz w:val="18"/>
                <w:szCs w:val="18"/>
              </w:rPr>
            </w:pPr>
            <w:r>
              <w:rPr>
                <w:rFonts w:hint="eastAsia"/>
                <w:sz w:val="18"/>
                <w:szCs w:val="18"/>
              </w:rPr>
              <w:t>3、半导体的光电效应，探测器的主要特性参数</w:t>
            </w:r>
          </w:p>
        </w:tc>
        <w:tc>
          <w:tcPr>
            <w:tcW w:w="691" w:type="pct"/>
            <w:vAlign w:val="center"/>
          </w:tcPr>
          <w:p>
            <w:pPr>
              <w:jc w:val="center"/>
              <w:rPr>
                <w:sz w:val="18"/>
                <w:szCs w:val="18"/>
              </w:rPr>
            </w:pPr>
            <w:r>
              <w:rPr>
                <w:rFonts w:hint="eastAsia"/>
                <w:sz w:val="18"/>
                <w:szCs w:val="18"/>
              </w:rPr>
              <w:t>0.</w:t>
            </w:r>
            <w:r>
              <w:rPr>
                <w:sz w:val="18"/>
                <w:szCs w:val="18"/>
              </w:rPr>
              <w:t>10</w:t>
            </w:r>
          </w:p>
        </w:tc>
        <w:tc>
          <w:tcPr>
            <w:tcW w:w="1048" w:type="pct"/>
            <w:vAlign w:val="center"/>
          </w:tcPr>
          <w:p>
            <w:pPr>
              <w:jc w:val="center"/>
              <w:rPr>
                <w:sz w:val="18"/>
                <w:szCs w:val="18"/>
              </w:rPr>
            </w:pPr>
            <w:r>
              <w:rPr>
                <w:rFonts w:hint="eastAsia"/>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61" w:type="pct"/>
            <w:vAlign w:val="center"/>
          </w:tcPr>
          <w:p>
            <w:pPr>
              <w:rPr>
                <w:sz w:val="18"/>
                <w:szCs w:val="18"/>
              </w:rPr>
            </w:pPr>
            <w:r>
              <w:rPr>
                <w:rFonts w:hint="eastAsia"/>
                <w:sz w:val="18"/>
                <w:szCs w:val="18"/>
              </w:rPr>
              <w:t>4、光电管与光电倍增管的工作原理及主要特性参数</w:t>
            </w:r>
          </w:p>
        </w:tc>
        <w:tc>
          <w:tcPr>
            <w:tcW w:w="691" w:type="pct"/>
            <w:vAlign w:val="center"/>
          </w:tcPr>
          <w:p>
            <w:pPr>
              <w:jc w:val="center"/>
              <w:rPr>
                <w:sz w:val="18"/>
                <w:szCs w:val="18"/>
              </w:rPr>
            </w:pPr>
            <w:r>
              <w:rPr>
                <w:rFonts w:hint="eastAsia"/>
                <w:sz w:val="18"/>
                <w:szCs w:val="18"/>
              </w:rPr>
              <w:t>0.</w:t>
            </w:r>
            <w:r>
              <w:rPr>
                <w:sz w:val="18"/>
                <w:szCs w:val="18"/>
              </w:rPr>
              <w:t>15</w:t>
            </w:r>
          </w:p>
        </w:tc>
        <w:tc>
          <w:tcPr>
            <w:tcW w:w="1048" w:type="pct"/>
            <w:vAlign w:val="center"/>
          </w:tcPr>
          <w:p>
            <w:pPr>
              <w:jc w:val="center"/>
              <w:rPr>
                <w:sz w:val="18"/>
                <w:szCs w:val="18"/>
              </w:rPr>
            </w:pPr>
            <w:r>
              <w:rPr>
                <w:sz w:val="18"/>
                <w:szCs w:val="18"/>
              </w:rPr>
              <w:t>1</w:t>
            </w:r>
            <w:r>
              <w:rPr>
                <w:rFonts w:hint="eastAsia"/>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61" w:type="pct"/>
            <w:vAlign w:val="center"/>
          </w:tcPr>
          <w:p>
            <w:pPr>
              <w:rPr>
                <w:sz w:val="18"/>
                <w:szCs w:val="18"/>
              </w:rPr>
            </w:pPr>
            <w:r>
              <w:rPr>
                <w:rFonts w:hint="eastAsia"/>
                <w:sz w:val="18"/>
                <w:szCs w:val="18"/>
              </w:rPr>
              <w:t>5、光电导探测器的原理与结构</w:t>
            </w:r>
          </w:p>
        </w:tc>
        <w:tc>
          <w:tcPr>
            <w:tcW w:w="691" w:type="pct"/>
            <w:vAlign w:val="center"/>
          </w:tcPr>
          <w:p>
            <w:pPr>
              <w:jc w:val="center"/>
              <w:rPr>
                <w:sz w:val="18"/>
                <w:szCs w:val="18"/>
              </w:rPr>
            </w:pPr>
            <w:r>
              <w:rPr>
                <w:rFonts w:hint="eastAsia"/>
                <w:sz w:val="18"/>
                <w:szCs w:val="18"/>
              </w:rPr>
              <w:t>0.</w:t>
            </w:r>
            <w:r>
              <w:rPr>
                <w:sz w:val="18"/>
                <w:szCs w:val="18"/>
              </w:rPr>
              <w:t>15</w:t>
            </w:r>
          </w:p>
        </w:tc>
        <w:tc>
          <w:tcPr>
            <w:tcW w:w="1048" w:type="pct"/>
            <w:vAlign w:val="center"/>
          </w:tcPr>
          <w:p>
            <w:pPr>
              <w:jc w:val="center"/>
              <w:rPr>
                <w:sz w:val="18"/>
                <w:szCs w:val="18"/>
              </w:rPr>
            </w:pPr>
            <w:r>
              <w:rPr>
                <w:rFonts w:hint="eastAsia"/>
                <w:sz w:val="18"/>
                <w:szCs w:val="18"/>
              </w:rPr>
              <w:t>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61" w:type="pct"/>
            <w:vAlign w:val="center"/>
          </w:tcPr>
          <w:p>
            <w:pPr>
              <w:rPr>
                <w:sz w:val="18"/>
                <w:szCs w:val="18"/>
              </w:rPr>
            </w:pPr>
            <w:r>
              <w:rPr>
                <w:rFonts w:hint="eastAsia"/>
                <w:sz w:val="18"/>
                <w:szCs w:val="18"/>
              </w:rPr>
              <w:t>6、结型光电器件原理，硅光电二极管光电池特性及选型</w:t>
            </w:r>
          </w:p>
        </w:tc>
        <w:tc>
          <w:tcPr>
            <w:tcW w:w="691" w:type="pct"/>
            <w:vAlign w:val="center"/>
          </w:tcPr>
          <w:p>
            <w:pPr>
              <w:jc w:val="center"/>
              <w:rPr>
                <w:sz w:val="18"/>
                <w:szCs w:val="18"/>
              </w:rPr>
            </w:pPr>
            <w:r>
              <w:rPr>
                <w:rFonts w:hint="eastAsia"/>
                <w:sz w:val="18"/>
                <w:szCs w:val="18"/>
              </w:rPr>
              <w:t>0.</w:t>
            </w:r>
            <w:r>
              <w:rPr>
                <w:sz w:val="18"/>
                <w:szCs w:val="18"/>
              </w:rPr>
              <w:t>20</w:t>
            </w:r>
          </w:p>
        </w:tc>
        <w:tc>
          <w:tcPr>
            <w:tcW w:w="1048" w:type="pct"/>
            <w:vAlign w:val="center"/>
          </w:tcPr>
          <w:p>
            <w:pPr>
              <w:jc w:val="center"/>
              <w:rPr>
                <w:sz w:val="18"/>
                <w:szCs w:val="18"/>
              </w:rPr>
            </w:pPr>
            <w:r>
              <w:rPr>
                <w:sz w:val="18"/>
                <w:szCs w:val="18"/>
              </w:rPr>
              <w:t>1</w:t>
            </w:r>
            <w:r>
              <w:rPr>
                <w:rFonts w:hint="eastAsia"/>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61" w:type="pct"/>
            <w:vAlign w:val="center"/>
          </w:tcPr>
          <w:p>
            <w:pPr>
              <w:rPr>
                <w:sz w:val="18"/>
                <w:szCs w:val="18"/>
              </w:rPr>
            </w:pPr>
            <w:r>
              <w:rPr>
                <w:rFonts w:hint="eastAsia"/>
                <w:sz w:val="18"/>
                <w:szCs w:val="18"/>
              </w:rPr>
              <w:t>7、CCD的工作原理与典型应用</w:t>
            </w:r>
          </w:p>
        </w:tc>
        <w:tc>
          <w:tcPr>
            <w:tcW w:w="691" w:type="pct"/>
            <w:vAlign w:val="center"/>
          </w:tcPr>
          <w:p>
            <w:pPr>
              <w:jc w:val="center"/>
              <w:rPr>
                <w:sz w:val="18"/>
                <w:szCs w:val="18"/>
              </w:rPr>
            </w:pPr>
            <w:r>
              <w:rPr>
                <w:rFonts w:hint="eastAsia"/>
                <w:sz w:val="18"/>
                <w:szCs w:val="18"/>
              </w:rPr>
              <w:t>0.</w:t>
            </w:r>
            <w:r>
              <w:rPr>
                <w:sz w:val="18"/>
                <w:szCs w:val="18"/>
              </w:rPr>
              <w:t>10</w:t>
            </w:r>
          </w:p>
        </w:tc>
        <w:tc>
          <w:tcPr>
            <w:tcW w:w="1048" w:type="pct"/>
            <w:vAlign w:val="center"/>
          </w:tcPr>
          <w:p>
            <w:pPr>
              <w:jc w:val="center"/>
              <w:rPr>
                <w:sz w:val="18"/>
                <w:szCs w:val="18"/>
              </w:rPr>
            </w:pPr>
            <w:r>
              <w:rPr>
                <w:rFonts w:hint="eastAsia"/>
                <w:sz w:val="18"/>
                <w:szCs w:val="18"/>
              </w:rPr>
              <w:t>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61" w:type="pct"/>
            <w:vAlign w:val="center"/>
          </w:tcPr>
          <w:p>
            <w:pPr>
              <w:rPr>
                <w:sz w:val="18"/>
                <w:szCs w:val="18"/>
              </w:rPr>
            </w:pPr>
            <w:r>
              <w:rPr>
                <w:sz w:val="18"/>
                <w:szCs w:val="18"/>
              </w:rPr>
              <w:t>8</w:t>
            </w:r>
            <w:r>
              <w:rPr>
                <w:rFonts w:hint="eastAsia"/>
                <w:sz w:val="18"/>
                <w:szCs w:val="18"/>
              </w:rPr>
              <w:t>、热电偶与热释电探测器的原理与应用</w:t>
            </w:r>
          </w:p>
        </w:tc>
        <w:tc>
          <w:tcPr>
            <w:tcW w:w="691" w:type="pct"/>
            <w:vAlign w:val="center"/>
          </w:tcPr>
          <w:p>
            <w:pPr>
              <w:jc w:val="center"/>
              <w:rPr>
                <w:sz w:val="18"/>
                <w:szCs w:val="18"/>
              </w:rPr>
            </w:pPr>
            <w:r>
              <w:rPr>
                <w:rFonts w:hint="eastAsia"/>
                <w:sz w:val="18"/>
                <w:szCs w:val="18"/>
              </w:rPr>
              <w:t>0.0</w:t>
            </w:r>
            <w:r>
              <w:rPr>
                <w:sz w:val="18"/>
                <w:szCs w:val="18"/>
              </w:rPr>
              <w:t>5</w:t>
            </w:r>
          </w:p>
        </w:tc>
        <w:tc>
          <w:tcPr>
            <w:tcW w:w="1048" w:type="pct"/>
            <w:vAlign w:val="center"/>
          </w:tcPr>
          <w:p>
            <w:pPr>
              <w:jc w:val="center"/>
              <w:rPr>
                <w:sz w:val="18"/>
                <w:szCs w:val="18"/>
              </w:rPr>
            </w:pPr>
            <w:r>
              <w:rPr>
                <w:rFonts w:hint="eastAsia"/>
                <w:sz w:val="18"/>
                <w:szCs w:val="18"/>
              </w:rPr>
              <w:t>1、2</w:t>
            </w:r>
          </w:p>
        </w:tc>
      </w:tr>
    </w:tbl>
    <w:p>
      <w:pPr>
        <w:spacing w:before="120" w:beforeLines="50" w:line="360" w:lineRule="auto"/>
        <w:ind w:firstLine="420" w:firstLineChars="200"/>
        <w:rPr>
          <w:color w:val="000000"/>
          <w:sz w:val="24"/>
          <w:szCs w:val="24"/>
        </w:rPr>
        <w:sectPr>
          <w:footerReference r:id="rId62" w:type="default"/>
          <w:pgSz w:w="11906" w:h="16838"/>
          <w:pgMar w:top="1440" w:right="1797" w:bottom="1440" w:left="1797" w:header="851" w:footer="992" w:gutter="0"/>
          <w:pgNumType w:fmt="decimal"/>
          <w:cols w:space="425" w:num="1"/>
          <w:docGrid w:linePitch="312" w:charSpace="0"/>
        </w:sectPr>
      </w:pPr>
      <w:r>
        <w:rPr>
          <w:rFonts w:hint="eastAsia" w:ascii="宋体" w:hAnsi="宋体" w:cs="宋体"/>
          <w:szCs w:val="21"/>
        </w:rPr>
        <w:t>本课程不可以申请免修。</w:t>
      </w:r>
    </w:p>
    <w:p>
      <w:pPr>
        <w:tabs>
          <w:tab w:val="left" w:pos="420"/>
        </w:tabs>
        <w:adjustRightInd w:val="0"/>
        <w:snapToGrid w:val="0"/>
        <w:spacing w:line="360" w:lineRule="auto"/>
        <w:ind w:left="420" w:hanging="420"/>
        <w:rPr>
          <w:rFonts w:eastAsia="黑体"/>
          <w:szCs w:val="24"/>
        </w:rPr>
      </w:pPr>
      <w:r>
        <w:rPr>
          <w:rFonts w:hint="eastAsia" w:eastAsia="黑体"/>
          <w:szCs w:val="24"/>
        </w:rPr>
        <w:t>十、课程目标达成评价</w:t>
      </w:r>
    </w:p>
    <w:p>
      <w:pPr>
        <w:spacing w:line="360" w:lineRule="auto"/>
        <w:ind w:firstLine="420" w:firstLineChars="200"/>
        <w:jc w:val="center"/>
      </w:pPr>
    </w:p>
    <w:p>
      <w:pPr>
        <w:spacing w:line="360" w:lineRule="auto"/>
        <w:ind w:firstLine="420" w:firstLineChars="200"/>
        <w:jc w:val="center"/>
      </w:pPr>
      <w:r>
        <w:rPr>
          <w:rFonts w:hint="eastAsia"/>
        </w:rPr>
        <w:t>各环节对课程目标达成评价所使用到的权重占比分配及考核权重分配</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1256"/>
        <w:gridCol w:w="989"/>
        <w:gridCol w:w="961"/>
        <w:gridCol w:w="975"/>
        <w:gridCol w:w="987"/>
        <w:gridCol w:w="975"/>
        <w:gridCol w:w="972"/>
        <w:gridCol w:w="975"/>
        <w:gridCol w:w="987"/>
        <w:gridCol w:w="992"/>
        <w:gridCol w:w="1080"/>
        <w:gridCol w:w="896"/>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333" w:type="pct"/>
            <w:vMerge w:val="restart"/>
            <w:shd w:val="clear" w:color="auto" w:fill="auto"/>
            <w:vAlign w:val="center"/>
          </w:tcPr>
          <w:p>
            <w:pPr>
              <w:widowControl/>
              <w:jc w:val="center"/>
              <w:rPr>
                <w:kern w:val="0"/>
                <w:sz w:val="18"/>
                <w:szCs w:val="18"/>
              </w:rPr>
            </w:pPr>
            <w:r>
              <w:rPr>
                <w:kern w:val="0"/>
                <w:sz w:val="18"/>
                <w:szCs w:val="18"/>
              </w:rPr>
              <w:t>课程目标</w:t>
            </w:r>
          </w:p>
        </w:tc>
        <w:tc>
          <w:tcPr>
            <w:tcW w:w="443" w:type="pct"/>
            <w:vMerge w:val="restart"/>
            <w:shd w:val="clear" w:color="auto" w:fill="auto"/>
            <w:vAlign w:val="center"/>
          </w:tcPr>
          <w:p>
            <w:pPr>
              <w:widowControl/>
              <w:jc w:val="center"/>
              <w:rPr>
                <w:kern w:val="0"/>
                <w:sz w:val="18"/>
                <w:szCs w:val="18"/>
              </w:rPr>
            </w:pPr>
            <w:r>
              <w:rPr>
                <w:kern w:val="0"/>
                <w:sz w:val="18"/>
                <w:szCs w:val="18"/>
              </w:rPr>
              <w:t>知识面比例</w:t>
            </w:r>
          </w:p>
          <w:p>
            <w:pPr>
              <w:widowControl/>
              <w:jc w:val="center"/>
              <w:rPr>
                <w:kern w:val="0"/>
                <w:sz w:val="18"/>
                <w:szCs w:val="18"/>
              </w:rPr>
            </w:pPr>
            <w:r>
              <w:rPr>
                <w:kern w:val="0"/>
                <w:sz w:val="18"/>
                <w:szCs w:val="18"/>
              </w:rPr>
              <w:t>（本列总和为1）</w:t>
            </w:r>
          </w:p>
          <w:p>
            <w:pPr>
              <w:widowControl/>
              <w:jc w:val="center"/>
              <w:rPr>
                <w:i/>
                <w:kern w:val="0"/>
                <w:sz w:val="18"/>
                <w:szCs w:val="18"/>
              </w:rPr>
            </w:pPr>
            <w:r>
              <w:rPr>
                <w:i/>
                <w:kern w:val="0"/>
                <w:sz w:val="18"/>
                <w:szCs w:val="18"/>
              </w:rPr>
              <w:t>P</w:t>
            </w:r>
            <w:r>
              <w:rPr>
                <w:i/>
                <w:kern w:val="0"/>
                <w:sz w:val="18"/>
                <w:szCs w:val="18"/>
                <w:vertAlign w:val="subscript"/>
              </w:rPr>
              <w:t>i</w:t>
            </w:r>
          </w:p>
        </w:tc>
        <w:tc>
          <w:tcPr>
            <w:tcW w:w="1380" w:type="pct"/>
            <w:gridSpan w:val="4"/>
            <w:shd w:val="clear" w:color="auto" w:fill="auto"/>
            <w:vAlign w:val="center"/>
          </w:tcPr>
          <w:p>
            <w:pPr>
              <w:widowControl/>
              <w:jc w:val="center"/>
              <w:rPr>
                <w:kern w:val="0"/>
                <w:sz w:val="18"/>
                <w:szCs w:val="18"/>
              </w:rPr>
            </w:pPr>
            <w:r>
              <w:rPr>
                <w:sz w:val="18"/>
                <w:szCs w:val="18"/>
              </w:rPr>
              <w:t>各环节评价比例分配</w:t>
            </w:r>
            <w:r>
              <w:rPr>
                <w:sz w:val="18"/>
                <w:szCs w:val="18"/>
              </w:rPr>
              <w:br w:type="textWrapping"/>
            </w:r>
            <w:r>
              <w:rPr>
                <w:sz w:val="18"/>
                <w:szCs w:val="18"/>
              </w:rPr>
              <w:t>（每行总和为1）</w:t>
            </w:r>
            <w:r>
              <w:rPr>
                <w:sz w:val="18"/>
                <w:szCs w:val="18"/>
              </w:rPr>
              <w:br w:type="textWrapping"/>
            </w:r>
            <w:r>
              <w:rPr>
                <w:i/>
                <w:sz w:val="18"/>
                <w:szCs w:val="18"/>
              </w:rPr>
              <w:t>W</w:t>
            </w:r>
            <w:r>
              <w:rPr>
                <w:i/>
                <w:sz w:val="18"/>
                <w:szCs w:val="18"/>
                <w:vertAlign w:val="subscript"/>
              </w:rPr>
              <w:t>ik</w:t>
            </w:r>
          </w:p>
        </w:tc>
        <w:tc>
          <w:tcPr>
            <w:tcW w:w="1379" w:type="pct"/>
            <w:gridSpan w:val="4"/>
            <w:shd w:val="clear" w:color="auto" w:fill="auto"/>
            <w:vAlign w:val="center"/>
          </w:tcPr>
          <w:p>
            <w:pPr>
              <w:jc w:val="center"/>
              <w:rPr>
                <w:sz w:val="18"/>
                <w:szCs w:val="18"/>
              </w:rPr>
            </w:pPr>
            <w:r>
              <w:rPr>
                <w:sz w:val="18"/>
                <w:szCs w:val="18"/>
              </w:rPr>
              <w:t>各环节在课程达成中的占比</w:t>
            </w:r>
            <w:r>
              <w:rPr>
                <w:sz w:val="18"/>
                <w:szCs w:val="18"/>
              </w:rPr>
              <w:br w:type="textWrapping"/>
            </w:r>
            <w:r>
              <w:rPr>
                <w:sz w:val="18"/>
                <w:szCs w:val="18"/>
              </w:rPr>
              <w:t>（所有行列总和为1）</w:t>
            </w:r>
            <w:r>
              <w:rPr>
                <w:sz w:val="18"/>
                <w:szCs w:val="18"/>
              </w:rPr>
              <w:br w:type="textWrapping"/>
            </w:r>
            <w:r>
              <w:rPr>
                <w:i/>
                <w:sz w:val="18"/>
                <w:szCs w:val="18"/>
              </w:rPr>
              <w:t>S</w:t>
            </w:r>
            <w:r>
              <w:rPr>
                <w:i/>
                <w:sz w:val="18"/>
                <w:szCs w:val="18"/>
                <w:vertAlign w:val="subscript"/>
              </w:rPr>
              <w:t>ik</w:t>
            </w:r>
            <w:r>
              <w:rPr>
                <w:i/>
                <w:sz w:val="18"/>
                <w:szCs w:val="18"/>
              </w:rPr>
              <w:t>=P</w:t>
            </w:r>
            <w:r>
              <w:rPr>
                <w:i/>
                <w:sz w:val="18"/>
                <w:szCs w:val="18"/>
                <w:vertAlign w:val="subscript"/>
              </w:rPr>
              <w:t>i</w:t>
            </w:r>
            <w:r>
              <w:rPr>
                <w:i/>
                <w:sz w:val="18"/>
                <w:szCs w:val="18"/>
              </w:rPr>
              <w:t>*W</w:t>
            </w:r>
            <w:r>
              <w:rPr>
                <w:i/>
                <w:sz w:val="18"/>
                <w:szCs w:val="18"/>
                <w:vertAlign w:val="subscript"/>
              </w:rPr>
              <w:t>ik</w:t>
            </w:r>
          </w:p>
        </w:tc>
        <w:tc>
          <w:tcPr>
            <w:tcW w:w="1465" w:type="pct"/>
            <w:gridSpan w:val="4"/>
            <w:shd w:val="clear" w:color="auto" w:fill="auto"/>
            <w:vAlign w:val="center"/>
          </w:tcPr>
          <w:p>
            <w:pPr>
              <w:jc w:val="center"/>
              <w:rPr>
                <w:rFonts w:ascii="宋体" w:hAnsi="宋体"/>
                <w:sz w:val="18"/>
                <w:szCs w:val="18"/>
              </w:rPr>
            </w:pPr>
            <w:r>
              <w:rPr>
                <w:rFonts w:hint="eastAsia" w:ascii="宋体" w:hAnsi="宋体"/>
                <w:sz w:val="18"/>
                <w:szCs w:val="18"/>
              </w:rPr>
              <w:t>各环节课程目标考核权重分布</w:t>
            </w:r>
          </w:p>
          <w:p>
            <w:pPr>
              <w:jc w:val="center"/>
              <w:rPr>
                <w:rFonts w:ascii="宋体" w:hAnsi="宋体"/>
                <w:sz w:val="18"/>
                <w:szCs w:val="18"/>
              </w:rPr>
            </w:pPr>
            <w:r>
              <w:rPr>
                <w:rFonts w:ascii="宋体" w:hAnsi="宋体"/>
                <w:sz w:val="18"/>
                <w:szCs w:val="18"/>
              </w:rPr>
              <w:t>（每一列总和为</w:t>
            </w:r>
            <w:r>
              <w:rPr>
                <w:rFonts w:hint="eastAsia" w:ascii="宋体" w:hAnsi="宋体"/>
                <w:sz w:val="18"/>
                <w:szCs w:val="18"/>
              </w:rPr>
              <w:t>1</w:t>
            </w:r>
            <w:r>
              <w:rPr>
                <w:rFonts w:ascii="宋体" w:hAnsi="宋体"/>
                <w:sz w:val="18"/>
                <w:szCs w:val="18"/>
              </w:rPr>
              <w:t>）</w:t>
            </w:r>
          </w:p>
          <w:p>
            <w:pPr>
              <w:jc w:val="center"/>
              <w:rPr>
                <w:sz w:val="18"/>
                <w:szCs w:val="18"/>
              </w:rPr>
            </w:pPr>
            <w:r>
              <w:rPr>
                <w:rFonts w:hint="eastAsia" w:ascii="宋体" w:hAnsi="宋体"/>
                <w:i/>
                <w:sz w:val="18"/>
                <w:szCs w:val="18"/>
              </w:rPr>
              <w:t>E</w:t>
            </w:r>
            <w:r>
              <w:rPr>
                <w:rFonts w:hint="eastAsia" w:ascii="宋体" w:hAnsi="宋体"/>
                <w:i/>
                <w:sz w:val="18"/>
                <w:szCs w:val="18"/>
                <w:vertAlign w:val="subscript"/>
              </w:rPr>
              <w:t>ik</w:t>
            </w:r>
            <w:r>
              <w:rPr>
                <w:rFonts w:hint="eastAsia" w:ascii="宋体" w:hAnsi="宋体"/>
                <w:i/>
                <w:sz w:val="18"/>
                <w:szCs w:val="18"/>
              </w:rPr>
              <w:t>=</w:t>
            </w:r>
            <w:r>
              <w:rPr>
                <w:rFonts w:ascii="宋体" w:hAnsi="宋体"/>
                <w:i/>
                <w:sz w:val="18"/>
                <w:szCs w:val="18"/>
              </w:rPr>
              <w:t>S</w:t>
            </w:r>
            <w:r>
              <w:rPr>
                <w:rFonts w:ascii="宋体" w:hAnsi="宋体"/>
                <w:i/>
                <w:sz w:val="18"/>
                <w:szCs w:val="18"/>
                <w:vertAlign w:val="subscript"/>
              </w:rPr>
              <w:t>ik</w:t>
            </w:r>
            <w:r>
              <w:rPr>
                <w:rFonts w:ascii="宋体" w:hAnsi="宋体"/>
                <w:i/>
                <w:sz w:val="18"/>
                <w:szCs w:val="18"/>
              </w:rPr>
              <w:t>/M</w:t>
            </w:r>
            <w:r>
              <w:rPr>
                <w:rFonts w:ascii="宋体" w:hAnsi="宋体"/>
                <w:i/>
                <w:sz w:val="18"/>
                <w:szCs w:val="18"/>
                <w:vertAlign w:val="subscript"/>
              </w:rPr>
              <w:t>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333" w:type="pct"/>
            <w:vMerge w:val="continue"/>
            <w:shd w:val="clear" w:color="auto" w:fill="auto"/>
            <w:vAlign w:val="center"/>
          </w:tcPr>
          <w:p>
            <w:pPr>
              <w:widowControl/>
              <w:jc w:val="left"/>
              <w:rPr>
                <w:kern w:val="0"/>
                <w:sz w:val="18"/>
                <w:szCs w:val="18"/>
              </w:rPr>
            </w:pPr>
          </w:p>
        </w:tc>
        <w:tc>
          <w:tcPr>
            <w:tcW w:w="443" w:type="pct"/>
            <w:vMerge w:val="continue"/>
            <w:shd w:val="clear" w:color="auto" w:fill="auto"/>
            <w:vAlign w:val="center"/>
          </w:tcPr>
          <w:p>
            <w:pPr>
              <w:widowControl/>
              <w:jc w:val="left"/>
              <w:rPr>
                <w:kern w:val="0"/>
                <w:sz w:val="18"/>
                <w:szCs w:val="18"/>
              </w:rPr>
            </w:pPr>
          </w:p>
        </w:tc>
        <w:tc>
          <w:tcPr>
            <w:tcW w:w="349" w:type="pct"/>
            <w:shd w:val="clear" w:color="auto" w:fill="auto"/>
            <w:vAlign w:val="center"/>
          </w:tcPr>
          <w:p>
            <w:pPr>
              <w:widowControl/>
              <w:jc w:val="center"/>
              <w:rPr>
                <w:kern w:val="0"/>
                <w:sz w:val="18"/>
                <w:szCs w:val="18"/>
              </w:rPr>
            </w:pPr>
            <w:r>
              <w:rPr>
                <w:kern w:val="0"/>
                <w:sz w:val="18"/>
                <w:szCs w:val="18"/>
              </w:rPr>
              <w:t>课堂</w:t>
            </w:r>
          </w:p>
          <w:p>
            <w:pPr>
              <w:widowControl/>
              <w:jc w:val="center"/>
              <w:rPr>
                <w:kern w:val="0"/>
                <w:sz w:val="18"/>
                <w:szCs w:val="18"/>
              </w:rPr>
            </w:pPr>
            <w:r>
              <w:rPr>
                <w:kern w:val="0"/>
                <w:sz w:val="18"/>
                <w:szCs w:val="18"/>
              </w:rPr>
              <w:t>情况</w:t>
            </w:r>
          </w:p>
        </w:tc>
        <w:tc>
          <w:tcPr>
            <w:tcW w:w="339" w:type="pct"/>
            <w:shd w:val="clear" w:color="auto" w:fill="auto"/>
            <w:vAlign w:val="center"/>
          </w:tcPr>
          <w:p>
            <w:pPr>
              <w:widowControl/>
              <w:jc w:val="center"/>
              <w:rPr>
                <w:kern w:val="0"/>
                <w:sz w:val="18"/>
                <w:szCs w:val="18"/>
              </w:rPr>
            </w:pPr>
            <w:r>
              <w:rPr>
                <w:kern w:val="0"/>
                <w:sz w:val="18"/>
                <w:szCs w:val="18"/>
              </w:rPr>
              <w:t>作业</w:t>
            </w:r>
          </w:p>
        </w:tc>
        <w:tc>
          <w:tcPr>
            <w:tcW w:w="344" w:type="pct"/>
            <w:shd w:val="clear" w:color="auto" w:fill="auto"/>
            <w:vAlign w:val="center"/>
          </w:tcPr>
          <w:p>
            <w:pPr>
              <w:widowControl/>
              <w:jc w:val="center"/>
              <w:rPr>
                <w:kern w:val="0"/>
                <w:sz w:val="18"/>
                <w:szCs w:val="18"/>
              </w:rPr>
            </w:pPr>
            <w:r>
              <w:rPr>
                <w:kern w:val="0"/>
                <w:sz w:val="18"/>
                <w:szCs w:val="18"/>
              </w:rPr>
              <w:t>实验</w:t>
            </w:r>
          </w:p>
        </w:tc>
        <w:tc>
          <w:tcPr>
            <w:tcW w:w="348" w:type="pct"/>
            <w:shd w:val="clear" w:color="auto" w:fill="auto"/>
            <w:vAlign w:val="center"/>
          </w:tcPr>
          <w:p>
            <w:pPr>
              <w:widowControl/>
              <w:jc w:val="center"/>
              <w:rPr>
                <w:kern w:val="0"/>
                <w:sz w:val="18"/>
                <w:szCs w:val="18"/>
              </w:rPr>
            </w:pPr>
            <w:r>
              <w:rPr>
                <w:kern w:val="0"/>
                <w:sz w:val="18"/>
                <w:szCs w:val="18"/>
              </w:rPr>
              <w:t>期末</w:t>
            </w:r>
          </w:p>
          <w:p>
            <w:pPr>
              <w:widowControl/>
              <w:jc w:val="center"/>
              <w:rPr>
                <w:kern w:val="0"/>
                <w:sz w:val="18"/>
                <w:szCs w:val="18"/>
              </w:rPr>
            </w:pPr>
            <w:r>
              <w:rPr>
                <w:kern w:val="0"/>
                <w:sz w:val="18"/>
                <w:szCs w:val="18"/>
              </w:rPr>
              <w:t>考查报告</w:t>
            </w:r>
          </w:p>
        </w:tc>
        <w:tc>
          <w:tcPr>
            <w:tcW w:w="344" w:type="pct"/>
            <w:shd w:val="clear" w:color="auto" w:fill="auto"/>
            <w:vAlign w:val="center"/>
          </w:tcPr>
          <w:p>
            <w:pPr>
              <w:widowControl/>
              <w:jc w:val="center"/>
              <w:rPr>
                <w:kern w:val="0"/>
                <w:sz w:val="18"/>
                <w:szCs w:val="18"/>
              </w:rPr>
            </w:pPr>
            <w:r>
              <w:rPr>
                <w:kern w:val="0"/>
                <w:sz w:val="18"/>
                <w:szCs w:val="18"/>
              </w:rPr>
              <w:t>课堂</w:t>
            </w:r>
          </w:p>
          <w:p>
            <w:pPr>
              <w:widowControl/>
              <w:jc w:val="center"/>
              <w:rPr>
                <w:kern w:val="0"/>
                <w:sz w:val="18"/>
                <w:szCs w:val="18"/>
              </w:rPr>
            </w:pPr>
            <w:r>
              <w:rPr>
                <w:kern w:val="0"/>
                <w:sz w:val="18"/>
                <w:szCs w:val="18"/>
              </w:rPr>
              <w:t>情况</w:t>
            </w:r>
          </w:p>
        </w:tc>
        <w:tc>
          <w:tcPr>
            <w:tcW w:w="343" w:type="pct"/>
            <w:shd w:val="clear" w:color="auto" w:fill="auto"/>
            <w:vAlign w:val="center"/>
          </w:tcPr>
          <w:p>
            <w:pPr>
              <w:widowControl/>
              <w:jc w:val="center"/>
              <w:rPr>
                <w:kern w:val="0"/>
                <w:sz w:val="18"/>
                <w:szCs w:val="18"/>
              </w:rPr>
            </w:pPr>
            <w:r>
              <w:rPr>
                <w:kern w:val="0"/>
                <w:sz w:val="18"/>
                <w:szCs w:val="18"/>
              </w:rPr>
              <w:t>作业</w:t>
            </w:r>
          </w:p>
        </w:tc>
        <w:tc>
          <w:tcPr>
            <w:tcW w:w="344" w:type="pct"/>
            <w:shd w:val="clear" w:color="auto" w:fill="auto"/>
            <w:vAlign w:val="center"/>
          </w:tcPr>
          <w:p>
            <w:pPr>
              <w:widowControl/>
              <w:jc w:val="center"/>
              <w:rPr>
                <w:kern w:val="0"/>
                <w:sz w:val="18"/>
                <w:szCs w:val="18"/>
              </w:rPr>
            </w:pPr>
            <w:r>
              <w:rPr>
                <w:kern w:val="0"/>
                <w:sz w:val="18"/>
                <w:szCs w:val="18"/>
              </w:rPr>
              <w:t>实验</w:t>
            </w:r>
          </w:p>
        </w:tc>
        <w:tc>
          <w:tcPr>
            <w:tcW w:w="348" w:type="pct"/>
            <w:shd w:val="clear" w:color="auto" w:fill="auto"/>
            <w:vAlign w:val="center"/>
          </w:tcPr>
          <w:p>
            <w:pPr>
              <w:widowControl/>
              <w:jc w:val="center"/>
              <w:rPr>
                <w:kern w:val="0"/>
                <w:sz w:val="18"/>
                <w:szCs w:val="18"/>
              </w:rPr>
            </w:pPr>
            <w:r>
              <w:rPr>
                <w:kern w:val="0"/>
                <w:sz w:val="18"/>
                <w:szCs w:val="18"/>
              </w:rPr>
              <w:t>期末</w:t>
            </w:r>
          </w:p>
          <w:p>
            <w:pPr>
              <w:widowControl/>
              <w:jc w:val="center"/>
              <w:rPr>
                <w:kern w:val="0"/>
                <w:sz w:val="18"/>
                <w:szCs w:val="18"/>
              </w:rPr>
            </w:pPr>
            <w:r>
              <w:rPr>
                <w:kern w:val="0"/>
                <w:sz w:val="18"/>
                <w:szCs w:val="18"/>
              </w:rPr>
              <w:t>考查报告</w:t>
            </w:r>
          </w:p>
        </w:tc>
        <w:tc>
          <w:tcPr>
            <w:tcW w:w="350" w:type="pct"/>
            <w:shd w:val="clear" w:color="auto" w:fill="auto"/>
            <w:vAlign w:val="center"/>
          </w:tcPr>
          <w:p>
            <w:pPr>
              <w:widowControl/>
              <w:jc w:val="center"/>
              <w:rPr>
                <w:kern w:val="0"/>
                <w:sz w:val="18"/>
                <w:szCs w:val="18"/>
              </w:rPr>
            </w:pPr>
            <w:r>
              <w:rPr>
                <w:kern w:val="0"/>
                <w:sz w:val="18"/>
                <w:szCs w:val="18"/>
              </w:rPr>
              <w:t>课堂</w:t>
            </w:r>
          </w:p>
          <w:p>
            <w:pPr>
              <w:widowControl/>
              <w:jc w:val="center"/>
              <w:rPr>
                <w:kern w:val="0"/>
                <w:sz w:val="18"/>
                <w:szCs w:val="18"/>
              </w:rPr>
            </w:pPr>
            <w:r>
              <w:rPr>
                <w:kern w:val="0"/>
                <w:sz w:val="18"/>
                <w:szCs w:val="18"/>
              </w:rPr>
              <w:t>情况</w:t>
            </w:r>
          </w:p>
        </w:tc>
        <w:tc>
          <w:tcPr>
            <w:tcW w:w="381" w:type="pct"/>
            <w:shd w:val="clear" w:color="auto" w:fill="auto"/>
            <w:vAlign w:val="center"/>
          </w:tcPr>
          <w:p>
            <w:pPr>
              <w:widowControl/>
              <w:jc w:val="center"/>
              <w:rPr>
                <w:kern w:val="0"/>
                <w:sz w:val="18"/>
                <w:szCs w:val="18"/>
              </w:rPr>
            </w:pPr>
            <w:r>
              <w:rPr>
                <w:kern w:val="0"/>
                <w:sz w:val="18"/>
                <w:szCs w:val="18"/>
              </w:rPr>
              <w:t>作业</w:t>
            </w:r>
          </w:p>
        </w:tc>
        <w:tc>
          <w:tcPr>
            <w:tcW w:w="316" w:type="pct"/>
            <w:shd w:val="clear" w:color="auto" w:fill="auto"/>
            <w:vAlign w:val="center"/>
          </w:tcPr>
          <w:p>
            <w:pPr>
              <w:widowControl/>
              <w:jc w:val="center"/>
              <w:rPr>
                <w:kern w:val="0"/>
                <w:sz w:val="18"/>
                <w:szCs w:val="18"/>
              </w:rPr>
            </w:pPr>
            <w:r>
              <w:rPr>
                <w:kern w:val="0"/>
                <w:sz w:val="18"/>
                <w:szCs w:val="18"/>
              </w:rPr>
              <w:t>实验</w:t>
            </w:r>
          </w:p>
        </w:tc>
        <w:tc>
          <w:tcPr>
            <w:tcW w:w="418" w:type="pct"/>
            <w:shd w:val="clear" w:color="auto" w:fill="auto"/>
            <w:vAlign w:val="center"/>
          </w:tcPr>
          <w:p>
            <w:pPr>
              <w:widowControl/>
              <w:jc w:val="center"/>
              <w:rPr>
                <w:kern w:val="0"/>
                <w:sz w:val="18"/>
                <w:szCs w:val="18"/>
              </w:rPr>
            </w:pPr>
            <w:r>
              <w:rPr>
                <w:kern w:val="0"/>
                <w:sz w:val="18"/>
                <w:szCs w:val="18"/>
              </w:rPr>
              <w:t>期末</w:t>
            </w:r>
          </w:p>
          <w:p>
            <w:pPr>
              <w:widowControl/>
              <w:jc w:val="center"/>
              <w:rPr>
                <w:kern w:val="0"/>
                <w:sz w:val="18"/>
                <w:szCs w:val="18"/>
              </w:rPr>
            </w:pPr>
            <w:r>
              <w:rPr>
                <w:kern w:val="0"/>
                <w:sz w:val="18"/>
                <w:szCs w:val="18"/>
              </w:rPr>
              <w:t>考查报告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33" w:type="pct"/>
            <w:shd w:val="clear" w:color="auto" w:fill="auto"/>
            <w:vAlign w:val="center"/>
          </w:tcPr>
          <w:p>
            <w:pPr>
              <w:ind w:firstLine="360" w:firstLineChars="200"/>
              <w:rPr>
                <w:sz w:val="18"/>
                <w:szCs w:val="18"/>
              </w:rPr>
            </w:pPr>
            <w:r>
              <w:rPr>
                <w:sz w:val="18"/>
                <w:szCs w:val="18"/>
              </w:rPr>
              <w:t>1</w:t>
            </w:r>
          </w:p>
        </w:tc>
        <w:tc>
          <w:tcPr>
            <w:tcW w:w="443" w:type="pct"/>
            <w:shd w:val="clear" w:color="auto" w:fill="auto"/>
            <w:vAlign w:val="center"/>
          </w:tcPr>
          <w:p>
            <w:pPr>
              <w:jc w:val="center"/>
              <w:rPr>
                <w:sz w:val="18"/>
                <w:szCs w:val="18"/>
              </w:rPr>
            </w:pPr>
            <w:r>
              <w:rPr>
                <w:sz w:val="18"/>
                <w:szCs w:val="18"/>
              </w:rPr>
              <w:t>0.6</w:t>
            </w:r>
          </w:p>
        </w:tc>
        <w:tc>
          <w:tcPr>
            <w:tcW w:w="349" w:type="pct"/>
            <w:shd w:val="clear" w:color="auto" w:fill="auto"/>
            <w:vAlign w:val="center"/>
          </w:tcPr>
          <w:p>
            <w:pPr>
              <w:jc w:val="center"/>
              <w:rPr>
                <w:sz w:val="18"/>
                <w:szCs w:val="18"/>
              </w:rPr>
            </w:pPr>
            <w:r>
              <w:rPr>
                <w:sz w:val="18"/>
                <w:szCs w:val="18"/>
              </w:rPr>
              <w:t>0.1</w:t>
            </w:r>
          </w:p>
        </w:tc>
        <w:tc>
          <w:tcPr>
            <w:tcW w:w="339" w:type="pct"/>
            <w:shd w:val="clear" w:color="auto" w:fill="auto"/>
            <w:vAlign w:val="center"/>
          </w:tcPr>
          <w:p>
            <w:pPr>
              <w:jc w:val="center"/>
              <w:rPr>
                <w:sz w:val="18"/>
                <w:szCs w:val="18"/>
              </w:rPr>
            </w:pPr>
            <w:r>
              <w:rPr>
                <w:sz w:val="18"/>
                <w:szCs w:val="18"/>
              </w:rPr>
              <w:t>0.15</w:t>
            </w:r>
          </w:p>
        </w:tc>
        <w:tc>
          <w:tcPr>
            <w:tcW w:w="344" w:type="pct"/>
            <w:shd w:val="clear" w:color="auto" w:fill="auto"/>
            <w:vAlign w:val="center"/>
          </w:tcPr>
          <w:p>
            <w:pPr>
              <w:jc w:val="center"/>
              <w:rPr>
                <w:sz w:val="18"/>
                <w:szCs w:val="18"/>
              </w:rPr>
            </w:pPr>
            <w:r>
              <w:rPr>
                <w:sz w:val="18"/>
                <w:szCs w:val="18"/>
              </w:rPr>
              <w:t>0.25</w:t>
            </w:r>
          </w:p>
        </w:tc>
        <w:tc>
          <w:tcPr>
            <w:tcW w:w="348" w:type="pct"/>
            <w:shd w:val="clear" w:color="auto" w:fill="auto"/>
            <w:vAlign w:val="center"/>
          </w:tcPr>
          <w:p>
            <w:pPr>
              <w:jc w:val="center"/>
              <w:rPr>
                <w:sz w:val="18"/>
                <w:szCs w:val="18"/>
              </w:rPr>
            </w:pPr>
            <w:r>
              <w:rPr>
                <w:sz w:val="18"/>
                <w:szCs w:val="18"/>
              </w:rPr>
              <w:t>0.5</w:t>
            </w:r>
          </w:p>
        </w:tc>
        <w:tc>
          <w:tcPr>
            <w:tcW w:w="344" w:type="pct"/>
            <w:shd w:val="clear" w:color="auto" w:fill="auto"/>
            <w:vAlign w:val="center"/>
          </w:tcPr>
          <w:p>
            <w:pPr>
              <w:jc w:val="center"/>
              <w:rPr>
                <w:sz w:val="18"/>
                <w:szCs w:val="18"/>
              </w:rPr>
            </w:pPr>
            <w:r>
              <w:rPr>
                <w:sz w:val="18"/>
                <w:szCs w:val="18"/>
              </w:rPr>
              <w:t>0.06</w:t>
            </w:r>
          </w:p>
        </w:tc>
        <w:tc>
          <w:tcPr>
            <w:tcW w:w="343" w:type="pct"/>
            <w:shd w:val="clear" w:color="auto" w:fill="auto"/>
            <w:vAlign w:val="center"/>
          </w:tcPr>
          <w:p>
            <w:pPr>
              <w:jc w:val="center"/>
              <w:rPr>
                <w:sz w:val="18"/>
                <w:szCs w:val="18"/>
              </w:rPr>
            </w:pPr>
            <w:r>
              <w:rPr>
                <w:sz w:val="18"/>
                <w:szCs w:val="18"/>
              </w:rPr>
              <w:t>0.09</w:t>
            </w:r>
          </w:p>
        </w:tc>
        <w:tc>
          <w:tcPr>
            <w:tcW w:w="344" w:type="pct"/>
            <w:shd w:val="clear" w:color="auto" w:fill="auto"/>
            <w:vAlign w:val="center"/>
          </w:tcPr>
          <w:p>
            <w:pPr>
              <w:jc w:val="center"/>
              <w:rPr>
                <w:sz w:val="18"/>
                <w:szCs w:val="18"/>
              </w:rPr>
            </w:pPr>
            <w:r>
              <w:rPr>
                <w:sz w:val="18"/>
                <w:szCs w:val="18"/>
              </w:rPr>
              <w:t>0.15</w:t>
            </w:r>
          </w:p>
        </w:tc>
        <w:tc>
          <w:tcPr>
            <w:tcW w:w="348" w:type="pct"/>
            <w:shd w:val="clear" w:color="auto" w:fill="auto"/>
            <w:vAlign w:val="center"/>
          </w:tcPr>
          <w:p>
            <w:pPr>
              <w:jc w:val="center"/>
              <w:rPr>
                <w:sz w:val="18"/>
                <w:szCs w:val="18"/>
              </w:rPr>
            </w:pPr>
            <w:r>
              <w:rPr>
                <w:sz w:val="18"/>
                <w:szCs w:val="18"/>
              </w:rPr>
              <w:t>0.3</w:t>
            </w:r>
          </w:p>
        </w:tc>
        <w:tc>
          <w:tcPr>
            <w:tcW w:w="350" w:type="pct"/>
            <w:shd w:val="clear" w:color="auto" w:fill="auto"/>
            <w:vAlign w:val="center"/>
          </w:tcPr>
          <w:p>
            <w:pPr>
              <w:jc w:val="center"/>
              <w:rPr>
                <w:sz w:val="18"/>
                <w:szCs w:val="18"/>
              </w:rPr>
            </w:pPr>
            <w:r>
              <w:rPr>
                <w:sz w:val="18"/>
                <w:szCs w:val="18"/>
              </w:rPr>
              <w:t>0.60</w:t>
            </w:r>
          </w:p>
        </w:tc>
        <w:tc>
          <w:tcPr>
            <w:tcW w:w="381" w:type="pct"/>
            <w:shd w:val="clear" w:color="auto" w:fill="auto"/>
            <w:vAlign w:val="center"/>
          </w:tcPr>
          <w:p>
            <w:pPr>
              <w:jc w:val="center"/>
              <w:rPr>
                <w:sz w:val="18"/>
                <w:szCs w:val="18"/>
              </w:rPr>
            </w:pPr>
            <w:r>
              <w:rPr>
                <w:sz w:val="18"/>
                <w:szCs w:val="18"/>
              </w:rPr>
              <w:t>0.69</w:t>
            </w:r>
          </w:p>
        </w:tc>
        <w:tc>
          <w:tcPr>
            <w:tcW w:w="316" w:type="pct"/>
            <w:shd w:val="clear" w:color="auto" w:fill="auto"/>
            <w:vAlign w:val="center"/>
          </w:tcPr>
          <w:p>
            <w:pPr>
              <w:jc w:val="center"/>
              <w:rPr>
                <w:sz w:val="18"/>
                <w:szCs w:val="18"/>
              </w:rPr>
            </w:pPr>
            <w:r>
              <w:rPr>
                <w:sz w:val="18"/>
                <w:szCs w:val="18"/>
              </w:rPr>
              <w:t>0.48</w:t>
            </w:r>
          </w:p>
        </w:tc>
        <w:tc>
          <w:tcPr>
            <w:tcW w:w="418" w:type="pct"/>
            <w:shd w:val="clear" w:color="auto" w:fill="auto"/>
            <w:vAlign w:val="center"/>
          </w:tcPr>
          <w:p>
            <w:pPr>
              <w:jc w:val="center"/>
              <w:rPr>
                <w:sz w:val="18"/>
                <w:szCs w:val="18"/>
              </w:rPr>
            </w:pPr>
            <w:r>
              <w:rPr>
                <w:sz w:val="18"/>
                <w:szCs w:val="18"/>
              </w:rP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333" w:type="pct"/>
            <w:shd w:val="clear" w:color="auto" w:fill="auto"/>
            <w:vAlign w:val="center"/>
          </w:tcPr>
          <w:p>
            <w:pPr>
              <w:adjustRightInd w:val="0"/>
              <w:ind w:firstLine="360" w:firstLineChars="200"/>
              <w:rPr>
                <w:sz w:val="18"/>
                <w:szCs w:val="18"/>
              </w:rPr>
            </w:pPr>
            <w:r>
              <w:rPr>
                <w:sz w:val="18"/>
                <w:szCs w:val="18"/>
              </w:rPr>
              <w:t>2</w:t>
            </w:r>
          </w:p>
        </w:tc>
        <w:tc>
          <w:tcPr>
            <w:tcW w:w="443" w:type="pct"/>
            <w:shd w:val="clear" w:color="auto" w:fill="auto"/>
            <w:vAlign w:val="center"/>
          </w:tcPr>
          <w:p>
            <w:pPr>
              <w:jc w:val="center"/>
              <w:rPr>
                <w:sz w:val="18"/>
                <w:szCs w:val="18"/>
              </w:rPr>
            </w:pPr>
            <w:r>
              <w:rPr>
                <w:sz w:val="18"/>
                <w:szCs w:val="18"/>
              </w:rPr>
              <w:t>0.4</w:t>
            </w:r>
          </w:p>
        </w:tc>
        <w:tc>
          <w:tcPr>
            <w:tcW w:w="349" w:type="pct"/>
            <w:shd w:val="clear" w:color="auto" w:fill="auto"/>
            <w:vAlign w:val="center"/>
          </w:tcPr>
          <w:p>
            <w:pPr>
              <w:jc w:val="center"/>
              <w:rPr>
                <w:sz w:val="18"/>
                <w:szCs w:val="18"/>
              </w:rPr>
            </w:pPr>
            <w:r>
              <w:rPr>
                <w:sz w:val="18"/>
                <w:szCs w:val="18"/>
              </w:rPr>
              <w:t>0.1</w:t>
            </w:r>
          </w:p>
        </w:tc>
        <w:tc>
          <w:tcPr>
            <w:tcW w:w="339" w:type="pct"/>
            <w:shd w:val="clear" w:color="auto" w:fill="auto"/>
            <w:vAlign w:val="center"/>
          </w:tcPr>
          <w:p>
            <w:pPr>
              <w:jc w:val="center"/>
              <w:rPr>
                <w:sz w:val="18"/>
                <w:szCs w:val="18"/>
              </w:rPr>
            </w:pPr>
            <w:r>
              <w:rPr>
                <w:sz w:val="18"/>
                <w:szCs w:val="18"/>
              </w:rPr>
              <w:t>0.1</w:t>
            </w:r>
          </w:p>
        </w:tc>
        <w:tc>
          <w:tcPr>
            <w:tcW w:w="344" w:type="pct"/>
            <w:shd w:val="clear" w:color="auto" w:fill="auto"/>
            <w:vAlign w:val="center"/>
          </w:tcPr>
          <w:p>
            <w:pPr>
              <w:jc w:val="center"/>
              <w:rPr>
                <w:sz w:val="18"/>
                <w:szCs w:val="18"/>
              </w:rPr>
            </w:pPr>
            <w:r>
              <w:rPr>
                <w:sz w:val="18"/>
                <w:szCs w:val="18"/>
              </w:rPr>
              <w:t>0.4</w:t>
            </w:r>
          </w:p>
        </w:tc>
        <w:tc>
          <w:tcPr>
            <w:tcW w:w="348" w:type="pct"/>
            <w:shd w:val="clear" w:color="auto" w:fill="auto"/>
            <w:vAlign w:val="center"/>
          </w:tcPr>
          <w:p>
            <w:pPr>
              <w:jc w:val="center"/>
              <w:rPr>
                <w:sz w:val="18"/>
                <w:szCs w:val="18"/>
              </w:rPr>
            </w:pPr>
            <w:r>
              <w:rPr>
                <w:sz w:val="18"/>
                <w:szCs w:val="18"/>
              </w:rPr>
              <w:t>0.4</w:t>
            </w:r>
          </w:p>
        </w:tc>
        <w:tc>
          <w:tcPr>
            <w:tcW w:w="344" w:type="pct"/>
            <w:shd w:val="clear" w:color="auto" w:fill="auto"/>
            <w:vAlign w:val="center"/>
          </w:tcPr>
          <w:p>
            <w:pPr>
              <w:jc w:val="center"/>
              <w:rPr>
                <w:sz w:val="18"/>
                <w:szCs w:val="18"/>
              </w:rPr>
            </w:pPr>
            <w:r>
              <w:rPr>
                <w:sz w:val="18"/>
                <w:szCs w:val="18"/>
              </w:rPr>
              <w:t>0.04</w:t>
            </w:r>
          </w:p>
        </w:tc>
        <w:tc>
          <w:tcPr>
            <w:tcW w:w="343" w:type="pct"/>
            <w:shd w:val="clear" w:color="auto" w:fill="auto"/>
            <w:vAlign w:val="center"/>
          </w:tcPr>
          <w:p>
            <w:pPr>
              <w:jc w:val="center"/>
              <w:rPr>
                <w:sz w:val="18"/>
                <w:szCs w:val="18"/>
              </w:rPr>
            </w:pPr>
            <w:r>
              <w:rPr>
                <w:sz w:val="18"/>
                <w:szCs w:val="18"/>
              </w:rPr>
              <w:t>0.04</w:t>
            </w:r>
          </w:p>
        </w:tc>
        <w:tc>
          <w:tcPr>
            <w:tcW w:w="344" w:type="pct"/>
            <w:shd w:val="clear" w:color="auto" w:fill="auto"/>
            <w:vAlign w:val="center"/>
          </w:tcPr>
          <w:p>
            <w:pPr>
              <w:jc w:val="center"/>
              <w:rPr>
                <w:sz w:val="18"/>
                <w:szCs w:val="18"/>
              </w:rPr>
            </w:pPr>
            <w:r>
              <w:rPr>
                <w:sz w:val="18"/>
                <w:szCs w:val="18"/>
              </w:rPr>
              <w:t>0.16</w:t>
            </w:r>
          </w:p>
        </w:tc>
        <w:tc>
          <w:tcPr>
            <w:tcW w:w="348" w:type="pct"/>
            <w:shd w:val="clear" w:color="auto" w:fill="auto"/>
            <w:vAlign w:val="center"/>
          </w:tcPr>
          <w:p>
            <w:pPr>
              <w:jc w:val="center"/>
              <w:rPr>
                <w:sz w:val="18"/>
                <w:szCs w:val="18"/>
              </w:rPr>
            </w:pPr>
            <w:r>
              <w:rPr>
                <w:sz w:val="18"/>
                <w:szCs w:val="18"/>
              </w:rPr>
              <w:t>0.16</w:t>
            </w:r>
          </w:p>
        </w:tc>
        <w:tc>
          <w:tcPr>
            <w:tcW w:w="350" w:type="pct"/>
            <w:shd w:val="clear" w:color="auto" w:fill="auto"/>
            <w:vAlign w:val="center"/>
          </w:tcPr>
          <w:p>
            <w:pPr>
              <w:jc w:val="center"/>
              <w:rPr>
                <w:sz w:val="18"/>
                <w:szCs w:val="18"/>
              </w:rPr>
            </w:pPr>
            <w:r>
              <w:rPr>
                <w:sz w:val="18"/>
                <w:szCs w:val="18"/>
              </w:rPr>
              <w:t>0.40</w:t>
            </w:r>
          </w:p>
        </w:tc>
        <w:tc>
          <w:tcPr>
            <w:tcW w:w="381" w:type="pct"/>
            <w:shd w:val="clear" w:color="auto" w:fill="auto"/>
            <w:vAlign w:val="center"/>
          </w:tcPr>
          <w:p>
            <w:pPr>
              <w:jc w:val="center"/>
              <w:rPr>
                <w:sz w:val="18"/>
                <w:szCs w:val="18"/>
              </w:rPr>
            </w:pPr>
            <w:r>
              <w:rPr>
                <w:sz w:val="18"/>
                <w:szCs w:val="18"/>
              </w:rPr>
              <w:t>0.31</w:t>
            </w:r>
          </w:p>
        </w:tc>
        <w:tc>
          <w:tcPr>
            <w:tcW w:w="316" w:type="pct"/>
            <w:shd w:val="clear" w:color="auto" w:fill="auto"/>
            <w:vAlign w:val="center"/>
          </w:tcPr>
          <w:p>
            <w:pPr>
              <w:jc w:val="center"/>
              <w:rPr>
                <w:sz w:val="18"/>
                <w:szCs w:val="18"/>
              </w:rPr>
            </w:pPr>
            <w:r>
              <w:rPr>
                <w:sz w:val="18"/>
                <w:szCs w:val="18"/>
              </w:rPr>
              <w:t>0.52</w:t>
            </w:r>
          </w:p>
        </w:tc>
        <w:tc>
          <w:tcPr>
            <w:tcW w:w="418" w:type="pct"/>
            <w:shd w:val="clear" w:color="auto" w:fill="auto"/>
            <w:vAlign w:val="center"/>
          </w:tcPr>
          <w:p>
            <w:pPr>
              <w:jc w:val="center"/>
              <w:rPr>
                <w:sz w:val="18"/>
                <w:szCs w:val="18"/>
              </w:rPr>
            </w:pPr>
            <w:r>
              <w:rPr>
                <w:sz w:val="18"/>
                <w:szCs w:val="18"/>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2156" w:type="pct"/>
            <w:gridSpan w:val="6"/>
            <w:shd w:val="clear" w:color="auto" w:fill="auto"/>
            <w:vAlign w:val="center"/>
          </w:tcPr>
          <w:p>
            <w:pPr>
              <w:widowControl/>
              <w:jc w:val="center"/>
              <w:rPr>
                <w:kern w:val="0"/>
                <w:sz w:val="18"/>
                <w:szCs w:val="18"/>
              </w:rPr>
            </w:pPr>
            <w:r>
              <w:rPr>
                <w:kern w:val="0"/>
                <w:sz w:val="18"/>
                <w:szCs w:val="18"/>
              </w:rPr>
              <w:t>各环节对课程目标达成的贡献率（</w:t>
            </w:r>
            <w:r>
              <w:rPr>
                <w:i/>
                <w:kern w:val="0"/>
                <w:sz w:val="18"/>
                <w:szCs w:val="18"/>
              </w:rPr>
              <w:t>M</w:t>
            </w:r>
            <w:r>
              <w:rPr>
                <w:i/>
                <w:kern w:val="0"/>
                <w:sz w:val="18"/>
                <w:szCs w:val="18"/>
                <w:vertAlign w:val="subscript"/>
              </w:rPr>
              <w:t>k</w:t>
            </w:r>
            <w:r>
              <w:rPr>
                <w:kern w:val="0"/>
                <w:sz w:val="18"/>
                <w:szCs w:val="18"/>
              </w:rPr>
              <w:t>）</w:t>
            </w:r>
          </w:p>
        </w:tc>
        <w:tc>
          <w:tcPr>
            <w:tcW w:w="344" w:type="pct"/>
            <w:shd w:val="clear" w:color="auto" w:fill="auto"/>
            <w:vAlign w:val="center"/>
          </w:tcPr>
          <w:p>
            <w:pPr>
              <w:jc w:val="center"/>
              <w:rPr>
                <w:sz w:val="18"/>
                <w:szCs w:val="18"/>
              </w:rPr>
            </w:pPr>
            <w:r>
              <w:rPr>
                <w:sz w:val="18"/>
                <w:szCs w:val="18"/>
              </w:rPr>
              <w:t>0.10</w:t>
            </w:r>
          </w:p>
        </w:tc>
        <w:tc>
          <w:tcPr>
            <w:tcW w:w="343" w:type="pct"/>
            <w:shd w:val="clear" w:color="auto" w:fill="auto"/>
            <w:vAlign w:val="center"/>
          </w:tcPr>
          <w:p>
            <w:pPr>
              <w:jc w:val="center"/>
              <w:rPr>
                <w:sz w:val="18"/>
                <w:szCs w:val="18"/>
              </w:rPr>
            </w:pPr>
            <w:r>
              <w:rPr>
                <w:sz w:val="18"/>
                <w:szCs w:val="18"/>
              </w:rPr>
              <w:t>0.13</w:t>
            </w:r>
          </w:p>
        </w:tc>
        <w:tc>
          <w:tcPr>
            <w:tcW w:w="344" w:type="pct"/>
            <w:shd w:val="clear" w:color="auto" w:fill="auto"/>
            <w:vAlign w:val="center"/>
          </w:tcPr>
          <w:p>
            <w:pPr>
              <w:jc w:val="center"/>
              <w:rPr>
                <w:sz w:val="18"/>
                <w:szCs w:val="18"/>
              </w:rPr>
            </w:pPr>
            <w:r>
              <w:rPr>
                <w:sz w:val="18"/>
                <w:szCs w:val="18"/>
              </w:rPr>
              <w:t>0.31</w:t>
            </w:r>
          </w:p>
        </w:tc>
        <w:tc>
          <w:tcPr>
            <w:tcW w:w="348" w:type="pct"/>
            <w:shd w:val="clear" w:color="auto" w:fill="auto"/>
            <w:vAlign w:val="center"/>
          </w:tcPr>
          <w:p>
            <w:pPr>
              <w:jc w:val="center"/>
              <w:rPr>
                <w:sz w:val="18"/>
                <w:szCs w:val="18"/>
              </w:rPr>
            </w:pPr>
            <w:r>
              <w:rPr>
                <w:sz w:val="18"/>
                <w:szCs w:val="18"/>
              </w:rPr>
              <w:t>0.46</w:t>
            </w:r>
          </w:p>
        </w:tc>
        <w:tc>
          <w:tcPr>
            <w:tcW w:w="1465" w:type="pct"/>
            <w:gridSpan w:val="4"/>
            <w:shd w:val="clear" w:color="auto" w:fill="auto"/>
            <w:vAlign w:val="center"/>
          </w:tcPr>
          <w:p>
            <w:pPr>
              <w:jc w:val="center"/>
              <w:rPr>
                <w:sz w:val="18"/>
                <w:szCs w:val="18"/>
              </w:rPr>
            </w:pPr>
            <w:r>
              <w:rPr>
                <w:sz w:val="18"/>
                <w:szCs w:val="18"/>
              </w:rPr>
              <w:t>教师出题或布置作业时</w:t>
            </w:r>
          </w:p>
          <w:p>
            <w:pPr>
              <w:jc w:val="center"/>
              <w:rPr>
                <w:sz w:val="18"/>
                <w:szCs w:val="18"/>
              </w:rPr>
            </w:pPr>
            <w:r>
              <w:rPr>
                <w:sz w:val="18"/>
                <w:szCs w:val="18"/>
              </w:rPr>
              <w:t>要尽量做到按照以上比例布局</w:t>
            </w:r>
          </w:p>
        </w:tc>
      </w:tr>
    </w:tbl>
    <w:p>
      <w:pPr>
        <w:spacing w:line="360" w:lineRule="auto"/>
        <w:ind w:firstLine="1260" w:firstLineChars="600"/>
        <w:jc w:val="left"/>
      </w:pPr>
    </w:p>
    <w:p>
      <w:pPr>
        <w:spacing w:line="360" w:lineRule="auto"/>
        <w:ind w:firstLine="1260" w:firstLineChars="600"/>
        <w:jc w:val="left"/>
      </w:pPr>
    </w:p>
    <w:p>
      <w:pPr>
        <w:spacing w:line="360" w:lineRule="auto"/>
      </w:pPr>
    </w:p>
    <w:p>
      <w:pPr>
        <w:adjustRightInd w:val="0"/>
        <w:snapToGrid w:val="0"/>
        <w:spacing w:line="360" w:lineRule="auto"/>
        <w:sectPr>
          <w:pgSz w:w="16838" w:h="11906" w:orient="landscape"/>
          <w:pgMar w:top="1797" w:right="1440" w:bottom="1797" w:left="1440" w:header="851" w:footer="992" w:gutter="0"/>
          <w:pgNumType w:fmt="decimal"/>
          <w:cols w:space="425" w:num="1"/>
          <w:docGrid w:linePitch="312" w:charSpace="0"/>
        </w:sectPr>
      </w:pPr>
    </w:p>
    <w:p>
      <w:pPr>
        <w:adjustRightInd w:val="0"/>
        <w:snapToGrid w:val="0"/>
        <w:spacing w:line="360" w:lineRule="auto"/>
        <w:ind w:firstLine="420" w:firstLineChars="200"/>
        <w:rPr>
          <w:szCs w:val="21"/>
        </w:rPr>
      </w:pPr>
      <w:bookmarkStart w:id="22" w:name="_Toc9386"/>
      <w:r>
        <w:rPr>
          <w:rFonts w:hint="eastAsia"/>
          <w:szCs w:val="21"/>
        </w:rPr>
        <w:t>采用达成值计算法，辅以对学生的问卷调查法。</w:t>
      </w:r>
    </w:p>
    <w:p>
      <w:pPr>
        <w:adjustRightInd w:val="0"/>
        <w:snapToGrid w:val="0"/>
        <w:spacing w:line="360" w:lineRule="auto"/>
        <w:ind w:firstLine="422" w:firstLineChars="200"/>
        <w:rPr>
          <w:b/>
          <w:bCs/>
          <w:szCs w:val="21"/>
        </w:rPr>
      </w:pPr>
      <w:r>
        <w:rPr>
          <w:rFonts w:hint="eastAsia"/>
          <w:b/>
          <w:bCs/>
          <w:szCs w:val="21"/>
        </w:rPr>
        <w:t>课程目标定量评价：</w:t>
      </w:r>
    </w:p>
    <w:p>
      <w:pPr>
        <w:adjustRightInd w:val="0"/>
        <w:snapToGrid w:val="0"/>
        <w:spacing w:line="360" w:lineRule="auto"/>
        <w:ind w:firstLine="420" w:firstLineChars="200"/>
        <w:rPr>
          <w:szCs w:val="21"/>
        </w:rPr>
      </w:pPr>
      <w:r>
        <w:rPr>
          <w:szCs w:val="21"/>
        </w:rPr>
        <w:t>达成值计算法结合上表权重分配，采用</w:t>
      </w:r>
      <w:r>
        <w:rPr>
          <w:rFonts w:hint="eastAsia"/>
          <w:szCs w:val="21"/>
        </w:rPr>
        <w:t>下表进行计算。</w:t>
      </w:r>
    </w:p>
    <w:p>
      <w:pPr>
        <w:adjustRightInd w:val="0"/>
        <w:snapToGrid w:val="0"/>
        <w:spacing w:line="360" w:lineRule="auto"/>
        <w:ind w:firstLine="420" w:firstLineChars="200"/>
        <w:rPr>
          <w:szCs w:val="21"/>
        </w:rPr>
      </w:pPr>
      <w:r>
        <w:rPr>
          <w:szCs w:val="21"/>
        </w:rPr>
        <w:t>单一课程目标达成度评价采用下式：</w:t>
      </w:r>
    </w:p>
    <w:p>
      <w:pPr>
        <w:adjustRightInd w:val="0"/>
        <w:snapToGrid w:val="0"/>
        <w:spacing w:line="360" w:lineRule="auto"/>
        <w:ind w:firstLine="420" w:firstLineChars="200"/>
        <w:rPr>
          <w:szCs w:val="21"/>
        </w:rPr>
      </w:pPr>
      <w:r>
        <w:rPr>
          <w:position w:val="-30"/>
          <w:szCs w:val="21"/>
        </w:rPr>
        <w:object>
          <v:shape id="_x0000_i1091" o:spt="75" type="#_x0000_t75" style="height:36pt;width:165.5pt;" o:ole="t" filled="f" o:preferrelative="t" stroked="f" coordsize="21600,21600">
            <v:path/>
            <v:fill on="f" focussize="0,0"/>
            <v:stroke on="f" joinstyle="miter"/>
            <v:imagedata r:id="rId145" o:title=""/>
            <o:lock v:ext="edit" aspectratio="t"/>
            <w10:wrap type="none"/>
            <w10:anchorlock/>
          </v:shape>
          <o:OLEObject Type="Embed" ProgID="Equation.3" ShapeID="_x0000_i1091" DrawAspect="Content" ObjectID="_1468075791" r:id="rId225">
            <o:LockedField>false</o:LockedField>
          </o:OLEObject>
        </w:object>
      </w:r>
    </w:p>
    <w:p>
      <w:pPr>
        <w:adjustRightInd w:val="0"/>
        <w:snapToGrid w:val="0"/>
        <w:spacing w:line="360" w:lineRule="auto"/>
        <w:ind w:firstLine="420" w:firstLineChars="200"/>
        <w:rPr>
          <w:szCs w:val="21"/>
        </w:rPr>
      </w:pPr>
      <w:r>
        <w:rPr>
          <w:szCs w:val="21"/>
        </w:rPr>
        <w:t>总的课程目标达成度评价采用下式：</w:t>
      </w:r>
    </w:p>
    <w:p>
      <w:pPr>
        <w:adjustRightInd w:val="0"/>
        <w:snapToGrid w:val="0"/>
        <w:spacing w:line="360" w:lineRule="auto"/>
        <w:ind w:firstLine="420" w:firstLineChars="200"/>
        <w:rPr>
          <w:szCs w:val="21"/>
        </w:rPr>
      </w:pPr>
      <w:r>
        <w:rPr>
          <w:position w:val="-30"/>
          <w:szCs w:val="21"/>
        </w:rPr>
        <w:object>
          <v:shape id="_x0000_i1092" o:spt="75" type="#_x0000_t75" style="height:36pt;width:151pt;" o:ole="t" filled="f" o:preferrelative="t" stroked="f" coordsize="21600,21600">
            <v:path/>
            <v:fill on="f" focussize="0,0"/>
            <v:stroke on="f" joinstyle="miter"/>
            <v:imagedata r:id="rId147" o:title=""/>
            <o:lock v:ext="edit" aspectratio="t"/>
            <w10:wrap type="none"/>
            <w10:anchorlock/>
          </v:shape>
          <o:OLEObject Type="Embed" ProgID="Equation.3" ShapeID="_x0000_i1092" DrawAspect="Content" ObjectID="_1468075792" r:id="rId226">
            <o:LockedField>false</o:LockedField>
          </o:OLEObject>
        </w:object>
      </w:r>
    </w:p>
    <w:p>
      <w:pPr>
        <w:adjustRightInd w:val="0"/>
        <w:snapToGrid w:val="0"/>
        <w:spacing w:line="360" w:lineRule="auto"/>
        <w:ind w:firstLine="420" w:firstLineChars="200"/>
        <w:rPr>
          <w:szCs w:val="21"/>
        </w:rPr>
      </w:pPr>
      <w:r>
        <w:rPr>
          <w:szCs w:val="21"/>
        </w:rPr>
        <w:t>以上公式中：</w:t>
      </w:r>
    </w:p>
    <w:p>
      <w:pPr>
        <w:adjustRightInd w:val="0"/>
        <w:snapToGrid w:val="0"/>
        <w:spacing w:line="360" w:lineRule="auto"/>
        <w:ind w:firstLine="420" w:firstLineChars="200"/>
        <w:rPr>
          <w:szCs w:val="21"/>
        </w:rPr>
      </w:pPr>
      <w:r>
        <w:rPr>
          <w:i/>
          <w:szCs w:val="21"/>
        </w:rPr>
        <w:t>k</w:t>
      </w:r>
      <w:r>
        <w:rPr>
          <w:szCs w:val="21"/>
        </w:rPr>
        <w:t>表示不同的评价方式，</w:t>
      </w:r>
      <w:r>
        <w:rPr>
          <w:i/>
          <w:szCs w:val="21"/>
        </w:rPr>
        <w:t>i</w:t>
      </w:r>
      <w:r>
        <w:rPr>
          <w:szCs w:val="21"/>
        </w:rPr>
        <w:t>表示不同的课程目标。</w:t>
      </w:r>
    </w:p>
    <w:p>
      <w:pPr>
        <w:adjustRightInd w:val="0"/>
        <w:snapToGrid w:val="0"/>
        <w:spacing w:line="360" w:lineRule="auto"/>
        <w:ind w:firstLine="420" w:firstLineChars="200"/>
      </w:pPr>
      <w:r>
        <w:rPr>
          <w:position w:val="-10"/>
        </w:rPr>
        <w:object>
          <v:shape id="_x0000_i1093" o:spt="75" type="#_x0000_t75" style="height:14.5pt;width:14.5pt;" o:ole="t" filled="f" o:preferrelative="t" stroked="f" coordsize="21600,21600">
            <v:path/>
            <v:fill on="f" focussize="0,0"/>
            <v:stroke on="f" joinstyle="miter"/>
            <v:imagedata r:id="rId149" o:title=""/>
            <o:lock v:ext="edit" aspectratio="t"/>
            <w10:wrap type="none"/>
            <w10:anchorlock/>
          </v:shape>
          <o:OLEObject Type="Embed" ProgID="Equation.3" ShapeID="_x0000_i1093" DrawAspect="Content" ObjectID="_1468075793" r:id="rId227">
            <o:LockedField>false</o:LockedField>
          </o:OLEObject>
        </w:object>
      </w:r>
      <w:r>
        <w:t>表示第</w:t>
      </w:r>
      <w:r>
        <w:rPr>
          <w:i/>
        </w:rPr>
        <w:t>k</w:t>
      </w:r>
      <w:r>
        <w:t>种评价方式期末评价成绩平均分，均为百分制；</w:t>
      </w:r>
    </w:p>
    <w:p>
      <w:pPr>
        <w:adjustRightInd w:val="0"/>
        <w:snapToGrid w:val="0"/>
        <w:spacing w:line="360" w:lineRule="auto"/>
        <w:ind w:firstLine="420" w:firstLineChars="200"/>
      </w:pPr>
      <w:r>
        <w:rPr>
          <w:position w:val="-10"/>
        </w:rPr>
        <w:object>
          <v:shape id="_x0000_i1094" o:spt="75" type="#_x0000_t75" style="height:14.5pt;width:72pt;" o:ole="t" filled="f" o:preferrelative="t" stroked="f" coordsize="21600,21600">
            <v:path/>
            <v:fill on="f" focussize="0,0"/>
            <v:stroke on="f" joinstyle="miter"/>
            <v:imagedata r:id="rId151" o:title=""/>
            <o:lock v:ext="edit" aspectratio="t"/>
            <w10:wrap type="none"/>
            <w10:anchorlock/>
          </v:shape>
          <o:OLEObject Type="Embed" ProgID="Equation.3" ShapeID="_x0000_i1094" DrawAspect="Content" ObjectID="_1468075794" r:id="rId228">
            <o:LockedField>false</o:LockedField>
          </o:OLEObject>
        </w:object>
      </w:r>
      <w:r>
        <w:t>是第</w:t>
      </w:r>
      <w:r>
        <w:rPr>
          <w:i/>
        </w:rPr>
        <w:t>k</w:t>
      </w:r>
      <w:r>
        <w:t>种评价方式通过第</w:t>
      </w:r>
      <w:r>
        <w:rPr>
          <w:i/>
        </w:rPr>
        <w:t>i</w:t>
      </w:r>
      <w:r>
        <w:t>个课程目标反映在总的课程目标评分占比；</w:t>
      </w:r>
    </w:p>
    <w:p>
      <w:pPr>
        <w:adjustRightInd w:val="0"/>
        <w:snapToGrid w:val="0"/>
        <w:spacing w:line="360" w:lineRule="auto"/>
        <w:ind w:firstLine="420" w:firstLineChars="200"/>
        <w:rPr>
          <w:szCs w:val="21"/>
        </w:rPr>
      </w:pPr>
      <w:r>
        <w:rPr>
          <w:position w:val="-10"/>
        </w:rPr>
        <w:object>
          <v:shape id="_x0000_i1095" o:spt="75" type="#_x0000_t75" style="height:14.5pt;width:14.5pt;" o:ole="t" filled="f" o:preferrelative="t" stroked="f" coordsize="21600,21600">
            <v:path/>
            <v:fill on="f" focussize="0,0"/>
            <v:stroke on="f" joinstyle="miter"/>
            <v:imagedata r:id="rId153" o:title=""/>
            <o:lock v:ext="edit" aspectratio="t"/>
            <w10:wrap type="none"/>
            <w10:anchorlock/>
          </v:shape>
          <o:OLEObject Type="Embed" ProgID="Equation.3" ShapeID="_x0000_i1095" DrawAspect="Content" ObjectID="_1468075795" r:id="rId229">
            <o:LockedField>false</o:LockedField>
          </o:OLEObject>
        </w:object>
      </w:r>
      <w:r>
        <w:t>表示第</w:t>
      </w:r>
      <w:r>
        <w:rPr>
          <w:i/>
        </w:rPr>
        <w:t>k</w:t>
      </w:r>
      <w:r>
        <w:t>种评价方式对第</w:t>
      </w:r>
      <w:r>
        <w:rPr>
          <w:i/>
        </w:rPr>
        <w:t>i</w:t>
      </w:r>
      <w:r>
        <w:t>个课程目标百分占比；</w:t>
      </w:r>
    </w:p>
    <w:p>
      <w:pPr>
        <w:adjustRightInd w:val="0"/>
        <w:snapToGrid w:val="0"/>
        <w:spacing w:line="360" w:lineRule="auto"/>
        <w:ind w:firstLine="420" w:firstLineChars="200"/>
      </w:pPr>
      <w:r>
        <w:rPr>
          <w:position w:val="-10"/>
        </w:rPr>
        <w:object>
          <v:shape id="_x0000_i1096" o:spt="75" type="#_x0000_t75" style="height:14.5pt;width:14.5pt;" o:ole="t" filled="f" o:preferrelative="t" stroked="f" coordsize="21600,21600">
            <v:path/>
            <v:fill on="f" focussize="0,0"/>
            <v:stroke on="f" joinstyle="miter"/>
            <v:imagedata r:id="rId155" o:title=""/>
            <o:lock v:ext="edit" aspectratio="t"/>
            <w10:wrap type="none"/>
            <w10:anchorlock/>
          </v:shape>
          <o:OLEObject Type="Embed" ProgID="Equation.3" ShapeID="_x0000_i1096" DrawAspect="Content" ObjectID="_1468075796" r:id="rId230">
            <o:LockedField>false</o:LockedField>
          </o:OLEObject>
        </w:object>
      </w:r>
      <w:r>
        <w:t>表示第</w:t>
      </w:r>
      <w:r>
        <w:rPr>
          <w:i/>
        </w:rPr>
        <w:t>i</w:t>
      </w:r>
      <w:r>
        <w:t>个课程目标在课程总评价中的占比；</w:t>
      </w:r>
    </w:p>
    <w:p>
      <w:pPr>
        <w:adjustRightInd w:val="0"/>
        <w:snapToGrid w:val="0"/>
        <w:spacing w:line="360" w:lineRule="auto"/>
        <w:ind w:firstLine="422" w:firstLineChars="200"/>
        <w:rPr>
          <w:b/>
          <w:bCs/>
          <w:position w:val="-10"/>
          <w:szCs w:val="22"/>
        </w:rPr>
      </w:pPr>
      <w:r>
        <w:rPr>
          <w:rFonts w:hint="eastAsia"/>
          <w:b/>
          <w:bCs/>
          <w:position w:val="-10"/>
          <w:szCs w:val="22"/>
        </w:rPr>
        <w:t>课程目标定性评价：</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针对每门课的课程目标，直接设计问题，并要求学生明确给出目标能力达到的程度“很好（0.95）、较好（0.75）、中（0.60）、较差（0.45）、很差（0.25）”，根据各区段统计比例与括号中的目标分值加权后求和得出定性评价的结果。</w:t>
      </w:r>
    </w:p>
    <w:p>
      <w:pPr>
        <w:adjustRightInd w:val="0"/>
        <w:snapToGrid w:val="0"/>
        <w:spacing w:line="360" w:lineRule="auto"/>
        <w:ind w:firstLine="422" w:firstLineChars="200"/>
        <w:rPr>
          <w:b/>
          <w:bCs/>
          <w:position w:val="-10"/>
          <w:szCs w:val="22"/>
        </w:rPr>
      </w:pPr>
      <w:r>
        <w:rPr>
          <w:rFonts w:hint="eastAsia"/>
          <w:b/>
          <w:bCs/>
          <w:position w:val="-10"/>
          <w:szCs w:val="22"/>
        </w:rPr>
        <w:t>课程目标达成结果：</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同一课程目标的评价，取定性评价和定量评价的平均值，作为最终评价结果。</w:t>
      </w:r>
    </w:p>
    <w:p>
      <w:pPr>
        <w:adjustRightInd w:val="0"/>
        <w:snapToGrid w:val="0"/>
        <w:spacing w:line="360" w:lineRule="auto"/>
        <w:ind w:firstLine="420" w:firstLineChars="200"/>
        <w:rPr>
          <w:position w:val="-10"/>
          <w:szCs w:val="22"/>
        </w:rPr>
      </w:pPr>
      <w:r>
        <w:rPr>
          <w:rFonts w:hint="eastAsia"/>
          <w:position w:val="-10"/>
          <w:szCs w:val="22"/>
        </w:rPr>
        <w:t>课程目标达成度大于等于0.71为一级达成，大于等于0.65为二级达成。</w:t>
      </w:r>
    </w:p>
    <w:p>
      <w:pPr>
        <w:widowControl/>
        <w:adjustRightInd w:val="0"/>
        <w:snapToGrid w:val="0"/>
        <w:jc w:val="left"/>
        <w:rPr>
          <w:rFonts w:eastAsia="黑体"/>
          <w:szCs w:val="24"/>
        </w:rPr>
      </w:pPr>
    </w:p>
    <w:p>
      <w:pPr>
        <w:tabs>
          <w:tab w:val="left" w:pos="420"/>
        </w:tabs>
        <w:adjustRightInd w:val="0"/>
        <w:snapToGrid w:val="0"/>
        <w:spacing w:line="360" w:lineRule="auto"/>
        <w:ind w:left="420" w:hanging="420"/>
        <w:rPr>
          <w:rFonts w:eastAsia="黑体"/>
          <w:szCs w:val="24"/>
        </w:rPr>
      </w:pPr>
      <w:r>
        <w:rPr>
          <w:rFonts w:hint="eastAsia" w:eastAsia="黑体"/>
          <w:szCs w:val="24"/>
        </w:rPr>
        <w:t>十一、各环节评价标准</w:t>
      </w:r>
    </w:p>
    <w:p>
      <w:pPr>
        <w:adjustRightInd w:val="0"/>
        <w:snapToGrid w:val="0"/>
        <w:spacing w:line="360" w:lineRule="auto"/>
        <w:ind w:firstLine="420" w:firstLineChars="200"/>
        <w:rPr>
          <w:szCs w:val="21"/>
        </w:rPr>
      </w:pPr>
      <w:r>
        <w:rPr>
          <w:rFonts w:hint="eastAsia"/>
          <w:szCs w:val="21"/>
        </w:rPr>
        <w:t>本课程允许教师在各评价环节根据具体情况采取多样化、个性化的考核手段，其评价标准应当在《</w:t>
      </w:r>
      <w:r>
        <w:rPr>
          <w:rFonts w:hint="eastAsia" w:ascii="宋体" w:hAnsi="宋体"/>
          <w:szCs w:val="21"/>
        </w:rPr>
        <w:t>SIE-CT-01：</w:t>
      </w:r>
      <w:r>
        <w:rPr>
          <w:rFonts w:hint="eastAsia"/>
          <w:szCs w:val="21"/>
        </w:rPr>
        <w:t>授课计划》中明确并向学生公布，教学过程中的考核评价应当严格按照标准完成。</w:t>
      </w:r>
    </w:p>
    <w:p>
      <w:pPr>
        <w:tabs>
          <w:tab w:val="left" w:pos="420"/>
        </w:tabs>
        <w:adjustRightInd w:val="0"/>
        <w:snapToGrid w:val="0"/>
        <w:spacing w:line="360" w:lineRule="auto"/>
        <w:ind w:left="420" w:hanging="420"/>
        <w:rPr>
          <w:color w:val="0000FF"/>
        </w:rPr>
      </w:pPr>
    </w:p>
    <w:p>
      <w:pPr>
        <w:tabs>
          <w:tab w:val="left" w:pos="420"/>
        </w:tabs>
        <w:adjustRightInd w:val="0"/>
        <w:snapToGrid w:val="0"/>
        <w:spacing w:line="360" w:lineRule="auto"/>
        <w:ind w:left="420" w:hanging="420"/>
        <w:rPr>
          <w:rFonts w:eastAsia="黑体"/>
          <w:szCs w:val="24"/>
        </w:rPr>
      </w:pPr>
      <w:r>
        <w:rPr>
          <w:rFonts w:hint="eastAsia" w:eastAsia="黑体"/>
          <w:szCs w:val="24"/>
        </w:rPr>
        <w:t>十二、课程目标达成评价结果用于持续改进</w:t>
      </w:r>
    </w:p>
    <w:p>
      <w:pPr>
        <w:adjustRightInd w:val="0"/>
        <w:snapToGrid w:val="0"/>
        <w:spacing w:line="360" w:lineRule="auto"/>
        <w:ind w:firstLine="420" w:firstLineChars="200"/>
        <w:rPr>
          <w:szCs w:val="21"/>
        </w:rPr>
      </w:pPr>
      <w:r>
        <w:rPr>
          <w:rFonts w:hint="eastAsia"/>
          <w:szCs w:val="21"/>
        </w:rPr>
        <w:t>课程目标达成评价结果将用于后续教学过程的持续改进。</w:t>
      </w:r>
    </w:p>
    <w:p>
      <w:pPr>
        <w:adjustRightInd w:val="0"/>
        <w:snapToGrid w:val="0"/>
        <w:spacing w:line="360" w:lineRule="auto"/>
        <w:ind w:firstLine="420" w:firstLineChars="200"/>
        <w:rPr>
          <w:szCs w:val="21"/>
        </w:rPr>
        <w:sectPr>
          <w:pgSz w:w="11906" w:h="16838"/>
          <w:pgMar w:top="1440" w:right="1800" w:bottom="1440" w:left="1800" w:header="851" w:footer="992" w:gutter="0"/>
          <w:pgNumType w:fmt="decimal"/>
          <w:cols w:space="425" w:num="1"/>
          <w:docGrid w:type="lines" w:linePitch="312" w:charSpace="0"/>
        </w:sectPr>
      </w:pPr>
      <w:r>
        <w:rPr>
          <w:rFonts w:hint="eastAsia"/>
          <w:szCs w:val="21"/>
        </w:rPr>
        <w:t>针对课程目标达成评价中发现的问题与不足，重点是达成值相对较低的项，在本次授课总结中应由授课教师分析具体原因，并给出改进建议。后续任课教师应当针对以前的问题和建议，在授课计划中做好落实改进计划，并在授课过程中予以落实</w:t>
      </w:r>
    </w:p>
    <w:bookmarkEnd w:id="22"/>
    <w:p>
      <w:pPr>
        <w:pStyle w:val="18"/>
        <w:spacing w:before="240" w:after="360"/>
      </w:pPr>
      <w:bookmarkStart w:id="23" w:name="_Toc31289"/>
      <w:r>
        <w:rPr>
          <w:rFonts w:hint="eastAsia"/>
        </w:rPr>
        <w:t>《物联网技术概论》教学大纲</w:t>
      </w:r>
      <w:bookmarkEnd w:id="23"/>
    </w:p>
    <w:p>
      <w:pPr>
        <w:adjustRightInd w:val="0"/>
        <w:snapToGrid w:val="0"/>
        <w:spacing w:line="360" w:lineRule="auto"/>
        <w:rPr>
          <w:bCs/>
          <w:kern w:val="0"/>
        </w:rPr>
      </w:pPr>
      <w:r>
        <w:rPr>
          <w:rFonts w:hint="eastAsia" w:eastAsia="黑体"/>
          <w:szCs w:val="21"/>
        </w:rPr>
        <w:t>课程编号：</w:t>
      </w:r>
      <w:r>
        <w:rPr>
          <w:rFonts w:hint="eastAsia"/>
          <w:szCs w:val="18"/>
        </w:rPr>
        <w:t>Y</w:t>
      </w:r>
      <w:r>
        <w:rPr>
          <w:szCs w:val="18"/>
        </w:rPr>
        <w:t>06060032</w:t>
      </w:r>
    </w:p>
    <w:p>
      <w:pPr>
        <w:adjustRightInd w:val="0"/>
        <w:snapToGrid w:val="0"/>
        <w:spacing w:line="360" w:lineRule="auto"/>
        <w:rPr>
          <w:snapToGrid w:val="0"/>
          <w:kern w:val="0"/>
          <w:szCs w:val="21"/>
        </w:rPr>
      </w:pPr>
      <w:r>
        <w:rPr>
          <w:rFonts w:hint="eastAsia" w:eastAsia="黑体"/>
          <w:szCs w:val="21"/>
        </w:rPr>
        <w:t>课程名称：</w:t>
      </w:r>
      <w:r>
        <w:rPr>
          <w:rFonts w:hint="eastAsia"/>
          <w:szCs w:val="21"/>
        </w:rPr>
        <w:t>物联网技术概论</w:t>
      </w:r>
      <w:r>
        <w:rPr>
          <w:szCs w:val="21"/>
        </w:rPr>
        <w:tab/>
      </w:r>
      <w:r>
        <w:rPr>
          <w:szCs w:val="21"/>
        </w:rPr>
        <w:tab/>
      </w:r>
      <w:r>
        <w:rPr>
          <w:szCs w:val="21"/>
        </w:rPr>
        <w:tab/>
      </w:r>
      <w:r>
        <w:rPr>
          <w:szCs w:val="21"/>
        </w:rPr>
        <w:tab/>
      </w:r>
      <w:r>
        <w:rPr>
          <w:rFonts w:hint="eastAsia" w:eastAsia="黑体"/>
          <w:szCs w:val="21"/>
        </w:rPr>
        <w:t>开课单位：</w:t>
      </w:r>
      <w:r>
        <w:rPr>
          <w:rFonts w:hint="eastAsia"/>
          <w:szCs w:val="21"/>
        </w:rPr>
        <w:t>仪器与电子学院</w:t>
      </w:r>
      <w:r>
        <w:rPr>
          <w:rFonts w:eastAsia="黑体"/>
          <w:szCs w:val="21"/>
        </w:rPr>
        <w:tab/>
      </w:r>
    </w:p>
    <w:p>
      <w:pPr>
        <w:adjustRightInd w:val="0"/>
        <w:snapToGrid w:val="0"/>
        <w:spacing w:line="360" w:lineRule="auto"/>
        <w:rPr>
          <w:rFonts w:eastAsia="黑体"/>
          <w:szCs w:val="21"/>
        </w:rPr>
      </w:pPr>
      <w:r>
        <w:rPr>
          <w:rFonts w:hint="eastAsia" w:eastAsia="黑体"/>
          <w:szCs w:val="21"/>
        </w:rPr>
        <w:t>总学时：</w:t>
      </w:r>
      <w:r>
        <w:rPr>
          <w:rFonts w:hint="eastAsia"/>
          <w:szCs w:val="21"/>
        </w:rPr>
        <w:t xml:space="preserve">16              </w:t>
      </w:r>
      <w:r>
        <w:rPr>
          <w:rFonts w:eastAsia="黑体"/>
          <w:szCs w:val="21"/>
        </w:rPr>
        <w:tab/>
      </w:r>
      <w:r>
        <w:rPr>
          <w:rFonts w:eastAsia="黑体"/>
          <w:szCs w:val="21"/>
        </w:rPr>
        <w:tab/>
      </w:r>
      <w:r>
        <w:rPr>
          <w:rFonts w:eastAsia="黑体"/>
          <w:szCs w:val="21"/>
        </w:rPr>
        <w:tab/>
      </w:r>
      <w:r>
        <w:rPr>
          <w:rFonts w:eastAsia="黑体"/>
          <w:szCs w:val="21"/>
        </w:rPr>
        <w:tab/>
      </w:r>
      <w:r>
        <w:rPr>
          <w:rFonts w:hint="eastAsia" w:eastAsia="黑体"/>
          <w:szCs w:val="21"/>
        </w:rPr>
        <w:t>学分：1</w:t>
      </w:r>
    </w:p>
    <w:p>
      <w:pPr>
        <w:adjustRightInd w:val="0"/>
        <w:snapToGrid w:val="0"/>
        <w:spacing w:line="360" w:lineRule="auto"/>
        <w:rPr>
          <w:rFonts w:eastAsia="黑体"/>
          <w:szCs w:val="21"/>
        </w:rPr>
      </w:pPr>
      <w:r>
        <w:rPr>
          <w:rFonts w:hint="eastAsia" w:eastAsia="黑体"/>
          <w:szCs w:val="21"/>
        </w:rPr>
        <w:t>适用专业：</w:t>
      </w:r>
      <w:r>
        <w:rPr>
          <w:rFonts w:hint="eastAsia"/>
          <w:szCs w:val="21"/>
        </w:rPr>
        <w:t>测控技术与仪器专业、</w:t>
      </w:r>
      <w:r>
        <w:rPr>
          <w:rFonts w:hint="eastAsia"/>
          <w:szCs w:val="21"/>
          <w:lang w:eastAsia="zh-CN"/>
        </w:rPr>
        <w:t>智能感知工程</w:t>
      </w:r>
      <w:r>
        <w:rPr>
          <w:rFonts w:hint="eastAsia"/>
          <w:szCs w:val="21"/>
        </w:rPr>
        <w:t>专业</w:t>
      </w:r>
    </w:p>
    <w:p>
      <w:pPr>
        <w:adjustRightInd w:val="0"/>
        <w:snapToGrid w:val="0"/>
        <w:spacing w:line="360" w:lineRule="auto"/>
        <w:rPr>
          <w:szCs w:val="21"/>
        </w:rPr>
      </w:pPr>
      <w:r>
        <w:rPr>
          <w:rFonts w:hint="eastAsia" w:eastAsia="黑体"/>
          <w:szCs w:val="21"/>
        </w:rPr>
        <w:t>先修课程：</w:t>
      </w:r>
      <w:r>
        <w:rPr>
          <w:rFonts w:hint="eastAsia"/>
          <w:szCs w:val="21"/>
        </w:rPr>
        <w:t>计算机基础、计算机网络、传感器技术、通信系统</w:t>
      </w:r>
    </w:p>
    <w:p>
      <w:pPr>
        <w:adjustRightInd w:val="0"/>
        <w:snapToGrid w:val="0"/>
        <w:spacing w:line="360" w:lineRule="auto"/>
        <w:rPr>
          <w:szCs w:val="21"/>
        </w:rPr>
      </w:pPr>
      <w:r>
        <w:rPr>
          <w:rFonts w:hint="eastAsia" w:eastAsia="黑体"/>
          <w:szCs w:val="21"/>
        </w:rPr>
        <w:t>大纲撰写人：</w:t>
      </w:r>
      <w:r>
        <w:rPr>
          <w:rFonts w:hint="eastAsia"/>
          <w:szCs w:val="21"/>
        </w:rPr>
        <w:t>甄国涌</w:t>
      </w:r>
    </w:p>
    <w:p>
      <w:pPr>
        <w:adjustRightInd w:val="0"/>
        <w:snapToGrid w:val="0"/>
        <w:spacing w:line="360" w:lineRule="auto"/>
        <w:rPr>
          <w:rFonts w:ascii="宋体" w:hAnsi="宋体"/>
          <w:szCs w:val="21"/>
        </w:rPr>
      </w:pPr>
      <w:r>
        <w:rPr>
          <w:rFonts w:hint="eastAsia" w:eastAsia="黑体"/>
          <w:szCs w:val="21"/>
        </w:rPr>
        <w:t>大纲编写（修订）时</w:t>
      </w:r>
      <w:r>
        <w:rPr>
          <w:rFonts w:eastAsia="黑体"/>
          <w:szCs w:val="21"/>
        </w:rPr>
        <w:t>间：</w:t>
      </w:r>
      <w:r>
        <w:rPr>
          <w:szCs w:val="21"/>
        </w:rPr>
        <w:t>2019年5月</w:t>
      </w:r>
    </w:p>
    <w:p>
      <w:pPr>
        <w:adjustRightInd w:val="0"/>
        <w:snapToGrid w:val="0"/>
        <w:spacing w:line="360" w:lineRule="auto"/>
        <w:rPr>
          <w:szCs w:val="21"/>
        </w:rPr>
      </w:pPr>
    </w:p>
    <w:p>
      <w:pPr>
        <w:tabs>
          <w:tab w:val="left" w:pos="420"/>
        </w:tabs>
        <w:adjustRightInd w:val="0"/>
        <w:snapToGrid w:val="0"/>
        <w:spacing w:line="360" w:lineRule="auto"/>
        <w:rPr>
          <w:rFonts w:eastAsia="黑体"/>
          <w:szCs w:val="21"/>
        </w:rPr>
      </w:pPr>
      <w:r>
        <w:rPr>
          <w:rFonts w:hint="eastAsia" w:eastAsia="黑体"/>
          <w:szCs w:val="21"/>
        </w:rPr>
        <w:t>一、课程在教学计划中的地位、作用</w:t>
      </w:r>
    </w:p>
    <w:p>
      <w:pPr>
        <w:adjustRightInd w:val="0"/>
        <w:snapToGrid w:val="0"/>
        <w:spacing w:line="360" w:lineRule="auto"/>
        <w:ind w:firstLine="420" w:firstLineChars="200"/>
        <w:rPr>
          <w:szCs w:val="21"/>
        </w:rPr>
      </w:pPr>
      <w:r>
        <w:rPr>
          <w:rFonts w:hint="eastAsia"/>
          <w:szCs w:val="21"/>
        </w:rPr>
        <w:t>本课程是一门专业</w:t>
      </w:r>
      <w:r>
        <w:rPr>
          <w:szCs w:val="21"/>
        </w:rPr>
        <w:t>选修课程。该课程主要</w:t>
      </w:r>
      <w:r>
        <w:rPr>
          <w:rFonts w:hint="eastAsia"/>
          <w:szCs w:val="21"/>
        </w:rPr>
        <w:t>介绍物物互联过程中涉及的相关技术。通过该课程的学习，能让学生对物物互联架构、信息获取、传输、信息处理有一个系统的认识，为学生设计、优化物联网实现方案打下一定的基础。</w:t>
      </w:r>
    </w:p>
    <w:p>
      <w:pPr>
        <w:spacing w:line="360" w:lineRule="auto"/>
        <w:ind w:firstLine="420" w:firstLineChars="200"/>
        <w:rPr>
          <w:szCs w:val="21"/>
        </w:rPr>
      </w:pPr>
    </w:p>
    <w:p>
      <w:pPr>
        <w:tabs>
          <w:tab w:val="left" w:pos="420"/>
        </w:tabs>
        <w:adjustRightInd w:val="0"/>
        <w:snapToGrid w:val="0"/>
        <w:spacing w:line="360" w:lineRule="auto"/>
        <w:ind w:left="420" w:hanging="420"/>
        <w:rPr>
          <w:rFonts w:eastAsia="黑体"/>
          <w:szCs w:val="21"/>
        </w:rPr>
      </w:pPr>
      <w:r>
        <w:rPr>
          <w:rFonts w:hint="eastAsia" w:eastAsia="黑体"/>
          <w:szCs w:val="21"/>
        </w:rPr>
        <w:t>二、课程目标</w:t>
      </w:r>
    </w:p>
    <w:p>
      <w:pPr>
        <w:spacing w:line="360" w:lineRule="auto"/>
        <w:rPr>
          <w:szCs w:val="21"/>
        </w:rPr>
      </w:pPr>
      <w:r>
        <w:rPr>
          <w:rFonts w:hint="eastAsia"/>
          <w:szCs w:val="21"/>
        </w:rPr>
        <w:t>测控技术与仪器专业：</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2661"/>
        <w:gridCol w:w="511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42" w:type="pct"/>
            <w:vAlign w:val="center"/>
          </w:tcPr>
          <w:p>
            <w:pPr>
              <w:spacing w:before="120" w:beforeLines="50" w:line="360" w:lineRule="auto"/>
              <w:jc w:val="center"/>
              <w:rPr>
                <w:sz w:val="18"/>
                <w:szCs w:val="18"/>
              </w:rPr>
            </w:pPr>
            <w:r>
              <w:rPr>
                <w:sz w:val="18"/>
                <w:szCs w:val="18"/>
              </w:rPr>
              <w:t>序号</w:t>
            </w:r>
          </w:p>
        </w:tc>
        <w:tc>
          <w:tcPr>
            <w:tcW w:w="1560" w:type="pct"/>
            <w:vAlign w:val="center"/>
          </w:tcPr>
          <w:p>
            <w:pPr>
              <w:spacing w:before="120" w:beforeLines="50" w:line="360" w:lineRule="auto"/>
              <w:jc w:val="center"/>
              <w:rPr>
                <w:sz w:val="18"/>
                <w:szCs w:val="18"/>
              </w:rPr>
            </w:pPr>
            <w:r>
              <w:rPr>
                <w:sz w:val="18"/>
                <w:szCs w:val="18"/>
              </w:rPr>
              <w:t>课程目标</w:t>
            </w:r>
          </w:p>
        </w:tc>
        <w:tc>
          <w:tcPr>
            <w:tcW w:w="2998" w:type="pct"/>
            <w:vAlign w:val="center"/>
          </w:tcPr>
          <w:p>
            <w:pPr>
              <w:spacing w:before="120" w:beforeLines="50" w:line="360" w:lineRule="auto"/>
              <w:jc w:val="center"/>
              <w:rPr>
                <w:sz w:val="18"/>
                <w:szCs w:val="18"/>
              </w:rPr>
            </w:pPr>
            <w:r>
              <w:rPr>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42" w:type="pct"/>
            <w:vAlign w:val="center"/>
          </w:tcPr>
          <w:p>
            <w:pPr>
              <w:spacing w:line="360" w:lineRule="auto"/>
              <w:jc w:val="center"/>
              <w:rPr>
                <w:sz w:val="18"/>
                <w:szCs w:val="18"/>
              </w:rPr>
            </w:pPr>
            <w:r>
              <w:rPr>
                <w:sz w:val="18"/>
                <w:szCs w:val="18"/>
              </w:rPr>
              <w:t>1</w:t>
            </w:r>
          </w:p>
        </w:tc>
        <w:tc>
          <w:tcPr>
            <w:tcW w:w="1560" w:type="pct"/>
          </w:tcPr>
          <w:p>
            <w:pPr>
              <w:spacing w:line="360" w:lineRule="auto"/>
              <w:rPr>
                <w:sz w:val="18"/>
                <w:szCs w:val="18"/>
              </w:rPr>
            </w:pPr>
            <w:r>
              <w:rPr>
                <w:sz w:val="18"/>
                <w:szCs w:val="18"/>
              </w:rPr>
              <w:t>能够分析物联网的架构及其信息感知、传输及处理过程。</w:t>
            </w:r>
          </w:p>
        </w:tc>
        <w:tc>
          <w:tcPr>
            <w:tcW w:w="2998" w:type="pct"/>
          </w:tcPr>
          <w:p>
            <w:pPr>
              <w:spacing w:line="360" w:lineRule="auto"/>
              <w:rPr>
                <w:sz w:val="18"/>
                <w:szCs w:val="18"/>
              </w:rPr>
            </w:pPr>
            <w:r>
              <w:rPr>
                <w:b/>
                <w:sz w:val="18"/>
                <w:szCs w:val="18"/>
              </w:rPr>
              <w:t>指标点1-1 知识体系：</w:t>
            </w:r>
            <w:r>
              <w:rPr>
                <w:sz w:val="18"/>
                <w:szCs w:val="18"/>
              </w:rPr>
              <w:t>具备本专业相关的数学、自然科学、光学和电子学工程基础及传感、测试、仪器等多方面的知识。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42" w:type="pct"/>
            <w:vAlign w:val="center"/>
          </w:tcPr>
          <w:p>
            <w:pPr>
              <w:spacing w:line="360" w:lineRule="auto"/>
              <w:jc w:val="center"/>
              <w:rPr>
                <w:sz w:val="18"/>
                <w:szCs w:val="18"/>
              </w:rPr>
            </w:pPr>
            <w:r>
              <w:rPr>
                <w:sz w:val="18"/>
                <w:szCs w:val="18"/>
              </w:rPr>
              <w:t>2</w:t>
            </w:r>
          </w:p>
        </w:tc>
        <w:tc>
          <w:tcPr>
            <w:tcW w:w="1560" w:type="pct"/>
          </w:tcPr>
          <w:p>
            <w:pPr>
              <w:spacing w:line="360" w:lineRule="auto"/>
              <w:rPr>
                <w:sz w:val="18"/>
                <w:szCs w:val="18"/>
              </w:rPr>
            </w:pPr>
            <w:r>
              <w:rPr>
                <w:sz w:val="18"/>
                <w:szCs w:val="18"/>
              </w:rPr>
              <w:t>能够针对工程问题特定需求，结合物联网的典型案例，提出构建物联网的方案并进行优化分析。</w:t>
            </w:r>
          </w:p>
        </w:tc>
        <w:tc>
          <w:tcPr>
            <w:tcW w:w="2998" w:type="pct"/>
          </w:tcPr>
          <w:p>
            <w:pPr>
              <w:spacing w:line="360" w:lineRule="auto"/>
              <w:rPr>
                <w:sz w:val="18"/>
                <w:szCs w:val="18"/>
              </w:rPr>
            </w:pPr>
            <w:r>
              <w:rPr>
                <w:b/>
                <w:sz w:val="18"/>
                <w:szCs w:val="18"/>
              </w:rPr>
              <w:t>指标点4-1 领域现状认知能力：</w:t>
            </w:r>
            <w:r>
              <w:rPr>
                <w:sz w:val="18"/>
                <w:szCs w:val="18"/>
              </w:rPr>
              <w:t>了解测控技术与仪器专业领域背景及经典案例，能够针对复杂工程问题提出研究思路和分析方法，并有意识地将实验结果用于指导解决方案的改善和优化。</w:t>
            </w:r>
          </w:p>
        </w:tc>
      </w:tr>
    </w:tbl>
    <w:p>
      <w:pPr>
        <w:spacing w:line="360" w:lineRule="auto"/>
        <w:rPr>
          <w:szCs w:val="21"/>
        </w:rPr>
      </w:pPr>
    </w:p>
    <w:p>
      <w:pPr>
        <w:spacing w:line="360" w:lineRule="auto"/>
        <w:rPr>
          <w:szCs w:val="21"/>
        </w:rPr>
      </w:pPr>
      <w:r>
        <w:rPr>
          <w:rFonts w:hint="eastAsia"/>
          <w:szCs w:val="21"/>
          <w:lang w:eastAsia="zh-CN"/>
        </w:rPr>
        <w:t>智能感知工程</w:t>
      </w:r>
      <w:r>
        <w:rPr>
          <w:szCs w:val="21"/>
        </w:rPr>
        <w:t>专业</w:t>
      </w:r>
      <w:r>
        <w:rPr>
          <w:rFonts w:hint="eastAsia"/>
          <w:szCs w:val="21"/>
        </w:rPr>
        <w:t>：</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2772"/>
        <w:gridCol w:w="503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4" w:type="pct"/>
            <w:vAlign w:val="center"/>
          </w:tcPr>
          <w:p>
            <w:pPr>
              <w:spacing w:before="120" w:beforeLines="50" w:line="360" w:lineRule="auto"/>
              <w:jc w:val="center"/>
              <w:rPr>
                <w:sz w:val="18"/>
                <w:szCs w:val="18"/>
              </w:rPr>
            </w:pPr>
            <w:r>
              <w:rPr>
                <w:sz w:val="18"/>
                <w:szCs w:val="18"/>
              </w:rPr>
              <w:t>序号</w:t>
            </w:r>
          </w:p>
        </w:tc>
        <w:tc>
          <w:tcPr>
            <w:tcW w:w="1625" w:type="pct"/>
            <w:vAlign w:val="center"/>
          </w:tcPr>
          <w:p>
            <w:pPr>
              <w:spacing w:before="120" w:beforeLines="50" w:line="360" w:lineRule="auto"/>
              <w:jc w:val="center"/>
              <w:rPr>
                <w:sz w:val="18"/>
                <w:szCs w:val="18"/>
              </w:rPr>
            </w:pPr>
            <w:r>
              <w:rPr>
                <w:sz w:val="18"/>
                <w:szCs w:val="18"/>
              </w:rPr>
              <w:t>课程目标</w:t>
            </w:r>
          </w:p>
        </w:tc>
        <w:tc>
          <w:tcPr>
            <w:tcW w:w="2951" w:type="pct"/>
            <w:vAlign w:val="center"/>
          </w:tcPr>
          <w:p>
            <w:pPr>
              <w:spacing w:before="120" w:beforeLines="50" w:line="360" w:lineRule="auto"/>
              <w:jc w:val="center"/>
              <w:rPr>
                <w:sz w:val="18"/>
                <w:szCs w:val="18"/>
              </w:rPr>
            </w:pPr>
            <w:r>
              <w:rPr>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4" w:type="pct"/>
            <w:vAlign w:val="center"/>
          </w:tcPr>
          <w:p>
            <w:pPr>
              <w:spacing w:line="360" w:lineRule="auto"/>
              <w:jc w:val="center"/>
              <w:rPr>
                <w:sz w:val="18"/>
                <w:szCs w:val="18"/>
              </w:rPr>
            </w:pPr>
            <w:r>
              <w:rPr>
                <w:sz w:val="18"/>
                <w:szCs w:val="18"/>
              </w:rPr>
              <w:t>1</w:t>
            </w:r>
          </w:p>
        </w:tc>
        <w:tc>
          <w:tcPr>
            <w:tcW w:w="1625" w:type="pct"/>
          </w:tcPr>
          <w:p>
            <w:pPr>
              <w:spacing w:line="360" w:lineRule="auto"/>
              <w:rPr>
                <w:sz w:val="18"/>
                <w:szCs w:val="18"/>
              </w:rPr>
            </w:pPr>
            <w:r>
              <w:rPr>
                <w:sz w:val="18"/>
                <w:szCs w:val="18"/>
              </w:rPr>
              <w:t>能够分析物联网的架构及其信息感知、传输及处理过程。</w:t>
            </w:r>
          </w:p>
        </w:tc>
        <w:tc>
          <w:tcPr>
            <w:tcW w:w="2951" w:type="pct"/>
          </w:tcPr>
          <w:p>
            <w:pPr>
              <w:spacing w:line="360" w:lineRule="auto"/>
              <w:rPr>
                <w:sz w:val="18"/>
                <w:szCs w:val="18"/>
              </w:rPr>
            </w:pPr>
            <w:r>
              <w:rPr>
                <w:b/>
                <w:sz w:val="18"/>
                <w:szCs w:val="18"/>
              </w:rPr>
              <w:t>指标点1-1 知识体系：</w:t>
            </w:r>
            <w:r>
              <w:rPr>
                <w:bCs/>
                <w:sz w:val="18"/>
                <w:szCs w:val="18"/>
              </w:rPr>
              <w:t>具备本专业相关的数学、自然科学、计算机和电子学工程基础及传感、控制等多方面的知识。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4" w:type="pct"/>
            <w:vAlign w:val="center"/>
          </w:tcPr>
          <w:p>
            <w:pPr>
              <w:spacing w:line="360" w:lineRule="auto"/>
              <w:jc w:val="center"/>
              <w:rPr>
                <w:sz w:val="18"/>
                <w:szCs w:val="18"/>
              </w:rPr>
            </w:pPr>
            <w:r>
              <w:rPr>
                <w:sz w:val="18"/>
                <w:szCs w:val="18"/>
              </w:rPr>
              <w:t>2</w:t>
            </w:r>
          </w:p>
        </w:tc>
        <w:tc>
          <w:tcPr>
            <w:tcW w:w="1625" w:type="pct"/>
          </w:tcPr>
          <w:p>
            <w:pPr>
              <w:spacing w:line="360" w:lineRule="auto"/>
              <w:rPr>
                <w:sz w:val="18"/>
                <w:szCs w:val="18"/>
              </w:rPr>
            </w:pPr>
            <w:r>
              <w:rPr>
                <w:sz w:val="18"/>
                <w:szCs w:val="18"/>
              </w:rPr>
              <w:t>能够针对工程问题特定需求，结合物联网的典型案例，提出构建物联网的方案并进行优化分析。</w:t>
            </w:r>
          </w:p>
        </w:tc>
        <w:tc>
          <w:tcPr>
            <w:tcW w:w="2951" w:type="pct"/>
          </w:tcPr>
          <w:p>
            <w:pPr>
              <w:spacing w:line="360" w:lineRule="auto"/>
              <w:rPr>
                <w:b/>
                <w:sz w:val="18"/>
                <w:szCs w:val="18"/>
              </w:rPr>
            </w:pPr>
            <w:r>
              <w:rPr>
                <w:b/>
                <w:sz w:val="18"/>
                <w:szCs w:val="18"/>
              </w:rPr>
              <w:t>指标点4-1 领域现状认知能力：</w:t>
            </w:r>
            <w:r>
              <w:rPr>
                <w:bCs/>
                <w:sz w:val="18"/>
                <w:szCs w:val="18"/>
              </w:rPr>
              <w:t>了解智能感知工程专业领域背景及经典案例，能够针对复杂工程问题提出研究思路和分析方法，并有意识地将实验结果用于指导解决方案的改善和优化。</w:t>
            </w:r>
          </w:p>
        </w:tc>
      </w:tr>
    </w:tbl>
    <w:p>
      <w:pPr>
        <w:tabs>
          <w:tab w:val="left" w:pos="420"/>
        </w:tabs>
        <w:adjustRightInd w:val="0"/>
        <w:snapToGrid w:val="0"/>
        <w:spacing w:line="360" w:lineRule="auto"/>
        <w:ind w:left="420" w:hanging="420"/>
        <w:rPr>
          <w:rFonts w:eastAsia="黑体"/>
          <w:szCs w:val="21"/>
        </w:rPr>
      </w:pPr>
    </w:p>
    <w:p>
      <w:pPr>
        <w:tabs>
          <w:tab w:val="left" w:pos="420"/>
        </w:tabs>
        <w:adjustRightInd w:val="0"/>
        <w:snapToGrid w:val="0"/>
        <w:spacing w:line="360" w:lineRule="auto"/>
        <w:ind w:left="420" w:hanging="420"/>
        <w:rPr>
          <w:rFonts w:eastAsia="黑体"/>
          <w:szCs w:val="21"/>
        </w:rPr>
      </w:pPr>
      <w:r>
        <w:rPr>
          <w:rFonts w:hint="eastAsia" w:eastAsia="黑体"/>
          <w:szCs w:val="21"/>
        </w:rPr>
        <w:t>三、基本要求</w:t>
      </w:r>
    </w:p>
    <w:p>
      <w:pPr>
        <w:adjustRightInd w:val="0"/>
        <w:snapToGrid w:val="0"/>
        <w:spacing w:line="360" w:lineRule="auto"/>
        <w:ind w:firstLine="420" w:firstLineChars="200"/>
        <w:rPr>
          <w:szCs w:val="21"/>
        </w:rPr>
      </w:pPr>
      <w:r>
        <w:rPr>
          <w:szCs w:val="21"/>
        </w:rPr>
        <w:t>1、本课程</w:t>
      </w:r>
      <w:r>
        <w:rPr>
          <w:rFonts w:hint="eastAsia"/>
          <w:szCs w:val="21"/>
        </w:rPr>
        <w:t>课时较短，需要学生通过视频及预习在课前做好准备</w:t>
      </w:r>
      <w:r>
        <w:rPr>
          <w:szCs w:val="21"/>
        </w:rPr>
        <w:t>。</w:t>
      </w:r>
    </w:p>
    <w:p>
      <w:pPr>
        <w:spacing w:line="360" w:lineRule="auto"/>
        <w:ind w:firstLine="420" w:firstLineChars="200"/>
        <w:rPr>
          <w:szCs w:val="21"/>
        </w:rPr>
      </w:pPr>
      <w:r>
        <w:rPr>
          <w:rFonts w:hint="eastAsia"/>
          <w:szCs w:val="21"/>
        </w:rPr>
        <w:t>2、深度和广度说明：</w:t>
      </w:r>
      <w:r>
        <w:rPr>
          <w:szCs w:val="21"/>
        </w:rPr>
        <w:t>对</w:t>
      </w:r>
      <w:r>
        <w:rPr>
          <w:rFonts w:hint="eastAsia"/>
          <w:szCs w:val="21"/>
        </w:rPr>
        <w:t>物联网中信息感知等内容结合传感器技术应用组织教学；对于物联网中识别、编码、定位等结合典型应用进行教学；信息传输要结合物联网的特点展开分析讨论；对于典型系统要进行细致分析，使学生对于物联网关键技术有深入的认识</w:t>
      </w:r>
      <w:r>
        <w:rPr>
          <w:szCs w:val="21"/>
        </w:rPr>
        <w:t>。</w:t>
      </w:r>
    </w:p>
    <w:p>
      <w:pPr>
        <w:spacing w:line="360" w:lineRule="auto"/>
        <w:ind w:firstLine="420" w:firstLineChars="200"/>
        <w:rPr>
          <w:szCs w:val="21"/>
        </w:rPr>
      </w:pPr>
      <w:r>
        <w:rPr>
          <w:szCs w:val="21"/>
        </w:rPr>
        <w:t>3、偏差说明：为了鼓励教师引入个人授课风格或者适应技术发展的紧迫性，本课程允许教师授课内容做适当调整，最大正偏差为</w:t>
      </w:r>
      <w:r>
        <w:rPr>
          <w:rFonts w:hint="eastAsia"/>
          <w:szCs w:val="21"/>
        </w:rPr>
        <w:t>10%，不允许负偏差。正偏差通过压缩同等内容的学时数来完成。特殊情况，最大正偏差和置换偏差累计可达到20%，但在开课前要申请专业责任人批准。（正偏差指大纲知识点不变，新增知识点；负偏差是大纲知识点减少；置换偏差是指大纲中部分知识点被其它类似知识点替换）。</w:t>
      </w:r>
    </w:p>
    <w:p>
      <w:pPr>
        <w:spacing w:line="360" w:lineRule="auto"/>
        <w:ind w:firstLine="420" w:firstLineChars="200"/>
        <w:rPr>
          <w:szCs w:val="21"/>
        </w:rPr>
      </w:pPr>
    </w:p>
    <w:p>
      <w:pPr>
        <w:tabs>
          <w:tab w:val="left" w:pos="420"/>
        </w:tabs>
        <w:spacing w:line="360" w:lineRule="auto"/>
        <w:ind w:left="420" w:hanging="420"/>
        <w:rPr>
          <w:rFonts w:eastAsia="黑体"/>
          <w:szCs w:val="21"/>
        </w:rPr>
      </w:pPr>
      <w:r>
        <w:rPr>
          <w:rFonts w:hint="eastAsia" w:eastAsia="黑体"/>
          <w:szCs w:val="21"/>
        </w:rPr>
        <w:t>四、教学内容和教学方法</w:t>
      </w:r>
    </w:p>
    <w:p>
      <w:pPr>
        <w:adjustRightInd w:val="0"/>
        <w:snapToGrid w:val="0"/>
        <w:spacing w:line="360" w:lineRule="auto"/>
        <w:ind w:firstLine="420" w:firstLineChars="200"/>
        <w:rPr>
          <w:szCs w:val="21"/>
        </w:rPr>
      </w:pPr>
      <w:r>
        <w:rPr>
          <w:szCs w:val="21"/>
        </w:rPr>
        <w:t>本课程重点讲授的内容包括：</w:t>
      </w:r>
      <w:r>
        <w:rPr>
          <w:rFonts w:hint="eastAsia"/>
          <w:szCs w:val="21"/>
        </w:rPr>
        <w:t>物联网的相关概念、架构、网络标识、通信、定位、数据处理、安全及隐私及相关行业标准</w:t>
      </w:r>
      <w:r>
        <w:rPr>
          <w:szCs w:val="21"/>
        </w:rPr>
        <w:t>。</w:t>
      </w:r>
    </w:p>
    <w:p>
      <w:pPr>
        <w:widowControl/>
        <w:adjustRightInd w:val="0"/>
        <w:snapToGrid w:val="0"/>
        <w:spacing w:line="360" w:lineRule="auto"/>
        <w:ind w:firstLine="420" w:firstLineChars="200"/>
        <w:rPr>
          <w:rFonts w:eastAsia="黑体"/>
          <w:kern w:val="0"/>
          <w:szCs w:val="21"/>
        </w:rPr>
      </w:pPr>
      <w:r>
        <w:rPr>
          <w:rFonts w:eastAsia="黑体"/>
          <w:snapToGrid w:val="0"/>
          <w:kern w:val="0"/>
          <w:szCs w:val="21"/>
        </w:rPr>
        <w:t xml:space="preserve">1  </w:t>
      </w:r>
      <w:r>
        <w:rPr>
          <w:rFonts w:hint="eastAsia" w:eastAsia="黑体"/>
          <w:snapToGrid w:val="0"/>
          <w:kern w:val="0"/>
          <w:szCs w:val="21"/>
        </w:rPr>
        <w:t>物联网概述</w:t>
      </w:r>
      <w:r>
        <w:rPr>
          <w:rFonts w:eastAsia="黑体"/>
          <w:snapToGrid w:val="0"/>
          <w:kern w:val="0"/>
          <w:szCs w:val="21"/>
        </w:rPr>
        <w:t>（</w:t>
      </w:r>
      <w:r>
        <w:rPr>
          <w:rFonts w:hint="eastAsia" w:eastAsia="黑体"/>
          <w:snapToGrid w:val="0"/>
          <w:kern w:val="0"/>
          <w:szCs w:val="21"/>
        </w:rPr>
        <w:t>1</w:t>
      </w:r>
      <w:r>
        <w:rPr>
          <w:rFonts w:eastAsia="黑体"/>
          <w:snapToGrid w:val="0"/>
          <w:kern w:val="0"/>
          <w:szCs w:val="21"/>
        </w:rPr>
        <w:t>学时）</w:t>
      </w:r>
    </w:p>
    <w:p>
      <w:pPr>
        <w:widowControl/>
        <w:adjustRightInd w:val="0"/>
        <w:snapToGrid w:val="0"/>
        <w:spacing w:line="360" w:lineRule="auto"/>
        <w:ind w:firstLine="420" w:firstLineChars="200"/>
        <w:rPr>
          <w:snapToGrid w:val="0"/>
          <w:kern w:val="0"/>
          <w:szCs w:val="21"/>
        </w:rPr>
      </w:pPr>
      <w:r>
        <w:rPr>
          <w:snapToGrid w:val="0"/>
          <w:kern w:val="0"/>
          <w:szCs w:val="21"/>
        </w:rPr>
        <w:t>1.1、</w:t>
      </w:r>
      <w:r>
        <w:rPr>
          <w:rFonts w:hint="eastAsia"/>
          <w:snapToGrid w:val="0"/>
          <w:kern w:val="0"/>
          <w:szCs w:val="21"/>
        </w:rPr>
        <w:t>了解物联网的起源及发展</w:t>
      </w:r>
      <w:r>
        <w:rPr>
          <w:snapToGrid w:val="0"/>
          <w:kern w:val="0"/>
          <w:szCs w:val="21"/>
        </w:rPr>
        <w:t>；</w:t>
      </w:r>
    </w:p>
    <w:p>
      <w:pPr>
        <w:widowControl/>
        <w:adjustRightInd w:val="0"/>
        <w:snapToGrid w:val="0"/>
        <w:spacing w:line="360" w:lineRule="auto"/>
        <w:ind w:firstLine="420" w:firstLineChars="200"/>
        <w:rPr>
          <w:snapToGrid w:val="0"/>
          <w:kern w:val="0"/>
          <w:szCs w:val="21"/>
        </w:rPr>
      </w:pPr>
      <w:r>
        <w:rPr>
          <w:snapToGrid w:val="0"/>
          <w:kern w:val="0"/>
          <w:szCs w:val="21"/>
        </w:rPr>
        <w:t>1.2、</w:t>
      </w:r>
      <w:r>
        <w:rPr>
          <w:rFonts w:hint="eastAsia"/>
          <w:snapToGrid w:val="0"/>
          <w:kern w:val="0"/>
          <w:szCs w:val="21"/>
        </w:rPr>
        <w:t>了解物联网的相关概念；</w:t>
      </w:r>
    </w:p>
    <w:p>
      <w:pPr>
        <w:widowControl/>
        <w:adjustRightInd w:val="0"/>
        <w:snapToGrid w:val="0"/>
        <w:spacing w:line="360" w:lineRule="auto"/>
        <w:ind w:firstLine="420" w:firstLineChars="200"/>
        <w:rPr>
          <w:snapToGrid w:val="0"/>
          <w:kern w:val="0"/>
          <w:szCs w:val="21"/>
        </w:rPr>
      </w:pPr>
      <w:r>
        <w:rPr>
          <w:snapToGrid w:val="0"/>
          <w:kern w:val="0"/>
          <w:szCs w:val="21"/>
        </w:rPr>
        <w:t>1.3、</w:t>
      </w:r>
      <w:r>
        <w:rPr>
          <w:rFonts w:hint="eastAsia"/>
          <w:snapToGrid w:val="0"/>
          <w:kern w:val="0"/>
          <w:szCs w:val="21"/>
        </w:rPr>
        <w:t>掌握物联网的技术体系。</w:t>
      </w:r>
    </w:p>
    <w:p>
      <w:pPr>
        <w:widowControl/>
        <w:adjustRightInd w:val="0"/>
        <w:snapToGrid w:val="0"/>
        <w:spacing w:line="360" w:lineRule="auto"/>
        <w:ind w:firstLine="420" w:firstLineChars="200"/>
        <w:rPr>
          <w:snapToGrid w:val="0"/>
          <w:kern w:val="0"/>
          <w:szCs w:val="21"/>
        </w:rPr>
      </w:pPr>
      <w:r>
        <w:rPr>
          <w:snapToGrid w:val="0"/>
          <w:kern w:val="0"/>
          <w:szCs w:val="21"/>
        </w:rPr>
        <w:t>重点：</w:t>
      </w:r>
      <w:r>
        <w:rPr>
          <w:rFonts w:hint="eastAsia"/>
          <w:snapToGrid w:val="0"/>
          <w:kern w:val="0"/>
          <w:szCs w:val="21"/>
        </w:rPr>
        <w:t>物联网技术体系架构</w:t>
      </w:r>
      <w:r>
        <w:rPr>
          <w:snapToGrid w:val="0"/>
          <w:kern w:val="0"/>
          <w:szCs w:val="21"/>
        </w:rPr>
        <w:t>。</w:t>
      </w:r>
    </w:p>
    <w:p>
      <w:pPr>
        <w:adjustRightInd w:val="0"/>
        <w:snapToGrid w:val="0"/>
        <w:spacing w:line="360" w:lineRule="auto"/>
        <w:ind w:firstLine="454"/>
        <w:rPr>
          <w:szCs w:val="21"/>
        </w:rPr>
      </w:pPr>
      <w:r>
        <w:rPr>
          <w:rFonts w:hint="eastAsia"/>
          <w:szCs w:val="21"/>
        </w:rPr>
        <w:t>本章内容支撑课程目标1</w:t>
      </w:r>
    </w:p>
    <w:p>
      <w:pPr>
        <w:widowControl/>
        <w:adjustRightInd w:val="0"/>
        <w:snapToGrid w:val="0"/>
        <w:spacing w:line="360" w:lineRule="auto"/>
        <w:ind w:firstLine="420" w:firstLineChars="200"/>
        <w:rPr>
          <w:rFonts w:eastAsia="黑体"/>
          <w:kern w:val="0"/>
          <w:szCs w:val="21"/>
        </w:rPr>
      </w:pPr>
      <w:r>
        <w:rPr>
          <w:rFonts w:eastAsia="黑体"/>
          <w:snapToGrid w:val="0"/>
          <w:kern w:val="0"/>
          <w:szCs w:val="21"/>
        </w:rPr>
        <w:t xml:space="preserve">2  </w:t>
      </w:r>
      <w:r>
        <w:rPr>
          <w:rFonts w:hint="eastAsia" w:eastAsia="黑体"/>
          <w:snapToGrid w:val="0"/>
          <w:kern w:val="0"/>
          <w:szCs w:val="21"/>
        </w:rPr>
        <w:t>物联网架构技术</w:t>
      </w:r>
      <w:r>
        <w:rPr>
          <w:rFonts w:eastAsia="黑体"/>
          <w:snapToGrid w:val="0"/>
          <w:kern w:val="0"/>
          <w:szCs w:val="21"/>
        </w:rPr>
        <w:t>（3学时）</w:t>
      </w:r>
    </w:p>
    <w:p>
      <w:pPr>
        <w:widowControl/>
        <w:adjustRightInd w:val="0"/>
        <w:snapToGrid w:val="0"/>
        <w:spacing w:line="360" w:lineRule="auto"/>
        <w:ind w:firstLine="420" w:firstLineChars="200"/>
        <w:rPr>
          <w:snapToGrid w:val="0"/>
          <w:kern w:val="0"/>
          <w:szCs w:val="21"/>
        </w:rPr>
      </w:pPr>
      <w:r>
        <w:rPr>
          <w:snapToGrid w:val="0"/>
          <w:kern w:val="0"/>
          <w:szCs w:val="21"/>
        </w:rPr>
        <w:t>2.1、</w:t>
      </w:r>
      <w:r>
        <w:rPr>
          <w:rFonts w:hint="eastAsia"/>
          <w:snapToGrid w:val="0"/>
          <w:kern w:val="0"/>
          <w:szCs w:val="21"/>
        </w:rPr>
        <w:t>掌握物联网结构</w:t>
      </w:r>
      <w:r>
        <w:rPr>
          <w:snapToGrid w:val="0"/>
          <w:kern w:val="0"/>
          <w:szCs w:val="21"/>
        </w:rPr>
        <w:t>；</w:t>
      </w:r>
    </w:p>
    <w:p>
      <w:pPr>
        <w:widowControl/>
        <w:adjustRightInd w:val="0"/>
        <w:snapToGrid w:val="0"/>
        <w:spacing w:line="360" w:lineRule="auto"/>
        <w:ind w:firstLine="420" w:firstLineChars="200"/>
        <w:rPr>
          <w:snapToGrid w:val="0"/>
          <w:kern w:val="0"/>
          <w:szCs w:val="21"/>
        </w:rPr>
      </w:pPr>
      <w:r>
        <w:rPr>
          <w:snapToGrid w:val="0"/>
          <w:kern w:val="0"/>
          <w:szCs w:val="21"/>
        </w:rPr>
        <w:t>2.2、</w:t>
      </w:r>
      <w:r>
        <w:rPr>
          <w:rFonts w:hint="eastAsia"/>
          <w:snapToGrid w:val="0"/>
          <w:kern w:val="0"/>
          <w:szCs w:val="21"/>
        </w:rPr>
        <w:t>了解未来的物联网架构技术</w:t>
      </w:r>
      <w:r>
        <w:rPr>
          <w:snapToGrid w:val="0"/>
          <w:kern w:val="0"/>
          <w:szCs w:val="21"/>
        </w:rPr>
        <w:t>；</w:t>
      </w:r>
    </w:p>
    <w:p>
      <w:pPr>
        <w:widowControl/>
        <w:adjustRightInd w:val="0"/>
        <w:snapToGrid w:val="0"/>
        <w:spacing w:line="360" w:lineRule="auto"/>
        <w:ind w:firstLine="420" w:firstLineChars="200"/>
        <w:rPr>
          <w:snapToGrid w:val="0"/>
          <w:kern w:val="0"/>
          <w:szCs w:val="21"/>
        </w:rPr>
      </w:pPr>
      <w:r>
        <w:rPr>
          <w:snapToGrid w:val="0"/>
          <w:kern w:val="0"/>
          <w:szCs w:val="21"/>
        </w:rPr>
        <w:t>2.3、</w:t>
      </w:r>
      <w:r>
        <w:rPr>
          <w:rFonts w:hint="eastAsia"/>
          <w:snapToGrid w:val="0"/>
          <w:kern w:val="0"/>
          <w:szCs w:val="21"/>
        </w:rPr>
        <w:t>通过典型案例学习，掌握构建物联网的方案及评价。</w:t>
      </w:r>
    </w:p>
    <w:p>
      <w:pPr>
        <w:widowControl/>
        <w:adjustRightInd w:val="0"/>
        <w:snapToGrid w:val="0"/>
        <w:spacing w:line="360" w:lineRule="auto"/>
        <w:ind w:firstLine="420" w:firstLineChars="200"/>
        <w:rPr>
          <w:snapToGrid w:val="0"/>
          <w:kern w:val="0"/>
          <w:szCs w:val="21"/>
        </w:rPr>
      </w:pPr>
      <w:r>
        <w:rPr>
          <w:snapToGrid w:val="0"/>
          <w:kern w:val="0"/>
          <w:szCs w:val="21"/>
        </w:rPr>
        <w:t>重点：</w:t>
      </w:r>
      <w:r>
        <w:rPr>
          <w:rFonts w:hint="eastAsia"/>
          <w:snapToGrid w:val="0"/>
          <w:kern w:val="0"/>
          <w:szCs w:val="21"/>
        </w:rPr>
        <w:t>物联网分层结构</w:t>
      </w:r>
      <w:r>
        <w:rPr>
          <w:snapToGrid w:val="0"/>
          <w:kern w:val="0"/>
          <w:szCs w:val="21"/>
        </w:rPr>
        <w:t>。</w:t>
      </w:r>
    </w:p>
    <w:p>
      <w:pPr>
        <w:adjustRightInd w:val="0"/>
        <w:snapToGrid w:val="0"/>
        <w:spacing w:line="360" w:lineRule="auto"/>
        <w:ind w:firstLine="454"/>
        <w:rPr>
          <w:szCs w:val="21"/>
        </w:rPr>
      </w:pPr>
      <w:r>
        <w:rPr>
          <w:rFonts w:hint="eastAsia"/>
          <w:szCs w:val="21"/>
        </w:rPr>
        <w:t>本章内容支撑课程目标1、2</w:t>
      </w:r>
    </w:p>
    <w:p>
      <w:pPr>
        <w:widowControl/>
        <w:adjustRightInd w:val="0"/>
        <w:snapToGrid w:val="0"/>
        <w:spacing w:line="360" w:lineRule="auto"/>
        <w:ind w:firstLine="420" w:firstLineChars="200"/>
        <w:rPr>
          <w:rFonts w:eastAsia="黑体"/>
          <w:bCs/>
          <w:snapToGrid w:val="0"/>
          <w:kern w:val="0"/>
          <w:szCs w:val="21"/>
        </w:rPr>
      </w:pPr>
      <w:r>
        <w:rPr>
          <w:rFonts w:eastAsia="黑体"/>
          <w:bCs/>
          <w:snapToGrid w:val="0"/>
          <w:kern w:val="0"/>
          <w:szCs w:val="21"/>
        </w:rPr>
        <w:t xml:space="preserve">3  </w:t>
      </w:r>
      <w:r>
        <w:rPr>
          <w:rFonts w:hint="eastAsia" w:eastAsia="黑体"/>
          <w:bCs/>
          <w:snapToGrid w:val="0"/>
          <w:kern w:val="0"/>
          <w:szCs w:val="21"/>
        </w:rPr>
        <w:t>标识技术</w:t>
      </w:r>
      <w:r>
        <w:rPr>
          <w:rFonts w:eastAsia="黑体"/>
          <w:snapToGrid w:val="0"/>
          <w:kern w:val="0"/>
          <w:szCs w:val="21"/>
        </w:rPr>
        <w:t>（1学时）</w:t>
      </w:r>
    </w:p>
    <w:p>
      <w:pPr>
        <w:adjustRightInd w:val="0"/>
        <w:snapToGrid w:val="0"/>
        <w:spacing w:line="360" w:lineRule="auto"/>
        <w:ind w:firstLine="420" w:firstLineChars="200"/>
      </w:pPr>
      <w:r>
        <w:t>3.1、</w:t>
      </w:r>
      <w:r>
        <w:rPr>
          <w:rFonts w:hint="eastAsia"/>
        </w:rPr>
        <w:t>掌握标识与自动识别技术</w:t>
      </w:r>
      <w:r>
        <w:t>；</w:t>
      </w:r>
    </w:p>
    <w:p>
      <w:pPr>
        <w:adjustRightInd w:val="0"/>
        <w:snapToGrid w:val="0"/>
        <w:spacing w:line="360" w:lineRule="auto"/>
        <w:ind w:firstLine="420" w:firstLineChars="200"/>
      </w:pPr>
      <w:r>
        <w:t>3.2、</w:t>
      </w:r>
      <w:r>
        <w:rPr>
          <w:rFonts w:hint="eastAsia"/>
        </w:rPr>
        <w:t>掌握不同的标识体系</w:t>
      </w:r>
      <w:r>
        <w:t>；</w:t>
      </w:r>
    </w:p>
    <w:p>
      <w:pPr>
        <w:adjustRightInd w:val="0"/>
        <w:snapToGrid w:val="0"/>
        <w:spacing w:line="360" w:lineRule="auto"/>
        <w:ind w:firstLine="420" w:firstLineChars="200"/>
        <w:rPr>
          <w:snapToGrid w:val="0"/>
          <w:kern w:val="0"/>
          <w:szCs w:val="21"/>
        </w:rPr>
      </w:pPr>
      <w:r>
        <w:t>3.3、</w:t>
      </w:r>
      <w:r>
        <w:rPr>
          <w:rFonts w:hint="eastAsia"/>
        </w:rPr>
        <w:t>掌握电子产品编码</w:t>
      </w:r>
      <w:r>
        <w:rPr>
          <w:snapToGrid w:val="0"/>
          <w:kern w:val="0"/>
          <w:szCs w:val="21"/>
        </w:rPr>
        <w:t>。</w:t>
      </w:r>
    </w:p>
    <w:p>
      <w:pPr>
        <w:adjustRightInd w:val="0"/>
        <w:snapToGrid w:val="0"/>
        <w:spacing w:line="360" w:lineRule="auto"/>
        <w:ind w:firstLine="420" w:firstLineChars="200"/>
        <w:rPr>
          <w:snapToGrid w:val="0"/>
          <w:kern w:val="0"/>
          <w:szCs w:val="21"/>
        </w:rPr>
      </w:pPr>
      <w:r>
        <w:rPr>
          <w:snapToGrid w:val="0"/>
          <w:kern w:val="0"/>
          <w:szCs w:val="21"/>
        </w:rPr>
        <w:t>重点：</w:t>
      </w:r>
      <w:r>
        <w:rPr>
          <w:rFonts w:hint="eastAsia"/>
          <w:snapToGrid w:val="0"/>
          <w:kern w:val="0"/>
          <w:szCs w:val="21"/>
        </w:rPr>
        <w:t>信息生成技术。</w:t>
      </w:r>
    </w:p>
    <w:p>
      <w:pPr>
        <w:adjustRightInd w:val="0"/>
        <w:snapToGrid w:val="0"/>
        <w:spacing w:line="360" w:lineRule="auto"/>
        <w:ind w:firstLine="420" w:firstLineChars="200"/>
        <w:rPr>
          <w:snapToGrid w:val="0"/>
          <w:kern w:val="0"/>
          <w:szCs w:val="21"/>
        </w:rPr>
      </w:pPr>
      <w:r>
        <w:rPr>
          <w:snapToGrid w:val="0"/>
          <w:kern w:val="0"/>
          <w:szCs w:val="21"/>
        </w:rPr>
        <w:t>难点：</w:t>
      </w:r>
      <w:r>
        <w:rPr>
          <w:rFonts w:hint="eastAsia"/>
          <w:snapToGrid w:val="0"/>
          <w:kern w:val="0"/>
          <w:szCs w:val="21"/>
        </w:rPr>
        <w:t>物联网系统编码设计。</w:t>
      </w:r>
    </w:p>
    <w:p>
      <w:pPr>
        <w:adjustRightInd w:val="0"/>
        <w:snapToGrid w:val="0"/>
        <w:spacing w:line="360" w:lineRule="auto"/>
        <w:ind w:firstLine="454"/>
        <w:rPr>
          <w:szCs w:val="21"/>
        </w:rPr>
      </w:pPr>
      <w:r>
        <w:rPr>
          <w:rFonts w:hint="eastAsia"/>
          <w:szCs w:val="21"/>
        </w:rPr>
        <w:t>本章内容支撑课程目标1、2</w:t>
      </w:r>
    </w:p>
    <w:p>
      <w:pPr>
        <w:tabs>
          <w:tab w:val="left" w:pos="1260"/>
        </w:tabs>
        <w:adjustRightInd w:val="0"/>
        <w:snapToGrid w:val="0"/>
        <w:spacing w:line="360" w:lineRule="auto"/>
        <w:ind w:firstLine="420" w:firstLineChars="200"/>
      </w:pPr>
      <w:r>
        <w:rPr>
          <w:rFonts w:eastAsia="黑体"/>
        </w:rPr>
        <w:t xml:space="preserve">4  </w:t>
      </w:r>
      <w:r>
        <w:rPr>
          <w:rFonts w:hint="eastAsia" w:eastAsia="黑体"/>
          <w:snapToGrid w:val="0"/>
          <w:kern w:val="0"/>
          <w:szCs w:val="21"/>
        </w:rPr>
        <w:t>通信技术</w:t>
      </w:r>
      <w:r>
        <w:rPr>
          <w:rFonts w:eastAsia="黑体"/>
          <w:snapToGrid w:val="0"/>
          <w:kern w:val="0"/>
          <w:szCs w:val="21"/>
        </w:rPr>
        <w:t>（1学时）</w:t>
      </w:r>
    </w:p>
    <w:p>
      <w:pPr>
        <w:widowControl/>
        <w:tabs>
          <w:tab w:val="left" w:pos="900"/>
        </w:tabs>
        <w:adjustRightInd w:val="0"/>
        <w:snapToGrid w:val="0"/>
        <w:spacing w:line="360" w:lineRule="auto"/>
        <w:ind w:firstLine="420" w:firstLineChars="200"/>
        <w:rPr>
          <w:bCs/>
          <w:snapToGrid w:val="0"/>
          <w:kern w:val="0"/>
          <w:szCs w:val="21"/>
        </w:rPr>
      </w:pPr>
      <w:r>
        <w:rPr>
          <w:bCs/>
          <w:snapToGrid w:val="0"/>
          <w:kern w:val="0"/>
          <w:szCs w:val="21"/>
        </w:rPr>
        <w:t>4.1、</w:t>
      </w:r>
      <w:r>
        <w:rPr>
          <w:rFonts w:hint="eastAsia"/>
          <w:bCs/>
          <w:snapToGrid w:val="0"/>
          <w:kern w:val="0"/>
          <w:szCs w:val="21"/>
        </w:rPr>
        <w:t>了解无线低速网络</w:t>
      </w:r>
      <w:r>
        <w:rPr>
          <w:bCs/>
          <w:snapToGrid w:val="0"/>
          <w:kern w:val="0"/>
          <w:szCs w:val="21"/>
        </w:rPr>
        <w:t>；</w:t>
      </w:r>
    </w:p>
    <w:p>
      <w:pPr>
        <w:widowControl/>
        <w:tabs>
          <w:tab w:val="left" w:pos="900"/>
        </w:tabs>
        <w:adjustRightInd w:val="0"/>
        <w:snapToGrid w:val="0"/>
        <w:spacing w:line="360" w:lineRule="auto"/>
        <w:ind w:firstLine="420" w:firstLineChars="200"/>
        <w:rPr>
          <w:bCs/>
          <w:snapToGrid w:val="0"/>
          <w:kern w:val="0"/>
          <w:szCs w:val="21"/>
        </w:rPr>
      </w:pPr>
      <w:r>
        <w:rPr>
          <w:bCs/>
          <w:snapToGrid w:val="0"/>
          <w:kern w:val="0"/>
          <w:szCs w:val="21"/>
        </w:rPr>
        <w:t>4.2、</w:t>
      </w:r>
      <w:r>
        <w:rPr>
          <w:rFonts w:hint="eastAsia"/>
          <w:bCs/>
          <w:snapToGrid w:val="0"/>
          <w:kern w:val="0"/>
          <w:szCs w:val="21"/>
        </w:rPr>
        <w:t>了解移动通信网络；</w:t>
      </w:r>
    </w:p>
    <w:p>
      <w:pPr>
        <w:widowControl/>
        <w:tabs>
          <w:tab w:val="left" w:pos="900"/>
        </w:tabs>
        <w:adjustRightInd w:val="0"/>
        <w:snapToGrid w:val="0"/>
        <w:spacing w:line="360" w:lineRule="auto"/>
        <w:ind w:firstLine="420" w:firstLineChars="200"/>
        <w:rPr>
          <w:bCs/>
          <w:snapToGrid w:val="0"/>
          <w:kern w:val="0"/>
          <w:szCs w:val="21"/>
        </w:rPr>
      </w:pPr>
      <w:r>
        <w:rPr>
          <w:bCs/>
          <w:snapToGrid w:val="0"/>
          <w:kern w:val="0"/>
          <w:szCs w:val="21"/>
        </w:rPr>
        <w:t>4.3、</w:t>
      </w:r>
      <w:r>
        <w:rPr>
          <w:rFonts w:hint="eastAsia"/>
          <w:bCs/>
          <w:snapToGrid w:val="0"/>
          <w:kern w:val="0"/>
          <w:szCs w:val="21"/>
        </w:rPr>
        <w:t>了解设备对设备通信技术（M2M）。</w:t>
      </w:r>
    </w:p>
    <w:p>
      <w:pPr>
        <w:widowControl/>
        <w:tabs>
          <w:tab w:val="left" w:pos="900"/>
        </w:tabs>
        <w:adjustRightInd w:val="0"/>
        <w:snapToGrid w:val="0"/>
        <w:spacing w:line="360" w:lineRule="auto"/>
        <w:ind w:firstLine="420" w:firstLineChars="200"/>
        <w:rPr>
          <w:bCs/>
          <w:snapToGrid w:val="0"/>
          <w:kern w:val="0"/>
          <w:szCs w:val="21"/>
        </w:rPr>
      </w:pPr>
      <w:r>
        <w:rPr>
          <w:bCs/>
          <w:snapToGrid w:val="0"/>
          <w:kern w:val="0"/>
          <w:szCs w:val="21"/>
        </w:rPr>
        <w:t>重点：</w:t>
      </w:r>
      <w:r>
        <w:rPr>
          <w:rFonts w:hint="eastAsia"/>
          <w:bCs/>
          <w:snapToGrid w:val="0"/>
          <w:kern w:val="0"/>
          <w:szCs w:val="21"/>
        </w:rPr>
        <w:t>M2M实现途径。</w:t>
      </w:r>
    </w:p>
    <w:p>
      <w:pPr>
        <w:adjustRightInd w:val="0"/>
        <w:snapToGrid w:val="0"/>
        <w:spacing w:line="360" w:lineRule="auto"/>
        <w:ind w:firstLine="454"/>
        <w:rPr>
          <w:szCs w:val="21"/>
        </w:rPr>
      </w:pPr>
      <w:r>
        <w:rPr>
          <w:rFonts w:hint="eastAsia"/>
          <w:szCs w:val="21"/>
        </w:rPr>
        <w:t>本章内容支撑课程目标1</w:t>
      </w:r>
    </w:p>
    <w:p>
      <w:pPr>
        <w:tabs>
          <w:tab w:val="left" w:pos="1260"/>
        </w:tabs>
        <w:adjustRightInd w:val="0"/>
        <w:snapToGrid w:val="0"/>
        <w:spacing w:line="360" w:lineRule="auto"/>
        <w:ind w:firstLine="420" w:firstLineChars="200"/>
        <w:rPr>
          <w:rFonts w:eastAsia="黑体"/>
          <w:snapToGrid w:val="0"/>
          <w:kern w:val="0"/>
          <w:szCs w:val="21"/>
        </w:rPr>
      </w:pPr>
      <w:r>
        <w:rPr>
          <w:rFonts w:hint="eastAsia" w:eastAsia="黑体"/>
          <w:snapToGrid w:val="0"/>
          <w:kern w:val="0"/>
          <w:szCs w:val="21"/>
        </w:rPr>
        <w:t>5网络技术</w:t>
      </w:r>
      <w:r>
        <w:rPr>
          <w:rFonts w:eastAsia="黑体"/>
          <w:snapToGrid w:val="0"/>
          <w:kern w:val="0"/>
          <w:szCs w:val="21"/>
        </w:rPr>
        <w:t>（1学时）</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5.1、了解非接触射频识别系统（R</w:t>
      </w:r>
      <w:r>
        <w:rPr>
          <w:bCs/>
          <w:snapToGrid w:val="0"/>
          <w:kern w:val="0"/>
          <w:szCs w:val="21"/>
        </w:rPr>
        <w:t>FID</w:t>
      </w:r>
      <w:r>
        <w:rPr>
          <w:rFonts w:hint="eastAsia"/>
          <w:bCs/>
          <w:snapToGrid w:val="0"/>
          <w:kern w:val="0"/>
          <w:szCs w:val="21"/>
        </w:rPr>
        <w:t>）；</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5.2、了解E</w:t>
      </w:r>
      <w:r>
        <w:rPr>
          <w:bCs/>
          <w:snapToGrid w:val="0"/>
          <w:kern w:val="0"/>
          <w:szCs w:val="21"/>
        </w:rPr>
        <w:t>PC</w:t>
      </w:r>
      <w:r>
        <w:rPr>
          <w:rFonts w:hint="eastAsia"/>
          <w:bCs/>
          <w:snapToGrid w:val="0"/>
          <w:kern w:val="0"/>
          <w:szCs w:val="21"/>
        </w:rPr>
        <w:t>信息网络系统；</w:t>
      </w:r>
    </w:p>
    <w:p>
      <w:pPr>
        <w:widowControl/>
        <w:tabs>
          <w:tab w:val="left" w:pos="900"/>
        </w:tabs>
        <w:adjustRightInd w:val="0"/>
        <w:snapToGrid w:val="0"/>
        <w:spacing w:line="360" w:lineRule="auto"/>
        <w:ind w:firstLine="420" w:firstLineChars="200"/>
        <w:rPr>
          <w:bCs/>
          <w:snapToGrid w:val="0"/>
          <w:kern w:val="0"/>
          <w:szCs w:val="21"/>
        </w:rPr>
      </w:pPr>
      <w:r>
        <w:rPr>
          <w:bCs/>
          <w:snapToGrid w:val="0"/>
          <w:kern w:val="0"/>
          <w:szCs w:val="21"/>
        </w:rPr>
        <w:t>5.3、</w:t>
      </w:r>
      <w:r>
        <w:rPr>
          <w:rFonts w:hint="eastAsia"/>
          <w:bCs/>
          <w:snapToGrid w:val="0"/>
          <w:kern w:val="0"/>
          <w:szCs w:val="21"/>
        </w:rPr>
        <w:t>了解无线传感器网络；</w:t>
      </w:r>
    </w:p>
    <w:p>
      <w:pPr>
        <w:widowControl/>
        <w:tabs>
          <w:tab w:val="left" w:pos="900"/>
        </w:tabs>
        <w:adjustRightInd w:val="0"/>
        <w:snapToGrid w:val="0"/>
        <w:spacing w:line="360" w:lineRule="auto"/>
        <w:ind w:firstLine="420" w:firstLineChars="200"/>
        <w:rPr>
          <w:bCs/>
          <w:snapToGrid w:val="0"/>
          <w:kern w:val="0"/>
          <w:szCs w:val="21"/>
        </w:rPr>
      </w:pPr>
      <w:r>
        <w:rPr>
          <w:bCs/>
          <w:snapToGrid w:val="0"/>
          <w:kern w:val="0"/>
          <w:szCs w:val="21"/>
        </w:rPr>
        <w:t>5.4、</w:t>
      </w:r>
      <w:r>
        <w:rPr>
          <w:rFonts w:hint="eastAsia"/>
          <w:bCs/>
          <w:snapToGrid w:val="0"/>
          <w:kern w:val="0"/>
          <w:szCs w:val="21"/>
        </w:rPr>
        <w:t>了解宽带网络技术；</w:t>
      </w:r>
    </w:p>
    <w:p>
      <w:pPr>
        <w:widowControl/>
        <w:tabs>
          <w:tab w:val="left" w:pos="900"/>
        </w:tabs>
        <w:adjustRightInd w:val="0"/>
        <w:snapToGrid w:val="0"/>
        <w:spacing w:line="360" w:lineRule="auto"/>
        <w:ind w:firstLine="420" w:firstLineChars="200"/>
        <w:rPr>
          <w:bCs/>
          <w:snapToGrid w:val="0"/>
          <w:kern w:val="0"/>
          <w:szCs w:val="21"/>
        </w:rPr>
      </w:pPr>
      <w:r>
        <w:rPr>
          <w:bCs/>
          <w:snapToGrid w:val="0"/>
          <w:kern w:val="0"/>
          <w:szCs w:val="21"/>
        </w:rPr>
        <w:t>5.5、</w:t>
      </w:r>
      <w:r>
        <w:rPr>
          <w:rFonts w:hint="eastAsia"/>
          <w:bCs/>
          <w:snapToGrid w:val="0"/>
          <w:kern w:val="0"/>
          <w:szCs w:val="21"/>
        </w:rPr>
        <w:t>了解无线网格网；</w:t>
      </w:r>
    </w:p>
    <w:p>
      <w:pPr>
        <w:widowControl/>
        <w:tabs>
          <w:tab w:val="left" w:pos="900"/>
        </w:tabs>
        <w:adjustRightInd w:val="0"/>
        <w:snapToGrid w:val="0"/>
        <w:spacing w:line="360" w:lineRule="auto"/>
        <w:ind w:firstLine="420" w:firstLineChars="200"/>
        <w:rPr>
          <w:bCs/>
          <w:snapToGrid w:val="0"/>
          <w:kern w:val="0"/>
          <w:szCs w:val="21"/>
        </w:rPr>
      </w:pPr>
      <w:r>
        <w:rPr>
          <w:bCs/>
          <w:snapToGrid w:val="0"/>
          <w:kern w:val="0"/>
          <w:szCs w:val="21"/>
        </w:rPr>
        <w:t>5.6、</w:t>
      </w:r>
      <w:r>
        <w:rPr>
          <w:rFonts w:hint="eastAsia"/>
          <w:bCs/>
          <w:snapToGrid w:val="0"/>
          <w:kern w:val="0"/>
          <w:szCs w:val="21"/>
        </w:rPr>
        <w:t>了解云计算网络。</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重点：不同网络架构的异同。</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本章内容支撑课程目标1、2</w:t>
      </w:r>
    </w:p>
    <w:p>
      <w:pPr>
        <w:widowControl/>
        <w:adjustRightInd w:val="0"/>
        <w:snapToGrid w:val="0"/>
        <w:spacing w:line="360" w:lineRule="auto"/>
        <w:ind w:firstLine="420" w:firstLineChars="200"/>
        <w:rPr>
          <w:rFonts w:eastAsia="黑体"/>
          <w:bCs/>
          <w:snapToGrid w:val="0"/>
          <w:kern w:val="0"/>
          <w:szCs w:val="21"/>
        </w:rPr>
      </w:pPr>
      <w:r>
        <w:rPr>
          <w:rFonts w:hint="eastAsia" w:eastAsia="黑体"/>
          <w:bCs/>
          <w:snapToGrid w:val="0"/>
          <w:kern w:val="0"/>
          <w:szCs w:val="21"/>
        </w:rPr>
        <w:t>6网络定位和发现技术</w:t>
      </w:r>
      <w:r>
        <w:rPr>
          <w:rFonts w:eastAsia="黑体"/>
          <w:snapToGrid w:val="0"/>
          <w:kern w:val="0"/>
          <w:szCs w:val="21"/>
        </w:rPr>
        <w:t>（1学时）</w:t>
      </w:r>
    </w:p>
    <w:p>
      <w:pPr>
        <w:adjustRightInd w:val="0"/>
        <w:snapToGrid w:val="0"/>
        <w:spacing w:line="360" w:lineRule="auto"/>
        <w:ind w:firstLine="420" w:firstLineChars="200"/>
      </w:pPr>
      <w:r>
        <w:rPr>
          <w:rFonts w:hint="eastAsia"/>
        </w:rPr>
        <w:t>6</w:t>
      </w:r>
      <w:r>
        <w:t>.1、</w:t>
      </w:r>
      <w:r>
        <w:rPr>
          <w:rFonts w:hint="eastAsia"/>
        </w:rPr>
        <w:t>了解G</w:t>
      </w:r>
      <w:r>
        <w:t>PS</w:t>
      </w:r>
      <w:r>
        <w:rPr>
          <w:rFonts w:hint="eastAsia"/>
        </w:rPr>
        <w:t>全球定位系统</w:t>
      </w:r>
      <w:r>
        <w:t>；</w:t>
      </w:r>
    </w:p>
    <w:p>
      <w:pPr>
        <w:adjustRightInd w:val="0"/>
        <w:snapToGrid w:val="0"/>
        <w:spacing w:line="360" w:lineRule="auto"/>
        <w:ind w:firstLine="420" w:firstLineChars="200"/>
      </w:pPr>
      <w:r>
        <w:rPr>
          <w:rFonts w:hint="eastAsia"/>
        </w:rPr>
        <w:t>6</w:t>
      </w:r>
      <w:r>
        <w:t>.2、</w:t>
      </w:r>
      <w:r>
        <w:rPr>
          <w:rFonts w:hint="eastAsia"/>
        </w:rPr>
        <w:t>了解蜂窝基站定位</w:t>
      </w:r>
      <w:r>
        <w:t>；</w:t>
      </w:r>
    </w:p>
    <w:p>
      <w:pPr>
        <w:adjustRightInd w:val="0"/>
        <w:snapToGrid w:val="0"/>
        <w:spacing w:line="360" w:lineRule="auto"/>
        <w:ind w:firstLine="420" w:firstLineChars="200"/>
      </w:pPr>
      <w:r>
        <w:rPr>
          <w:rFonts w:hint="eastAsia"/>
        </w:rPr>
        <w:t>6</w:t>
      </w:r>
      <w:r>
        <w:t>.3、</w:t>
      </w:r>
      <w:r>
        <w:rPr>
          <w:rFonts w:hint="eastAsia"/>
        </w:rPr>
        <w:t>了解新兴定位系统（A</w:t>
      </w:r>
      <w:r>
        <w:t>GPS</w:t>
      </w:r>
      <w:r>
        <w:rPr>
          <w:rFonts w:hint="eastAsia"/>
        </w:rPr>
        <w:t>）；</w:t>
      </w:r>
    </w:p>
    <w:p>
      <w:pPr>
        <w:adjustRightInd w:val="0"/>
        <w:snapToGrid w:val="0"/>
        <w:spacing w:line="360" w:lineRule="auto"/>
        <w:ind w:firstLine="420" w:firstLineChars="200"/>
      </w:pPr>
      <w:r>
        <w:rPr>
          <w:rFonts w:hint="eastAsia"/>
        </w:rPr>
        <w:t>6.4、了解无线室内环境定位；</w:t>
      </w:r>
    </w:p>
    <w:p>
      <w:pPr>
        <w:adjustRightInd w:val="0"/>
        <w:snapToGrid w:val="0"/>
        <w:spacing w:line="360" w:lineRule="auto"/>
        <w:ind w:firstLine="420" w:firstLineChars="200"/>
      </w:pPr>
      <w:r>
        <w:t>6.5、</w:t>
      </w:r>
      <w:r>
        <w:rPr>
          <w:rFonts w:hint="eastAsia"/>
        </w:rPr>
        <w:t>了解传感器网络节点定位技术；</w:t>
      </w:r>
    </w:p>
    <w:p>
      <w:pPr>
        <w:adjustRightInd w:val="0"/>
        <w:snapToGrid w:val="0"/>
        <w:spacing w:line="360" w:lineRule="auto"/>
        <w:ind w:firstLine="420" w:firstLineChars="200"/>
        <w:rPr>
          <w:snapToGrid w:val="0"/>
          <w:kern w:val="0"/>
          <w:szCs w:val="21"/>
        </w:rPr>
      </w:pPr>
      <w:r>
        <w:t>6.6、</w:t>
      </w:r>
      <w:r>
        <w:rPr>
          <w:rFonts w:hint="eastAsia"/>
        </w:rPr>
        <w:t>了解传感器网络时间同步技术。</w:t>
      </w:r>
    </w:p>
    <w:p>
      <w:pPr>
        <w:adjustRightInd w:val="0"/>
        <w:snapToGrid w:val="0"/>
        <w:spacing w:line="360" w:lineRule="auto"/>
        <w:ind w:firstLine="420" w:firstLineChars="200"/>
        <w:rPr>
          <w:snapToGrid w:val="0"/>
          <w:kern w:val="0"/>
          <w:szCs w:val="21"/>
        </w:rPr>
      </w:pPr>
      <w:r>
        <w:rPr>
          <w:snapToGrid w:val="0"/>
          <w:kern w:val="0"/>
          <w:szCs w:val="21"/>
        </w:rPr>
        <w:t>重点：</w:t>
      </w:r>
      <w:r>
        <w:rPr>
          <w:rFonts w:hint="eastAsia"/>
          <w:snapToGrid w:val="0"/>
          <w:kern w:val="0"/>
          <w:szCs w:val="21"/>
        </w:rPr>
        <w:t>定位的原理和技术实现。</w:t>
      </w:r>
    </w:p>
    <w:p>
      <w:pPr>
        <w:adjustRightInd w:val="0"/>
        <w:snapToGrid w:val="0"/>
        <w:spacing w:line="360" w:lineRule="auto"/>
        <w:ind w:firstLine="454"/>
        <w:rPr>
          <w:szCs w:val="21"/>
        </w:rPr>
      </w:pPr>
      <w:r>
        <w:rPr>
          <w:rFonts w:hint="eastAsia"/>
          <w:szCs w:val="21"/>
        </w:rPr>
        <w:t>本章内容支撑课程目标1</w:t>
      </w:r>
      <w:r>
        <w:drawing>
          <wp:anchor distT="0" distB="0" distL="114300" distR="114300" simplePos="0" relativeHeight="251681792" behindDoc="0" locked="0" layoutInCell="1" allowOverlap="1">
            <wp:simplePos x="0" y="0"/>
            <wp:positionH relativeFrom="character">
              <wp:posOffset>195580</wp:posOffset>
            </wp:positionH>
            <wp:positionV relativeFrom="line">
              <wp:posOffset>109220</wp:posOffset>
            </wp:positionV>
            <wp:extent cx="29845" cy="0"/>
            <wp:effectExtent l="19050" t="19050" r="27305" b="19050"/>
            <wp:wrapNone/>
            <wp:docPr id="299" name="图片 299"/>
            <wp:cNvGraphicFramePr/>
            <a:graphic xmlns:a="http://schemas.openxmlformats.org/drawingml/2006/main">
              <a:graphicData uri="http://schemas.openxmlformats.org/drawingml/2006/picture">
                <pic:pic xmlns:pic="http://schemas.openxmlformats.org/drawingml/2006/picture">
                  <pic:nvPicPr>
                    <pic:cNvPr id="299" name="图片 299"/>
                    <pic:cNvPicPr preferRelativeResize="0">
                      <a:picLocks noChangeArrowheads="1"/>
                    </pic:cNvPicPr>
                  </pic:nvPicPr>
                  <pic:blipFill>
                    <a:blip r:embed="rId231">
                      <a:extLst>
                        <a:ext uri="{28A0092B-C50C-407E-A947-70E740481C1C}">
                          <a14:useLocalDpi xmlns:a14="http://schemas.microsoft.com/office/drawing/2010/main" val="0"/>
                        </a:ext>
                      </a:extLst>
                    </a:blip>
                    <a:srcRect/>
                    <a:stretch>
                      <a:fillRect/>
                    </a:stretch>
                  </pic:blipFill>
                  <pic:spPr>
                    <a:xfrm>
                      <a:off x="0" y="0"/>
                      <a:ext cx="29845" cy="0"/>
                    </a:xfrm>
                    <a:prstGeom prst="rect">
                      <a:avLst/>
                    </a:prstGeom>
                    <a:solidFill>
                      <a:srgbClr val="FFFFFF"/>
                    </a:solidFill>
                    <a:ln w="9525">
                      <a:solidFill>
                        <a:srgbClr val="000000"/>
                      </a:solidFill>
                      <a:round/>
                    </a:ln>
                  </pic:spPr>
                </pic:pic>
              </a:graphicData>
            </a:graphic>
          </wp:anchor>
        </w:drawing>
      </w:r>
      <w:r>
        <w:rPr>
          <w:rFonts w:hint="eastAsia"/>
          <w:szCs w:val="21"/>
        </w:rPr>
        <w:t>、2</w:t>
      </w:r>
    </w:p>
    <w:p>
      <w:pPr>
        <w:tabs>
          <w:tab w:val="left" w:pos="1260"/>
        </w:tabs>
        <w:adjustRightInd w:val="0"/>
        <w:snapToGrid w:val="0"/>
        <w:spacing w:line="360" w:lineRule="auto"/>
        <w:ind w:firstLine="420" w:firstLineChars="200"/>
      </w:pPr>
      <w:r>
        <w:rPr>
          <w:rFonts w:hint="eastAsia" w:eastAsia="黑体"/>
        </w:rPr>
        <w:t>7软件、服务和算法技术</w:t>
      </w:r>
      <w:r>
        <w:rPr>
          <w:rFonts w:eastAsia="黑体"/>
          <w:snapToGrid w:val="0"/>
          <w:kern w:val="0"/>
          <w:szCs w:val="21"/>
        </w:rPr>
        <w:t>（1学时）</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7</w:t>
      </w:r>
      <w:r>
        <w:rPr>
          <w:bCs/>
          <w:snapToGrid w:val="0"/>
          <w:kern w:val="0"/>
          <w:szCs w:val="21"/>
        </w:rPr>
        <w:t>.1、</w:t>
      </w:r>
      <w:r>
        <w:rPr>
          <w:rFonts w:hint="eastAsia"/>
          <w:bCs/>
          <w:snapToGrid w:val="0"/>
          <w:kern w:val="0"/>
          <w:szCs w:val="21"/>
        </w:rPr>
        <w:t>了解环境感知型中间件</w:t>
      </w:r>
      <w:r>
        <w:rPr>
          <w:bCs/>
          <w:snapToGrid w:val="0"/>
          <w:kern w:val="0"/>
          <w:szCs w:val="21"/>
        </w:rPr>
        <w:t>；</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7</w:t>
      </w:r>
      <w:r>
        <w:rPr>
          <w:bCs/>
          <w:snapToGrid w:val="0"/>
          <w:kern w:val="0"/>
          <w:szCs w:val="21"/>
        </w:rPr>
        <w:t>.2、</w:t>
      </w:r>
      <w:r>
        <w:rPr>
          <w:rFonts w:hint="eastAsia"/>
          <w:bCs/>
          <w:snapToGrid w:val="0"/>
          <w:kern w:val="0"/>
          <w:szCs w:val="21"/>
        </w:rPr>
        <w:t>了解嵌入式软件；</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7.3、了解微型操作系统；</w:t>
      </w:r>
    </w:p>
    <w:p>
      <w:pPr>
        <w:widowControl/>
        <w:tabs>
          <w:tab w:val="left" w:pos="900"/>
        </w:tabs>
        <w:adjustRightInd w:val="0"/>
        <w:snapToGrid w:val="0"/>
        <w:spacing w:line="360" w:lineRule="auto"/>
        <w:ind w:firstLine="420" w:firstLineChars="200"/>
        <w:rPr>
          <w:bCs/>
          <w:snapToGrid w:val="0"/>
          <w:kern w:val="0"/>
          <w:szCs w:val="21"/>
        </w:rPr>
      </w:pPr>
      <w:r>
        <w:rPr>
          <w:bCs/>
          <w:snapToGrid w:val="0"/>
          <w:kern w:val="0"/>
          <w:szCs w:val="21"/>
        </w:rPr>
        <w:t>7.4、</w:t>
      </w:r>
      <w:r>
        <w:rPr>
          <w:rFonts w:hint="eastAsia"/>
          <w:bCs/>
          <w:snapToGrid w:val="0"/>
          <w:kern w:val="0"/>
          <w:szCs w:val="21"/>
        </w:rPr>
        <w:t>了解面向服务架构；</w:t>
      </w:r>
    </w:p>
    <w:p>
      <w:pPr>
        <w:widowControl/>
        <w:tabs>
          <w:tab w:val="left" w:pos="900"/>
        </w:tabs>
        <w:adjustRightInd w:val="0"/>
        <w:snapToGrid w:val="0"/>
        <w:spacing w:line="360" w:lineRule="auto"/>
        <w:ind w:firstLine="420" w:firstLineChars="200"/>
        <w:rPr>
          <w:bCs/>
          <w:snapToGrid w:val="0"/>
          <w:kern w:val="0"/>
          <w:szCs w:val="21"/>
        </w:rPr>
      </w:pPr>
      <w:r>
        <w:rPr>
          <w:bCs/>
          <w:snapToGrid w:val="0"/>
          <w:kern w:val="0"/>
          <w:szCs w:val="21"/>
        </w:rPr>
        <w:t>7.5、</w:t>
      </w:r>
      <w:r>
        <w:rPr>
          <w:rFonts w:hint="eastAsia"/>
          <w:bCs/>
          <w:snapToGrid w:val="0"/>
          <w:kern w:val="0"/>
          <w:szCs w:val="21"/>
        </w:rPr>
        <w:t>了解物联网海量数据存储与查询；</w:t>
      </w:r>
    </w:p>
    <w:p>
      <w:pPr>
        <w:widowControl/>
        <w:tabs>
          <w:tab w:val="left" w:pos="900"/>
        </w:tabs>
        <w:adjustRightInd w:val="0"/>
        <w:snapToGrid w:val="0"/>
        <w:spacing w:line="360" w:lineRule="auto"/>
        <w:ind w:firstLine="420" w:firstLineChars="200"/>
        <w:rPr>
          <w:bCs/>
          <w:snapToGrid w:val="0"/>
          <w:kern w:val="0"/>
          <w:szCs w:val="21"/>
        </w:rPr>
      </w:pPr>
      <w:r>
        <w:rPr>
          <w:bCs/>
          <w:snapToGrid w:val="0"/>
          <w:kern w:val="0"/>
          <w:szCs w:val="21"/>
        </w:rPr>
        <w:t>7.6、</w:t>
      </w:r>
      <w:r>
        <w:rPr>
          <w:rFonts w:hint="eastAsia"/>
          <w:bCs/>
          <w:snapToGrid w:val="0"/>
          <w:kern w:val="0"/>
          <w:szCs w:val="21"/>
        </w:rPr>
        <w:t>了解物联网数据融合及路由。</w:t>
      </w:r>
    </w:p>
    <w:p>
      <w:pPr>
        <w:widowControl/>
        <w:tabs>
          <w:tab w:val="left" w:pos="900"/>
        </w:tabs>
        <w:adjustRightInd w:val="0"/>
        <w:snapToGrid w:val="0"/>
        <w:spacing w:line="360" w:lineRule="auto"/>
        <w:ind w:firstLine="420" w:firstLineChars="200"/>
        <w:rPr>
          <w:bCs/>
          <w:snapToGrid w:val="0"/>
          <w:kern w:val="0"/>
          <w:szCs w:val="21"/>
        </w:rPr>
      </w:pPr>
      <w:r>
        <w:rPr>
          <w:bCs/>
          <w:snapToGrid w:val="0"/>
          <w:kern w:val="0"/>
          <w:szCs w:val="21"/>
        </w:rPr>
        <w:t>重点：</w:t>
      </w:r>
      <w:r>
        <w:rPr>
          <w:rFonts w:hint="eastAsia"/>
          <w:bCs/>
          <w:snapToGrid w:val="0"/>
          <w:kern w:val="0"/>
          <w:szCs w:val="21"/>
        </w:rPr>
        <w:t>软件在物联网系统中的作用。</w:t>
      </w:r>
    </w:p>
    <w:p>
      <w:pPr>
        <w:adjustRightInd w:val="0"/>
        <w:snapToGrid w:val="0"/>
        <w:spacing w:line="360" w:lineRule="auto"/>
        <w:ind w:firstLine="454"/>
        <w:rPr>
          <w:szCs w:val="21"/>
        </w:rPr>
      </w:pPr>
      <w:r>
        <w:rPr>
          <w:rFonts w:hint="eastAsia"/>
          <w:szCs w:val="21"/>
        </w:rPr>
        <w:t>本章内容支撑课程目标1、2</w:t>
      </w:r>
    </w:p>
    <w:p>
      <w:pPr>
        <w:tabs>
          <w:tab w:val="left" w:pos="1260"/>
        </w:tabs>
        <w:adjustRightInd w:val="0"/>
        <w:snapToGrid w:val="0"/>
        <w:spacing w:line="360" w:lineRule="auto"/>
        <w:ind w:firstLine="420" w:firstLineChars="200"/>
        <w:rPr>
          <w:rFonts w:eastAsia="黑体"/>
          <w:snapToGrid w:val="0"/>
          <w:kern w:val="0"/>
          <w:szCs w:val="21"/>
        </w:rPr>
      </w:pPr>
      <w:r>
        <w:rPr>
          <w:rFonts w:hint="eastAsia" w:eastAsia="黑体"/>
          <w:snapToGrid w:val="0"/>
          <w:kern w:val="0"/>
          <w:szCs w:val="21"/>
        </w:rPr>
        <w:t>8 硬件技术</w:t>
      </w:r>
      <w:r>
        <w:rPr>
          <w:rFonts w:eastAsia="黑体"/>
          <w:snapToGrid w:val="0"/>
          <w:kern w:val="0"/>
          <w:szCs w:val="21"/>
        </w:rPr>
        <w:t>（1学时）</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8.1、了解微电子机械系统（M</w:t>
      </w:r>
      <w:r>
        <w:rPr>
          <w:bCs/>
          <w:snapToGrid w:val="0"/>
          <w:kern w:val="0"/>
          <w:szCs w:val="21"/>
        </w:rPr>
        <w:t>EMS）；</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8.2、了解移动设备内置传感器硬件平台；</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8.3、了解数字化传感器及网络接口技术。</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重点：案例中硬件平台的设计。</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本章内容支撑课程目标1、2</w:t>
      </w:r>
    </w:p>
    <w:p>
      <w:pPr>
        <w:tabs>
          <w:tab w:val="left" w:pos="1260"/>
        </w:tabs>
        <w:adjustRightInd w:val="0"/>
        <w:snapToGrid w:val="0"/>
        <w:spacing w:line="360" w:lineRule="auto"/>
        <w:ind w:firstLine="420" w:firstLineChars="200"/>
        <w:rPr>
          <w:rFonts w:eastAsia="黑体"/>
          <w:snapToGrid w:val="0"/>
          <w:kern w:val="0"/>
          <w:szCs w:val="21"/>
        </w:rPr>
      </w:pPr>
      <w:r>
        <w:rPr>
          <w:rFonts w:hint="eastAsia" w:eastAsia="黑体"/>
          <w:snapToGrid w:val="0"/>
          <w:kern w:val="0"/>
          <w:szCs w:val="21"/>
        </w:rPr>
        <w:t>9 数据和信号处理技术</w:t>
      </w:r>
      <w:r>
        <w:rPr>
          <w:rFonts w:eastAsia="黑体"/>
          <w:snapToGrid w:val="0"/>
          <w:kern w:val="0"/>
          <w:szCs w:val="21"/>
        </w:rPr>
        <w:t>（1学时）</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9.1、了解可扩展标记语言</w:t>
      </w:r>
      <w:r>
        <w:rPr>
          <w:bCs/>
          <w:snapToGrid w:val="0"/>
          <w:kern w:val="0"/>
          <w:szCs w:val="21"/>
        </w:rPr>
        <w:t>；</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9.2、了解高性能计算；</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9.3、了解海量数据数据库技术；</w:t>
      </w:r>
    </w:p>
    <w:p>
      <w:pPr>
        <w:widowControl/>
        <w:tabs>
          <w:tab w:val="left" w:pos="900"/>
        </w:tabs>
        <w:adjustRightInd w:val="0"/>
        <w:snapToGrid w:val="0"/>
        <w:spacing w:line="360" w:lineRule="auto"/>
        <w:ind w:firstLine="420" w:firstLineChars="200"/>
        <w:rPr>
          <w:bCs/>
          <w:snapToGrid w:val="0"/>
          <w:kern w:val="0"/>
          <w:szCs w:val="21"/>
        </w:rPr>
      </w:pPr>
      <w:r>
        <w:rPr>
          <w:bCs/>
          <w:snapToGrid w:val="0"/>
          <w:kern w:val="0"/>
          <w:szCs w:val="21"/>
        </w:rPr>
        <w:t>9.4、</w:t>
      </w:r>
      <w:r>
        <w:rPr>
          <w:rFonts w:hint="eastAsia"/>
          <w:bCs/>
          <w:snapToGrid w:val="0"/>
          <w:kern w:val="0"/>
          <w:szCs w:val="21"/>
        </w:rPr>
        <w:t>了解语义网；</w:t>
      </w:r>
    </w:p>
    <w:p>
      <w:pPr>
        <w:widowControl/>
        <w:tabs>
          <w:tab w:val="left" w:pos="900"/>
        </w:tabs>
        <w:adjustRightInd w:val="0"/>
        <w:snapToGrid w:val="0"/>
        <w:spacing w:line="360" w:lineRule="auto"/>
        <w:ind w:firstLine="420" w:firstLineChars="200"/>
        <w:rPr>
          <w:bCs/>
          <w:snapToGrid w:val="0"/>
          <w:kern w:val="0"/>
          <w:szCs w:val="21"/>
        </w:rPr>
      </w:pPr>
      <w:r>
        <w:rPr>
          <w:bCs/>
          <w:snapToGrid w:val="0"/>
          <w:kern w:val="0"/>
          <w:szCs w:val="21"/>
        </w:rPr>
        <w:t>9.5、</w:t>
      </w:r>
      <w:r>
        <w:rPr>
          <w:rFonts w:hint="eastAsia"/>
          <w:bCs/>
          <w:snapToGrid w:val="0"/>
          <w:kern w:val="0"/>
          <w:szCs w:val="21"/>
        </w:rPr>
        <w:t>了解智能决策算法；</w:t>
      </w:r>
    </w:p>
    <w:p>
      <w:pPr>
        <w:widowControl/>
        <w:tabs>
          <w:tab w:val="left" w:pos="900"/>
        </w:tabs>
        <w:adjustRightInd w:val="0"/>
        <w:snapToGrid w:val="0"/>
        <w:spacing w:line="360" w:lineRule="auto"/>
        <w:ind w:firstLine="420" w:firstLineChars="200"/>
        <w:rPr>
          <w:bCs/>
          <w:snapToGrid w:val="0"/>
          <w:kern w:val="0"/>
          <w:szCs w:val="21"/>
        </w:rPr>
      </w:pPr>
      <w:r>
        <w:rPr>
          <w:bCs/>
          <w:snapToGrid w:val="0"/>
          <w:kern w:val="0"/>
          <w:szCs w:val="21"/>
        </w:rPr>
        <w:t>9.6、</w:t>
      </w:r>
      <w:r>
        <w:rPr>
          <w:rFonts w:hint="eastAsia"/>
          <w:bCs/>
          <w:snapToGrid w:val="0"/>
          <w:kern w:val="0"/>
          <w:szCs w:val="21"/>
        </w:rPr>
        <w:t>了解人工智能技术；</w:t>
      </w:r>
    </w:p>
    <w:p>
      <w:pPr>
        <w:widowControl/>
        <w:tabs>
          <w:tab w:val="left" w:pos="900"/>
        </w:tabs>
        <w:adjustRightInd w:val="0"/>
        <w:snapToGrid w:val="0"/>
        <w:spacing w:line="360" w:lineRule="auto"/>
        <w:ind w:firstLine="420" w:firstLineChars="200"/>
        <w:rPr>
          <w:bCs/>
          <w:snapToGrid w:val="0"/>
          <w:kern w:val="0"/>
          <w:szCs w:val="21"/>
        </w:rPr>
      </w:pPr>
      <w:r>
        <w:rPr>
          <w:bCs/>
          <w:snapToGrid w:val="0"/>
          <w:kern w:val="0"/>
          <w:szCs w:val="21"/>
        </w:rPr>
        <w:t>9.7、</w:t>
      </w:r>
      <w:r>
        <w:rPr>
          <w:rFonts w:hint="eastAsia"/>
          <w:bCs/>
          <w:snapToGrid w:val="0"/>
          <w:kern w:val="0"/>
          <w:szCs w:val="21"/>
        </w:rPr>
        <w:t>了解人机交互技术。</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重点：信号处理技术的发展方向。</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本章内容支撑课程目标1、2</w:t>
      </w:r>
    </w:p>
    <w:p>
      <w:pPr>
        <w:tabs>
          <w:tab w:val="left" w:pos="1260"/>
        </w:tabs>
        <w:adjustRightInd w:val="0"/>
        <w:snapToGrid w:val="0"/>
        <w:spacing w:line="360" w:lineRule="auto"/>
        <w:ind w:firstLine="420" w:firstLineChars="200"/>
        <w:rPr>
          <w:rFonts w:eastAsia="黑体"/>
          <w:snapToGrid w:val="0"/>
          <w:kern w:val="0"/>
          <w:szCs w:val="21"/>
        </w:rPr>
      </w:pPr>
      <w:r>
        <w:rPr>
          <w:rFonts w:hint="eastAsia" w:eastAsia="黑体"/>
          <w:snapToGrid w:val="0"/>
          <w:kern w:val="0"/>
          <w:szCs w:val="21"/>
        </w:rPr>
        <w:t>10 发现与搜索引擎技术</w:t>
      </w:r>
      <w:r>
        <w:rPr>
          <w:rFonts w:eastAsia="黑体"/>
          <w:snapToGrid w:val="0"/>
          <w:kern w:val="0"/>
          <w:szCs w:val="21"/>
        </w:rPr>
        <w:t>（1学时）</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10.1、了解W</w:t>
      </w:r>
      <w:r>
        <w:rPr>
          <w:bCs/>
          <w:snapToGrid w:val="0"/>
          <w:kern w:val="0"/>
          <w:szCs w:val="21"/>
        </w:rPr>
        <w:t>EB</w:t>
      </w:r>
      <w:r>
        <w:rPr>
          <w:rFonts w:hint="eastAsia"/>
          <w:bCs/>
          <w:snapToGrid w:val="0"/>
          <w:kern w:val="0"/>
          <w:szCs w:val="21"/>
        </w:rPr>
        <w:t>搜索引擎工作原理</w:t>
      </w:r>
      <w:r>
        <w:rPr>
          <w:bCs/>
          <w:snapToGrid w:val="0"/>
          <w:kern w:val="0"/>
          <w:szCs w:val="21"/>
        </w:rPr>
        <w:t>；</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10.2、了解物联网搜索引擎；</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10.3、了解服务发现技术。</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重点：发现与搜索引擎性能评价。</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本章内容支撑课程目标1、2</w:t>
      </w:r>
    </w:p>
    <w:p>
      <w:pPr>
        <w:tabs>
          <w:tab w:val="left" w:pos="1260"/>
        </w:tabs>
        <w:adjustRightInd w:val="0"/>
        <w:snapToGrid w:val="0"/>
        <w:spacing w:line="360" w:lineRule="auto"/>
        <w:ind w:firstLine="420" w:firstLineChars="200"/>
        <w:rPr>
          <w:rFonts w:eastAsia="黑体"/>
          <w:snapToGrid w:val="0"/>
          <w:kern w:val="0"/>
          <w:szCs w:val="21"/>
        </w:rPr>
      </w:pPr>
      <w:r>
        <w:rPr>
          <w:rFonts w:hint="eastAsia" w:eastAsia="黑体"/>
          <w:snapToGrid w:val="0"/>
          <w:kern w:val="0"/>
          <w:szCs w:val="21"/>
        </w:rPr>
        <w:t>11 关系网络管理技术</w:t>
      </w:r>
      <w:r>
        <w:rPr>
          <w:rFonts w:eastAsia="黑体"/>
          <w:snapToGrid w:val="0"/>
          <w:kern w:val="0"/>
          <w:szCs w:val="21"/>
        </w:rPr>
        <w:t>（1学时）</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11.1、了解网络管理的热点技术</w:t>
      </w:r>
      <w:r>
        <w:rPr>
          <w:bCs/>
          <w:snapToGrid w:val="0"/>
          <w:kern w:val="0"/>
          <w:szCs w:val="21"/>
        </w:rPr>
        <w:t>；</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11.2、了解分布式网络管理技术；</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11.3、了解分布式数据库/资料集合管理。</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重点：网络管理的对象及方法。</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本章内容支撑课程目标1、2</w:t>
      </w:r>
    </w:p>
    <w:p>
      <w:pPr>
        <w:tabs>
          <w:tab w:val="left" w:pos="1260"/>
        </w:tabs>
        <w:adjustRightInd w:val="0"/>
        <w:snapToGrid w:val="0"/>
        <w:spacing w:line="360" w:lineRule="auto"/>
        <w:ind w:firstLine="420" w:firstLineChars="200"/>
        <w:rPr>
          <w:rFonts w:eastAsia="黑体"/>
          <w:snapToGrid w:val="0"/>
          <w:kern w:val="0"/>
          <w:szCs w:val="21"/>
        </w:rPr>
      </w:pPr>
      <w:r>
        <w:rPr>
          <w:rFonts w:hint="eastAsia" w:eastAsia="黑体"/>
          <w:snapToGrid w:val="0"/>
          <w:kern w:val="0"/>
          <w:szCs w:val="21"/>
        </w:rPr>
        <w:t>12 电源和能量储存技术</w:t>
      </w:r>
      <w:r>
        <w:rPr>
          <w:rFonts w:eastAsia="黑体"/>
          <w:snapToGrid w:val="0"/>
          <w:kern w:val="0"/>
          <w:szCs w:val="21"/>
        </w:rPr>
        <w:t>（1学时）</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12.1、了解能源采集转换技术</w:t>
      </w:r>
      <w:r>
        <w:rPr>
          <w:bCs/>
          <w:snapToGrid w:val="0"/>
          <w:kern w:val="0"/>
          <w:szCs w:val="21"/>
        </w:rPr>
        <w:t>；</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12.2、了解能量储存（电池）技术；</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12.3、了解无线供电技术。</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重点：物联网电源需求的特异性和实现。</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本章内容支撑课程目标1</w:t>
      </w:r>
    </w:p>
    <w:p>
      <w:pPr>
        <w:tabs>
          <w:tab w:val="left" w:pos="1260"/>
        </w:tabs>
        <w:adjustRightInd w:val="0"/>
        <w:snapToGrid w:val="0"/>
        <w:spacing w:line="360" w:lineRule="auto"/>
        <w:ind w:firstLine="420" w:firstLineChars="200"/>
        <w:rPr>
          <w:rFonts w:eastAsia="黑体"/>
          <w:snapToGrid w:val="0"/>
          <w:kern w:val="0"/>
          <w:szCs w:val="21"/>
        </w:rPr>
      </w:pPr>
      <w:r>
        <w:rPr>
          <w:rFonts w:hint="eastAsia" w:eastAsia="黑体"/>
          <w:snapToGrid w:val="0"/>
          <w:kern w:val="0"/>
          <w:szCs w:val="21"/>
        </w:rPr>
        <w:t>13 安全与隐私技术</w:t>
      </w:r>
      <w:r>
        <w:rPr>
          <w:rFonts w:eastAsia="黑体"/>
          <w:snapToGrid w:val="0"/>
          <w:kern w:val="0"/>
          <w:szCs w:val="21"/>
        </w:rPr>
        <w:t>（1学时）</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13.1、了解物联网安全性内涵</w:t>
      </w:r>
      <w:r>
        <w:rPr>
          <w:bCs/>
          <w:snapToGrid w:val="0"/>
          <w:kern w:val="0"/>
          <w:szCs w:val="21"/>
        </w:rPr>
        <w:t>；</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13.2、了解R</w:t>
      </w:r>
      <w:r>
        <w:rPr>
          <w:bCs/>
          <w:snapToGrid w:val="0"/>
          <w:kern w:val="0"/>
          <w:szCs w:val="21"/>
        </w:rPr>
        <w:t>FID</w:t>
      </w:r>
      <w:r>
        <w:rPr>
          <w:rFonts w:hint="eastAsia"/>
          <w:bCs/>
          <w:snapToGrid w:val="0"/>
          <w:kern w:val="0"/>
          <w:szCs w:val="21"/>
        </w:rPr>
        <w:t>标签安全机制；</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13.3、了解无线传感器网络安全机制；</w:t>
      </w:r>
    </w:p>
    <w:p>
      <w:pPr>
        <w:widowControl/>
        <w:tabs>
          <w:tab w:val="left" w:pos="900"/>
        </w:tabs>
        <w:adjustRightInd w:val="0"/>
        <w:snapToGrid w:val="0"/>
        <w:spacing w:line="360" w:lineRule="auto"/>
        <w:ind w:firstLine="420" w:firstLineChars="200"/>
        <w:rPr>
          <w:bCs/>
          <w:snapToGrid w:val="0"/>
          <w:kern w:val="0"/>
          <w:szCs w:val="21"/>
        </w:rPr>
      </w:pPr>
      <w:r>
        <w:rPr>
          <w:bCs/>
          <w:snapToGrid w:val="0"/>
          <w:kern w:val="0"/>
          <w:szCs w:val="21"/>
        </w:rPr>
        <w:t>13.4、</w:t>
      </w:r>
      <w:r>
        <w:rPr>
          <w:rFonts w:hint="eastAsia"/>
          <w:bCs/>
          <w:snapToGrid w:val="0"/>
          <w:kern w:val="0"/>
          <w:szCs w:val="21"/>
        </w:rPr>
        <w:t>了解物联网身份识别技术；</w:t>
      </w:r>
    </w:p>
    <w:p>
      <w:pPr>
        <w:widowControl/>
        <w:tabs>
          <w:tab w:val="left" w:pos="900"/>
        </w:tabs>
        <w:adjustRightInd w:val="0"/>
        <w:snapToGrid w:val="0"/>
        <w:spacing w:line="360" w:lineRule="auto"/>
        <w:ind w:firstLine="420" w:firstLineChars="200"/>
        <w:rPr>
          <w:bCs/>
          <w:snapToGrid w:val="0"/>
          <w:kern w:val="0"/>
          <w:szCs w:val="21"/>
        </w:rPr>
      </w:pPr>
      <w:r>
        <w:rPr>
          <w:bCs/>
          <w:snapToGrid w:val="0"/>
          <w:kern w:val="0"/>
          <w:szCs w:val="21"/>
        </w:rPr>
        <w:t>13.5、</w:t>
      </w:r>
      <w:r>
        <w:rPr>
          <w:rFonts w:hint="eastAsia"/>
          <w:bCs/>
          <w:snapToGrid w:val="0"/>
          <w:kern w:val="0"/>
          <w:szCs w:val="21"/>
        </w:rPr>
        <w:t>了解信息隐藏；</w:t>
      </w:r>
    </w:p>
    <w:p>
      <w:pPr>
        <w:widowControl/>
        <w:tabs>
          <w:tab w:val="left" w:pos="900"/>
        </w:tabs>
        <w:adjustRightInd w:val="0"/>
        <w:snapToGrid w:val="0"/>
        <w:spacing w:line="360" w:lineRule="auto"/>
        <w:ind w:firstLine="420" w:firstLineChars="200"/>
        <w:rPr>
          <w:bCs/>
          <w:snapToGrid w:val="0"/>
          <w:kern w:val="0"/>
          <w:szCs w:val="21"/>
        </w:rPr>
      </w:pPr>
      <w:r>
        <w:rPr>
          <w:bCs/>
          <w:snapToGrid w:val="0"/>
          <w:kern w:val="0"/>
          <w:szCs w:val="21"/>
        </w:rPr>
        <w:t>13.6、</w:t>
      </w:r>
      <w:r>
        <w:rPr>
          <w:rFonts w:hint="eastAsia"/>
          <w:bCs/>
          <w:snapToGrid w:val="0"/>
          <w:kern w:val="0"/>
          <w:szCs w:val="21"/>
        </w:rPr>
        <w:t>了解未来的物联网安全与隐私技术。</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重点：物联网安全实现途径。</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本章内容支撑课程目标1、2</w:t>
      </w:r>
    </w:p>
    <w:p>
      <w:pPr>
        <w:tabs>
          <w:tab w:val="left" w:pos="1260"/>
        </w:tabs>
        <w:adjustRightInd w:val="0"/>
        <w:snapToGrid w:val="0"/>
        <w:spacing w:line="360" w:lineRule="auto"/>
        <w:ind w:firstLine="420" w:firstLineChars="200"/>
        <w:rPr>
          <w:rFonts w:eastAsia="黑体"/>
          <w:snapToGrid w:val="0"/>
          <w:kern w:val="0"/>
          <w:szCs w:val="21"/>
        </w:rPr>
      </w:pPr>
      <w:r>
        <w:rPr>
          <w:rFonts w:hint="eastAsia" w:eastAsia="黑体"/>
          <w:snapToGrid w:val="0"/>
          <w:kern w:val="0"/>
          <w:szCs w:val="21"/>
        </w:rPr>
        <w:t>14 标准化和相关技术</w:t>
      </w:r>
      <w:r>
        <w:rPr>
          <w:rFonts w:eastAsia="黑体"/>
          <w:snapToGrid w:val="0"/>
          <w:kern w:val="0"/>
          <w:szCs w:val="21"/>
        </w:rPr>
        <w:t>（1学时）</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14.1、了解射频识别（R</w:t>
      </w:r>
      <w:r>
        <w:rPr>
          <w:bCs/>
          <w:snapToGrid w:val="0"/>
          <w:kern w:val="0"/>
          <w:szCs w:val="21"/>
        </w:rPr>
        <w:t>FID）</w:t>
      </w:r>
      <w:r>
        <w:rPr>
          <w:rFonts w:hint="eastAsia"/>
          <w:bCs/>
          <w:snapToGrid w:val="0"/>
          <w:kern w:val="0"/>
          <w:szCs w:val="21"/>
        </w:rPr>
        <w:t>标准化工作</w:t>
      </w:r>
      <w:r>
        <w:rPr>
          <w:bCs/>
          <w:snapToGrid w:val="0"/>
          <w:kern w:val="0"/>
          <w:szCs w:val="21"/>
        </w:rPr>
        <w:t>；</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14.2、了解无线传感器网络（W</w:t>
      </w:r>
      <w:r>
        <w:rPr>
          <w:bCs/>
          <w:snapToGrid w:val="0"/>
          <w:kern w:val="0"/>
          <w:szCs w:val="21"/>
        </w:rPr>
        <w:t>SN）</w:t>
      </w:r>
      <w:r>
        <w:rPr>
          <w:rFonts w:hint="eastAsia"/>
          <w:bCs/>
          <w:snapToGrid w:val="0"/>
          <w:kern w:val="0"/>
          <w:szCs w:val="21"/>
        </w:rPr>
        <w:t>标准化工作；</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14.3、了解设备对设备（M</w:t>
      </w:r>
      <w:r>
        <w:rPr>
          <w:bCs/>
          <w:snapToGrid w:val="0"/>
          <w:kern w:val="0"/>
          <w:szCs w:val="21"/>
        </w:rPr>
        <w:t>2M）</w:t>
      </w:r>
      <w:r>
        <w:rPr>
          <w:rFonts w:hint="eastAsia"/>
          <w:bCs/>
          <w:snapToGrid w:val="0"/>
          <w:kern w:val="0"/>
          <w:szCs w:val="21"/>
        </w:rPr>
        <w:t>标准化工作。</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重点：标准化的目的及方法。</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本章内容支撑课程目标1</w:t>
      </w:r>
    </w:p>
    <w:p>
      <w:pPr>
        <w:adjustRightInd w:val="0"/>
        <w:snapToGrid w:val="0"/>
        <w:spacing w:line="360" w:lineRule="auto"/>
        <w:rPr>
          <w:b/>
          <w:sz w:val="24"/>
          <w:szCs w:val="24"/>
        </w:rPr>
      </w:pPr>
    </w:p>
    <w:p>
      <w:pPr>
        <w:tabs>
          <w:tab w:val="left" w:pos="420"/>
        </w:tabs>
        <w:adjustRightInd w:val="0"/>
        <w:snapToGrid w:val="0"/>
        <w:spacing w:line="360" w:lineRule="auto"/>
        <w:ind w:left="420" w:hanging="420"/>
        <w:rPr>
          <w:rFonts w:eastAsia="黑体"/>
          <w:szCs w:val="24"/>
        </w:rPr>
      </w:pPr>
      <w:r>
        <w:rPr>
          <w:rFonts w:hint="eastAsia" w:eastAsia="黑体"/>
          <w:szCs w:val="24"/>
        </w:rPr>
        <w:t>五、实验内容</w:t>
      </w:r>
    </w:p>
    <w:p>
      <w:pPr>
        <w:spacing w:line="360" w:lineRule="auto"/>
        <w:ind w:firstLine="435"/>
        <w:rPr>
          <w:szCs w:val="21"/>
        </w:rPr>
      </w:pPr>
      <w:r>
        <w:rPr>
          <w:rFonts w:hint="eastAsia"/>
          <w:szCs w:val="21"/>
        </w:rPr>
        <w:t>无。</w:t>
      </w:r>
    </w:p>
    <w:p>
      <w:pPr>
        <w:spacing w:line="360" w:lineRule="auto"/>
        <w:ind w:firstLine="435"/>
        <w:rPr>
          <w:szCs w:val="21"/>
        </w:rPr>
      </w:pPr>
    </w:p>
    <w:p>
      <w:pPr>
        <w:widowControl/>
        <w:spacing w:line="360" w:lineRule="auto"/>
        <w:jc w:val="left"/>
        <w:rPr>
          <w:rFonts w:ascii="黑体" w:hAnsi="宋体" w:eastAsia="黑体" w:cs="宋体"/>
          <w:kern w:val="0"/>
          <w:szCs w:val="21"/>
        </w:rPr>
      </w:pPr>
      <w:r>
        <w:rPr>
          <w:rFonts w:hint="eastAsia" w:ascii="黑体" w:hAnsi="宋体" w:eastAsia="黑体" w:cs="宋体"/>
          <w:kern w:val="0"/>
          <w:szCs w:val="21"/>
        </w:rPr>
        <w:t>六、学时分配</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2"/>
        <w:gridCol w:w="1658"/>
        <w:gridCol w:w="1677"/>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1" w:type="pct"/>
            <w:tcBorders>
              <w:top w:val="single" w:color="auto" w:sz="4" w:space="0"/>
              <w:left w:val="nil"/>
            </w:tcBorders>
            <w:shd w:val="clear" w:color="auto" w:fill="auto"/>
            <w:vAlign w:val="center"/>
          </w:tcPr>
          <w:p>
            <w:pPr>
              <w:adjustRightInd w:val="0"/>
              <w:snapToGrid w:val="0"/>
              <w:jc w:val="center"/>
              <w:rPr>
                <w:sz w:val="18"/>
                <w:szCs w:val="18"/>
              </w:rPr>
            </w:pPr>
            <w:r>
              <w:rPr>
                <w:sz w:val="18"/>
                <w:szCs w:val="18"/>
              </w:rPr>
              <w:t>知识点及内容</w:t>
            </w:r>
          </w:p>
        </w:tc>
        <w:tc>
          <w:tcPr>
            <w:tcW w:w="972" w:type="pct"/>
            <w:tcBorders>
              <w:top w:val="single" w:color="auto" w:sz="4" w:space="0"/>
            </w:tcBorders>
            <w:shd w:val="clear" w:color="auto" w:fill="auto"/>
            <w:vAlign w:val="center"/>
          </w:tcPr>
          <w:p>
            <w:pPr>
              <w:adjustRightInd w:val="0"/>
              <w:snapToGrid w:val="0"/>
              <w:jc w:val="center"/>
              <w:rPr>
                <w:sz w:val="18"/>
                <w:szCs w:val="18"/>
              </w:rPr>
            </w:pPr>
            <w:r>
              <w:rPr>
                <w:sz w:val="18"/>
                <w:szCs w:val="18"/>
              </w:rPr>
              <w:t>讲授（学时）</w:t>
            </w:r>
          </w:p>
        </w:tc>
        <w:tc>
          <w:tcPr>
            <w:tcW w:w="983" w:type="pct"/>
            <w:tcBorders>
              <w:top w:val="single" w:color="auto" w:sz="4" w:space="0"/>
            </w:tcBorders>
            <w:shd w:val="clear" w:color="auto" w:fill="auto"/>
            <w:vAlign w:val="center"/>
          </w:tcPr>
          <w:p>
            <w:pPr>
              <w:adjustRightInd w:val="0"/>
              <w:snapToGrid w:val="0"/>
              <w:jc w:val="center"/>
              <w:rPr>
                <w:sz w:val="18"/>
                <w:szCs w:val="18"/>
              </w:rPr>
            </w:pPr>
            <w:r>
              <w:rPr>
                <w:sz w:val="18"/>
                <w:szCs w:val="18"/>
              </w:rPr>
              <w:t>实验（学时）</w:t>
            </w:r>
          </w:p>
        </w:tc>
        <w:tc>
          <w:tcPr>
            <w:tcW w:w="804" w:type="pct"/>
            <w:tcBorders>
              <w:top w:val="single" w:color="auto" w:sz="4" w:space="0"/>
              <w:right w:val="nil"/>
            </w:tcBorders>
            <w:shd w:val="clear" w:color="auto" w:fill="auto"/>
            <w:vAlign w:val="center"/>
          </w:tcPr>
          <w:p>
            <w:pPr>
              <w:adjustRightInd w:val="0"/>
              <w:snapToGrid w:val="0"/>
              <w:jc w:val="center"/>
              <w:rPr>
                <w:sz w:val="18"/>
                <w:szCs w:val="18"/>
              </w:rPr>
            </w:pPr>
            <w:r>
              <w:rPr>
                <w:sz w:val="18"/>
                <w:szCs w:val="18"/>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1" w:type="pct"/>
            <w:tcBorders>
              <w:left w:val="nil"/>
            </w:tcBorders>
            <w:shd w:val="clear" w:color="auto" w:fill="auto"/>
            <w:vAlign w:val="center"/>
          </w:tcPr>
          <w:p>
            <w:pPr>
              <w:adjustRightInd w:val="0"/>
              <w:snapToGrid w:val="0"/>
              <w:spacing w:before="156"/>
              <w:jc w:val="center"/>
              <w:rPr>
                <w:sz w:val="18"/>
                <w:szCs w:val="18"/>
              </w:rPr>
            </w:pPr>
            <w:r>
              <w:rPr>
                <w:sz w:val="18"/>
                <w:szCs w:val="18"/>
              </w:rPr>
              <w:t>1</w:t>
            </w:r>
            <w:r>
              <w:rPr>
                <w:rFonts w:hint="eastAsia"/>
                <w:sz w:val="18"/>
                <w:szCs w:val="18"/>
              </w:rPr>
              <w:t>物联网概述</w:t>
            </w:r>
          </w:p>
        </w:tc>
        <w:tc>
          <w:tcPr>
            <w:tcW w:w="972" w:type="pct"/>
            <w:shd w:val="clear" w:color="auto" w:fill="auto"/>
            <w:vAlign w:val="center"/>
          </w:tcPr>
          <w:p>
            <w:pPr>
              <w:adjustRightInd w:val="0"/>
              <w:snapToGrid w:val="0"/>
              <w:spacing w:before="156"/>
              <w:jc w:val="center"/>
              <w:rPr>
                <w:sz w:val="18"/>
                <w:szCs w:val="18"/>
              </w:rPr>
            </w:pPr>
            <w:r>
              <w:rPr>
                <w:sz w:val="18"/>
                <w:szCs w:val="18"/>
              </w:rPr>
              <w:t>1</w:t>
            </w:r>
          </w:p>
        </w:tc>
        <w:tc>
          <w:tcPr>
            <w:tcW w:w="983" w:type="pct"/>
            <w:shd w:val="clear" w:color="auto" w:fill="auto"/>
            <w:vAlign w:val="center"/>
          </w:tcPr>
          <w:p>
            <w:pPr>
              <w:adjustRightInd w:val="0"/>
              <w:snapToGrid w:val="0"/>
              <w:spacing w:before="156"/>
              <w:jc w:val="center"/>
              <w:rPr>
                <w:sz w:val="18"/>
                <w:szCs w:val="18"/>
              </w:rPr>
            </w:pPr>
            <w:r>
              <w:rPr>
                <w:sz w:val="18"/>
                <w:szCs w:val="18"/>
              </w:rPr>
              <w:t>0</w:t>
            </w:r>
          </w:p>
        </w:tc>
        <w:tc>
          <w:tcPr>
            <w:tcW w:w="804" w:type="pct"/>
            <w:tcBorders>
              <w:right w:val="nil"/>
            </w:tcBorders>
            <w:shd w:val="clear" w:color="auto" w:fill="auto"/>
            <w:vAlign w:val="center"/>
          </w:tcPr>
          <w:p>
            <w:pPr>
              <w:adjustRightInd w:val="0"/>
              <w:snapToGrid w:val="0"/>
              <w:spacing w:before="156"/>
              <w:jc w:val="center"/>
              <w:rPr>
                <w:sz w:val="18"/>
                <w:szCs w:val="18"/>
              </w:rPr>
            </w:pP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1" w:type="pct"/>
            <w:tcBorders>
              <w:left w:val="nil"/>
            </w:tcBorders>
            <w:shd w:val="clear" w:color="auto" w:fill="auto"/>
            <w:vAlign w:val="center"/>
          </w:tcPr>
          <w:p>
            <w:pPr>
              <w:adjustRightInd w:val="0"/>
              <w:snapToGrid w:val="0"/>
              <w:spacing w:before="156"/>
              <w:jc w:val="center"/>
              <w:rPr>
                <w:sz w:val="18"/>
                <w:szCs w:val="18"/>
              </w:rPr>
            </w:pPr>
            <w:r>
              <w:rPr>
                <w:sz w:val="18"/>
                <w:szCs w:val="18"/>
              </w:rPr>
              <w:t>2</w:t>
            </w:r>
            <w:r>
              <w:rPr>
                <w:rFonts w:hint="eastAsia"/>
                <w:sz w:val="18"/>
                <w:szCs w:val="18"/>
              </w:rPr>
              <w:t>物联网架构技术</w:t>
            </w:r>
          </w:p>
        </w:tc>
        <w:tc>
          <w:tcPr>
            <w:tcW w:w="972" w:type="pct"/>
            <w:shd w:val="clear" w:color="auto" w:fill="auto"/>
            <w:vAlign w:val="center"/>
          </w:tcPr>
          <w:p>
            <w:pPr>
              <w:adjustRightInd w:val="0"/>
              <w:snapToGrid w:val="0"/>
              <w:spacing w:before="156"/>
              <w:jc w:val="center"/>
              <w:rPr>
                <w:sz w:val="18"/>
                <w:szCs w:val="18"/>
              </w:rPr>
            </w:pPr>
            <w:r>
              <w:rPr>
                <w:sz w:val="18"/>
                <w:szCs w:val="18"/>
              </w:rPr>
              <w:t>3</w:t>
            </w:r>
          </w:p>
        </w:tc>
        <w:tc>
          <w:tcPr>
            <w:tcW w:w="983" w:type="pct"/>
            <w:shd w:val="clear" w:color="auto" w:fill="auto"/>
            <w:vAlign w:val="center"/>
          </w:tcPr>
          <w:p>
            <w:pPr>
              <w:adjustRightInd w:val="0"/>
              <w:snapToGrid w:val="0"/>
              <w:spacing w:before="156"/>
              <w:jc w:val="center"/>
              <w:rPr>
                <w:sz w:val="18"/>
                <w:szCs w:val="18"/>
              </w:rPr>
            </w:pPr>
            <w:r>
              <w:rPr>
                <w:sz w:val="18"/>
                <w:szCs w:val="18"/>
              </w:rPr>
              <w:t>0</w:t>
            </w:r>
          </w:p>
        </w:tc>
        <w:tc>
          <w:tcPr>
            <w:tcW w:w="804" w:type="pct"/>
            <w:tcBorders>
              <w:right w:val="nil"/>
            </w:tcBorders>
            <w:shd w:val="clear" w:color="auto" w:fill="auto"/>
            <w:vAlign w:val="center"/>
          </w:tcPr>
          <w:p>
            <w:pPr>
              <w:adjustRightInd w:val="0"/>
              <w:snapToGrid w:val="0"/>
              <w:spacing w:before="156"/>
              <w:jc w:val="center"/>
              <w:rPr>
                <w:sz w:val="18"/>
                <w:szCs w:val="18"/>
              </w:rPr>
            </w:pPr>
            <w:r>
              <w:rPr>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1" w:type="pct"/>
            <w:tcBorders>
              <w:left w:val="nil"/>
            </w:tcBorders>
            <w:shd w:val="clear" w:color="auto" w:fill="auto"/>
            <w:vAlign w:val="center"/>
          </w:tcPr>
          <w:p>
            <w:pPr>
              <w:adjustRightInd w:val="0"/>
              <w:snapToGrid w:val="0"/>
              <w:spacing w:before="156"/>
              <w:jc w:val="center"/>
              <w:rPr>
                <w:sz w:val="18"/>
                <w:szCs w:val="18"/>
              </w:rPr>
            </w:pPr>
            <w:r>
              <w:rPr>
                <w:sz w:val="18"/>
                <w:szCs w:val="18"/>
              </w:rPr>
              <w:t>3</w:t>
            </w:r>
            <w:r>
              <w:rPr>
                <w:rFonts w:hint="eastAsia"/>
                <w:sz w:val="18"/>
                <w:szCs w:val="18"/>
              </w:rPr>
              <w:t>标识技术</w:t>
            </w:r>
          </w:p>
        </w:tc>
        <w:tc>
          <w:tcPr>
            <w:tcW w:w="972" w:type="pct"/>
            <w:shd w:val="clear" w:color="auto" w:fill="auto"/>
            <w:vAlign w:val="center"/>
          </w:tcPr>
          <w:p>
            <w:pPr>
              <w:adjustRightInd w:val="0"/>
              <w:snapToGrid w:val="0"/>
              <w:spacing w:before="156"/>
              <w:jc w:val="center"/>
              <w:rPr>
                <w:sz w:val="18"/>
                <w:szCs w:val="18"/>
              </w:rPr>
            </w:pPr>
            <w:r>
              <w:rPr>
                <w:sz w:val="18"/>
                <w:szCs w:val="18"/>
              </w:rPr>
              <w:t>1</w:t>
            </w:r>
          </w:p>
        </w:tc>
        <w:tc>
          <w:tcPr>
            <w:tcW w:w="983" w:type="pct"/>
            <w:shd w:val="clear" w:color="auto" w:fill="auto"/>
            <w:vAlign w:val="center"/>
          </w:tcPr>
          <w:p>
            <w:pPr>
              <w:adjustRightInd w:val="0"/>
              <w:snapToGrid w:val="0"/>
              <w:spacing w:before="156"/>
              <w:jc w:val="center"/>
              <w:rPr>
                <w:sz w:val="18"/>
                <w:szCs w:val="18"/>
              </w:rPr>
            </w:pPr>
            <w:r>
              <w:rPr>
                <w:sz w:val="18"/>
                <w:szCs w:val="18"/>
              </w:rPr>
              <w:t>0</w:t>
            </w:r>
          </w:p>
        </w:tc>
        <w:tc>
          <w:tcPr>
            <w:tcW w:w="804" w:type="pct"/>
            <w:tcBorders>
              <w:right w:val="nil"/>
            </w:tcBorders>
            <w:shd w:val="clear" w:color="auto" w:fill="auto"/>
            <w:vAlign w:val="center"/>
          </w:tcPr>
          <w:p>
            <w:pPr>
              <w:adjustRightInd w:val="0"/>
              <w:snapToGrid w:val="0"/>
              <w:spacing w:before="156"/>
              <w:jc w:val="center"/>
              <w:rPr>
                <w:sz w:val="18"/>
                <w:szCs w:val="18"/>
              </w:rPr>
            </w:pP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1" w:type="pct"/>
            <w:tcBorders>
              <w:left w:val="nil"/>
            </w:tcBorders>
            <w:shd w:val="clear" w:color="auto" w:fill="auto"/>
            <w:vAlign w:val="center"/>
          </w:tcPr>
          <w:p>
            <w:pPr>
              <w:adjustRightInd w:val="0"/>
              <w:snapToGrid w:val="0"/>
              <w:spacing w:before="156"/>
              <w:jc w:val="center"/>
              <w:rPr>
                <w:sz w:val="18"/>
                <w:szCs w:val="18"/>
              </w:rPr>
            </w:pPr>
            <w:r>
              <w:rPr>
                <w:sz w:val="18"/>
                <w:szCs w:val="18"/>
              </w:rPr>
              <w:t>4</w:t>
            </w:r>
            <w:r>
              <w:rPr>
                <w:rFonts w:hint="eastAsia"/>
                <w:sz w:val="18"/>
                <w:szCs w:val="18"/>
              </w:rPr>
              <w:t>通信技术</w:t>
            </w:r>
          </w:p>
        </w:tc>
        <w:tc>
          <w:tcPr>
            <w:tcW w:w="972" w:type="pct"/>
            <w:shd w:val="clear" w:color="auto" w:fill="auto"/>
            <w:vAlign w:val="center"/>
          </w:tcPr>
          <w:p>
            <w:pPr>
              <w:adjustRightInd w:val="0"/>
              <w:snapToGrid w:val="0"/>
              <w:spacing w:before="156"/>
              <w:jc w:val="center"/>
              <w:rPr>
                <w:sz w:val="18"/>
                <w:szCs w:val="18"/>
              </w:rPr>
            </w:pPr>
            <w:r>
              <w:rPr>
                <w:sz w:val="18"/>
                <w:szCs w:val="18"/>
              </w:rPr>
              <w:t>1</w:t>
            </w:r>
          </w:p>
        </w:tc>
        <w:tc>
          <w:tcPr>
            <w:tcW w:w="983" w:type="pct"/>
            <w:shd w:val="clear" w:color="auto" w:fill="auto"/>
            <w:vAlign w:val="center"/>
          </w:tcPr>
          <w:p>
            <w:pPr>
              <w:adjustRightInd w:val="0"/>
              <w:snapToGrid w:val="0"/>
              <w:spacing w:before="156"/>
              <w:jc w:val="center"/>
              <w:rPr>
                <w:sz w:val="18"/>
                <w:szCs w:val="18"/>
              </w:rPr>
            </w:pPr>
            <w:r>
              <w:rPr>
                <w:sz w:val="18"/>
                <w:szCs w:val="18"/>
              </w:rPr>
              <w:t>0</w:t>
            </w:r>
          </w:p>
        </w:tc>
        <w:tc>
          <w:tcPr>
            <w:tcW w:w="804" w:type="pct"/>
            <w:tcBorders>
              <w:right w:val="nil"/>
            </w:tcBorders>
            <w:shd w:val="clear" w:color="auto" w:fill="auto"/>
            <w:vAlign w:val="center"/>
          </w:tcPr>
          <w:p>
            <w:pPr>
              <w:adjustRightInd w:val="0"/>
              <w:snapToGrid w:val="0"/>
              <w:spacing w:before="156"/>
              <w:jc w:val="center"/>
              <w:rPr>
                <w:sz w:val="18"/>
                <w:szCs w:val="18"/>
              </w:rPr>
            </w:pP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1" w:type="pct"/>
            <w:tcBorders>
              <w:left w:val="nil"/>
            </w:tcBorders>
            <w:shd w:val="clear" w:color="auto" w:fill="auto"/>
            <w:vAlign w:val="center"/>
          </w:tcPr>
          <w:p>
            <w:pPr>
              <w:adjustRightInd w:val="0"/>
              <w:snapToGrid w:val="0"/>
              <w:spacing w:before="156"/>
              <w:jc w:val="center"/>
              <w:rPr>
                <w:sz w:val="18"/>
                <w:szCs w:val="18"/>
              </w:rPr>
            </w:pPr>
            <w:r>
              <w:rPr>
                <w:sz w:val="18"/>
                <w:szCs w:val="18"/>
              </w:rPr>
              <w:t>5</w:t>
            </w:r>
            <w:r>
              <w:rPr>
                <w:rFonts w:hint="eastAsia"/>
                <w:sz w:val="18"/>
                <w:szCs w:val="18"/>
              </w:rPr>
              <w:t>网络技术</w:t>
            </w:r>
          </w:p>
        </w:tc>
        <w:tc>
          <w:tcPr>
            <w:tcW w:w="972" w:type="pct"/>
            <w:shd w:val="clear" w:color="auto" w:fill="auto"/>
            <w:vAlign w:val="center"/>
          </w:tcPr>
          <w:p>
            <w:pPr>
              <w:adjustRightInd w:val="0"/>
              <w:snapToGrid w:val="0"/>
              <w:spacing w:before="156"/>
              <w:jc w:val="center"/>
              <w:rPr>
                <w:sz w:val="18"/>
                <w:szCs w:val="18"/>
              </w:rPr>
            </w:pPr>
            <w:r>
              <w:rPr>
                <w:sz w:val="18"/>
                <w:szCs w:val="18"/>
              </w:rPr>
              <w:t>1</w:t>
            </w:r>
          </w:p>
        </w:tc>
        <w:tc>
          <w:tcPr>
            <w:tcW w:w="983" w:type="pct"/>
            <w:shd w:val="clear" w:color="auto" w:fill="auto"/>
            <w:vAlign w:val="center"/>
          </w:tcPr>
          <w:p>
            <w:pPr>
              <w:adjustRightInd w:val="0"/>
              <w:snapToGrid w:val="0"/>
              <w:spacing w:before="156"/>
              <w:jc w:val="center"/>
              <w:rPr>
                <w:sz w:val="18"/>
                <w:szCs w:val="18"/>
              </w:rPr>
            </w:pPr>
            <w:r>
              <w:rPr>
                <w:sz w:val="18"/>
                <w:szCs w:val="18"/>
              </w:rPr>
              <w:t>0</w:t>
            </w:r>
          </w:p>
        </w:tc>
        <w:tc>
          <w:tcPr>
            <w:tcW w:w="804" w:type="pct"/>
            <w:tcBorders>
              <w:right w:val="nil"/>
            </w:tcBorders>
            <w:shd w:val="clear" w:color="auto" w:fill="auto"/>
            <w:vAlign w:val="center"/>
          </w:tcPr>
          <w:p>
            <w:pPr>
              <w:adjustRightInd w:val="0"/>
              <w:snapToGrid w:val="0"/>
              <w:spacing w:before="156"/>
              <w:jc w:val="center"/>
              <w:rPr>
                <w:sz w:val="18"/>
                <w:szCs w:val="18"/>
              </w:rPr>
            </w:pP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1" w:type="pct"/>
            <w:tcBorders>
              <w:left w:val="nil"/>
            </w:tcBorders>
            <w:shd w:val="clear" w:color="auto" w:fill="auto"/>
            <w:vAlign w:val="center"/>
          </w:tcPr>
          <w:p>
            <w:pPr>
              <w:adjustRightInd w:val="0"/>
              <w:snapToGrid w:val="0"/>
              <w:spacing w:before="156"/>
              <w:jc w:val="center"/>
              <w:rPr>
                <w:sz w:val="18"/>
                <w:szCs w:val="18"/>
              </w:rPr>
            </w:pPr>
            <w:r>
              <w:rPr>
                <w:sz w:val="18"/>
                <w:szCs w:val="18"/>
              </w:rPr>
              <w:t>6</w:t>
            </w:r>
            <w:r>
              <w:rPr>
                <w:rFonts w:hint="eastAsia"/>
                <w:sz w:val="18"/>
                <w:szCs w:val="18"/>
              </w:rPr>
              <w:t>网络定位和发现技术</w:t>
            </w:r>
          </w:p>
        </w:tc>
        <w:tc>
          <w:tcPr>
            <w:tcW w:w="972" w:type="pct"/>
            <w:shd w:val="clear" w:color="auto" w:fill="auto"/>
            <w:vAlign w:val="center"/>
          </w:tcPr>
          <w:p>
            <w:pPr>
              <w:adjustRightInd w:val="0"/>
              <w:snapToGrid w:val="0"/>
              <w:spacing w:before="156"/>
              <w:jc w:val="center"/>
              <w:rPr>
                <w:sz w:val="18"/>
                <w:szCs w:val="18"/>
              </w:rPr>
            </w:pPr>
            <w:r>
              <w:rPr>
                <w:sz w:val="18"/>
                <w:szCs w:val="18"/>
              </w:rPr>
              <w:t>1</w:t>
            </w:r>
          </w:p>
        </w:tc>
        <w:tc>
          <w:tcPr>
            <w:tcW w:w="983" w:type="pct"/>
            <w:shd w:val="clear" w:color="auto" w:fill="auto"/>
            <w:vAlign w:val="center"/>
          </w:tcPr>
          <w:p>
            <w:pPr>
              <w:adjustRightInd w:val="0"/>
              <w:snapToGrid w:val="0"/>
              <w:spacing w:before="156"/>
              <w:jc w:val="center"/>
              <w:rPr>
                <w:sz w:val="18"/>
                <w:szCs w:val="18"/>
              </w:rPr>
            </w:pPr>
            <w:r>
              <w:rPr>
                <w:sz w:val="18"/>
                <w:szCs w:val="18"/>
              </w:rPr>
              <w:t>0</w:t>
            </w:r>
          </w:p>
        </w:tc>
        <w:tc>
          <w:tcPr>
            <w:tcW w:w="804" w:type="pct"/>
            <w:tcBorders>
              <w:right w:val="nil"/>
            </w:tcBorders>
            <w:shd w:val="clear" w:color="auto" w:fill="auto"/>
            <w:vAlign w:val="center"/>
          </w:tcPr>
          <w:p>
            <w:pPr>
              <w:adjustRightInd w:val="0"/>
              <w:snapToGrid w:val="0"/>
              <w:spacing w:before="156"/>
              <w:jc w:val="center"/>
              <w:rPr>
                <w:sz w:val="18"/>
                <w:szCs w:val="18"/>
              </w:rPr>
            </w:pP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1" w:type="pct"/>
            <w:tcBorders>
              <w:left w:val="nil"/>
            </w:tcBorders>
            <w:shd w:val="clear" w:color="auto" w:fill="auto"/>
            <w:vAlign w:val="center"/>
          </w:tcPr>
          <w:p>
            <w:pPr>
              <w:adjustRightInd w:val="0"/>
              <w:snapToGrid w:val="0"/>
              <w:spacing w:before="156"/>
              <w:jc w:val="center"/>
              <w:rPr>
                <w:sz w:val="18"/>
                <w:szCs w:val="18"/>
              </w:rPr>
            </w:pPr>
            <w:r>
              <w:rPr>
                <w:sz w:val="18"/>
                <w:szCs w:val="18"/>
              </w:rPr>
              <w:t>7</w:t>
            </w:r>
            <w:r>
              <w:rPr>
                <w:rFonts w:hint="eastAsia"/>
                <w:sz w:val="18"/>
                <w:szCs w:val="18"/>
              </w:rPr>
              <w:t>软件、服务和算法技术</w:t>
            </w:r>
          </w:p>
        </w:tc>
        <w:tc>
          <w:tcPr>
            <w:tcW w:w="972" w:type="pct"/>
            <w:shd w:val="clear" w:color="auto" w:fill="auto"/>
            <w:vAlign w:val="center"/>
          </w:tcPr>
          <w:p>
            <w:pPr>
              <w:adjustRightInd w:val="0"/>
              <w:snapToGrid w:val="0"/>
              <w:spacing w:before="156"/>
              <w:jc w:val="center"/>
              <w:rPr>
                <w:sz w:val="18"/>
                <w:szCs w:val="18"/>
              </w:rPr>
            </w:pPr>
            <w:r>
              <w:rPr>
                <w:sz w:val="18"/>
                <w:szCs w:val="18"/>
              </w:rPr>
              <w:t>1</w:t>
            </w:r>
          </w:p>
        </w:tc>
        <w:tc>
          <w:tcPr>
            <w:tcW w:w="983" w:type="pct"/>
            <w:shd w:val="clear" w:color="auto" w:fill="auto"/>
            <w:vAlign w:val="center"/>
          </w:tcPr>
          <w:p>
            <w:pPr>
              <w:adjustRightInd w:val="0"/>
              <w:snapToGrid w:val="0"/>
              <w:spacing w:before="156"/>
              <w:jc w:val="center"/>
              <w:rPr>
                <w:sz w:val="18"/>
                <w:szCs w:val="18"/>
              </w:rPr>
            </w:pPr>
            <w:r>
              <w:rPr>
                <w:sz w:val="18"/>
                <w:szCs w:val="18"/>
              </w:rPr>
              <w:t>0</w:t>
            </w:r>
          </w:p>
        </w:tc>
        <w:tc>
          <w:tcPr>
            <w:tcW w:w="804" w:type="pct"/>
            <w:tcBorders>
              <w:right w:val="nil"/>
            </w:tcBorders>
            <w:shd w:val="clear" w:color="auto" w:fill="auto"/>
            <w:vAlign w:val="center"/>
          </w:tcPr>
          <w:p>
            <w:pPr>
              <w:adjustRightInd w:val="0"/>
              <w:snapToGrid w:val="0"/>
              <w:spacing w:before="156"/>
              <w:jc w:val="center"/>
              <w:rPr>
                <w:sz w:val="18"/>
                <w:szCs w:val="18"/>
              </w:rPr>
            </w:pP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1" w:type="pct"/>
            <w:tcBorders>
              <w:left w:val="nil"/>
            </w:tcBorders>
            <w:shd w:val="clear" w:color="auto" w:fill="auto"/>
            <w:vAlign w:val="center"/>
          </w:tcPr>
          <w:p>
            <w:pPr>
              <w:adjustRightInd w:val="0"/>
              <w:snapToGrid w:val="0"/>
              <w:spacing w:before="156"/>
              <w:jc w:val="center"/>
              <w:rPr>
                <w:sz w:val="18"/>
                <w:szCs w:val="18"/>
              </w:rPr>
            </w:pPr>
            <w:r>
              <w:rPr>
                <w:sz w:val="18"/>
                <w:szCs w:val="18"/>
              </w:rPr>
              <w:t>8</w:t>
            </w:r>
            <w:r>
              <w:rPr>
                <w:rFonts w:hint="eastAsia"/>
                <w:sz w:val="18"/>
                <w:szCs w:val="18"/>
              </w:rPr>
              <w:t>硬件技术</w:t>
            </w:r>
          </w:p>
        </w:tc>
        <w:tc>
          <w:tcPr>
            <w:tcW w:w="972" w:type="pct"/>
            <w:shd w:val="clear" w:color="auto" w:fill="auto"/>
            <w:vAlign w:val="center"/>
          </w:tcPr>
          <w:p>
            <w:pPr>
              <w:adjustRightInd w:val="0"/>
              <w:snapToGrid w:val="0"/>
              <w:spacing w:before="156"/>
              <w:jc w:val="center"/>
              <w:rPr>
                <w:sz w:val="18"/>
                <w:szCs w:val="18"/>
              </w:rPr>
            </w:pPr>
            <w:r>
              <w:rPr>
                <w:sz w:val="18"/>
                <w:szCs w:val="18"/>
              </w:rPr>
              <w:t>1</w:t>
            </w:r>
          </w:p>
        </w:tc>
        <w:tc>
          <w:tcPr>
            <w:tcW w:w="983" w:type="pct"/>
            <w:shd w:val="clear" w:color="auto" w:fill="auto"/>
            <w:vAlign w:val="center"/>
          </w:tcPr>
          <w:p>
            <w:pPr>
              <w:adjustRightInd w:val="0"/>
              <w:snapToGrid w:val="0"/>
              <w:spacing w:before="156"/>
              <w:jc w:val="center"/>
              <w:rPr>
                <w:sz w:val="18"/>
                <w:szCs w:val="18"/>
              </w:rPr>
            </w:pPr>
            <w:r>
              <w:rPr>
                <w:sz w:val="18"/>
                <w:szCs w:val="18"/>
              </w:rPr>
              <w:t>0</w:t>
            </w:r>
          </w:p>
        </w:tc>
        <w:tc>
          <w:tcPr>
            <w:tcW w:w="804" w:type="pct"/>
            <w:tcBorders>
              <w:right w:val="nil"/>
            </w:tcBorders>
            <w:shd w:val="clear" w:color="auto" w:fill="auto"/>
            <w:vAlign w:val="center"/>
          </w:tcPr>
          <w:p>
            <w:pPr>
              <w:adjustRightInd w:val="0"/>
              <w:snapToGrid w:val="0"/>
              <w:spacing w:before="156"/>
              <w:jc w:val="center"/>
              <w:rPr>
                <w:sz w:val="18"/>
                <w:szCs w:val="18"/>
              </w:rPr>
            </w:pP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1" w:type="pct"/>
            <w:tcBorders>
              <w:left w:val="nil"/>
            </w:tcBorders>
            <w:shd w:val="clear" w:color="auto" w:fill="auto"/>
            <w:vAlign w:val="center"/>
          </w:tcPr>
          <w:p>
            <w:pPr>
              <w:adjustRightInd w:val="0"/>
              <w:snapToGrid w:val="0"/>
              <w:spacing w:before="156"/>
              <w:jc w:val="center"/>
              <w:rPr>
                <w:sz w:val="18"/>
                <w:szCs w:val="18"/>
              </w:rPr>
            </w:pPr>
            <w:r>
              <w:rPr>
                <w:sz w:val="18"/>
                <w:szCs w:val="18"/>
              </w:rPr>
              <w:t>9</w:t>
            </w:r>
            <w:r>
              <w:rPr>
                <w:rFonts w:hint="eastAsia"/>
                <w:sz w:val="18"/>
                <w:szCs w:val="18"/>
              </w:rPr>
              <w:t>数据和信号处理</w:t>
            </w:r>
          </w:p>
        </w:tc>
        <w:tc>
          <w:tcPr>
            <w:tcW w:w="972" w:type="pct"/>
            <w:shd w:val="clear" w:color="auto" w:fill="auto"/>
            <w:vAlign w:val="center"/>
          </w:tcPr>
          <w:p>
            <w:pPr>
              <w:adjustRightInd w:val="0"/>
              <w:snapToGrid w:val="0"/>
              <w:spacing w:before="156"/>
              <w:jc w:val="center"/>
              <w:rPr>
                <w:sz w:val="18"/>
                <w:szCs w:val="18"/>
              </w:rPr>
            </w:pPr>
            <w:r>
              <w:rPr>
                <w:sz w:val="18"/>
                <w:szCs w:val="18"/>
              </w:rPr>
              <w:t>1</w:t>
            </w:r>
          </w:p>
        </w:tc>
        <w:tc>
          <w:tcPr>
            <w:tcW w:w="983" w:type="pct"/>
            <w:shd w:val="clear" w:color="auto" w:fill="auto"/>
            <w:vAlign w:val="center"/>
          </w:tcPr>
          <w:p>
            <w:pPr>
              <w:adjustRightInd w:val="0"/>
              <w:snapToGrid w:val="0"/>
              <w:spacing w:before="156"/>
              <w:jc w:val="center"/>
              <w:rPr>
                <w:sz w:val="18"/>
                <w:szCs w:val="18"/>
              </w:rPr>
            </w:pPr>
            <w:r>
              <w:rPr>
                <w:sz w:val="18"/>
                <w:szCs w:val="18"/>
              </w:rPr>
              <w:t>0</w:t>
            </w:r>
          </w:p>
        </w:tc>
        <w:tc>
          <w:tcPr>
            <w:tcW w:w="804" w:type="pct"/>
            <w:tcBorders>
              <w:right w:val="nil"/>
            </w:tcBorders>
            <w:shd w:val="clear" w:color="auto" w:fill="auto"/>
            <w:vAlign w:val="center"/>
          </w:tcPr>
          <w:p>
            <w:pPr>
              <w:adjustRightInd w:val="0"/>
              <w:snapToGrid w:val="0"/>
              <w:spacing w:before="156"/>
              <w:jc w:val="center"/>
              <w:rPr>
                <w:sz w:val="18"/>
                <w:szCs w:val="18"/>
              </w:rPr>
            </w:pP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1" w:type="pct"/>
            <w:tcBorders>
              <w:left w:val="nil"/>
            </w:tcBorders>
            <w:shd w:val="clear" w:color="auto" w:fill="auto"/>
            <w:vAlign w:val="center"/>
          </w:tcPr>
          <w:p>
            <w:pPr>
              <w:adjustRightInd w:val="0"/>
              <w:snapToGrid w:val="0"/>
              <w:spacing w:before="156"/>
              <w:jc w:val="center"/>
              <w:rPr>
                <w:sz w:val="18"/>
                <w:szCs w:val="18"/>
              </w:rPr>
            </w:pPr>
            <w:r>
              <w:rPr>
                <w:sz w:val="18"/>
                <w:szCs w:val="18"/>
              </w:rPr>
              <w:t>10</w:t>
            </w:r>
            <w:r>
              <w:rPr>
                <w:rFonts w:hint="eastAsia"/>
                <w:sz w:val="18"/>
                <w:szCs w:val="18"/>
              </w:rPr>
              <w:t>发现与引擎技术</w:t>
            </w:r>
          </w:p>
        </w:tc>
        <w:tc>
          <w:tcPr>
            <w:tcW w:w="972" w:type="pct"/>
            <w:shd w:val="clear" w:color="auto" w:fill="auto"/>
            <w:vAlign w:val="center"/>
          </w:tcPr>
          <w:p>
            <w:pPr>
              <w:adjustRightInd w:val="0"/>
              <w:snapToGrid w:val="0"/>
              <w:spacing w:before="156"/>
              <w:jc w:val="center"/>
              <w:rPr>
                <w:sz w:val="18"/>
                <w:szCs w:val="18"/>
              </w:rPr>
            </w:pPr>
            <w:r>
              <w:rPr>
                <w:sz w:val="18"/>
                <w:szCs w:val="18"/>
              </w:rPr>
              <w:t>1</w:t>
            </w:r>
          </w:p>
        </w:tc>
        <w:tc>
          <w:tcPr>
            <w:tcW w:w="983" w:type="pct"/>
            <w:shd w:val="clear" w:color="auto" w:fill="auto"/>
            <w:vAlign w:val="center"/>
          </w:tcPr>
          <w:p>
            <w:pPr>
              <w:adjustRightInd w:val="0"/>
              <w:snapToGrid w:val="0"/>
              <w:spacing w:before="156"/>
              <w:jc w:val="center"/>
              <w:rPr>
                <w:sz w:val="18"/>
                <w:szCs w:val="18"/>
              </w:rPr>
            </w:pPr>
            <w:r>
              <w:rPr>
                <w:sz w:val="18"/>
                <w:szCs w:val="18"/>
              </w:rPr>
              <w:t>0</w:t>
            </w:r>
          </w:p>
        </w:tc>
        <w:tc>
          <w:tcPr>
            <w:tcW w:w="804" w:type="pct"/>
            <w:tcBorders>
              <w:right w:val="nil"/>
            </w:tcBorders>
            <w:shd w:val="clear" w:color="auto" w:fill="auto"/>
            <w:vAlign w:val="center"/>
          </w:tcPr>
          <w:p>
            <w:pPr>
              <w:adjustRightInd w:val="0"/>
              <w:snapToGrid w:val="0"/>
              <w:spacing w:before="156"/>
              <w:jc w:val="center"/>
              <w:rPr>
                <w:sz w:val="18"/>
                <w:szCs w:val="18"/>
              </w:rPr>
            </w:pP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1" w:type="pct"/>
            <w:tcBorders>
              <w:left w:val="nil"/>
            </w:tcBorders>
            <w:shd w:val="clear" w:color="auto" w:fill="auto"/>
            <w:vAlign w:val="center"/>
          </w:tcPr>
          <w:p>
            <w:pPr>
              <w:adjustRightInd w:val="0"/>
              <w:snapToGrid w:val="0"/>
              <w:spacing w:before="156"/>
              <w:jc w:val="center"/>
              <w:rPr>
                <w:sz w:val="18"/>
                <w:szCs w:val="18"/>
              </w:rPr>
            </w:pPr>
            <w:r>
              <w:rPr>
                <w:sz w:val="18"/>
                <w:szCs w:val="18"/>
              </w:rPr>
              <w:t>11</w:t>
            </w:r>
            <w:r>
              <w:rPr>
                <w:rFonts w:hint="eastAsia"/>
                <w:sz w:val="18"/>
                <w:szCs w:val="18"/>
              </w:rPr>
              <w:t>关系网络管理技术</w:t>
            </w:r>
          </w:p>
        </w:tc>
        <w:tc>
          <w:tcPr>
            <w:tcW w:w="972" w:type="pct"/>
            <w:shd w:val="clear" w:color="auto" w:fill="auto"/>
            <w:vAlign w:val="center"/>
          </w:tcPr>
          <w:p>
            <w:pPr>
              <w:adjustRightInd w:val="0"/>
              <w:snapToGrid w:val="0"/>
              <w:spacing w:before="156"/>
              <w:jc w:val="center"/>
              <w:rPr>
                <w:sz w:val="18"/>
                <w:szCs w:val="18"/>
              </w:rPr>
            </w:pPr>
            <w:r>
              <w:rPr>
                <w:sz w:val="18"/>
                <w:szCs w:val="18"/>
              </w:rPr>
              <w:t>1</w:t>
            </w:r>
          </w:p>
        </w:tc>
        <w:tc>
          <w:tcPr>
            <w:tcW w:w="983" w:type="pct"/>
            <w:shd w:val="clear" w:color="auto" w:fill="auto"/>
            <w:vAlign w:val="center"/>
          </w:tcPr>
          <w:p>
            <w:pPr>
              <w:adjustRightInd w:val="0"/>
              <w:snapToGrid w:val="0"/>
              <w:spacing w:before="156"/>
              <w:jc w:val="center"/>
              <w:rPr>
                <w:sz w:val="18"/>
                <w:szCs w:val="18"/>
              </w:rPr>
            </w:pPr>
            <w:r>
              <w:rPr>
                <w:sz w:val="18"/>
                <w:szCs w:val="18"/>
              </w:rPr>
              <w:t>0</w:t>
            </w:r>
          </w:p>
        </w:tc>
        <w:tc>
          <w:tcPr>
            <w:tcW w:w="804" w:type="pct"/>
            <w:tcBorders>
              <w:right w:val="nil"/>
            </w:tcBorders>
            <w:shd w:val="clear" w:color="auto" w:fill="auto"/>
            <w:vAlign w:val="center"/>
          </w:tcPr>
          <w:p>
            <w:pPr>
              <w:adjustRightInd w:val="0"/>
              <w:snapToGrid w:val="0"/>
              <w:spacing w:before="156"/>
              <w:jc w:val="center"/>
              <w:rPr>
                <w:sz w:val="18"/>
                <w:szCs w:val="18"/>
              </w:rPr>
            </w:pP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1" w:type="pct"/>
            <w:tcBorders>
              <w:left w:val="nil"/>
            </w:tcBorders>
            <w:shd w:val="clear" w:color="auto" w:fill="auto"/>
            <w:vAlign w:val="center"/>
          </w:tcPr>
          <w:p>
            <w:pPr>
              <w:adjustRightInd w:val="0"/>
              <w:snapToGrid w:val="0"/>
              <w:spacing w:before="156"/>
              <w:jc w:val="center"/>
              <w:rPr>
                <w:sz w:val="18"/>
                <w:szCs w:val="18"/>
              </w:rPr>
            </w:pPr>
            <w:r>
              <w:rPr>
                <w:sz w:val="18"/>
                <w:szCs w:val="18"/>
              </w:rPr>
              <w:t>12</w:t>
            </w:r>
            <w:r>
              <w:rPr>
                <w:rFonts w:hint="eastAsia"/>
                <w:sz w:val="18"/>
                <w:szCs w:val="18"/>
              </w:rPr>
              <w:t>电源和能量储存技术</w:t>
            </w:r>
          </w:p>
        </w:tc>
        <w:tc>
          <w:tcPr>
            <w:tcW w:w="972" w:type="pct"/>
            <w:shd w:val="clear" w:color="auto" w:fill="auto"/>
            <w:vAlign w:val="center"/>
          </w:tcPr>
          <w:p>
            <w:pPr>
              <w:adjustRightInd w:val="0"/>
              <w:snapToGrid w:val="0"/>
              <w:spacing w:before="156"/>
              <w:jc w:val="center"/>
              <w:rPr>
                <w:sz w:val="18"/>
                <w:szCs w:val="18"/>
              </w:rPr>
            </w:pPr>
            <w:r>
              <w:rPr>
                <w:sz w:val="18"/>
                <w:szCs w:val="18"/>
              </w:rPr>
              <w:t>1</w:t>
            </w:r>
          </w:p>
        </w:tc>
        <w:tc>
          <w:tcPr>
            <w:tcW w:w="983" w:type="pct"/>
            <w:shd w:val="clear" w:color="auto" w:fill="auto"/>
            <w:vAlign w:val="center"/>
          </w:tcPr>
          <w:p>
            <w:pPr>
              <w:adjustRightInd w:val="0"/>
              <w:snapToGrid w:val="0"/>
              <w:spacing w:before="156"/>
              <w:jc w:val="center"/>
              <w:rPr>
                <w:sz w:val="18"/>
                <w:szCs w:val="18"/>
              </w:rPr>
            </w:pPr>
            <w:r>
              <w:rPr>
                <w:sz w:val="18"/>
                <w:szCs w:val="18"/>
              </w:rPr>
              <w:t>0</w:t>
            </w:r>
          </w:p>
        </w:tc>
        <w:tc>
          <w:tcPr>
            <w:tcW w:w="804" w:type="pct"/>
            <w:tcBorders>
              <w:right w:val="nil"/>
            </w:tcBorders>
            <w:shd w:val="clear" w:color="auto" w:fill="auto"/>
            <w:vAlign w:val="center"/>
          </w:tcPr>
          <w:p>
            <w:pPr>
              <w:adjustRightInd w:val="0"/>
              <w:snapToGrid w:val="0"/>
              <w:spacing w:before="156"/>
              <w:jc w:val="center"/>
              <w:rPr>
                <w:sz w:val="18"/>
                <w:szCs w:val="18"/>
              </w:rPr>
            </w:pP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1" w:type="pct"/>
            <w:tcBorders>
              <w:left w:val="nil"/>
            </w:tcBorders>
            <w:shd w:val="clear" w:color="auto" w:fill="auto"/>
            <w:vAlign w:val="center"/>
          </w:tcPr>
          <w:p>
            <w:pPr>
              <w:adjustRightInd w:val="0"/>
              <w:snapToGrid w:val="0"/>
              <w:spacing w:before="156"/>
              <w:jc w:val="center"/>
              <w:rPr>
                <w:sz w:val="18"/>
                <w:szCs w:val="18"/>
              </w:rPr>
            </w:pPr>
            <w:r>
              <w:rPr>
                <w:sz w:val="18"/>
                <w:szCs w:val="18"/>
              </w:rPr>
              <w:t>13</w:t>
            </w:r>
            <w:r>
              <w:rPr>
                <w:rFonts w:hint="eastAsia"/>
                <w:sz w:val="18"/>
                <w:szCs w:val="18"/>
              </w:rPr>
              <w:t>安全与隐私技术</w:t>
            </w:r>
          </w:p>
        </w:tc>
        <w:tc>
          <w:tcPr>
            <w:tcW w:w="972" w:type="pct"/>
            <w:shd w:val="clear" w:color="auto" w:fill="auto"/>
            <w:vAlign w:val="center"/>
          </w:tcPr>
          <w:p>
            <w:pPr>
              <w:adjustRightInd w:val="0"/>
              <w:snapToGrid w:val="0"/>
              <w:spacing w:before="156"/>
              <w:jc w:val="center"/>
              <w:rPr>
                <w:sz w:val="18"/>
                <w:szCs w:val="18"/>
              </w:rPr>
            </w:pPr>
            <w:r>
              <w:rPr>
                <w:sz w:val="18"/>
                <w:szCs w:val="18"/>
              </w:rPr>
              <w:t>1</w:t>
            </w:r>
          </w:p>
        </w:tc>
        <w:tc>
          <w:tcPr>
            <w:tcW w:w="983" w:type="pct"/>
            <w:shd w:val="clear" w:color="auto" w:fill="auto"/>
            <w:vAlign w:val="center"/>
          </w:tcPr>
          <w:p>
            <w:pPr>
              <w:adjustRightInd w:val="0"/>
              <w:snapToGrid w:val="0"/>
              <w:spacing w:before="156"/>
              <w:jc w:val="center"/>
              <w:rPr>
                <w:sz w:val="18"/>
                <w:szCs w:val="18"/>
              </w:rPr>
            </w:pPr>
            <w:r>
              <w:rPr>
                <w:sz w:val="18"/>
                <w:szCs w:val="18"/>
              </w:rPr>
              <w:t>0</w:t>
            </w:r>
          </w:p>
        </w:tc>
        <w:tc>
          <w:tcPr>
            <w:tcW w:w="804" w:type="pct"/>
            <w:tcBorders>
              <w:right w:val="nil"/>
            </w:tcBorders>
            <w:shd w:val="clear" w:color="auto" w:fill="auto"/>
            <w:vAlign w:val="center"/>
          </w:tcPr>
          <w:p>
            <w:pPr>
              <w:adjustRightInd w:val="0"/>
              <w:snapToGrid w:val="0"/>
              <w:spacing w:before="156"/>
              <w:jc w:val="center"/>
              <w:rPr>
                <w:sz w:val="18"/>
                <w:szCs w:val="18"/>
              </w:rPr>
            </w:pP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1" w:type="pct"/>
            <w:tcBorders>
              <w:left w:val="nil"/>
            </w:tcBorders>
            <w:shd w:val="clear" w:color="auto" w:fill="auto"/>
            <w:vAlign w:val="center"/>
          </w:tcPr>
          <w:p>
            <w:pPr>
              <w:adjustRightInd w:val="0"/>
              <w:snapToGrid w:val="0"/>
              <w:spacing w:before="156"/>
              <w:jc w:val="center"/>
              <w:rPr>
                <w:sz w:val="18"/>
                <w:szCs w:val="18"/>
              </w:rPr>
            </w:pPr>
            <w:r>
              <w:rPr>
                <w:rFonts w:hint="eastAsia"/>
                <w:sz w:val="18"/>
                <w:szCs w:val="18"/>
              </w:rPr>
              <w:t>14标准化和相关技术</w:t>
            </w:r>
          </w:p>
        </w:tc>
        <w:tc>
          <w:tcPr>
            <w:tcW w:w="972" w:type="pct"/>
            <w:shd w:val="clear" w:color="auto" w:fill="auto"/>
            <w:vAlign w:val="center"/>
          </w:tcPr>
          <w:p>
            <w:pPr>
              <w:adjustRightInd w:val="0"/>
              <w:snapToGrid w:val="0"/>
              <w:spacing w:before="156"/>
              <w:jc w:val="center"/>
              <w:rPr>
                <w:sz w:val="18"/>
                <w:szCs w:val="18"/>
              </w:rPr>
            </w:pPr>
            <w:r>
              <w:rPr>
                <w:sz w:val="18"/>
                <w:szCs w:val="18"/>
              </w:rPr>
              <w:t>1</w:t>
            </w:r>
          </w:p>
        </w:tc>
        <w:tc>
          <w:tcPr>
            <w:tcW w:w="983" w:type="pct"/>
            <w:shd w:val="clear" w:color="auto" w:fill="auto"/>
            <w:vAlign w:val="center"/>
          </w:tcPr>
          <w:p>
            <w:pPr>
              <w:adjustRightInd w:val="0"/>
              <w:snapToGrid w:val="0"/>
              <w:spacing w:before="156"/>
              <w:jc w:val="center"/>
              <w:rPr>
                <w:sz w:val="18"/>
                <w:szCs w:val="18"/>
              </w:rPr>
            </w:pPr>
            <w:r>
              <w:rPr>
                <w:sz w:val="18"/>
                <w:szCs w:val="18"/>
              </w:rPr>
              <w:t>0</w:t>
            </w:r>
          </w:p>
        </w:tc>
        <w:tc>
          <w:tcPr>
            <w:tcW w:w="804" w:type="pct"/>
            <w:tcBorders>
              <w:right w:val="nil"/>
            </w:tcBorders>
            <w:shd w:val="clear" w:color="auto" w:fill="auto"/>
            <w:vAlign w:val="center"/>
          </w:tcPr>
          <w:p>
            <w:pPr>
              <w:adjustRightInd w:val="0"/>
              <w:snapToGrid w:val="0"/>
              <w:spacing w:before="156"/>
              <w:jc w:val="center"/>
              <w:rPr>
                <w:sz w:val="18"/>
                <w:szCs w:val="18"/>
              </w:rPr>
            </w:pP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1" w:type="pct"/>
            <w:tcBorders>
              <w:left w:val="nil"/>
              <w:bottom w:val="single" w:color="auto" w:sz="4" w:space="0"/>
            </w:tcBorders>
            <w:shd w:val="clear" w:color="auto" w:fill="auto"/>
            <w:vAlign w:val="center"/>
          </w:tcPr>
          <w:p>
            <w:pPr>
              <w:adjustRightInd w:val="0"/>
              <w:snapToGrid w:val="0"/>
              <w:spacing w:before="156"/>
              <w:jc w:val="center"/>
              <w:rPr>
                <w:sz w:val="18"/>
                <w:szCs w:val="18"/>
              </w:rPr>
            </w:pPr>
            <w:r>
              <w:rPr>
                <w:sz w:val="18"/>
                <w:szCs w:val="18"/>
              </w:rPr>
              <w:t>合计</w:t>
            </w:r>
          </w:p>
        </w:tc>
        <w:tc>
          <w:tcPr>
            <w:tcW w:w="972" w:type="pct"/>
            <w:tcBorders>
              <w:bottom w:val="single" w:color="auto" w:sz="4" w:space="0"/>
            </w:tcBorders>
            <w:shd w:val="clear" w:color="auto" w:fill="auto"/>
            <w:vAlign w:val="center"/>
          </w:tcPr>
          <w:p>
            <w:pPr>
              <w:adjustRightInd w:val="0"/>
              <w:snapToGrid w:val="0"/>
              <w:spacing w:before="156"/>
              <w:jc w:val="center"/>
              <w:rPr>
                <w:sz w:val="18"/>
                <w:szCs w:val="18"/>
              </w:rPr>
            </w:pPr>
            <w:r>
              <w:rPr>
                <w:rFonts w:hint="eastAsia"/>
                <w:sz w:val="18"/>
                <w:szCs w:val="18"/>
              </w:rPr>
              <w:t>16</w:t>
            </w:r>
          </w:p>
        </w:tc>
        <w:tc>
          <w:tcPr>
            <w:tcW w:w="983" w:type="pct"/>
            <w:tcBorders>
              <w:bottom w:val="single" w:color="auto" w:sz="4" w:space="0"/>
            </w:tcBorders>
            <w:shd w:val="clear" w:color="auto" w:fill="auto"/>
            <w:vAlign w:val="center"/>
          </w:tcPr>
          <w:p>
            <w:pPr>
              <w:adjustRightInd w:val="0"/>
              <w:snapToGrid w:val="0"/>
              <w:spacing w:before="156"/>
              <w:jc w:val="center"/>
              <w:rPr>
                <w:sz w:val="18"/>
                <w:szCs w:val="18"/>
              </w:rPr>
            </w:pPr>
            <w:r>
              <w:rPr>
                <w:rFonts w:hint="eastAsia"/>
                <w:sz w:val="18"/>
                <w:szCs w:val="18"/>
              </w:rPr>
              <w:t>0</w:t>
            </w:r>
          </w:p>
        </w:tc>
        <w:tc>
          <w:tcPr>
            <w:tcW w:w="804" w:type="pct"/>
            <w:tcBorders>
              <w:bottom w:val="single" w:color="auto" w:sz="4" w:space="0"/>
              <w:right w:val="nil"/>
            </w:tcBorders>
            <w:shd w:val="clear" w:color="auto" w:fill="auto"/>
            <w:vAlign w:val="center"/>
          </w:tcPr>
          <w:p>
            <w:pPr>
              <w:adjustRightInd w:val="0"/>
              <w:snapToGrid w:val="0"/>
              <w:spacing w:before="156"/>
              <w:jc w:val="center"/>
              <w:rPr>
                <w:sz w:val="18"/>
                <w:szCs w:val="18"/>
              </w:rPr>
            </w:pPr>
            <w:r>
              <w:rPr>
                <w:rFonts w:hint="eastAsia"/>
                <w:sz w:val="18"/>
                <w:szCs w:val="18"/>
              </w:rPr>
              <w:t>16</w:t>
            </w:r>
          </w:p>
        </w:tc>
      </w:tr>
    </w:tbl>
    <w:p>
      <w:pPr>
        <w:spacing w:line="360" w:lineRule="auto"/>
        <w:rPr>
          <w:b/>
          <w:sz w:val="24"/>
          <w:szCs w:val="24"/>
        </w:rPr>
      </w:pPr>
    </w:p>
    <w:p>
      <w:pPr>
        <w:tabs>
          <w:tab w:val="left" w:pos="420"/>
        </w:tabs>
        <w:spacing w:line="360" w:lineRule="auto"/>
        <w:ind w:left="420" w:hanging="420"/>
        <w:rPr>
          <w:rFonts w:eastAsia="黑体"/>
          <w:szCs w:val="24"/>
        </w:rPr>
      </w:pPr>
      <w:r>
        <w:rPr>
          <w:rFonts w:hint="eastAsia" w:eastAsia="黑体"/>
          <w:szCs w:val="24"/>
        </w:rPr>
        <w:t>七、教材、补充教材及参考资料</w:t>
      </w:r>
    </w:p>
    <w:p>
      <w:pPr>
        <w:widowControl/>
        <w:tabs>
          <w:tab w:val="left" w:pos="900"/>
        </w:tabs>
        <w:adjustRightInd w:val="0"/>
        <w:snapToGrid w:val="0"/>
        <w:spacing w:line="360" w:lineRule="auto"/>
        <w:ind w:firstLine="420" w:firstLineChars="200"/>
        <w:rPr>
          <w:bCs/>
          <w:snapToGrid w:val="0"/>
          <w:kern w:val="0"/>
          <w:szCs w:val="21"/>
        </w:rPr>
      </w:pPr>
      <w:r>
        <w:rPr>
          <w:bCs/>
          <w:snapToGrid w:val="0"/>
          <w:kern w:val="0"/>
          <w:szCs w:val="21"/>
        </w:rPr>
        <w:t>1、</w:t>
      </w:r>
      <w:r>
        <w:rPr>
          <w:rFonts w:hint="eastAsia"/>
          <w:bCs/>
          <w:snapToGrid w:val="0"/>
          <w:kern w:val="0"/>
          <w:szCs w:val="21"/>
        </w:rPr>
        <w:t>李联宁</w:t>
      </w:r>
      <w:r>
        <w:rPr>
          <w:bCs/>
          <w:snapToGrid w:val="0"/>
          <w:kern w:val="0"/>
          <w:szCs w:val="21"/>
        </w:rPr>
        <w:t>，《</w:t>
      </w:r>
      <w:r>
        <w:rPr>
          <w:rFonts w:hint="eastAsia"/>
          <w:bCs/>
          <w:snapToGrid w:val="0"/>
          <w:kern w:val="0"/>
          <w:szCs w:val="21"/>
        </w:rPr>
        <w:t>物联网技术基础教程</w:t>
      </w:r>
      <w:r>
        <w:rPr>
          <w:bCs/>
          <w:snapToGrid w:val="0"/>
          <w:kern w:val="0"/>
          <w:szCs w:val="21"/>
        </w:rPr>
        <w:t>》，ISBN9787302422020，</w:t>
      </w:r>
      <w:r>
        <w:rPr>
          <w:rFonts w:hint="eastAsia"/>
          <w:bCs/>
          <w:snapToGrid w:val="0"/>
          <w:kern w:val="0"/>
          <w:szCs w:val="21"/>
        </w:rPr>
        <w:t>清华大学</w:t>
      </w:r>
      <w:r>
        <w:rPr>
          <w:bCs/>
          <w:snapToGrid w:val="0"/>
          <w:kern w:val="0"/>
          <w:szCs w:val="21"/>
        </w:rPr>
        <w:t>出版社 2019.07。</w:t>
      </w:r>
    </w:p>
    <w:p>
      <w:pPr>
        <w:widowControl/>
        <w:tabs>
          <w:tab w:val="left" w:pos="900"/>
        </w:tabs>
        <w:adjustRightInd w:val="0"/>
        <w:snapToGrid w:val="0"/>
        <w:spacing w:line="360" w:lineRule="auto"/>
        <w:ind w:firstLine="420" w:firstLineChars="200"/>
        <w:rPr>
          <w:bCs/>
          <w:snapToGrid w:val="0"/>
          <w:kern w:val="0"/>
          <w:szCs w:val="21"/>
        </w:rPr>
      </w:pPr>
      <w:r>
        <w:rPr>
          <w:bCs/>
          <w:snapToGrid w:val="0"/>
          <w:kern w:val="0"/>
          <w:szCs w:val="21"/>
        </w:rPr>
        <w:t>2、</w:t>
      </w:r>
      <w:r>
        <w:rPr>
          <w:rFonts w:hint="eastAsia"/>
          <w:bCs/>
          <w:snapToGrid w:val="0"/>
          <w:kern w:val="0"/>
          <w:szCs w:val="21"/>
        </w:rPr>
        <w:t>马静，《物联网基础教程》，ISBN</w:t>
      </w:r>
      <w:r>
        <w:rPr>
          <w:bCs/>
          <w:snapToGrid w:val="0"/>
          <w:kern w:val="0"/>
          <w:szCs w:val="21"/>
        </w:rPr>
        <w:t>9787302302445</w:t>
      </w:r>
      <w:r>
        <w:rPr>
          <w:rFonts w:hint="eastAsia"/>
          <w:bCs/>
          <w:snapToGrid w:val="0"/>
          <w:kern w:val="0"/>
          <w:szCs w:val="21"/>
        </w:rPr>
        <w:t>，清华大学出版社，2012-11</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3、张新程，《物联网构建技术》，</w:t>
      </w:r>
      <w:r>
        <w:rPr>
          <w:bCs/>
          <w:snapToGrid w:val="0"/>
          <w:kern w:val="0"/>
          <w:szCs w:val="21"/>
        </w:rPr>
        <w:t>ISBN 9787115255396</w:t>
      </w:r>
      <w:r>
        <w:rPr>
          <w:rFonts w:hint="eastAsia"/>
          <w:bCs/>
          <w:snapToGrid w:val="0"/>
          <w:kern w:val="0"/>
          <w:szCs w:val="21"/>
        </w:rPr>
        <w:t>，人民邮电出版社，2011-07</w:t>
      </w:r>
      <w:r>
        <w:rPr>
          <w:bCs/>
          <w:snapToGrid w:val="0"/>
          <w:kern w:val="0"/>
          <w:szCs w:val="21"/>
        </w:rPr>
        <w:t>。</w:t>
      </w:r>
    </w:p>
    <w:p>
      <w:pPr>
        <w:widowControl/>
        <w:tabs>
          <w:tab w:val="left" w:pos="900"/>
        </w:tabs>
        <w:adjustRightInd w:val="0"/>
        <w:snapToGrid w:val="0"/>
        <w:spacing w:line="360" w:lineRule="auto"/>
        <w:ind w:firstLine="420" w:firstLineChars="200"/>
        <w:rPr>
          <w:bCs/>
          <w:snapToGrid w:val="0"/>
          <w:kern w:val="0"/>
          <w:szCs w:val="21"/>
        </w:rPr>
      </w:pPr>
      <w:r>
        <w:rPr>
          <w:rFonts w:hint="eastAsia"/>
          <w:bCs/>
          <w:snapToGrid w:val="0"/>
          <w:kern w:val="0"/>
          <w:szCs w:val="21"/>
        </w:rPr>
        <w:t>4</w:t>
      </w:r>
      <w:r>
        <w:rPr>
          <w:bCs/>
          <w:snapToGrid w:val="0"/>
          <w:kern w:val="0"/>
          <w:szCs w:val="21"/>
        </w:rPr>
        <w:t>、</w:t>
      </w:r>
      <w:r>
        <w:rPr>
          <w:rFonts w:hint="eastAsia"/>
          <w:bCs/>
          <w:snapToGrid w:val="0"/>
          <w:kern w:val="0"/>
          <w:szCs w:val="21"/>
        </w:rPr>
        <w:t>赵健，《物联网概述》，ISBN</w:t>
      </w:r>
      <w:r>
        <w:rPr>
          <w:bCs/>
          <w:snapToGrid w:val="0"/>
          <w:kern w:val="0"/>
          <w:szCs w:val="21"/>
        </w:rPr>
        <w:t xml:space="preserve"> 9787302303489</w:t>
      </w:r>
      <w:r>
        <w:rPr>
          <w:rFonts w:hint="eastAsia"/>
          <w:bCs/>
          <w:snapToGrid w:val="0"/>
          <w:kern w:val="0"/>
          <w:szCs w:val="21"/>
        </w:rPr>
        <w:t>，清华大学出版社，2013-02</w:t>
      </w:r>
      <w:r>
        <w:rPr>
          <w:bCs/>
          <w:snapToGrid w:val="0"/>
          <w:kern w:val="0"/>
          <w:szCs w:val="21"/>
        </w:rPr>
        <w:t>。</w:t>
      </w:r>
    </w:p>
    <w:p>
      <w:pPr>
        <w:widowControl/>
        <w:tabs>
          <w:tab w:val="left" w:pos="900"/>
        </w:tabs>
        <w:adjustRightInd w:val="0"/>
        <w:snapToGrid w:val="0"/>
        <w:spacing w:line="360" w:lineRule="auto"/>
        <w:ind w:firstLine="420" w:firstLineChars="200"/>
        <w:rPr>
          <w:bCs/>
          <w:snapToGrid w:val="0"/>
          <w:kern w:val="0"/>
          <w:szCs w:val="21"/>
        </w:rPr>
      </w:pPr>
      <w:r>
        <w:rPr>
          <w:rFonts w:hint="eastAsia" w:eastAsia="黑体"/>
          <w:szCs w:val="24"/>
        </w:rPr>
        <w:t>5、</w:t>
      </w:r>
      <w:r>
        <w:rPr>
          <w:rFonts w:hint="eastAsia"/>
          <w:bCs/>
          <w:snapToGrid w:val="0"/>
          <w:kern w:val="0"/>
          <w:szCs w:val="21"/>
        </w:rPr>
        <w:t>欧境波《物联网应用技术》资料链接：</w:t>
      </w:r>
      <w:r>
        <w:fldChar w:fldCharType="begin"/>
      </w:r>
      <w:r>
        <w:instrText xml:space="preserve"> HYPERLINK "https://edu.51cto.com/topic/2153.html" </w:instrText>
      </w:r>
      <w:r>
        <w:fldChar w:fldCharType="separate"/>
      </w:r>
      <w:r>
        <w:rPr>
          <w:rStyle w:val="22"/>
          <w:bCs/>
          <w:snapToGrid w:val="0"/>
          <w:kern w:val="0"/>
          <w:szCs w:val="21"/>
        </w:rPr>
        <w:t>https://edu.51cto.com/topic/2153.html</w:t>
      </w:r>
      <w:r>
        <w:rPr>
          <w:rStyle w:val="22"/>
          <w:bCs/>
          <w:snapToGrid w:val="0"/>
          <w:kern w:val="0"/>
          <w:szCs w:val="21"/>
        </w:rPr>
        <w:fldChar w:fldCharType="end"/>
      </w:r>
    </w:p>
    <w:p>
      <w:pPr>
        <w:widowControl/>
        <w:tabs>
          <w:tab w:val="left" w:pos="900"/>
        </w:tabs>
        <w:adjustRightInd w:val="0"/>
        <w:snapToGrid w:val="0"/>
        <w:spacing w:line="360" w:lineRule="auto"/>
        <w:ind w:firstLine="420" w:firstLineChars="200"/>
        <w:rPr>
          <w:bCs/>
          <w:snapToGrid w:val="0"/>
          <w:kern w:val="0"/>
          <w:szCs w:val="21"/>
        </w:rPr>
      </w:pPr>
    </w:p>
    <w:p>
      <w:pPr>
        <w:tabs>
          <w:tab w:val="left" w:pos="420"/>
        </w:tabs>
        <w:spacing w:line="360" w:lineRule="auto"/>
        <w:ind w:left="420" w:hanging="420"/>
        <w:rPr>
          <w:rFonts w:eastAsia="黑体"/>
          <w:szCs w:val="24"/>
        </w:rPr>
      </w:pPr>
      <w:r>
        <w:rPr>
          <w:rFonts w:hint="eastAsia" w:eastAsia="黑体"/>
          <w:szCs w:val="24"/>
        </w:rPr>
        <w:t>八、课程目标达成的途径和措施</w:t>
      </w:r>
    </w:p>
    <w:p>
      <w:pPr>
        <w:spacing w:line="360" w:lineRule="auto"/>
        <w:ind w:firstLine="420" w:firstLineChars="200"/>
        <w:rPr>
          <w:szCs w:val="21"/>
        </w:rPr>
      </w:pPr>
      <w:r>
        <w:rPr>
          <w:szCs w:val="21"/>
        </w:rPr>
        <w:t>1</w:t>
      </w:r>
      <w:r>
        <w:rPr>
          <w:rFonts w:hint="eastAsia"/>
          <w:szCs w:val="21"/>
        </w:rPr>
        <w:t>、考核目标：</w:t>
      </w:r>
      <w:r>
        <w:rPr>
          <w:rFonts w:hint="eastAsia"/>
          <w:bCs/>
          <w:snapToGrid w:val="0"/>
          <w:kern w:val="0"/>
          <w:szCs w:val="21"/>
        </w:rPr>
        <w:t>学生对物联网的实现架构和技术体系的分析、设计能力</w:t>
      </w:r>
      <w:r>
        <w:rPr>
          <w:bCs/>
          <w:snapToGrid w:val="0"/>
          <w:kern w:val="0"/>
          <w:szCs w:val="21"/>
        </w:rPr>
        <w:t>。</w:t>
      </w:r>
    </w:p>
    <w:p>
      <w:pPr>
        <w:spacing w:line="360" w:lineRule="auto"/>
        <w:ind w:firstLine="420" w:firstLineChars="200"/>
        <w:rPr>
          <w:szCs w:val="21"/>
        </w:rPr>
      </w:pPr>
      <w:r>
        <w:rPr>
          <w:szCs w:val="21"/>
        </w:rPr>
        <w:t>2</w:t>
      </w:r>
      <w:r>
        <w:rPr>
          <w:rFonts w:hint="eastAsia"/>
          <w:szCs w:val="21"/>
        </w:rPr>
        <w:t>、考核方式：</w:t>
      </w:r>
      <w:r>
        <w:rPr>
          <w:rFonts w:hint="eastAsia"/>
          <w:bCs/>
          <w:snapToGrid w:val="0"/>
          <w:kern w:val="0"/>
          <w:szCs w:val="21"/>
        </w:rPr>
        <w:t>作业</w:t>
      </w:r>
      <w:r>
        <w:rPr>
          <w:bCs/>
          <w:snapToGrid w:val="0"/>
          <w:kern w:val="0"/>
          <w:szCs w:val="21"/>
        </w:rPr>
        <w:t>、报告。</w:t>
      </w:r>
    </w:p>
    <w:p>
      <w:pPr>
        <w:spacing w:line="360" w:lineRule="auto"/>
        <w:ind w:firstLine="420" w:firstLineChars="200"/>
        <w:rPr>
          <w:color w:val="0000FF"/>
        </w:rPr>
      </w:pPr>
      <w:r>
        <w:rPr>
          <w:szCs w:val="21"/>
        </w:rPr>
        <w:t>3、</w:t>
      </w:r>
      <w:r>
        <w:rPr>
          <w:rFonts w:hint="eastAsia"/>
          <w:szCs w:val="21"/>
        </w:rPr>
        <w:t>评价环节对课程目标达成贡献率及支撑材料：</w:t>
      </w:r>
    </w:p>
    <w:tbl>
      <w:tblPr>
        <w:tblStyle w:val="19"/>
        <w:tblW w:w="5000" w:type="pct"/>
        <w:jc w:val="center"/>
        <w:tblLayout w:type="autofit"/>
        <w:tblCellMar>
          <w:top w:w="0" w:type="dxa"/>
          <w:left w:w="108" w:type="dxa"/>
          <w:bottom w:w="0" w:type="dxa"/>
          <w:right w:w="108" w:type="dxa"/>
        </w:tblCellMar>
      </w:tblPr>
      <w:tblGrid>
        <w:gridCol w:w="1616"/>
        <w:gridCol w:w="3456"/>
        <w:gridCol w:w="3456"/>
      </w:tblGrid>
      <w:tr>
        <w:tblPrEx>
          <w:tblCellMar>
            <w:top w:w="0" w:type="dxa"/>
            <w:left w:w="108" w:type="dxa"/>
            <w:bottom w:w="0" w:type="dxa"/>
            <w:right w:w="108" w:type="dxa"/>
          </w:tblCellMar>
        </w:tblPrEx>
        <w:trPr>
          <w:trHeight w:val="649" w:hRule="atLeast"/>
          <w:jc w:val="center"/>
        </w:trPr>
        <w:tc>
          <w:tcPr>
            <w:tcW w:w="1782" w:type="pct"/>
            <w:tcBorders>
              <w:top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rPr>
            </w:pPr>
            <w:r>
              <w:rPr>
                <w:rFonts w:hint="eastAsia" w:ascii="宋体" w:hAnsi="宋体" w:cs="宋体"/>
                <w:color w:val="000000"/>
                <w:kern w:val="0"/>
                <w:sz w:val="18"/>
              </w:rPr>
              <w:t>考察环节</w:t>
            </w:r>
          </w:p>
        </w:tc>
        <w:tc>
          <w:tcPr>
            <w:tcW w:w="170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rPr>
            </w:pPr>
            <w:r>
              <w:rPr>
                <w:rFonts w:hint="eastAsia" w:ascii="宋体" w:hAnsi="宋体" w:cs="宋体"/>
                <w:color w:val="000000"/>
                <w:kern w:val="0"/>
                <w:sz w:val="18"/>
              </w:rPr>
              <w:t>作业</w:t>
            </w:r>
          </w:p>
        </w:tc>
        <w:tc>
          <w:tcPr>
            <w:tcW w:w="1515" w:type="pct"/>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cs="宋体"/>
                <w:color w:val="000000"/>
                <w:kern w:val="0"/>
                <w:sz w:val="18"/>
              </w:rPr>
            </w:pPr>
            <w:r>
              <w:rPr>
                <w:rFonts w:hint="eastAsia" w:ascii="宋体" w:hAnsi="宋体" w:cs="宋体"/>
                <w:color w:val="000000"/>
                <w:kern w:val="0"/>
                <w:sz w:val="18"/>
              </w:rPr>
              <w:t>报告</w:t>
            </w:r>
          </w:p>
        </w:tc>
      </w:tr>
      <w:tr>
        <w:tblPrEx>
          <w:tblCellMar>
            <w:top w:w="0" w:type="dxa"/>
            <w:left w:w="108" w:type="dxa"/>
            <w:bottom w:w="0" w:type="dxa"/>
            <w:right w:w="108" w:type="dxa"/>
          </w:tblCellMar>
        </w:tblPrEx>
        <w:trPr>
          <w:trHeight w:val="558" w:hRule="atLeast"/>
          <w:jc w:val="center"/>
        </w:trPr>
        <w:tc>
          <w:tcPr>
            <w:tcW w:w="1782" w:type="pct"/>
            <w:tcBorders>
              <w:top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rPr>
            </w:pPr>
            <w:r>
              <w:rPr>
                <w:rFonts w:hint="eastAsia" w:ascii="宋体" w:hAnsi="宋体" w:cs="宋体"/>
                <w:color w:val="000000"/>
                <w:kern w:val="0"/>
                <w:sz w:val="18"/>
              </w:rPr>
              <w:t>课程目标达成</w:t>
            </w:r>
          </w:p>
          <w:p>
            <w:pPr>
              <w:widowControl/>
              <w:jc w:val="center"/>
              <w:rPr>
                <w:rFonts w:ascii="宋体" w:hAnsi="宋体" w:cs="宋体"/>
                <w:color w:val="000000"/>
                <w:kern w:val="0"/>
                <w:sz w:val="18"/>
              </w:rPr>
            </w:pPr>
            <w:r>
              <w:rPr>
                <w:rFonts w:hint="eastAsia" w:ascii="宋体" w:hAnsi="宋体" w:cs="宋体"/>
                <w:color w:val="000000"/>
                <w:kern w:val="0"/>
                <w:sz w:val="18"/>
              </w:rPr>
              <w:t>的贡献率</w:t>
            </w:r>
          </w:p>
        </w:tc>
        <w:tc>
          <w:tcPr>
            <w:tcW w:w="170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18"/>
                <w:szCs w:val="18"/>
              </w:rPr>
            </w:pPr>
            <w:r>
              <w:rPr>
                <w:sz w:val="18"/>
                <w:szCs w:val="18"/>
              </w:rPr>
              <w:t>0.</w:t>
            </w:r>
            <w:r>
              <w:rPr>
                <w:rFonts w:hint="eastAsia"/>
                <w:sz w:val="18"/>
                <w:szCs w:val="18"/>
              </w:rPr>
              <w:t>46</w:t>
            </w:r>
          </w:p>
        </w:tc>
        <w:tc>
          <w:tcPr>
            <w:tcW w:w="1515" w:type="pct"/>
            <w:tcBorders>
              <w:top w:val="single" w:color="auto" w:sz="4" w:space="0"/>
              <w:left w:val="single" w:color="auto" w:sz="4" w:space="0"/>
              <w:bottom w:val="single" w:color="auto" w:sz="4" w:space="0"/>
            </w:tcBorders>
            <w:shd w:val="clear" w:color="auto" w:fill="auto"/>
            <w:noWrap/>
            <w:vAlign w:val="center"/>
          </w:tcPr>
          <w:p>
            <w:pPr>
              <w:jc w:val="center"/>
              <w:rPr>
                <w:sz w:val="18"/>
                <w:szCs w:val="18"/>
              </w:rPr>
            </w:pPr>
            <w:r>
              <w:rPr>
                <w:sz w:val="18"/>
                <w:szCs w:val="18"/>
              </w:rPr>
              <w:t>0.</w:t>
            </w:r>
            <w:r>
              <w:rPr>
                <w:rFonts w:hint="eastAsia"/>
                <w:sz w:val="18"/>
                <w:szCs w:val="18"/>
              </w:rPr>
              <w:t>54</w:t>
            </w:r>
          </w:p>
        </w:tc>
      </w:tr>
      <w:tr>
        <w:tblPrEx>
          <w:tblCellMar>
            <w:top w:w="0" w:type="dxa"/>
            <w:left w:w="108" w:type="dxa"/>
            <w:bottom w:w="0" w:type="dxa"/>
            <w:right w:w="108" w:type="dxa"/>
          </w:tblCellMar>
        </w:tblPrEx>
        <w:trPr>
          <w:trHeight w:val="836" w:hRule="atLeast"/>
          <w:jc w:val="center"/>
        </w:trPr>
        <w:tc>
          <w:tcPr>
            <w:tcW w:w="1782" w:type="pct"/>
            <w:tcBorders>
              <w:top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rPr>
            </w:pPr>
            <w:r>
              <w:rPr>
                <w:rFonts w:hint="eastAsia" w:ascii="宋体" w:hAnsi="宋体" w:cs="宋体"/>
                <w:color w:val="000000"/>
                <w:kern w:val="0"/>
                <w:sz w:val="18"/>
              </w:rPr>
              <w:t>支撑材料</w:t>
            </w:r>
          </w:p>
        </w:tc>
        <w:tc>
          <w:tcPr>
            <w:tcW w:w="170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rPr>
            </w:pPr>
            <w:r>
              <w:rPr>
                <w:rFonts w:ascii="宋体" w:hAnsi="宋体" w:cs="宋体"/>
                <w:color w:val="000000"/>
                <w:kern w:val="0"/>
                <w:sz w:val="18"/>
              </w:rPr>
              <w:t>作业评价标准，</w:t>
            </w:r>
            <w:r>
              <w:rPr>
                <w:rFonts w:hint="eastAsia" w:ascii="宋体" w:hAnsi="宋体" w:cs="宋体"/>
                <w:color w:val="000000"/>
                <w:kern w:val="0"/>
                <w:sz w:val="18"/>
              </w:rPr>
              <w:t>典型作业</w:t>
            </w:r>
            <w:r>
              <w:rPr>
                <w:rFonts w:ascii="宋体" w:hAnsi="宋体" w:cs="宋体"/>
                <w:color w:val="000000"/>
                <w:kern w:val="0"/>
                <w:sz w:val="18"/>
              </w:rPr>
              <w:t>拍照，或电子版</w:t>
            </w:r>
          </w:p>
        </w:tc>
        <w:tc>
          <w:tcPr>
            <w:tcW w:w="1515" w:type="pct"/>
            <w:tcBorders>
              <w:top w:val="single" w:color="auto" w:sz="4" w:space="0"/>
              <w:left w:val="single" w:color="auto" w:sz="4" w:space="0"/>
              <w:bottom w:val="single" w:color="auto" w:sz="4" w:space="0"/>
            </w:tcBorders>
            <w:shd w:val="clear" w:color="auto" w:fill="auto"/>
            <w:noWrap/>
            <w:vAlign w:val="center"/>
          </w:tcPr>
          <w:p>
            <w:pPr>
              <w:widowControl/>
              <w:jc w:val="center"/>
              <w:rPr>
                <w:rFonts w:ascii="宋体" w:hAnsi="宋体" w:cs="宋体"/>
                <w:color w:val="000000"/>
                <w:kern w:val="0"/>
                <w:sz w:val="18"/>
              </w:rPr>
            </w:pPr>
            <w:r>
              <w:rPr>
                <w:rFonts w:hint="eastAsia" w:ascii="宋体" w:hAnsi="宋体" w:cs="宋体"/>
                <w:color w:val="000000"/>
                <w:kern w:val="0"/>
                <w:sz w:val="18"/>
              </w:rPr>
              <w:t>报告评价标准，典型报告拍照，或电子版</w:t>
            </w:r>
          </w:p>
        </w:tc>
      </w:tr>
    </w:tbl>
    <w:p>
      <w:pPr>
        <w:tabs>
          <w:tab w:val="left" w:pos="420"/>
        </w:tabs>
        <w:adjustRightInd w:val="0"/>
        <w:snapToGrid w:val="0"/>
        <w:spacing w:line="360" w:lineRule="auto"/>
        <w:ind w:left="420" w:hanging="420"/>
        <w:rPr>
          <w:rFonts w:eastAsia="黑体"/>
          <w:szCs w:val="24"/>
        </w:rPr>
      </w:pPr>
    </w:p>
    <w:p>
      <w:pPr>
        <w:tabs>
          <w:tab w:val="left" w:pos="420"/>
        </w:tabs>
        <w:adjustRightInd w:val="0"/>
        <w:snapToGrid w:val="0"/>
        <w:spacing w:line="360" w:lineRule="auto"/>
        <w:ind w:left="420" w:hanging="420"/>
        <w:rPr>
          <w:rFonts w:ascii="宋体" w:hAnsi="宋体"/>
          <w:sz w:val="18"/>
          <w:szCs w:val="18"/>
        </w:rPr>
      </w:pPr>
      <w:r>
        <w:rPr>
          <w:rFonts w:eastAsia="黑体"/>
          <w:szCs w:val="24"/>
        </w:rPr>
        <w:t>九</w:t>
      </w:r>
      <w:r>
        <w:rPr>
          <w:rFonts w:hint="eastAsia" w:eastAsia="黑体"/>
          <w:szCs w:val="24"/>
        </w:rPr>
        <w:t>、覆盖课程目标达成评价的知识点及权重</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19"/>
        <w:gridCol w:w="1513"/>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67" w:type="pct"/>
            <w:tcBorders>
              <w:top w:val="single" w:color="auto" w:sz="4" w:space="0"/>
              <w:left w:val="nil"/>
            </w:tcBorders>
            <w:vAlign w:val="center"/>
          </w:tcPr>
          <w:p>
            <w:pPr>
              <w:jc w:val="center"/>
              <w:rPr>
                <w:sz w:val="18"/>
                <w:szCs w:val="18"/>
              </w:rPr>
            </w:pPr>
            <w:r>
              <w:rPr>
                <w:sz w:val="18"/>
                <w:szCs w:val="18"/>
              </w:rPr>
              <w:t>知识点</w:t>
            </w:r>
          </w:p>
        </w:tc>
        <w:tc>
          <w:tcPr>
            <w:tcW w:w="887" w:type="pct"/>
            <w:tcBorders>
              <w:top w:val="single" w:color="auto" w:sz="4" w:space="0"/>
            </w:tcBorders>
            <w:vAlign w:val="center"/>
          </w:tcPr>
          <w:p>
            <w:pPr>
              <w:jc w:val="center"/>
              <w:rPr>
                <w:sz w:val="18"/>
                <w:szCs w:val="18"/>
              </w:rPr>
            </w:pPr>
            <w:r>
              <w:rPr>
                <w:sz w:val="18"/>
                <w:szCs w:val="18"/>
              </w:rPr>
              <w:t>权重</w:t>
            </w:r>
          </w:p>
        </w:tc>
        <w:tc>
          <w:tcPr>
            <w:tcW w:w="1346" w:type="pct"/>
            <w:tcBorders>
              <w:top w:val="single" w:color="auto" w:sz="4" w:space="0"/>
              <w:right w:val="nil"/>
            </w:tcBorders>
            <w:vAlign w:val="center"/>
          </w:tcPr>
          <w:p>
            <w:pPr>
              <w:jc w:val="center"/>
              <w:rPr>
                <w:sz w:val="18"/>
                <w:szCs w:val="18"/>
              </w:rPr>
            </w:pPr>
            <w:r>
              <w:rPr>
                <w:sz w:val="18"/>
                <w:szCs w:val="18"/>
              </w:rPr>
              <w:t>支撑课程目标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67" w:type="pct"/>
            <w:tcBorders>
              <w:left w:val="nil"/>
            </w:tcBorders>
            <w:vAlign w:val="center"/>
          </w:tcPr>
          <w:p>
            <w:pPr>
              <w:rPr>
                <w:sz w:val="18"/>
                <w:szCs w:val="18"/>
              </w:rPr>
            </w:pPr>
            <w:r>
              <w:rPr>
                <w:sz w:val="18"/>
                <w:szCs w:val="18"/>
              </w:rPr>
              <w:t>1物联网概述</w:t>
            </w:r>
          </w:p>
        </w:tc>
        <w:tc>
          <w:tcPr>
            <w:tcW w:w="887" w:type="pct"/>
            <w:vAlign w:val="center"/>
          </w:tcPr>
          <w:p>
            <w:pPr>
              <w:jc w:val="center"/>
              <w:rPr>
                <w:sz w:val="18"/>
                <w:szCs w:val="18"/>
              </w:rPr>
            </w:pPr>
            <w:r>
              <w:rPr>
                <w:sz w:val="18"/>
                <w:szCs w:val="18"/>
              </w:rPr>
              <w:t>0.0625</w:t>
            </w:r>
          </w:p>
        </w:tc>
        <w:tc>
          <w:tcPr>
            <w:tcW w:w="1346" w:type="pct"/>
            <w:tcBorders>
              <w:right w:val="nil"/>
            </w:tcBorders>
            <w:vAlign w:val="center"/>
          </w:tcPr>
          <w:p>
            <w:pPr>
              <w:jc w:val="center"/>
              <w:rPr>
                <w:sz w:val="18"/>
                <w:szCs w:val="18"/>
              </w:rPr>
            </w:pP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67" w:type="pct"/>
            <w:tcBorders>
              <w:left w:val="nil"/>
            </w:tcBorders>
            <w:vAlign w:val="center"/>
          </w:tcPr>
          <w:p>
            <w:pPr>
              <w:rPr>
                <w:sz w:val="18"/>
                <w:szCs w:val="18"/>
              </w:rPr>
            </w:pPr>
            <w:r>
              <w:rPr>
                <w:sz w:val="18"/>
                <w:szCs w:val="18"/>
              </w:rPr>
              <w:t>2物联网架构技术</w:t>
            </w:r>
          </w:p>
        </w:tc>
        <w:tc>
          <w:tcPr>
            <w:tcW w:w="887" w:type="pct"/>
            <w:vAlign w:val="center"/>
          </w:tcPr>
          <w:p>
            <w:pPr>
              <w:jc w:val="center"/>
              <w:rPr>
                <w:sz w:val="18"/>
                <w:szCs w:val="18"/>
              </w:rPr>
            </w:pPr>
            <w:r>
              <w:rPr>
                <w:sz w:val="18"/>
                <w:szCs w:val="18"/>
              </w:rPr>
              <w:t>0.1875</w:t>
            </w:r>
          </w:p>
        </w:tc>
        <w:tc>
          <w:tcPr>
            <w:tcW w:w="1346" w:type="pct"/>
            <w:tcBorders>
              <w:right w:val="nil"/>
            </w:tcBorders>
            <w:vAlign w:val="center"/>
          </w:tcPr>
          <w:p>
            <w:pPr>
              <w:jc w:val="center"/>
              <w:rPr>
                <w:sz w:val="18"/>
                <w:szCs w:val="18"/>
              </w:rPr>
            </w:pPr>
            <w:r>
              <w:rPr>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67" w:type="pct"/>
            <w:tcBorders>
              <w:left w:val="nil"/>
            </w:tcBorders>
            <w:vAlign w:val="center"/>
          </w:tcPr>
          <w:p>
            <w:pPr>
              <w:rPr>
                <w:sz w:val="18"/>
                <w:szCs w:val="18"/>
              </w:rPr>
            </w:pPr>
            <w:r>
              <w:rPr>
                <w:sz w:val="18"/>
                <w:szCs w:val="18"/>
              </w:rPr>
              <w:t>3标识技术</w:t>
            </w:r>
          </w:p>
        </w:tc>
        <w:tc>
          <w:tcPr>
            <w:tcW w:w="887" w:type="pct"/>
            <w:vAlign w:val="center"/>
          </w:tcPr>
          <w:p>
            <w:pPr>
              <w:jc w:val="center"/>
              <w:rPr>
                <w:sz w:val="18"/>
                <w:szCs w:val="18"/>
              </w:rPr>
            </w:pPr>
            <w:r>
              <w:rPr>
                <w:sz w:val="18"/>
                <w:szCs w:val="18"/>
              </w:rPr>
              <w:t>0.0625</w:t>
            </w:r>
          </w:p>
        </w:tc>
        <w:tc>
          <w:tcPr>
            <w:tcW w:w="1346" w:type="pct"/>
            <w:tcBorders>
              <w:right w:val="nil"/>
            </w:tcBorders>
            <w:vAlign w:val="center"/>
          </w:tcPr>
          <w:p>
            <w:pPr>
              <w:jc w:val="center"/>
              <w:rPr>
                <w:sz w:val="18"/>
                <w:szCs w:val="18"/>
              </w:rPr>
            </w:pPr>
            <w:r>
              <w:rPr>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67" w:type="pct"/>
            <w:tcBorders>
              <w:left w:val="nil"/>
            </w:tcBorders>
            <w:vAlign w:val="center"/>
          </w:tcPr>
          <w:p>
            <w:pPr>
              <w:rPr>
                <w:sz w:val="18"/>
                <w:szCs w:val="18"/>
              </w:rPr>
            </w:pPr>
            <w:r>
              <w:rPr>
                <w:sz w:val="18"/>
                <w:szCs w:val="18"/>
              </w:rPr>
              <w:t>4通信技术</w:t>
            </w:r>
          </w:p>
        </w:tc>
        <w:tc>
          <w:tcPr>
            <w:tcW w:w="887" w:type="pct"/>
            <w:vAlign w:val="center"/>
          </w:tcPr>
          <w:p>
            <w:pPr>
              <w:jc w:val="center"/>
              <w:rPr>
                <w:sz w:val="18"/>
                <w:szCs w:val="18"/>
              </w:rPr>
            </w:pPr>
            <w:r>
              <w:rPr>
                <w:sz w:val="18"/>
                <w:szCs w:val="18"/>
              </w:rPr>
              <w:t>0.0625</w:t>
            </w:r>
          </w:p>
        </w:tc>
        <w:tc>
          <w:tcPr>
            <w:tcW w:w="1346" w:type="pct"/>
            <w:tcBorders>
              <w:right w:val="nil"/>
            </w:tcBorders>
            <w:vAlign w:val="center"/>
          </w:tcPr>
          <w:p>
            <w:pPr>
              <w:jc w:val="center"/>
              <w:rPr>
                <w:sz w:val="18"/>
                <w:szCs w:val="18"/>
              </w:rPr>
            </w:pP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67" w:type="pct"/>
            <w:tcBorders>
              <w:left w:val="nil"/>
            </w:tcBorders>
            <w:vAlign w:val="center"/>
          </w:tcPr>
          <w:p>
            <w:pPr>
              <w:rPr>
                <w:sz w:val="18"/>
                <w:szCs w:val="18"/>
              </w:rPr>
            </w:pPr>
            <w:r>
              <w:rPr>
                <w:sz w:val="18"/>
                <w:szCs w:val="18"/>
              </w:rPr>
              <w:t>5网络技术</w:t>
            </w:r>
          </w:p>
        </w:tc>
        <w:tc>
          <w:tcPr>
            <w:tcW w:w="887" w:type="pct"/>
            <w:vAlign w:val="center"/>
          </w:tcPr>
          <w:p>
            <w:pPr>
              <w:jc w:val="center"/>
              <w:rPr>
                <w:sz w:val="18"/>
                <w:szCs w:val="18"/>
              </w:rPr>
            </w:pPr>
            <w:r>
              <w:rPr>
                <w:sz w:val="18"/>
                <w:szCs w:val="18"/>
              </w:rPr>
              <w:t>0.0625</w:t>
            </w:r>
          </w:p>
        </w:tc>
        <w:tc>
          <w:tcPr>
            <w:tcW w:w="1346" w:type="pct"/>
            <w:tcBorders>
              <w:right w:val="nil"/>
            </w:tcBorders>
            <w:vAlign w:val="center"/>
          </w:tcPr>
          <w:p>
            <w:pPr>
              <w:jc w:val="center"/>
              <w:rPr>
                <w:sz w:val="18"/>
                <w:szCs w:val="18"/>
              </w:rPr>
            </w:pPr>
            <w:r>
              <w:rPr>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67" w:type="pct"/>
            <w:tcBorders>
              <w:left w:val="nil"/>
            </w:tcBorders>
            <w:vAlign w:val="center"/>
          </w:tcPr>
          <w:p>
            <w:pPr>
              <w:rPr>
                <w:sz w:val="18"/>
                <w:szCs w:val="18"/>
              </w:rPr>
            </w:pPr>
            <w:r>
              <w:rPr>
                <w:sz w:val="18"/>
                <w:szCs w:val="18"/>
              </w:rPr>
              <w:t>6网络定位和发现技术</w:t>
            </w:r>
          </w:p>
        </w:tc>
        <w:tc>
          <w:tcPr>
            <w:tcW w:w="887" w:type="pct"/>
            <w:vAlign w:val="center"/>
          </w:tcPr>
          <w:p>
            <w:pPr>
              <w:jc w:val="center"/>
              <w:rPr>
                <w:sz w:val="18"/>
                <w:szCs w:val="18"/>
              </w:rPr>
            </w:pPr>
            <w:r>
              <w:rPr>
                <w:sz w:val="18"/>
                <w:szCs w:val="18"/>
              </w:rPr>
              <w:t>0.0625</w:t>
            </w:r>
          </w:p>
        </w:tc>
        <w:tc>
          <w:tcPr>
            <w:tcW w:w="1346" w:type="pct"/>
            <w:tcBorders>
              <w:right w:val="nil"/>
            </w:tcBorders>
            <w:vAlign w:val="center"/>
          </w:tcPr>
          <w:p>
            <w:pPr>
              <w:jc w:val="center"/>
              <w:rPr>
                <w:sz w:val="18"/>
                <w:szCs w:val="18"/>
              </w:rPr>
            </w:pPr>
            <w:r>
              <w:rPr>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67" w:type="pct"/>
            <w:tcBorders>
              <w:left w:val="nil"/>
            </w:tcBorders>
            <w:vAlign w:val="center"/>
          </w:tcPr>
          <w:p>
            <w:pPr>
              <w:rPr>
                <w:sz w:val="18"/>
                <w:szCs w:val="18"/>
              </w:rPr>
            </w:pPr>
            <w:r>
              <w:rPr>
                <w:sz w:val="18"/>
                <w:szCs w:val="18"/>
              </w:rPr>
              <w:t>7软件、服务和算法技术</w:t>
            </w:r>
          </w:p>
        </w:tc>
        <w:tc>
          <w:tcPr>
            <w:tcW w:w="887" w:type="pct"/>
            <w:vAlign w:val="center"/>
          </w:tcPr>
          <w:p>
            <w:pPr>
              <w:jc w:val="center"/>
              <w:rPr>
                <w:sz w:val="18"/>
                <w:szCs w:val="18"/>
              </w:rPr>
            </w:pPr>
            <w:r>
              <w:rPr>
                <w:sz w:val="18"/>
                <w:szCs w:val="18"/>
              </w:rPr>
              <w:t>0.0625</w:t>
            </w:r>
          </w:p>
        </w:tc>
        <w:tc>
          <w:tcPr>
            <w:tcW w:w="1346" w:type="pct"/>
            <w:tcBorders>
              <w:right w:val="nil"/>
            </w:tcBorders>
            <w:vAlign w:val="center"/>
          </w:tcPr>
          <w:p>
            <w:pPr>
              <w:jc w:val="center"/>
              <w:rPr>
                <w:sz w:val="18"/>
                <w:szCs w:val="18"/>
              </w:rPr>
            </w:pPr>
            <w:r>
              <w:rPr>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67" w:type="pct"/>
            <w:tcBorders>
              <w:left w:val="nil"/>
              <w:bottom w:val="single" w:color="auto" w:sz="4" w:space="0"/>
            </w:tcBorders>
            <w:vAlign w:val="center"/>
          </w:tcPr>
          <w:p>
            <w:pPr>
              <w:rPr>
                <w:sz w:val="18"/>
                <w:szCs w:val="18"/>
              </w:rPr>
            </w:pPr>
            <w:r>
              <w:rPr>
                <w:sz w:val="18"/>
                <w:szCs w:val="18"/>
              </w:rPr>
              <w:t>8硬件技术</w:t>
            </w:r>
          </w:p>
        </w:tc>
        <w:tc>
          <w:tcPr>
            <w:tcW w:w="887" w:type="pct"/>
            <w:tcBorders>
              <w:bottom w:val="single" w:color="auto" w:sz="4" w:space="0"/>
            </w:tcBorders>
            <w:vAlign w:val="center"/>
          </w:tcPr>
          <w:p>
            <w:pPr>
              <w:jc w:val="center"/>
              <w:rPr>
                <w:sz w:val="18"/>
                <w:szCs w:val="18"/>
              </w:rPr>
            </w:pPr>
            <w:r>
              <w:rPr>
                <w:sz w:val="18"/>
                <w:szCs w:val="18"/>
              </w:rPr>
              <w:t>0.0625</w:t>
            </w:r>
          </w:p>
        </w:tc>
        <w:tc>
          <w:tcPr>
            <w:tcW w:w="1346" w:type="pct"/>
            <w:tcBorders>
              <w:bottom w:val="single" w:color="auto" w:sz="4" w:space="0"/>
              <w:right w:val="nil"/>
            </w:tcBorders>
            <w:vAlign w:val="center"/>
          </w:tcPr>
          <w:p>
            <w:pPr>
              <w:jc w:val="center"/>
              <w:rPr>
                <w:sz w:val="18"/>
                <w:szCs w:val="18"/>
              </w:rPr>
            </w:pPr>
            <w:r>
              <w:rPr>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67" w:type="pct"/>
            <w:tcBorders>
              <w:top w:val="single" w:color="auto" w:sz="4" w:space="0"/>
              <w:left w:val="nil"/>
            </w:tcBorders>
            <w:vAlign w:val="center"/>
          </w:tcPr>
          <w:p>
            <w:pPr>
              <w:rPr>
                <w:sz w:val="18"/>
                <w:szCs w:val="18"/>
              </w:rPr>
            </w:pPr>
            <w:r>
              <w:rPr>
                <w:sz w:val="18"/>
                <w:szCs w:val="18"/>
              </w:rPr>
              <w:t>9数据和信号处理</w:t>
            </w:r>
          </w:p>
        </w:tc>
        <w:tc>
          <w:tcPr>
            <w:tcW w:w="887" w:type="pct"/>
            <w:tcBorders>
              <w:top w:val="single" w:color="auto" w:sz="4" w:space="0"/>
            </w:tcBorders>
            <w:vAlign w:val="center"/>
          </w:tcPr>
          <w:p>
            <w:pPr>
              <w:jc w:val="center"/>
              <w:rPr>
                <w:sz w:val="18"/>
                <w:szCs w:val="18"/>
              </w:rPr>
            </w:pPr>
            <w:r>
              <w:rPr>
                <w:sz w:val="18"/>
                <w:szCs w:val="18"/>
              </w:rPr>
              <w:t>0.0625</w:t>
            </w:r>
          </w:p>
        </w:tc>
        <w:tc>
          <w:tcPr>
            <w:tcW w:w="1346" w:type="pct"/>
            <w:tcBorders>
              <w:top w:val="single" w:color="auto" w:sz="4" w:space="0"/>
              <w:right w:val="nil"/>
            </w:tcBorders>
            <w:vAlign w:val="center"/>
          </w:tcPr>
          <w:p>
            <w:pPr>
              <w:jc w:val="center"/>
              <w:rPr>
                <w:sz w:val="18"/>
                <w:szCs w:val="18"/>
              </w:rPr>
            </w:pPr>
            <w:r>
              <w:rPr>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67" w:type="pct"/>
            <w:tcBorders>
              <w:left w:val="nil"/>
            </w:tcBorders>
            <w:vAlign w:val="center"/>
          </w:tcPr>
          <w:p>
            <w:pPr>
              <w:rPr>
                <w:sz w:val="18"/>
                <w:szCs w:val="18"/>
              </w:rPr>
            </w:pPr>
            <w:r>
              <w:rPr>
                <w:sz w:val="18"/>
                <w:szCs w:val="18"/>
              </w:rPr>
              <w:t>10发现与引擎技术</w:t>
            </w:r>
          </w:p>
        </w:tc>
        <w:tc>
          <w:tcPr>
            <w:tcW w:w="887" w:type="pct"/>
            <w:vAlign w:val="center"/>
          </w:tcPr>
          <w:p>
            <w:pPr>
              <w:jc w:val="center"/>
              <w:rPr>
                <w:sz w:val="18"/>
                <w:szCs w:val="18"/>
              </w:rPr>
            </w:pPr>
            <w:r>
              <w:rPr>
                <w:sz w:val="18"/>
                <w:szCs w:val="18"/>
              </w:rPr>
              <w:t>0.0625</w:t>
            </w:r>
          </w:p>
        </w:tc>
        <w:tc>
          <w:tcPr>
            <w:tcW w:w="1346" w:type="pct"/>
            <w:tcBorders>
              <w:right w:val="nil"/>
            </w:tcBorders>
            <w:vAlign w:val="center"/>
          </w:tcPr>
          <w:p>
            <w:pPr>
              <w:jc w:val="center"/>
              <w:rPr>
                <w:sz w:val="18"/>
                <w:szCs w:val="18"/>
              </w:rPr>
            </w:pPr>
            <w:r>
              <w:rPr>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67" w:type="pct"/>
            <w:tcBorders>
              <w:left w:val="nil"/>
            </w:tcBorders>
            <w:vAlign w:val="center"/>
          </w:tcPr>
          <w:p>
            <w:pPr>
              <w:rPr>
                <w:sz w:val="18"/>
                <w:szCs w:val="18"/>
              </w:rPr>
            </w:pPr>
            <w:r>
              <w:rPr>
                <w:sz w:val="18"/>
                <w:szCs w:val="18"/>
              </w:rPr>
              <w:t>11关系网络管理技术</w:t>
            </w:r>
          </w:p>
        </w:tc>
        <w:tc>
          <w:tcPr>
            <w:tcW w:w="887" w:type="pct"/>
            <w:vAlign w:val="center"/>
          </w:tcPr>
          <w:p>
            <w:pPr>
              <w:jc w:val="center"/>
              <w:rPr>
                <w:sz w:val="18"/>
                <w:szCs w:val="18"/>
              </w:rPr>
            </w:pPr>
            <w:r>
              <w:rPr>
                <w:sz w:val="18"/>
                <w:szCs w:val="18"/>
              </w:rPr>
              <w:t>0.0625</w:t>
            </w:r>
          </w:p>
        </w:tc>
        <w:tc>
          <w:tcPr>
            <w:tcW w:w="1346" w:type="pct"/>
            <w:tcBorders>
              <w:right w:val="nil"/>
            </w:tcBorders>
            <w:vAlign w:val="center"/>
          </w:tcPr>
          <w:p>
            <w:pPr>
              <w:jc w:val="center"/>
              <w:rPr>
                <w:sz w:val="18"/>
                <w:szCs w:val="18"/>
              </w:rPr>
            </w:pPr>
            <w:r>
              <w:rPr>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67" w:type="pct"/>
            <w:tcBorders>
              <w:left w:val="nil"/>
            </w:tcBorders>
            <w:vAlign w:val="center"/>
          </w:tcPr>
          <w:p>
            <w:pPr>
              <w:rPr>
                <w:sz w:val="18"/>
                <w:szCs w:val="18"/>
              </w:rPr>
            </w:pPr>
            <w:r>
              <w:rPr>
                <w:sz w:val="18"/>
                <w:szCs w:val="18"/>
              </w:rPr>
              <w:t>12电源和能量储存技术</w:t>
            </w:r>
          </w:p>
        </w:tc>
        <w:tc>
          <w:tcPr>
            <w:tcW w:w="887" w:type="pct"/>
            <w:vAlign w:val="center"/>
          </w:tcPr>
          <w:p>
            <w:pPr>
              <w:jc w:val="center"/>
              <w:rPr>
                <w:sz w:val="18"/>
                <w:szCs w:val="18"/>
              </w:rPr>
            </w:pPr>
            <w:r>
              <w:rPr>
                <w:sz w:val="18"/>
                <w:szCs w:val="18"/>
              </w:rPr>
              <w:t>0.0625</w:t>
            </w:r>
          </w:p>
        </w:tc>
        <w:tc>
          <w:tcPr>
            <w:tcW w:w="1346" w:type="pct"/>
            <w:tcBorders>
              <w:right w:val="nil"/>
            </w:tcBorders>
            <w:vAlign w:val="center"/>
          </w:tcPr>
          <w:p>
            <w:pPr>
              <w:jc w:val="center"/>
              <w:rPr>
                <w:sz w:val="18"/>
                <w:szCs w:val="18"/>
              </w:rPr>
            </w:pP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67" w:type="pct"/>
            <w:tcBorders>
              <w:left w:val="nil"/>
            </w:tcBorders>
            <w:vAlign w:val="center"/>
          </w:tcPr>
          <w:p>
            <w:pPr>
              <w:rPr>
                <w:sz w:val="18"/>
                <w:szCs w:val="18"/>
              </w:rPr>
            </w:pPr>
            <w:r>
              <w:rPr>
                <w:sz w:val="18"/>
                <w:szCs w:val="18"/>
              </w:rPr>
              <w:t>13安全与隐私技术</w:t>
            </w:r>
          </w:p>
        </w:tc>
        <w:tc>
          <w:tcPr>
            <w:tcW w:w="887" w:type="pct"/>
            <w:vAlign w:val="center"/>
          </w:tcPr>
          <w:p>
            <w:pPr>
              <w:jc w:val="center"/>
              <w:rPr>
                <w:sz w:val="18"/>
                <w:szCs w:val="18"/>
              </w:rPr>
            </w:pPr>
            <w:r>
              <w:rPr>
                <w:sz w:val="18"/>
                <w:szCs w:val="18"/>
              </w:rPr>
              <w:t>0.0625</w:t>
            </w:r>
          </w:p>
        </w:tc>
        <w:tc>
          <w:tcPr>
            <w:tcW w:w="1346" w:type="pct"/>
            <w:tcBorders>
              <w:right w:val="nil"/>
            </w:tcBorders>
            <w:vAlign w:val="center"/>
          </w:tcPr>
          <w:p>
            <w:pPr>
              <w:jc w:val="center"/>
              <w:rPr>
                <w:sz w:val="18"/>
                <w:szCs w:val="18"/>
              </w:rPr>
            </w:pPr>
            <w:r>
              <w:rPr>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67" w:type="pct"/>
            <w:tcBorders>
              <w:left w:val="nil"/>
              <w:bottom w:val="single" w:color="auto" w:sz="4" w:space="0"/>
            </w:tcBorders>
            <w:vAlign w:val="center"/>
          </w:tcPr>
          <w:p>
            <w:pPr>
              <w:rPr>
                <w:sz w:val="18"/>
                <w:szCs w:val="18"/>
              </w:rPr>
            </w:pPr>
            <w:r>
              <w:rPr>
                <w:sz w:val="18"/>
                <w:szCs w:val="18"/>
              </w:rPr>
              <w:t>14标准化和相关技术</w:t>
            </w:r>
          </w:p>
        </w:tc>
        <w:tc>
          <w:tcPr>
            <w:tcW w:w="887" w:type="pct"/>
            <w:tcBorders>
              <w:bottom w:val="single" w:color="auto" w:sz="4" w:space="0"/>
            </w:tcBorders>
            <w:vAlign w:val="center"/>
          </w:tcPr>
          <w:p>
            <w:pPr>
              <w:jc w:val="center"/>
              <w:rPr>
                <w:sz w:val="18"/>
                <w:szCs w:val="18"/>
              </w:rPr>
            </w:pPr>
            <w:r>
              <w:rPr>
                <w:sz w:val="18"/>
                <w:szCs w:val="18"/>
              </w:rPr>
              <w:t>0.0625</w:t>
            </w:r>
          </w:p>
        </w:tc>
        <w:tc>
          <w:tcPr>
            <w:tcW w:w="1346" w:type="pct"/>
            <w:tcBorders>
              <w:bottom w:val="single" w:color="auto" w:sz="4" w:space="0"/>
              <w:right w:val="nil"/>
            </w:tcBorders>
            <w:vAlign w:val="center"/>
          </w:tcPr>
          <w:p>
            <w:pPr>
              <w:jc w:val="center"/>
              <w:rPr>
                <w:sz w:val="18"/>
                <w:szCs w:val="18"/>
              </w:rPr>
            </w:pPr>
            <w:r>
              <w:rPr>
                <w:sz w:val="18"/>
                <w:szCs w:val="18"/>
              </w:rPr>
              <w:t>1</w:t>
            </w:r>
          </w:p>
        </w:tc>
      </w:tr>
    </w:tbl>
    <w:p>
      <w:pPr>
        <w:spacing w:before="120" w:beforeLines="50" w:line="360" w:lineRule="auto"/>
        <w:ind w:firstLine="420" w:firstLineChars="200"/>
        <w:rPr>
          <w:rFonts w:ascii="宋体" w:hAnsi="宋体"/>
          <w:szCs w:val="21"/>
        </w:rPr>
      </w:pPr>
      <w:r>
        <w:rPr>
          <w:rFonts w:ascii="宋体" w:hAnsi="宋体"/>
          <w:szCs w:val="21"/>
        </w:rPr>
        <w:t>学生可以依据仪器与电子学院相关文件，以允许的第二课堂成果折算单项成绩，与对应知识点加权累计达到</w:t>
      </w:r>
      <w:r>
        <w:rPr>
          <w:rFonts w:hint="eastAsia" w:ascii="宋体" w:hAnsi="宋体"/>
          <w:szCs w:val="21"/>
        </w:rPr>
        <w:t>7</w:t>
      </w:r>
      <w:r>
        <w:rPr>
          <w:rFonts w:ascii="宋体" w:hAnsi="宋体"/>
          <w:szCs w:val="21"/>
        </w:rPr>
        <w:t>5</w:t>
      </w:r>
      <w:r>
        <w:rPr>
          <w:rFonts w:hint="eastAsia" w:ascii="宋体" w:hAnsi="宋体"/>
          <w:szCs w:val="21"/>
        </w:rPr>
        <w:t>（含）以上，且对所有课程目标的支撑不能有缺项，即可申请本门课程免修。</w:t>
      </w:r>
    </w:p>
    <w:p>
      <w:pPr>
        <w:spacing w:line="360" w:lineRule="auto"/>
        <w:ind w:firstLine="420" w:firstLineChars="200"/>
        <w:rPr>
          <w:szCs w:val="21"/>
        </w:rPr>
        <w:sectPr>
          <w:headerReference r:id="rId65" w:type="first"/>
          <w:footerReference r:id="rId68" w:type="first"/>
          <w:headerReference r:id="rId63" w:type="default"/>
          <w:footerReference r:id="rId66" w:type="default"/>
          <w:headerReference r:id="rId64" w:type="even"/>
          <w:footerReference r:id="rId67" w:type="even"/>
          <w:pgSz w:w="11906" w:h="16838"/>
          <w:pgMar w:top="1440" w:right="1797" w:bottom="1440" w:left="1797" w:header="851" w:footer="992" w:gutter="0"/>
          <w:pgNumType w:fmt="decimal"/>
          <w:cols w:space="425" w:num="1"/>
          <w:docGrid w:linePitch="312" w:charSpace="0"/>
        </w:sectPr>
      </w:pPr>
    </w:p>
    <w:p>
      <w:pPr>
        <w:tabs>
          <w:tab w:val="left" w:pos="420"/>
        </w:tabs>
        <w:adjustRightInd w:val="0"/>
        <w:snapToGrid w:val="0"/>
        <w:spacing w:line="360" w:lineRule="auto"/>
        <w:ind w:left="420" w:hanging="420"/>
        <w:rPr>
          <w:rFonts w:eastAsia="黑体"/>
          <w:szCs w:val="24"/>
        </w:rPr>
      </w:pPr>
      <w:r>
        <w:rPr>
          <w:rFonts w:hint="eastAsia" w:eastAsia="黑体"/>
          <w:szCs w:val="24"/>
        </w:rPr>
        <w:t>十、课程目标达成评价</w:t>
      </w:r>
    </w:p>
    <w:p>
      <w:pPr>
        <w:spacing w:line="360" w:lineRule="auto"/>
        <w:ind w:firstLine="420" w:firstLineChars="200"/>
        <w:jc w:val="center"/>
      </w:pPr>
      <w:r>
        <w:rPr>
          <w:rFonts w:hint="eastAsia"/>
        </w:rPr>
        <w:t>各环节对课程目标达成评价所使用到的权重占比分配及考核权重分配</w:t>
      </w:r>
    </w:p>
    <w:tbl>
      <w:tblPr>
        <w:tblStyle w:val="19"/>
        <w:tblW w:w="5000" w:type="pct"/>
        <w:jc w:val="center"/>
        <w:tblLayout w:type="autofit"/>
        <w:tblCellMar>
          <w:top w:w="0" w:type="dxa"/>
          <w:left w:w="108" w:type="dxa"/>
          <w:bottom w:w="0" w:type="dxa"/>
          <w:right w:w="108" w:type="dxa"/>
        </w:tblCellMar>
      </w:tblPr>
      <w:tblGrid>
        <w:gridCol w:w="583"/>
        <w:gridCol w:w="958"/>
        <w:gridCol w:w="2132"/>
        <w:gridCol w:w="2135"/>
        <w:gridCol w:w="2217"/>
        <w:gridCol w:w="2217"/>
        <w:gridCol w:w="1965"/>
        <w:gridCol w:w="1967"/>
      </w:tblGrid>
      <w:tr>
        <w:tblPrEx>
          <w:tblCellMar>
            <w:top w:w="0" w:type="dxa"/>
            <w:left w:w="108" w:type="dxa"/>
            <w:bottom w:w="0" w:type="dxa"/>
            <w:right w:w="108" w:type="dxa"/>
          </w:tblCellMar>
        </w:tblPrEx>
        <w:trPr>
          <w:trHeight w:val="1015" w:hRule="atLeast"/>
          <w:jc w:val="center"/>
        </w:trPr>
        <w:tc>
          <w:tcPr>
            <w:tcW w:w="2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课程目标</w:t>
            </w:r>
          </w:p>
        </w:tc>
        <w:tc>
          <w:tcPr>
            <w:tcW w:w="3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知识面比例</w:t>
            </w:r>
          </w:p>
          <w:p>
            <w:pPr>
              <w:widowControl/>
              <w:jc w:val="center"/>
              <w:rPr>
                <w:rFonts w:ascii="宋体" w:hAnsi="宋体" w:cs="宋体"/>
                <w:kern w:val="0"/>
                <w:sz w:val="18"/>
                <w:szCs w:val="18"/>
              </w:rPr>
            </w:pPr>
            <w:r>
              <w:rPr>
                <w:rFonts w:hint="eastAsia" w:ascii="宋体" w:hAnsi="宋体" w:cs="宋体"/>
                <w:kern w:val="0"/>
                <w:sz w:val="18"/>
                <w:szCs w:val="18"/>
              </w:rPr>
              <w:t>（本列总和为1）</w:t>
            </w:r>
          </w:p>
          <w:p>
            <w:pPr>
              <w:widowControl/>
              <w:jc w:val="center"/>
              <w:rPr>
                <w:rFonts w:ascii="宋体" w:hAnsi="宋体" w:cs="宋体"/>
                <w:i/>
                <w:kern w:val="0"/>
                <w:sz w:val="18"/>
                <w:szCs w:val="18"/>
              </w:rPr>
            </w:pPr>
            <w:r>
              <w:rPr>
                <w:rFonts w:ascii="宋体" w:hAnsi="宋体" w:cs="宋体"/>
                <w:i/>
                <w:kern w:val="0"/>
                <w:sz w:val="18"/>
                <w:szCs w:val="18"/>
              </w:rPr>
              <w:t>P</w:t>
            </w:r>
            <w:r>
              <w:rPr>
                <w:rFonts w:ascii="宋体" w:hAnsi="宋体" w:cs="宋体"/>
                <w:i/>
                <w:kern w:val="0"/>
                <w:sz w:val="18"/>
                <w:szCs w:val="18"/>
                <w:vertAlign w:val="subscript"/>
              </w:rPr>
              <w:t>i</w:t>
            </w:r>
          </w:p>
        </w:tc>
        <w:tc>
          <w:tcPr>
            <w:tcW w:w="150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18"/>
                <w:szCs w:val="18"/>
              </w:rPr>
            </w:pPr>
            <w:r>
              <w:rPr>
                <w:rFonts w:hint="eastAsia" w:ascii="宋体" w:hAnsi="宋体"/>
                <w:sz w:val="18"/>
                <w:szCs w:val="18"/>
              </w:rPr>
              <w:t>各环节评价比例分配</w:t>
            </w:r>
            <w:r>
              <w:rPr>
                <w:rFonts w:hint="eastAsia" w:ascii="宋体" w:hAnsi="宋体"/>
                <w:sz w:val="18"/>
                <w:szCs w:val="18"/>
              </w:rPr>
              <w:br w:type="textWrapping"/>
            </w:r>
            <w:r>
              <w:rPr>
                <w:rFonts w:hint="eastAsia" w:ascii="宋体" w:hAnsi="宋体"/>
                <w:sz w:val="18"/>
                <w:szCs w:val="18"/>
              </w:rPr>
              <w:t>（每行总和为1）</w:t>
            </w:r>
            <w:r>
              <w:rPr>
                <w:rFonts w:hint="eastAsia" w:ascii="宋体" w:hAnsi="宋体"/>
                <w:sz w:val="18"/>
                <w:szCs w:val="18"/>
              </w:rPr>
              <w:br w:type="textWrapping"/>
            </w:r>
            <w:r>
              <w:rPr>
                <w:rFonts w:hint="eastAsia" w:ascii="宋体" w:hAnsi="宋体"/>
                <w:i/>
                <w:sz w:val="18"/>
                <w:szCs w:val="18"/>
              </w:rPr>
              <w:t>W</w:t>
            </w:r>
            <w:r>
              <w:rPr>
                <w:rFonts w:hint="eastAsia" w:ascii="宋体" w:hAnsi="宋体"/>
                <w:i/>
                <w:sz w:val="18"/>
                <w:szCs w:val="18"/>
                <w:vertAlign w:val="subscript"/>
              </w:rPr>
              <w:t>ik</w:t>
            </w:r>
          </w:p>
        </w:tc>
        <w:tc>
          <w:tcPr>
            <w:tcW w:w="1564" w:type="pct"/>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各环节在课程达成中的占比</w:t>
            </w:r>
            <w:r>
              <w:rPr>
                <w:rFonts w:hint="eastAsia" w:ascii="宋体" w:hAnsi="宋体"/>
                <w:sz w:val="18"/>
                <w:szCs w:val="18"/>
              </w:rPr>
              <w:br w:type="textWrapping"/>
            </w:r>
            <w:r>
              <w:rPr>
                <w:rFonts w:hint="eastAsia" w:ascii="宋体" w:hAnsi="宋体"/>
                <w:sz w:val="18"/>
                <w:szCs w:val="18"/>
              </w:rPr>
              <w:t>（所有行列总和为1）</w:t>
            </w:r>
            <w:r>
              <w:rPr>
                <w:rFonts w:hint="eastAsia" w:ascii="宋体" w:hAnsi="宋体"/>
                <w:sz w:val="18"/>
                <w:szCs w:val="18"/>
              </w:rPr>
              <w:br w:type="textWrapping"/>
            </w:r>
            <w:r>
              <w:rPr>
                <w:rFonts w:hint="eastAsia" w:ascii="宋体" w:hAnsi="宋体"/>
                <w:i/>
                <w:sz w:val="18"/>
                <w:szCs w:val="18"/>
              </w:rPr>
              <w:t>S</w:t>
            </w:r>
            <w:r>
              <w:rPr>
                <w:rFonts w:hint="eastAsia" w:ascii="宋体" w:hAnsi="宋体"/>
                <w:i/>
                <w:sz w:val="18"/>
                <w:szCs w:val="18"/>
                <w:vertAlign w:val="subscript"/>
              </w:rPr>
              <w:t>ik</w:t>
            </w:r>
            <w:r>
              <w:rPr>
                <w:rFonts w:hint="eastAsia" w:ascii="宋体" w:hAnsi="宋体"/>
                <w:i/>
                <w:sz w:val="18"/>
                <w:szCs w:val="18"/>
              </w:rPr>
              <w:t>=P</w:t>
            </w:r>
            <w:r>
              <w:rPr>
                <w:rFonts w:hint="eastAsia" w:ascii="宋体" w:hAnsi="宋体"/>
                <w:i/>
                <w:sz w:val="18"/>
                <w:szCs w:val="18"/>
                <w:vertAlign w:val="subscript"/>
              </w:rPr>
              <w:t>i</w:t>
            </w:r>
            <w:r>
              <w:rPr>
                <w:rFonts w:hint="eastAsia" w:ascii="宋体" w:hAnsi="宋体"/>
                <w:i/>
                <w:sz w:val="18"/>
                <w:szCs w:val="18"/>
              </w:rPr>
              <w:t>*W</w:t>
            </w:r>
            <w:r>
              <w:rPr>
                <w:rFonts w:hint="eastAsia" w:ascii="宋体" w:hAnsi="宋体"/>
                <w:i/>
                <w:sz w:val="18"/>
                <w:szCs w:val="18"/>
                <w:vertAlign w:val="subscript"/>
              </w:rPr>
              <w:t>ik</w:t>
            </w:r>
          </w:p>
        </w:tc>
        <w:tc>
          <w:tcPr>
            <w:tcW w:w="138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各环节课程目标考核权重分布</w:t>
            </w:r>
          </w:p>
          <w:p>
            <w:pPr>
              <w:jc w:val="center"/>
              <w:rPr>
                <w:rFonts w:ascii="宋体" w:hAnsi="宋体"/>
                <w:sz w:val="18"/>
                <w:szCs w:val="18"/>
              </w:rPr>
            </w:pPr>
            <w:r>
              <w:rPr>
                <w:rFonts w:ascii="宋体" w:hAnsi="宋体"/>
                <w:sz w:val="18"/>
                <w:szCs w:val="18"/>
              </w:rPr>
              <w:t>（每一列总和为</w:t>
            </w:r>
            <w:r>
              <w:rPr>
                <w:rFonts w:hint="eastAsia" w:ascii="宋体" w:hAnsi="宋体"/>
                <w:sz w:val="18"/>
                <w:szCs w:val="18"/>
              </w:rPr>
              <w:t>1</w:t>
            </w:r>
            <w:r>
              <w:rPr>
                <w:rFonts w:ascii="宋体" w:hAnsi="宋体"/>
                <w:sz w:val="18"/>
                <w:szCs w:val="18"/>
              </w:rPr>
              <w:t>）</w:t>
            </w:r>
          </w:p>
          <w:p>
            <w:pPr>
              <w:jc w:val="center"/>
              <w:rPr>
                <w:rFonts w:ascii="宋体" w:hAnsi="宋体"/>
                <w:i/>
                <w:sz w:val="18"/>
                <w:szCs w:val="18"/>
              </w:rPr>
            </w:pPr>
            <w:r>
              <w:rPr>
                <w:rFonts w:hint="eastAsia" w:ascii="宋体" w:hAnsi="宋体"/>
                <w:i/>
                <w:sz w:val="18"/>
                <w:szCs w:val="18"/>
              </w:rPr>
              <w:t>E</w:t>
            </w:r>
            <w:r>
              <w:rPr>
                <w:rFonts w:hint="eastAsia" w:ascii="宋体" w:hAnsi="宋体"/>
                <w:i/>
                <w:sz w:val="18"/>
                <w:szCs w:val="18"/>
                <w:vertAlign w:val="subscript"/>
              </w:rPr>
              <w:t>ik</w:t>
            </w:r>
            <w:r>
              <w:rPr>
                <w:rFonts w:hint="eastAsia" w:ascii="宋体" w:hAnsi="宋体"/>
                <w:i/>
                <w:sz w:val="18"/>
                <w:szCs w:val="18"/>
              </w:rPr>
              <w:t>=</w:t>
            </w:r>
            <w:r>
              <w:rPr>
                <w:rFonts w:ascii="宋体" w:hAnsi="宋体"/>
                <w:i/>
                <w:sz w:val="18"/>
                <w:szCs w:val="18"/>
              </w:rPr>
              <w:t>S</w:t>
            </w:r>
            <w:r>
              <w:rPr>
                <w:rFonts w:ascii="宋体" w:hAnsi="宋体"/>
                <w:i/>
                <w:sz w:val="18"/>
                <w:szCs w:val="18"/>
                <w:vertAlign w:val="subscript"/>
              </w:rPr>
              <w:t>ik</w:t>
            </w:r>
            <w:r>
              <w:rPr>
                <w:rFonts w:ascii="宋体" w:hAnsi="宋体"/>
                <w:i/>
                <w:sz w:val="18"/>
                <w:szCs w:val="18"/>
              </w:rPr>
              <w:t>/M</w:t>
            </w:r>
            <w:r>
              <w:rPr>
                <w:rFonts w:ascii="宋体" w:hAnsi="宋体"/>
                <w:i/>
                <w:sz w:val="18"/>
                <w:szCs w:val="18"/>
                <w:vertAlign w:val="subscript"/>
              </w:rPr>
              <w:t>ik</w:t>
            </w:r>
          </w:p>
        </w:tc>
      </w:tr>
      <w:tr>
        <w:tblPrEx>
          <w:tblCellMar>
            <w:top w:w="0" w:type="dxa"/>
            <w:left w:w="108" w:type="dxa"/>
            <w:bottom w:w="0" w:type="dxa"/>
            <w:right w:w="108" w:type="dxa"/>
          </w:tblCellMar>
        </w:tblPrEx>
        <w:trPr>
          <w:trHeight w:val="703" w:hRule="atLeast"/>
          <w:jc w:val="center"/>
        </w:trPr>
        <w:tc>
          <w:tcPr>
            <w:tcW w:w="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3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7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作业</w:t>
            </w:r>
          </w:p>
        </w:tc>
        <w:tc>
          <w:tcPr>
            <w:tcW w:w="7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报告</w:t>
            </w:r>
          </w:p>
        </w:tc>
        <w:tc>
          <w:tcPr>
            <w:tcW w:w="78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作业</w:t>
            </w:r>
          </w:p>
        </w:tc>
        <w:tc>
          <w:tcPr>
            <w:tcW w:w="78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报告</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作业</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报告</w:t>
            </w:r>
          </w:p>
        </w:tc>
      </w:tr>
      <w:tr>
        <w:tblPrEx>
          <w:tblCellMar>
            <w:top w:w="0" w:type="dxa"/>
            <w:left w:w="108" w:type="dxa"/>
            <w:bottom w:w="0" w:type="dxa"/>
            <w:right w:w="108" w:type="dxa"/>
          </w:tblCellMar>
        </w:tblPrEx>
        <w:trPr>
          <w:trHeight w:val="701" w:hRule="atLeast"/>
          <w:jc w:val="center"/>
        </w:trPr>
        <w:tc>
          <w:tcPr>
            <w:tcW w:w="206" w:type="pct"/>
            <w:tcBorders>
              <w:top w:val="nil"/>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1</w:t>
            </w:r>
          </w:p>
        </w:tc>
        <w:tc>
          <w:tcPr>
            <w:tcW w:w="338"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Cs/>
                <w:sz w:val="18"/>
                <w:szCs w:val="18"/>
              </w:rPr>
            </w:pPr>
            <w:r>
              <w:rPr>
                <w:bCs/>
                <w:sz w:val="18"/>
                <w:szCs w:val="18"/>
              </w:rPr>
              <w:t>0.</w:t>
            </w:r>
            <w:r>
              <w:rPr>
                <w:rFonts w:hint="eastAsia"/>
                <w:bCs/>
                <w:sz w:val="18"/>
                <w:szCs w:val="18"/>
              </w:rPr>
              <w:t>6</w:t>
            </w:r>
          </w:p>
        </w:tc>
        <w:tc>
          <w:tcPr>
            <w:tcW w:w="752"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rFonts w:hint="eastAsia"/>
                <w:bCs/>
                <w:sz w:val="18"/>
                <w:szCs w:val="18"/>
              </w:rPr>
              <w:t>0.5</w:t>
            </w:r>
          </w:p>
        </w:tc>
        <w:tc>
          <w:tcPr>
            <w:tcW w:w="752"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rFonts w:hint="eastAsia"/>
                <w:bCs/>
                <w:sz w:val="18"/>
                <w:szCs w:val="18"/>
              </w:rPr>
              <w:t>0.5</w:t>
            </w:r>
          </w:p>
        </w:tc>
        <w:tc>
          <w:tcPr>
            <w:tcW w:w="782"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rFonts w:hint="eastAsia"/>
                <w:bCs/>
                <w:sz w:val="18"/>
                <w:szCs w:val="18"/>
              </w:rPr>
              <w:t>0.3</w:t>
            </w:r>
          </w:p>
        </w:tc>
        <w:tc>
          <w:tcPr>
            <w:tcW w:w="782"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rFonts w:hint="eastAsia"/>
                <w:bCs/>
                <w:sz w:val="18"/>
                <w:szCs w:val="18"/>
              </w:rPr>
              <w:t>0.3</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rFonts w:hint="eastAsia"/>
                <w:bCs/>
                <w:sz w:val="18"/>
                <w:szCs w:val="18"/>
              </w:rPr>
              <w:t>0.65</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rFonts w:hint="eastAsia"/>
                <w:bCs/>
                <w:sz w:val="18"/>
                <w:szCs w:val="18"/>
              </w:rPr>
              <w:t>0.56</w:t>
            </w:r>
          </w:p>
        </w:tc>
      </w:tr>
      <w:tr>
        <w:tblPrEx>
          <w:tblCellMar>
            <w:top w:w="0" w:type="dxa"/>
            <w:left w:w="108" w:type="dxa"/>
            <w:bottom w:w="0" w:type="dxa"/>
            <w:right w:w="108" w:type="dxa"/>
          </w:tblCellMar>
        </w:tblPrEx>
        <w:trPr>
          <w:trHeight w:val="694" w:hRule="atLeast"/>
          <w:jc w:val="center"/>
        </w:trPr>
        <w:tc>
          <w:tcPr>
            <w:tcW w:w="206" w:type="pct"/>
            <w:tcBorders>
              <w:top w:val="nil"/>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2</w:t>
            </w:r>
          </w:p>
        </w:tc>
        <w:tc>
          <w:tcPr>
            <w:tcW w:w="338" w:type="pct"/>
            <w:tcBorders>
              <w:top w:val="nil"/>
              <w:left w:val="single" w:color="auto" w:sz="4" w:space="0"/>
              <w:bottom w:val="single" w:color="auto" w:sz="4" w:space="0"/>
              <w:right w:val="single" w:color="auto" w:sz="4" w:space="0"/>
            </w:tcBorders>
            <w:shd w:val="clear" w:color="auto" w:fill="auto"/>
            <w:noWrap/>
            <w:vAlign w:val="center"/>
          </w:tcPr>
          <w:p>
            <w:pPr>
              <w:jc w:val="center"/>
              <w:rPr>
                <w:bCs/>
                <w:sz w:val="18"/>
                <w:szCs w:val="18"/>
              </w:rPr>
            </w:pPr>
            <w:r>
              <w:rPr>
                <w:bCs/>
                <w:sz w:val="18"/>
                <w:szCs w:val="18"/>
              </w:rPr>
              <w:t>0.</w:t>
            </w:r>
            <w:r>
              <w:rPr>
                <w:rFonts w:hint="eastAsia"/>
                <w:bCs/>
                <w:sz w:val="18"/>
                <w:szCs w:val="18"/>
              </w:rPr>
              <w:t>4</w:t>
            </w:r>
          </w:p>
        </w:tc>
        <w:tc>
          <w:tcPr>
            <w:tcW w:w="752"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rFonts w:hint="eastAsia"/>
                <w:bCs/>
                <w:sz w:val="18"/>
                <w:szCs w:val="18"/>
              </w:rPr>
              <w:t>0.4</w:t>
            </w:r>
          </w:p>
        </w:tc>
        <w:tc>
          <w:tcPr>
            <w:tcW w:w="752"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rFonts w:hint="eastAsia"/>
                <w:bCs/>
                <w:sz w:val="18"/>
                <w:szCs w:val="18"/>
              </w:rPr>
              <w:t>0.6</w:t>
            </w:r>
          </w:p>
        </w:tc>
        <w:tc>
          <w:tcPr>
            <w:tcW w:w="782"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rFonts w:hint="eastAsia"/>
                <w:bCs/>
                <w:sz w:val="18"/>
                <w:szCs w:val="18"/>
              </w:rPr>
              <w:t>0.16</w:t>
            </w:r>
          </w:p>
        </w:tc>
        <w:tc>
          <w:tcPr>
            <w:tcW w:w="782"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rFonts w:hint="eastAsia"/>
                <w:bCs/>
                <w:sz w:val="18"/>
                <w:szCs w:val="18"/>
              </w:rPr>
              <w:t>0.24</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rFonts w:hint="eastAsia"/>
                <w:bCs/>
                <w:sz w:val="18"/>
                <w:szCs w:val="18"/>
              </w:rPr>
              <w:t>0.35</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rFonts w:hint="eastAsia"/>
                <w:bCs/>
                <w:sz w:val="18"/>
                <w:szCs w:val="18"/>
              </w:rPr>
              <w:t>0.44</w:t>
            </w:r>
          </w:p>
        </w:tc>
      </w:tr>
      <w:tr>
        <w:tblPrEx>
          <w:tblCellMar>
            <w:top w:w="0" w:type="dxa"/>
            <w:left w:w="108" w:type="dxa"/>
            <w:bottom w:w="0" w:type="dxa"/>
            <w:right w:w="108" w:type="dxa"/>
          </w:tblCellMar>
        </w:tblPrEx>
        <w:trPr>
          <w:trHeight w:val="835" w:hRule="atLeast"/>
          <w:jc w:val="center"/>
        </w:trPr>
        <w:tc>
          <w:tcPr>
            <w:tcW w:w="2049"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180" w:firstLineChars="100"/>
              <w:jc w:val="center"/>
              <w:rPr>
                <w:rFonts w:ascii="宋体" w:hAnsi="宋体" w:cs="宋体"/>
                <w:kern w:val="0"/>
                <w:sz w:val="18"/>
                <w:szCs w:val="18"/>
              </w:rPr>
            </w:pPr>
            <w:r>
              <w:rPr>
                <w:rFonts w:hint="eastAsia" w:ascii="宋体" w:hAnsi="宋体" w:cs="宋体"/>
                <w:kern w:val="0"/>
                <w:sz w:val="18"/>
                <w:szCs w:val="18"/>
              </w:rPr>
              <w:t>各环节对课程目标达成的贡献率（</w:t>
            </w:r>
            <w:r>
              <w:rPr>
                <w:rFonts w:hint="eastAsia" w:ascii="宋体" w:hAnsi="宋体" w:cs="宋体"/>
                <w:i/>
                <w:kern w:val="0"/>
                <w:sz w:val="18"/>
                <w:szCs w:val="18"/>
              </w:rPr>
              <w:t>M</w:t>
            </w:r>
            <w:r>
              <w:rPr>
                <w:rFonts w:hint="eastAsia" w:ascii="宋体" w:hAnsi="宋体" w:cs="宋体"/>
                <w:i/>
                <w:kern w:val="0"/>
                <w:sz w:val="18"/>
                <w:szCs w:val="18"/>
                <w:vertAlign w:val="subscript"/>
              </w:rPr>
              <w:t>k</w:t>
            </w:r>
            <w:r>
              <w:rPr>
                <w:rFonts w:hint="eastAsia" w:ascii="宋体" w:hAnsi="宋体" w:cs="宋体"/>
                <w:kern w:val="0"/>
                <w:sz w:val="18"/>
                <w:szCs w:val="18"/>
              </w:rPr>
              <w:t>）</w:t>
            </w:r>
          </w:p>
        </w:tc>
        <w:tc>
          <w:tcPr>
            <w:tcW w:w="78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Cs/>
                <w:sz w:val="18"/>
                <w:szCs w:val="18"/>
              </w:rPr>
            </w:pPr>
            <w:r>
              <w:rPr>
                <w:rFonts w:hint="eastAsia"/>
                <w:bCs/>
                <w:sz w:val="18"/>
                <w:szCs w:val="18"/>
              </w:rPr>
              <w:t>0.46</w:t>
            </w:r>
          </w:p>
        </w:tc>
        <w:tc>
          <w:tcPr>
            <w:tcW w:w="782"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rFonts w:hint="eastAsia"/>
                <w:bCs/>
                <w:sz w:val="18"/>
                <w:szCs w:val="18"/>
              </w:rPr>
              <w:t>0.54</w:t>
            </w:r>
          </w:p>
        </w:tc>
        <w:tc>
          <w:tcPr>
            <w:tcW w:w="138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教师出题或布置作业时</w:t>
            </w:r>
          </w:p>
          <w:p>
            <w:pPr>
              <w:jc w:val="center"/>
              <w:rPr>
                <w:b/>
                <w:sz w:val="18"/>
                <w:szCs w:val="18"/>
              </w:rPr>
            </w:pPr>
            <w:r>
              <w:rPr>
                <w:sz w:val="18"/>
                <w:szCs w:val="18"/>
              </w:rPr>
              <w:t>要尽量做到按照以上比例布局</w:t>
            </w:r>
          </w:p>
        </w:tc>
      </w:tr>
    </w:tbl>
    <w:p>
      <w:pPr>
        <w:spacing w:line="360" w:lineRule="auto"/>
        <w:jc w:val="left"/>
      </w:pPr>
    </w:p>
    <w:p>
      <w:pPr>
        <w:spacing w:line="360" w:lineRule="auto"/>
        <w:jc w:val="left"/>
      </w:pPr>
    </w:p>
    <w:p>
      <w:pPr>
        <w:spacing w:line="360" w:lineRule="auto"/>
        <w:sectPr>
          <w:pgSz w:w="16838" w:h="11906" w:orient="landscape"/>
          <w:pgMar w:top="1797" w:right="1440" w:bottom="1797" w:left="1440" w:header="851" w:footer="992" w:gutter="0"/>
          <w:pgNumType w:fmt="decimal"/>
          <w:cols w:space="425" w:num="1"/>
          <w:docGrid w:linePitch="312" w:charSpace="0"/>
        </w:sectPr>
      </w:pPr>
    </w:p>
    <w:p>
      <w:pPr>
        <w:spacing w:line="360" w:lineRule="auto"/>
        <w:ind w:firstLine="420" w:firstLineChars="200"/>
        <w:rPr>
          <w:szCs w:val="21"/>
        </w:rPr>
      </w:pPr>
      <w:r>
        <w:rPr>
          <w:rFonts w:hint="eastAsia"/>
          <w:szCs w:val="21"/>
        </w:rPr>
        <w:t>采用达成值计算法，辅以对学生的问卷调查法。</w:t>
      </w:r>
    </w:p>
    <w:p>
      <w:pPr>
        <w:spacing w:line="360" w:lineRule="auto"/>
        <w:ind w:firstLine="422" w:firstLineChars="200"/>
        <w:rPr>
          <w:b/>
          <w:bCs/>
          <w:szCs w:val="21"/>
        </w:rPr>
      </w:pPr>
      <w:r>
        <w:rPr>
          <w:rFonts w:hint="eastAsia"/>
          <w:b/>
          <w:bCs/>
          <w:szCs w:val="21"/>
        </w:rPr>
        <w:t>课程目标定量评价：</w:t>
      </w:r>
    </w:p>
    <w:p>
      <w:pPr>
        <w:spacing w:line="360" w:lineRule="auto"/>
        <w:ind w:firstLine="420" w:firstLineChars="200"/>
        <w:rPr>
          <w:szCs w:val="21"/>
        </w:rPr>
      </w:pPr>
      <w:r>
        <w:rPr>
          <w:szCs w:val="21"/>
        </w:rPr>
        <w:t>达成值计算法结合上表权重分配，采用</w:t>
      </w:r>
      <w:r>
        <w:rPr>
          <w:rFonts w:hint="eastAsia"/>
          <w:szCs w:val="21"/>
        </w:rPr>
        <w:t>下表进行计算。</w:t>
      </w:r>
    </w:p>
    <w:p>
      <w:pPr>
        <w:spacing w:line="360" w:lineRule="auto"/>
        <w:ind w:firstLine="420" w:firstLineChars="200"/>
        <w:rPr>
          <w:szCs w:val="21"/>
        </w:rPr>
      </w:pPr>
      <w:r>
        <w:rPr>
          <w:szCs w:val="21"/>
        </w:rPr>
        <w:t>单一课程目标达成度评价采用下式：</w:t>
      </w:r>
    </w:p>
    <w:p>
      <w:pPr>
        <w:spacing w:line="360" w:lineRule="auto"/>
        <w:ind w:firstLine="420" w:firstLineChars="200"/>
        <w:rPr>
          <w:szCs w:val="21"/>
        </w:rPr>
      </w:pPr>
      <w:r>
        <w:rPr>
          <w:position w:val="-30"/>
          <w:szCs w:val="21"/>
        </w:rPr>
        <w:object>
          <v:shape id="_x0000_i1097" o:spt="75" type="#_x0000_t75" style="height:36pt;width:165.5pt;" o:ole="t" filled="f" o:preferrelative="t" stroked="f" coordsize="21600,21600">
            <v:path/>
            <v:fill on="f" focussize="0,0"/>
            <v:stroke on="f" joinstyle="miter"/>
            <v:imagedata r:id="rId145" o:title=""/>
            <o:lock v:ext="edit" aspectratio="t"/>
            <w10:wrap type="none"/>
            <w10:anchorlock/>
          </v:shape>
          <o:OLEObject Type="Embed" ProgID="Equation.3" ShapeID="_x0000_i1097" DrawAspect="Content" ObjectID="_1468075797" r:id="rId232">
            <o:LockedField>false</o:LockedField>
          </o:OLEObject>
        </w:object>
      </w:r>
    </w:p>
    <w:p>
      <w:pPr>
        <w:spacing w:line="360" w:lineRule="auto"/>
        <w:ind w:firstLine="420" w:firstLineChars="200"/>
        <w:rPr>
          <w:szCs w:val="21"/>
        </w:rPr>
      </w:pPr>
      <w:r>
        <w:rPr>
          <w:szCs w:val="21"/>
        </w:rPr>
        <w:t>总的课程目标达成度评价采用下式：</w:t>
      </w:r>
    </w:p>
    <w:p>
      <w:pPr>
        <w:spacing w:line="360" w:lineRule="auto"/>
        <w:ind w:firstLine="420" w:firstLineChars="200"/>
        <w:rPr>
          <w:szCs w:val="21"/>
        </w:rPr>
      </w:pPr>
      <w:r>
        <w:rPr>
          <w:position w:val="-30"/>
          <w:szCs w:val="21"/>
        </w:rPr>
        <w:object>
          <v:shape id="_x0000_i1098" o:spt="75" type="#_x0000_t75" style="height:36pt;width:151pt;" o:ole="t" filled="f" o:preferrelative="t" stroked="f" coordsize="21600,21600">
            <v:path/>
            <v:fill on="f" focussize="0,0"/>
            <v:stroke on="f" joinstyle="miter"/>
            <v:imagedata r:id="rId147" o:title=""/>
            <o:lock v:ext="edit" aspectratio="t"/>
            <w10:wrap type="none"/>
            <w10:anchorlock/>
          </v:shape>
          <o:OLEObject Type="Embed" ProgID="Equation.3" ShapeID="_x0000_i1098" DrawAspect="Content" ObjectID="_1468075798" r:id="rId233">
            <o:LockedField>false</o:LockedField>
          </o:OLEObject>
        </w:object>
      </w:r>
    </w:p>
    <w:p>
      <w:pPr>
        <w:spacing w:line="360" w:lineRule="auto"/>
        <w:ind w:firstLine="420" w:firstLineChars="200"/>
        <w:rPr>
          <w:szCs w:val="21"/>
        </w:rPr>
      </w:pPr>
      <w:r>
        <w:rPr>
          <w:szCs w:val="21"/>
        </w:rPr>
        <w:t>以上公式中：</w:t>
      </w:r>
    </w:p>
    <w:p>
      <w:pPr>
        <w:spacing w:line="360" w:lineRule="auto"/>
        <w:ind w:firstLine="420" w:firstLineChars="200"/>
        <w:rPr>
          <w:szCs w:val="21"/>
        </w:rPr>
      </w:pPr>
      <w:r>
        <w:rPr>
          <w:i/>
          <w:szCs w:val="21"/>
        </w:rPr>
        <w:t>k</w:t>
      </w:r>
      <w:r>
        <w:rPr>
          <w:szCs w:val="21"/>
        </w:rPr>
        <w:t>表示不同的评价方式，</w:t>
      </w:r>
      <w:r>
        <w:rPr>
          <w:i/>
          <w:szCs w:val="21"/>
        </w:rPr>
        <w:t>i</w:t>
      </w:r>
      <w:r>
        <w:rPr>
          <w:szCs w:val="21"/>
        </w:rPr>
        <w:t>表示不同的课程目标。</w:t>
      </w:r>
    </w:p>
    <w:p>
      <w:pPr>
        <w:spacing w:line="360" w:lineRule="auto"/>
        <w:ind w:firstLine="420" w:firstLineChars="200"/>
      </w:pPr>
      <w:r>
        <w:rPr>
          <w:position w:val="-10"/>
        </w:rPr>
        <w:object>
          <v:shape id="_x0000_i1099" o:spt="75" type="#_x0000_t75" style="height:14.5pt;width:14.5pt;" o:ole="t" filled="f" o:preferrelative="t" stroked="f" coordsize="21600,21600">
            <v:path/>
            <v:fill on="f" focussize="0,0"/>
            <v:stroke on="f" joinstyle="miter"/>
            <v:imagedata r:id="rId149" o:title=""/>
            <o:lock v:ext="edit" aspectratio="t"/>
            <w10:wrap type="none"/>
            <w10:anchorlock/>
          </v:shape>
          <o:OLEObject Type="Embed" ProgID="Equation.3" ShapeID="_x0000_i1099" DrawAspect="Content" ObjectID="_1468075799" r:id="rId234">
            <o:LockedField>false</o:LockedField>
          </o:OLEObject>
        </w:object>
      </w:r>
      <w:r>
        <w:t>表示第</w:t>
      </w:r>
      <w:r>
        <w:rPr>
          <w:i/>
        </w:rPr>
        <w:t>k</w:t>
      </w:r>
      <w:r>
        <w:t>种评价方式期末评价成绩平均分，均为百分制；</w:t>
      </w:r>
    </w:p>
    <w:p>
      <w:pPr>
        <w:spacing w:line="360" w:lineRule="auto"/>
        <w:ind w:firstLine="420" w:firstLineChars="200"/>
      </w:pPr>
      <w:r>
        <w:rPr>
          <w:position w:val="-10"/>
        </w:rPr>
        <w:object>
          <v:shape id="_x0000_i1100" o:spt="75" type="#_x0000_t75" style="height:14.5pt;width:72pt;" o:ole="t" filled="f" o:preferrelative="t" stroked="f" coordsize="21600,21600">
            <v:path/>
            <v:fill on="f" focussize="0,0"/>
            <v:stroke on="f" joinstyle="miter"/>
            <v:imagedata r:id="rId151" o:title=""/>
            <o:lock v:ext="edit" aspectratio="t"/>
            <w10:wrap type="none"/>
            <w10:anchorlock/>
          </v:shape>
          <o:OLEObject Type="Embed" ProgID="Equation.3" ShapeID="_x0000_i1100" DrawAspect="Content" ObjectID="_1468075800" r:id="rId235">
            <o:LockedField>false</o:LockedField>
          </o:OLEObject>
        </w:object>
      </w:r>
      <w:r>
        <w:t>是第</w:t>
      </w:r>
      <w:r>
        <w:rPr>
          <w:i/>
        </w:rPr>
        <w:t>k</w:t>
      </w:r>
      <w:r>
        <w:t>种评价方式通过第</w:t>
      </w:r>
      <w:r>
        <w:rPr>
          <w:i/>
        </w:rPr>
        <w:t>i</w:t>
      </w:r>
      <w:r>
        <w:t>个课程目标反映在总的课程目标评分占比；</w:t>
      </w:r>
    </w:p>
    <w:p>
      <w:pPr>
        <w:spacing w:line="360" w:lineRule="auto"/>
        <w:ind w:firstLine="420" w:firstLineChars="200"/>
        <w:rPr>
          <w:szCs w:val="21"/>
        </w:rPr>
      </w:pPr>
      <w:r>
        <w:rPr>
          <w:position w:val="-10"/>
        </w:rPr>
        <w:object>
          <v:shape id="_x0000_i1101" o:spt="75" type="#_x0000_t75" style="height:14.5pt;width:14.5pt;" o:ole="t" filled="f" o:preferrelative="t" stroked="f" coordsize="21600,21600">
            <v:path/>
            <v:fill on="f" focussize="0,0"/>
            <v:stroke on="f" joinstyle="miter"/>
            <v:imagedata r:id="rId153" o:title=""/>
            <o:lock v:ext="edit" aspectratio="t"/>
            <w10:wrap type="none"/>
            <w10:anchorlock/>
          </v:shape>
          <o:OLEObject Type="Embed" ProgID="Equation.3" ShapeID="_x0000_i1101" DrawAspect="Content" ObjectID="_1468075801" r:id="rId236">
            <o:LockedField>false</o:LockedField>
          </o:OLEObject>
        </w:object>
      </w:r>
      <w:r>
        <w:t>表示第</w:t>
      </w:r>
      <w:r>
        <w:rPr>
          <w:i/>
        </w:rPr>
        <w:t>k</w:t>
      </w:r>
      <w:r>
        <w:t>种评价方式对第</w:t>
      </w:r>
      <w:r>
        <w:rPr>
          <w:i/>
        </w:rPr>
        <w:t>i</w:t>
      </w:r>
      <w:r>
        <w:t>个课程目标百分占比；</w:t>
      </w:r>
    </w:p>
    <w:p>
      <w:pPr>
        <w:spacing w:line="360" w:lineRule="auto"/>
        <w:ind w:firstLine="420" w:firstLineChars="200"/>
      </w:pPr>
      <w:r>
        <w:rPr>
          <w:position w:val="-10"/>
        </w:rPr>
        <w:object>
          <v:shape id="_x0000_i1102" o:spt="75" type="#_x0000_t75" style="height:14.5pt;width:14.5pt;" o:ole="t" filled="f" o:preferrelative="t" stroked="f" coordsize="21600,21600">
            <v:path/>
            <v:fill on="f" focussize="0,0"/>
            <v:stroke on="f" joinstyle="miter"/>
            <v:imagedata r:id="rId155" o:title=""/>
            <o:lock v:ext="edit" aspectratio="t"/>
            <w10:wrap type="none"/>
            <w10:anchorlock/>
          </v:shape>
          <o:OLEObject Type="Embed" ProgID="Equation.3" ShapeID="_x0000_i1102" DrawAspect="Content" ObjectID="_1468075802" r:id="rId237">
            <o:LockedField>false</o:LockedField>
          </o:OLEObject>
        </w:object>
      </w:r>
      <w:r>
        <w:t>表示第</w:t>
      </w:r>
      <w:r>
        <w:rPr>
          <w:i/>
        </w:rPr>
        <w:t>i</w:t>
      </w:r>
      <w:r>
        <w:t>个课程目标在课程总评价中的占比；</w:t>
      </w:r>
    </w:p>
    <w:p>
      <w:pPr>
        <w:spacing w:line="360" w:lineRule="auto"/>
        <w:ind w:firstLine="422" w:firstLineChars="200"/>
        <w:rPr>
          <w:b/>
          <w:bCs/>
          <w:position w:val="-10"/>
          <w:szCs w:val="22"/>
        </w:rPr>
      </w:pPr>
      <w:r>
        <w:rPr>
          <w:rFonts w:hint="eastAsia"/>
          <w:b/>
          <w:bCs/>
          <w:position w:val="-10"/>
          <w:szCs w:val="22"/>
        </w:rPr>
        <w:t>课程目标定性评价：</w:t>
      </w:r>
    </w:p>
    <w:p>
      <w:pPr>
        <w:spacing w:line="360" w:lineRule="auto"/>
        <w:ind w:firstLine="420" w:firstLineChars="200"/>
        <w:rPr>
          <w:rFonts w:ascii="宋体" w:hAnsi="宋体" w:cs="宋体"/>
          <w:szCs w:val="21"/>
        </w:rPr>
      </w:pPr>
      <w:r>
        <w:rPr>
          <w:rFonts w:hint="eastAsia" w:ascii="宋体" w:hAnsi="宋体" w:cs="宋体"/>
          <w:szCs w:val="21"/>
        </w:rPr>
        <w:t>针对每门课的课程目标，直接设计问题，并要求学生明确给出目标能力达到的程度“很好（0.95）、较好（0.75）、中（0.60）、较差（0.45）、很差（0.25）”，根据各区段统计比例与括号中的目标分值加权后求和得出定性评价的结果。</w:t>
      </w:r>
    </w:p>
    <w:p>
      <w:pPr>
        <w:spacing w:line="360" w:lineRule="auto"/>
        <w:ind w:firstLine="422" w:firstLineChars="200"/>
        <w:rPr>
          <w:b/>
          <w:bCs/>
          <w:position w:val="-10"/>
          <w:szCs w:val="22"/>
        </w:rPr>
      </w:pPr>
      <w:r>
        <w:rPr>
          <w:rFonts w:hint="eastAsia"/>
          <w:b/>
          <w:bCs/>
          <w:position w:val="-10"/>
          <w:szCs w:val="22"/>
        </w:rPr>
        <w:t>课程目标达成结果：</w:t>
      </w:r>
    </w:p>
    <w:p>
      <w:pPr>
        <w:spacing w:line="360" w:lineRule="auto"/>
        <w:ind w:firstLine="420" w:firstLineChars="200"/>
        <w:rPr>
          <w:rFonts w:ascii="宋体" w:hAnsi="宋体" w:cs="宋体"/>
          <w:szCs w:val="21"/>
        </w:rPr>
      </w:pPr>
      <w:r>
        <w:rPr>
          <w:rFonts w:hint="eastAsia" w:ascii="宋体" w:hAnsi="宋体" w:cs="宋体"/>
          <w:szCs w:val="21"/>
        </w:rPr>
        <w:t>同一课程目标的评价，取定性评价和定量评价的平均值，作为最终评价结果。</w:t>
      </w:r>
    </w:p>
    <w:p>
      <w:pPr>
        <w:spacing w:line="360" w:lineRule="auto"/>
        <w:ind w:firstLine="420" w:firstLineChars="200"/>
        <w:rPr>
          <w:position w:val="-10"/>
          <w:szCs w:val="22"/>
        </w:rPr>
      </w:pPr>
      <w:r>
        <w:rPr>
          <w:rFonts w:hint="eastAsia"/>
          <w:position w:val="-10"/>
          <w:szCs w:val="22"/>
        </w:rPr>
        <w:t>课程目标达成度大于等于0.71为一级达成，大于等于0.65为二级达成。</w:t>
      </w:r>
    </w:p>
    <w:p>
      <w:pPr>
        <w:widowControl/>
        <w:jc w:val="left"/>
        <w:rPr>
          <w:rFonts w:eastAsia="黑体"/>
          <w:szCs w:val="24"/>
        </w:rPr>
      </w:pPr>
    </w:p>
    <w:p>
      <w:pPr>
        <w:tabs>
          <w:tab w:val="left" w:pos="420"/>
        </w:tabs>
        <w:adjustRightInd w:val="0"/>
        <w:snapToGrid w:val="0"/>
        <w:spacing w:line="360" w:lineRule="auto"/>
        <w:ind w:left="420" w:hanging="420"/>
        <w:rPr>
          <w:rFonts w:eastAsia="黑体"/>
          <w:szCs w:val="24"/>
        </w:rPr>
      </w:pPr>
      <w:r>
        <w:rPr>
          <w:rFonts w:hint="eastAsia" w:eastAsia="黑体"/>
          <w:szCs w:val="24"/>
        </w:rPr>
        <w:t>十一、各环节评价标准</w:t>
      </w:r>
    </w:p>
    <w:p>
      <w:pPr>
        <w:spacing w:line="360" w:lineRule="auto"/>
        <w:ind w:firstLine="420" w:firstLineChars="200"/>
        <w:rPr>
          <w:szCs w:val="21"/>
        </w:rPr>
      </w:pPr>
      <w:r>
        <w:rPr>
          <w:rFonts w:hint="eastAsia"/>
          <w:szCs w:val="21"/>
        </w:rPr>
        <w:t>本课程允许教师在各评价环节根据具体情况采取多样化、个性化的考核手段，其评价标准应当在《</w:t>
      </w:r>
      <w:r>
        <w:rPr>
          <w:rFonts w:hint="eastAsia" w:ascii="宋体" w:hAnsi="宋体"/>
          <w:szCs w:val="21"/>
        </w:rPr>
        <w:t>SIE-CT-01：</w:t>
      </w:r>
      <w:r>
        <w:rPr>
          <w:rFonts w:hint="eastAsia"/>
          <w:szCs w:val="21"/>
        </w:rPr>
        <w:t>授课计划》中明确并向学生公布，教学过程中的考核评价应当严格按照标准完成。</w:t>
      </w:r>
    </w:p>
    <w:p>
      <w:pPr>
        <w:tabs>
          <w:tab w:val="left" w:pos="420"/>
        </w:tabs>
        <w:adjustRightInd w:val="0"/>
        <w:snapToGrid w:val="0"/>
        <w:spacing w:line="360" w:lineRule="auto"/>
        <w:ind w:left="420" w:hanging="420"/>
        <w:rPr>
          <w:color w:val="0000FF"/>
        </w:rPr>
      </w:pPr>
    </w:p>
    <w:p>
      <w:pPr>
        <w:tabs>
          <w:tab w:val="left" w:pos="420"/>
        </w:tabs>
        <w:adjustRightInd w:val="0"/>
        <w:snapToGrid w:val="0"/>
        <w:spacing w:line="360" w:lineRule="auto"/>
        <w:ind w:left="420" w:hanging="420"/>
        <w:rPr>
          <w:rFonts w:eastAsia="黑体"/>
          <w:szCs w:val="24"/>
        </w:rPr>
      </w:pPr>
      <w:r>
        <w:rPr>
          <w:rFonts w:hint="eastAsia" w:eastAsia="黑体"/>
          <w:szCs w:val="24"/>
        </w:rPr>
        <w:t>十二、课程目标达成评价结果用于持续改进</w:t>
      </w:r>
    </w:p>
    <w:p>
      <w:pPr>
        <w:spacing w:line="360" w:lineRule="auto"/>
        <w:ind w:firstLine="420" w:firstLineChars="200"/>
        <w:rPr>
          <w:szCs w:val="21"/>
        </w:rPr>
      </w:pPr>
      <w:r>
        <w:rPr>
          <w:rFonts w:hint="eastAsia"/>
          <w:szCs w:val="21"/>
        </w:rPr>
        <w:t>课程目标达成评价结果将用于后续教学过程的持续改进。</w:t>
      </w:r>
    </w:p>
    <w:p>
      <w:pPr>
        <w:spacing w:line="360" w:lineRule="auto"/>
        <w:ind w:firstLine="420" w:firstLineChars="200"/>
        <w:rPr>
          <w:szCs w:val="21"/>
        </w:rPr>
      </w:pPr>
      <w:r>
        <w:rPr>
          <w:rFonts w:hint="eastAsia"/>
          <w:szCs w:val="21"/>
        </w:rPr>
        <w:t>针对课程目标达成评价中发现的问题与不足，重点是达成值相对较低的项，在本次授课总结中应由授课教师分析具体原因，并给出改进建议。后续任课教师应当针对以前的问题和建议，在授课计划中做好落实改进计划，并在授课过程中予以落实。</w:t>
      </w:r>
    </w:p>
    <w:p>
      <w:pPr>
        <w:pStyle w:val="18"/>
        <w:spacing w:before="240" w:after="360"/>
      </w:pPr>
      <w:bookmarkStart w:id="24" w:name="_Toc31815"/>
      <w:r>
        <w:rPr>
          <w:rFonts w:hint="eastAsia"/>
        </w:rPr>
        <w:t>《</w:t>
      </w:r>
      <w:r>
        <w:rPr>
          <w:rFonts w:ascii="Times New Roman" w:hAnsi="Times New Roman" w:cs="Times New Roman"/>
        </w:rPr>
        <w:t>ANSYS》教学大纲</w:t>
      </w:r>
      <w:bookmarkEnd w:id="24"/>
    </w:p>
    <w:p>
      <w:pPr>
        <w:adjustRightInd w:val="0"/>
        <w:snapToGrid w:val="0"/>
        <w:spacing w:line="360" w:lineRule="auto"/>
        <w:rPr>
          <w:bCs/>
          <w:kern w:val="0"/>
        </w:rPr>
      </w:pPr>
      <w:r>
        <w:rPr>
          <w:rFonts w:hint="eastAsia" w:eastAsia="黑体"/>
          <w:szCs w:val="21"/>
        </w:rPr>
        <w:t>课程编号：</w:t>
      </w:r>
      <w:r>
        <w:rPr>
          <w:bCs/>
          <w:kern w:val="0"/>
        </w:rPr>
        <w:t>Y06060108</w:t>
      </w:r>
    </w:p>
    <w:p>
      <w:pPr>
        <w:adjustRightInd w:val="0"/>
        <w:snapToGrid w:val="0"/>
        <w:spacing w:line="360" w:lineRule="auto"/>
        <w:rPr>
          <w:snapToGrid w:val="0"/>
          <w:kern w:val="0"/>
          <w:szCs w:val="21"/>
        </w:rPr>
      </w:pPr>
      <w:r>
        <w:rPr>
          <w:rFonts w:hint="eastAsia" w:eastAsia="黑体"/>
          <w:szCs w:val="21"/>
        </w:rPr>
        <w:t>课程名称：</w:t>
      </w:r>
      <w:r>
        <w:rPr>
          <w:szCs w:val="21"/>
        </w:rPr>
        <w:t xml:space="preserve">ANSYS </w:t>
      </w:r>
      <w:r>
        <w:rPr>
          <w:szCs w:val="21"/>
        </w:rPr>
        <w:tab/>
      </w:r>
      <w:r>
        <w:rPr>
          <w:szCs w:val="21"/>
        </w:rPr>
        <w:tab/>
      </w:r>
      <w:r>
        <w:rPr>
          <w:szCs w:val="21"/>
        </w:rPr>
        <w:tab/>
      </w:r>
      <w:r>
        <w:rPr>
          <w:szCs w:val="21"/>
        </w:rPr>
        <w:tab/>
      </w:r>
      <w:r>
        <w:rPr>
          <w:szCs w:val="21"/>
        </w:rPr>
        <w:tab/>
      </w:r>
      <w:r>
        <w:rPr>
          <w:rFonts w:hint="eastAsia" w:eastAsia="黑体"/>
          <w:szCs w:val="21"/>
        </w:rPr>
        <w:t>开课单位：</w:t>
      </w:r>
      <w:r>
        <w:rPr>
          <w:rFonts w:hint="eastAsia"/>
          <w:szCs w:val="21"/>
        </w:rPr>
        <w:t>仪器与电子学院</w:t>
      </w:r>
      <w:r>
        <w:rPr>
          <w:rFonts w:eastAsia="黑体"/>
          <w:szCs w:val="21"/>
        </w:rPr>
        <w:tab/>
      </w:r>
    </w:p>
    <w:p>
      <w:pPr>
        <w:adjustRightInd w:val="0"/>
        <w:snapToGrid w:val="0"/>
        <w:spacing w:line="360" w:lineRule="auto"/>
        <w:rPr>
          <w:rFonts w:eastAsia="黑体"/>
          <w:szCs w:val="21"/>
        </w:rPr>
      </w:pPr>
      <w:r>
        <w:rPr>
          <w:rFonts w:hint="eastAsia" w:eastAsia="黑体"/>
          <w:szCs w:val="21"/>
        </w:rPr>
        <w:t>总学时：</w:t>
      </w:r>
      <w:r>
        <w:rPr>
          <w:rFonts w:hint="eastAsia"/>
          <w:szCs w:val="21"/>
        </w:rPr>
        <w:t>32（实验16学时）</w:t>
      </w:r>
      <w:r>
        <w:rPr>
          <w:rFonts w:eastAsia="黑体"/>
          <w:szCs w:val="21"/>
        </w:rPr>
        <w:tab/>
      </w:r>
      <w:r>
        <w:rPr>
          <w:rFonts w:eastAsia="黑体"/>
          <w:szCs w:val="21"/>
        </w:rPr>
        <w:tab/>
      </w:r>
      <w:r>
        <w:rPr>
          <w:rFonts w:eastAsia="黑体"/>
          <w:szCs w:val="21"/>
        </w:rPr>
        <w:tab/>
      </w:r>
      <w:r>
        <w:rPr>
          <w:rFonts w:eastAsia="黑体"/>
          <w:szCs w:val="21"/>
        </w:rPr>
        <w:tab/>
      </w:r>
      <w:r>
        <w:rPr>
          <w:rFonts w:hint="eastAsia" w:eastAsia="黑体"/>
          <w:szCs w:val="21"/>
        </w:rPr>
        <w:t>学分：</w:t>
      </w:r>
      <w:r>
        <w:rPr>
          <w:rFonts w:eastAsia="黑体"/>
          <w:szCs w:val="21"/>
        </w:rPr>
        <w:t>2</w:t>
      </w:r>
    </w:p>
    <w:p>
      <w:pPr>
        <w:adjustRightInd w:val="0"/>
        <w:snapToGrid w:val="0"/>
        <w:spacing w:line="360" w:lineRule="auto"/>
        <w:rPr>
          <w:rFonts w:hint="eastAsia" w:eastAsia="宋体"/>
          <w:szCs w:val="21"/>
          <w:lang w:eastAsia="zh-CN"/>
        </w:rPr>
      </w:pPr>
      <w:r>
        <w:rPr>
          <w:rFonts w:hint="eastAsia" w:eastAsia="黑体"/>
          <w:szCs w:val="21"/>
        </w:rPr>
        <w:t>适用专业：</w:t>
      </w:r>
      <w:r>
        <w:rPr>
          <w:rFonts w:hint="eastAsia"/>
          <w:szCs w:val="21"/>
        </w:rPr>
        <w:t>测控技术与仪器专业</w:t>
      </w:r>
      <w:r>
        <w:rPr>
          <w:rFonts w:hint="eastAsia"/>
          <w:szCs w:val="21"/>
          <w:lang w:eastAsia="zh-CN"/>
        </w:rPr>
        <w:t>、智能感知工程</w:t>
      </w:r>
    </w:p>
    <w:p>
      <w:pPr>
        <w:adjustRightInd w:val="0"/>
        <w:snapToGrid w:val="0"/>
        <w:spacing w:line="360" w:lineRule="auto"/>
        <w:rPr>
          <w:szCs w:val="21"/>
        </w:rPr>
      </w:pPr>
      <w:r>
        <w:rPr>
          <w:rFonts w:hint="eastAsia" w:eastAsia="黑体"/>
          <w:szCs w:val="21"/>
        </w:rPr>
        <w:t>先修课程：</w:t>
      </w:r>
      <w:r>
        <w:rPr>
          <w:rFonts w:hint="eastAsia"/>
          <w:szCs w:val="21"/>
        </w:rPr>
        <w:t>工程力学、精密仪器零件设计</w:t>
      </w:r>
    </w:p>
    <w:p>
      <w:pPr>
        <w:adjustRightInd w:val="0"/>
        <w:snapToGrid w:val="0"/>
        <w:spacing w:line="360" w:lineRule="auto"/>
        <w:rPr>
          <w:szCs w:val="21"/>
        </w:rPr>
      </w:pPr>
      <w:r>
        <w:rPr>
          <w:rFonts w:hint="eastAsia" w:eastAsia="黑体"/>
          <w:szCs w:val="21"/>
        </w:rPr>
        <w:t>大纲撰写人：</w:t>
      </w:r>
      <w:r>
        <w:rPr>
          <w:rFonts w:hint="eastAsia"/>
          <w:szCs w:val="21"/>
        </w:rPr>
        <w:t>董和磊</w:t>
      </w:r>
    </w:p>
    <w:p>
      <w:pPr>
        <w:adjustRightInd w:val="0"/>
        <w:snapToGrid w:val="0"/>
        <w:spacing w:line="360" w:lineRule="auto"/>
        <w:rPr>
          <w:szCs w:val="21"/>
        </w:rPr>
      </w:pPr>
      <w:r>
        <w:rPr>
          <w:rFonts w:eastAsia="黑体"/>
          <w:szCs w:val="21"/>
        </w:rPr>
        <w:t>大纲编写（修订）时间：</w:t>
      </w:r>
      <w:r>
        <w:rPr>
          <w:szCs w:val="21"/>
        </w:rPr>
        <w:t>2019年5月</w:t>
      </w:r>
    </w:p>
    <w:p>
      <w:pPr>
        <w:rPr>
          <w:b/>
          <w:szCs w:val="21"/>
        </w:rPr>
      </w:pPr>
    </w:p>
    <w:p>
      <w:pPr>
        <w:tabs>
          <w:tab w:val="left" w:pos="420"/>
        </w:tabs>
        <w:adjustRightInd w:val="0"/>
        <w:snapToGrid w:val="0"/>
        <w:spacing w:line="360" w:lineRule="auto"/>
        <w:rPr>
          <w:rFonts w:eastAsia="黑体"/>
          <w:szCs w:val="21"/>
        </w:rPr>
      </w:pPr>
      <w:r>
        <w:rPr>
          <w:rFonts w:hint="eastAsia" w:eastAsia="黑体"/>
          <w:szCs w:val="21"/>
        </w:rPr>
        <w:t>一、课程在教学计划中的地位、作用</w:t>
      </w:r>
    </w:p>
    <w:p>
      <w:pPr>
        <w:spacing w:line="360" w:lineRule="auto"/>
        <w:ind w:firstLine="420" w:firstLineChars="200"/>
        <w:rPr>
          <w:szCs w:val="21"/>
        </w:rPr>
      </w:pPr>
      <w:r>
        <w:rPr>
          <w:rFonts w:hint="eastAsia"/>
          <w:szCs w:val="21"/>
        </w:rPr>
        <w:t>本课程是一门属于特种传感与系统集成类的专业方向选修课。ANSYS可为测控技术与仪器专业中传感器原理及应用、精密仪器零件设计、测试系统设计提供结构分析和设计工具。本课程学习的重点包括建模与网格化、静力学分析、动力学分析、优化设计，提高学生对硅微惯性器件、电子器件、集成电路在可靠性、抗过载能力、适应恶劣环境方面的设计和分析能力，有助于MEMS系统的设计和应用，尤其是对有志从事MEMS设计和研究开发的人员非常有用。</w:t>
      </w:r>
    </w:p>
    <w:p>
      <w:pPr>
        <w:spacing w:line="360" w:lineRule="auto"/>
        <w:ind w:firstLine="420" w:firstLineChars="200"/>
        <w:rPr>
          <w:szCs w:val="21"/>
        </w:rPr>
      </w:pPr>
    </w:p>
    <w:p>
      <w:pPr>
        <w:numPr>
          <w:ilvl w:val="0"/>
          <w:numId w:val="9"/>
        </w:numPr>
        <w:adjustRightInd w:val="0"/>
        <w:snapToGrid w:val="0"/>
        <w:spacing w:line="360" w:lineRule="auto"/>
        <w:ind w:left="420" w:leftChars="0" w:hanging="420" w:firstLineChars="0"/>
        <w:rPr>
          <w:rFonts w:hint="eastAsia" w:eastAsia="黑体"/>
          <w:szCs w:val="21"/>
        </w:rPr>
      </w:pPr>
      <w:r>
        <w:rPr>
          <w:rFonts w:hint="eastAsia" w:eastAsia="黑体"/>
          <w:szCs w:val="21"/>
        </w:rPr>
        <w:t>课程目标</w:t>
      </w:r>
    </w:p>
    <w:p>
      <w:pPr>
        <w:spacing w:line="360" w:lineRule="auto"/>
        <w:rPr>
          <w:rFonts w:hint="eastAsia"/>
          <w:szCs w:val="21"/>
          <w:lang w:val="en-US" w:eastAsia="zh-CN"/>
        </w:rPr>
      </w:pPr>
      <w:r>
        <w:rPr>
          <w:rFonts w:hint="eastAsia"/>
          <w:szCs w:val="21"/>
          <w:lang w:val="en-US" w:eastAsia="zh-CN"/>
        </w:rPr>
        <w:t>测控技术与仪器专业：</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4000"/>
        <w:gridCol w:w="390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rFonts w:ascii="宋体" w:hAnsi="宋体"/>
                <w:sz w:val="18"/>
                <w:szCs w:val="18"/>
              </w:rPr>
            </w:pPr>
            <w:r>
              <w:rPr>
                <w:rFonts w:ascii="宋体" w:hAnsi="宋体"/>
                <w:sz w:val="18"/>
                <w:szCs w:val="18"/>
              </w:rPr>
              <w:t>序号</w:t>
            </w:r>
          </w:p>
        </w:tc>
        <w:tc>
          <w:tcPr>
            <w:tcW w:w="2345" w:type="pct"/>
            <w:vAlign w:val="center"/>
          </w:tcPr>
          <w:p>
            <w:pPr>
              <w:spacing w:line="360" w:lineRule="auto"/>
              <w:jc w:val="center"/>
              <w:rPr>
                <w:rFonts w:ascii="宋体" w:hAnsi="宋体"/>
                <w:sz w:val="18"/>
                <w:szCs w:val="18"/>
              </w:rPr>
            </w:pPr>
            <w:r>
              <w:rPr>
                <w:rFonts w:ascii="宋体" w:hAnsi="宋体"/>
                <w:sz w:val="18"/>
                <w:szCs w:val="18"/>
              </w:rPr>
              <w:t>课程目标</w:t>
            </w:r>
          </w:p>
        </w:tc>
        <w:tc>
          <w:tcPr>
            <w:tcW w:w="2288" w:type="pct"/>
            <w:vAlign w:val="center"/>
          </w:tcPr>
          <w:p>
            <w:pPr>
              <w:spacing w:line="360" w:lineRule="auto"/>
              <w:jc w:val="center"/>
              <w:rPr>
                <w:rFonts w:ascii="宋体" w:hAnsi="宋体"/>
                <w:sz w:val="18"/>
                <w:szCs w:val="18"/>
              </w:rPr>
            </w:pPr>
            <w:r>
              <w:rPr>
                <w:rFonts w:ascii="宋体" w:hAnsi="宋体"/>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rFonts w:ascii="宋体" w:hAnsi="宋体"/>
                <w:sz w:val="18"/>
                <w:szCs w:val="18"/>
              </w:rPr>
            </w:pPr>
            <w:r>
              <w:rPr>
                <w:rFonts w:hint="eastAsia" w:ascii="宋体" w:hAnsi="宋体"/>
                <w:sz w:val="18"/>
                <w:szCs w:val="18"/>
              </w:rPr>
              <w:t>1</w:t>
            </w:r>
          </w:p>
        </w:tc>
        <w:tc>
          <w:tcPr>
            <w:tcW w:w="2345" w:type="pct"/>
            <w:vAlign w:val="center"/>
          </w:tcPr>
          <w:p>
            <w:pPr>
              <w:spacing w:line="360" w:lineRule="auto"/>
              <w:rPr>
                <w:rFonts w:ascii="宋体" w:hAnsi="宋体"/>
                <w:sz w:val="18"/>
                <w:szCs w:val="18"/>
              </w:rPr>
            </w:pPr>
            <w:r>
              <w:rPr>
                <w:rFonts w:hint="eastAsia" w:ascii="宋体" w:hAnsi="宋体"/>
                <w:sz w:val="18"/>
                <w:szCs w:val="18"/>
              </w:rPr>
              <w:t>能够通过</w:t>
            </w:r>
            <w:r>
              <w:rPr>
                <w:rFonts w:ascii="宋体" w:hAnsi="宋体"/>
                <w:sz w:val="18"/>
                <w:szCs w:val="18"/>
              </w:rPr>
              <w:t>分析</w:t>
            </w:r>
            <w:r>
              <w:rPr>
                <w:rFonts w:hint="eastAsia" w:ascii="宋体" w:hAnsi="宋体"/>
                <w:sz w:val="18"/>
                <w:szCs w:val="18"/>
              </w:rPr>
              <w:t>将相关复杂工程问题转化为技术问题，并利用Ansys软件进行相应</w:t>
            </w:r>
            <w:r>
              <w:rPr>
                <w:rFonts w:ascii="宋体" w:hAnsi="宋体"/>
                <w:sz w:val="18"/>
                <w:szCs w:val="18"/>
              </w:rPr>
              <w:t>的</w:t>
            </w:r>
            <w:r>
              <w:rPr>
                <w:rFonts w:hint="eastAsia" w:ascii="宋体" w:hAnsi="宋体"/>
                <w:sz w:val="18"/>
                <w:szCs w:val="18"/>
              </w:rPr>
              <w:t>器件设计，且</w:t>
            </w:r>
            <w:r>
              <w:rPr>
                <w:rFonts w:ascii="宋体" w:hAnsi="宋体"/>
                <w:sz w:val="18"/>
                <w:szCs w:val="18"/>
              </w:rPr>
              <w:t>能</w:t>
            </w:r>
            <w:r>
              <w:rPr>
                <w:rFonts w:hint="eastAsia" w:ascii="宋体" w:hAnsi="宋体"/>
                <w:sz w:val="18"/>
                <w:szCs w:val="18"/>
              </w:rPr>
              <w:t>对器件结构设计</w:t>
            </w:r>
            <w:r>
              <w:rPr>
                <w:rFonts w:ascii="宋体" w:hAnsi="宋体"/>
                <w:sz w:val="18"/>
                <w:szCs w:val="18"/>
              </w:rPr>
              <w:t>方案</w:t>
            </w:r>
            <w:r>
              <w:rPr>
                <w:rFonts w:hint="eastAsia" w:ascii="宋体" w:hAnsi="宋体"/>
                <w:sz w:val="18"/>
                <w:szCs w:val="18"/>
              </w:rPr>
              <w:t>进行优化选择；</w:t>
            </w:r>
          </w:p>
        </w:tc>
        <w:tc>
          <w:tcPr>
            <w:tcW w:w="2288" w:type="pct"/>
            <w:vAlign w:val="center"/>
          </w:tcPr>
          <w:p>
            <w:pPr>
              <w:spacing w:line="360" w:lineRule="auto"/>
              <w:rPr>
                <w:rFonts w:ascii="宋体" w:hAnsi="宋体"/>
                <w:sz w:val="18"/>
                <w:szCs w:val="18"/>
              </w:rPr>
            </w:pPr>
            <w:r>
              <w:rPr>
                <w:rFonts w:hint="eastAsia" w:ascii="宋体" w:hAnsi="宋体"/>
                <w:b/>
                <w:sz w:val="18"/>
                <w:szCs w:val="18"/>
              </w:rPr>
              <w:t>指标点3-1 按需设计：</w:t>
            </w:r>
            <w:r>
              <w:rPr>
                <w:rFonts w:hint="eastAsia" w:ascii="宋体" w:hAnsi="宋体"/>
                <w:sz w:val="18"/>
                <w:szCs w:val="18"/>
              </w:rPr>
              <w:t>能够根据用户特定需求设计复杂工程问题的解决方案，设计相关的传感器、测控系统以及工艺流程，并能够针对方案进行优化选择。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rFonts w:ascii="宋体" w:hAnsi="宋体"/>
                <w:sz w:val="18"/>
                <w:szCs w:val="18"/>
              </w:rPr>
            </w:pPr>
            <w:r>
              <w:rPr>
                <w:rFonts w:hint="eastAsia" w:ascii="宋体" w:hAnsi="宋体"/>
                <w:sz w:val="18"/>
                <w:szCs w:val="18"/>
              </w:rPr>
              <w:t>2</w:t>
            </w:r>
          </w:p>
        </w:tc>
        <w:tc>
          <w:tcPr>
            <w:tcW w:w="2345" w:type="pct"/>
            <w:vAlign w:val="center"/>
          </w:tcPr>
          <w:p>
            <w:pPr>
              <w:spacing w:line="360" w:lineRule="auto"/>
              <w:rPr>
                <w:rFonts w:ascii="宋体" w:hAnsi="宋体"/>
                <w:sz w:val="18"/>
                <w:szCs w:val="18"/>
              </w:rPr>
            </w:pPr>
            <w:r>
              <w:rPr>
                <w:rFonts w:hint="eastAsia" w:ascii="宋体" w:hAnsi="宋体"/>
                <w:sz w:val="18"/>
                <w:szCs w:val="18"/>
              </w:rPr>
              <w:t>能够正确</w:t>
            </w:r>
            <w:r>
              <w:rPr>
                <w:rFonts w:ascii="宋体" w:hAnsi="宋体"/>
                <w:sz w:val="18"/>
                <w:szCs w:val="18"/>
              </w:rPr>
              <w:t>理解</w:t>
            </w:r>
            <w:r>
              <w:rPr>
                <w:rFonts w:hint="eastAsia" w:ascii="宋体" w:hAnsi="宋体"/>
                <w:sz w:val="18"/>
                <w:szCs w:val="18"/>
              </w:rPr>
              <w:t>Ansys</w:t>
            </w:r>
            <w:r>
              <w:rPr>
                <w:rFonts w:ascii="宋体" w:hAnsi="宋体"/>
                <w:sz w:val="18"/>
                <w:szCs w:val="18"/>
              </w:rPr>
              <w:t>有限元仿真结果</w:t>
            </w:r>
            <w:r>
              <w:rPr>
                <w:rFonts w:hint="eastAsia" w:ascii="宋体" w:hAnsi="宋体"/>
                <w:sz w:val="18"/>
                <w:szCs w:val="18"/>
              </w:rPr>
              <w:t>，并</w:t>
            </w:r>
            <w:r>
              <w:rPr>
                <w:rFonts w:ascii="宋体" w:hAnsi="宋体"/>
                <w:sz w:val="18"/>
                <w:szCs w:val="18"/>
              </w:rPr>
              <w:t>能</w:t>
            </w:r>
            <w:r>
              <w:rPr>
                <w:rFonts w:hint="eastAsia" w:ascii="宋体" w:hAnsi="宋体"/>
                <w:sz w:val="18"/>
                <w:szCs w:val="18"/>
              </w:rPr>
              <w:t>对</w:t>
            </w:r>
            <w:r>
              <w:rPr>
                <w:rFonts w:ascii="宋体" w:hAnsi="宋体"/>
                <w:sz w:val="18"/>
                <w:szCs w:val="18"/>
              </w:rPr>
              <w:t>数据</w:t>
            </w:r>
            <w:r>
              <w:rPr>
                <w:rFonts w:hint="eastAsia" w:ascii="宋体" w:hAnsi="宋体"/>
                <w:sz w:val="18"/>
                <w:szCs w:val="18"/>
              </w:rPr>
              <w:t>进行</w:t>
            </w:r>
            <w:r>
              <w:rPr>
                <w:rFonts w:ascii="宋体" w:hAnsi="宋体"/>
                <w:sz w:val="18"/>
                <w:szCs w:val="18"/>
              </w:rPr>
              <w:t>分析</w:t>
            </w:r>
            <w:r>
              <w:rPr>
                <w:rFonts w:hint="eastAsia" w:ascii="宋体" w:hAnsi="宋体"/>
                <w:sz w:val="18"/>
                <w:szCs w:val="18"/>
              </w:rPr>
              <w:t>处理</w:t>
            </w:r>
            <w:r>
              <w:rPr>
                <w:rFonts w:ascii="宋体" w:hAnsi="宋体"/>
                <w:sz w:val="18"/>
                <w:szCs w:val="18"/>
              </w:rPr>
              <w:t>，得到有效结论，</w:t>
            </w:r>
            <w:r>
              <w:rPr>
                <w:rFonts w:hint="eastAsia" w:ascii="宋体" w:hAnsi="宋体"/>
                <w:sz w:val="18"/>
                <w:szCs w:val="18"/>
              </w:rPr>
              <w:t>反馈指导器件结构设计的改进与优化；</w:t>
            </w:r>
          </w:p>
        </w:tc>
        <w:tc>
          <w:tcPr>
            <w:tcW w:w="2288" w:type="pct"/>
            <w:vAlign w:val="center"/>
          </w:tcPr>
          <w:p>
            <w:pPr>
              <w:spacing w:line="360" w:lineRule="auto"/>
              <w:rPr>
                <w:rFonts w:ascii="宋体" w:hAnsi="宋体"/>
                <w:sz w:val="18"/>
                <w:szCs w:val="18"/>
              </w:rPr>
            </w:pPr>
            <w:r>
              <w:rPr>
                <w:rFonts w:hint="eastAsia" w:ascii="宋体" w:hAnsi="宋体"/>
                <w:b/>
                <w:sz w:val="18"/>
                <w:szCs w:val="18"/>
              </w:rPr>
              <w:t>指标点4-3 实验结果分析：</w:t>
            </w:r>
            <w:r>
              <w:rPr>
                <w:rFonts w:hint="eastAsia" w:ascii="宋体" w:hAnsi="宋体"/>
                <w:sz w:val="18"/>
                <w:szCs w:val="18"/>
              </w:rPr>
              <w:t>能正确采集、整理、综合实验数据及相关信息，对多因素实验结果进行关联处理，得到有效结论，提出优化方案。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rFonts w:ascii="宋体" w:hAnsi="宋体"/>
                <w:sz w:val="18"/>
                <w:szCs w:val="18"/>
              </w:rPr>
            </w:pPr>
            <w:r>
              <w:rPr>
                <w:rFonts w:hint="eastAsia" w:ascii="宋体" w:hAnsi="宋体"/>
                <w:sz w:val="18"/>
                <w:szCs w:val="18"/>
              </w:rPr>
              <w:t>3</w:t>
            </w:r>
          </w:p>
        </w:tc>
        <w:tc>
          <w:tcPr>
            <w:tcW w:w="2345" w:type="pct"/>
            <w:vAlign w:val="center"/>
          </w:tcPr>
          <w:p>
            <w:pPr>
              <w:spacing w:line="360" w:lineRule="auto"/>
              <w:rPr>
                <w:rFonts w:ascii="宋体" w:hAnsi="宋体"/>
                <w:sz w:val="18"/>
                <w:szCs w:val="18"/>
              </w:rPr>
            </w:pPr>
            <w:r>
              <w:rPr>
                <w:rFonts w:hint="eastAsia" w:ascii="宋体" w:hAnsi="宋体"/>
                <w:sz w:val="18"/>
                <w:szCs w:val="18"/>
              </w:rPr>
              <w:t>能够使用Ansys软件工具实现压力传感器、加速度计、微陀螺等传感器的仿真设计，确定器件</w:t>
            </w:r>
            <w:r>
              <w:rPr>
                <w:rFonts w:ascii="宋体" w:hAnsi="宋体"/>
                <w:sz w:val="18"/>
                <w:szCs w:val="18"/>
              </w:rPr>
              <w:t>材料选型</w:t>
            </w:r>
            <w:r>
              <w:rPr>
                <w:rFonts w:hint="eastAsia" w:ascii="宋体" w:hAnsi="宋体"/>
                <w:sz w:val="18"/>
                <w:szCs w:val="18"/>
              </w:rPr>
              <w:t>、</w:t>
            </w:r>
            <w:r>
              <w:rPr>
                <w:rFonts w:ascii="宋体" w:hAnsi="宋体"/>
                <w:sz w:val="18"/>
                <w:szCs w:val="18"/>
              </w:rPr>
              <w:t>结构</w:t>
            </w:r>
            <w:r>
              <w:rPr>
                <w:rFonts w:hint="eastAsia" w:ascii="宋体" w:hAnsi="宋体"/>
                <w:sz w:val="18"/>
                <w:szCs w:val="18"/>
              </w:rPr>
              <w:t>及关键</w:t>
            </w:r>
            <w:r>
              <w:rPr>
                <w:rFonts w:ascii="宋体" w:hAnsi="宋体"/>
                <w:sz w:val="18"/>
                <w:szCs w:val="18"/>
              </w:rPr>
              <w:t>尺寸参数。</w:t>
            </w:r>
          </w:p>
        </w:tc>
        <w:tc>
          <w:tcPr>
            <w:tcW w:w="2288" w:type="pct"/>
            <w:vAlign w:val="center"/>
          </w:tcPr>
          <w:p>
            <w:pPr>
              <w:spacing w:line="360" w:lineRule="auto"/>
              <w:rPr>
                <w:rFonts w:ascii="宋体" w:hAnsi="宋体"/>
                <w:sz w:val="18"/>
                <w:szCs w:val="18"/>
              </w:rPr>
            </w:pPr>
            <w:r>
              <w:rPr>
                <w:rFonts w:hint="eastAsia" w:ascii="宋体" w:hAnsi="宋体"/>
                <w:b/>
                <w:sz w:val="18"/>
                <w:szCs w:val="18"/>
              </w:rPr>
              <w:t>指标点5-2专业工具使用：</w:t>
            </w:r>
            <w:r>
              <w:rPr>
                <w:rFonts w:hint="eastAsia" w:ascii="宋体" w:hAnsi="宋体"/>
                <w:sz w:val="18"/>
                <w:szCs w:val="18"/>
              </w:rPr>
              <w:t>能使用工具对测控电路或系统进行设计和仿真，确定功能和相关设计参数。</w:t>
            </w:r>
          </w:p>
        </w:tc>
      </w:tr>
    </w:tbl>
    <w:p>
      <w:pPr>
        <w:tabs>
          <w:tab w:val="left" w:pos="420"/>
        </w:tabs>
        <w:adjustRightInd w:val="0"/>
        <w:snapToGrid w:val="0"/>
        <w:spacing w:line="360" w:lineRule="auto"/>
        <w:ind w:left="420" w:hanging="420"/>
        <w:rPr>
          <w:rFonts w:eastAsia="黑体"/>
          <w:szCs w:val="21"/>
        </w:rPr>
      </w:pPr>
    </w:p>
    <w:p>
      <w:pPr>
        <w:spacing w:line="360" w:lineRule="auto"/>
        <w:rPr>
          <w:rFonts w:hint="eastAsia"/>
          <w:szCs w:val="21"/>
          <w:lang w:val="en-US" w:eastAsia="zh-CN"/>
        </w:rPr>
      </w:pPr>
      <w:r>
        <w:rPr>
          <w:rFonts w:hint="eastAsia"/>
          <w:szCs w:val="21"/>
          <w:lang w:val="en-US" w:eastAsia="zh-CN"/>
        </w:rPr>
        <w:t>智能感知工程专业：</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4000"/>
        <w:gridCol w:w="390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rFonts w:ascii="宋体" w:hAnsi="宋体"/>
                <w:sz w:val="18"/>
                <w:szCs w:val="18"/>
              </w:rPr>
            </w:pPr>
            <w:r>
              <w:rPr>
                <w:rFonts w:ascii="宋体" w:hAnsi="宋体"/>
                <w:sz w:val="18"/>
                <w:szCs w:val="18"/>
              </w:rPr>
              <w:t>序号</w:t>
            </w:r>
          </w:p>
        </w:tc>
        <w:tc>
          <w:tcPr>
            <w:tcW w:w="2345" w:type="pct"/>
            <w:vAlign w:val="center"/>
          </w:tcPr>
          <w:p>
            <w:pPr>
              <w:spacing w:line="360" w:lineRule="auto"/>
              <w:jc w:val="center"/>
              <w:rPr>
                <w:rFonts w:ascii="宋体" w:hAnsi="宋体"/>
                <w:sz w:val="18"/>
                <w:szCs w:val="18"/>
              </w:rPr>
            </w:pPr>
            <w:r>
              <w:rPr>
                <w:rFonts w:ascii="宋体" w:hAnsi="宋体"/>
                <w:sz w:val="18"/>
                <w:szCs w:val="18"/>
              </w:rPr>
              <w:t>课程目标</w:t>
            </w:r>
          </w:p>
        </w:tc>
        <w:tc>
          <w:tcPr>
            <w:tcW w:w="2288" w:type="pct"/>
            <w:vAlign w:val="center"/>
          </w:tcPr>
          <w:p>
            <w:pPr>
              <w:spacing w:line="360" w:lineRule="auto"/>
              <w:jc w:val="center"/>
              <w:rPr>
                <w:rFonts w:ascii="宋体" w:hAnsi="宋体"/>
                <w:sz w:val="18"/>
                <w:szCs w:val="18"/>
              </w:rPr>
            </w:pPr>
            <w:r>
              <w:rPr>
                <w:rFonts w:ascii="宋体" w:hAnsi="宋体"/>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rFonts w:ascii="宋体" w:hAnsi="宋体"/>
                <w:sz w:val="18"/>
                <w:szCs w:val="18"/>
              </w:rPr>
            </w:pPr>
            <w:r>
              <w:rPr>
                <w:rFonts w:hint="eastAsia" w:ascii="宋体" w:hAnsi="宋体"/>
                <w:sz w:val="18"/>
                <w:szCs w:val="18"/>
              </w:rPr>
              <w:t>1</w:t>
            </w:r>
          </w:p>
        </w:tc>
        <w:tc>
          <w:tcPr>
            <w:tcW w:w="2345" w:type="pct"/>
            <w:vAlign w:val="center"/>
          </w:tcPr>
          <w:p>
            <w:pPr>
              <w:spacing w:line="360" w:lineRule="auto"/>
              <w:rPr>
                <w:rFonts w:ascii="宋体" w:hAnsi="宋体"/>
                <w:sz w:val="18"/>
                <w:szCs w:val="18"/>
              </w:rPr>
            </w:pPr>
            <w:r>
              <w:rPr>
                <w:rFonts w:hint="eastAsia" w:ascii="宋体" w:hAnsi="宋体"/>
                <w:sz w:val="18"/>
                <w:szCs w:val="18"/>
              </w:rPr>
              <w:t>能够通过</w:t>
            </w:r>
            <w:r>
              <w:rPr>
                <w:rFonts w:ascii="宋体" w:hAnsi="宋体"/>
                <w:sz w:val="18"/>
                <w:szCs w:val="18"/>
              </w:rPr>
              <w:t>分析</w:t>
            </w:r>
            <w:r>
              <w:rPr>
                <w:rFonts w:hint="eastAsia" w:ascii="宋体" w:hAnsi="宋体"/>
                <w:sz w:val="18"/>
                <w:szCs w:val="18"/>
              </w:rPr>
              <w:t>将相关复杂工程问题转化为技术问题，并利用Ansys软件进行相应</w:t>
            </w:r>
            <w:r>
              <w:rPr>
                <w:rFonts w:ascii="宋体" w:hAnsi="宋体"/>
                <w:sz w:val="18"/>
                <w:szCs w:val="18"/>
              </w:rPr>
              <w:t>的</w:t>
            </w:r>
            <w:r>
              <w:rPr>
                <w:rFonts w:hint="eastAsia" w:ascii="宋体" w:hAnsi="宋体"/>
                <w:sz w:val="18"/>
                <w:szCs w:val="18"/>
              </w:rPr>
              <w:t>器件设计，且</w:t>
            </w:r>
            <w:r>
              <w:rPr>
                <w:rFonts w:ascii="宋体" w:hAnsi="宋体"/>
                <w:sz w:val="18"/>
                <w:szCs w:val="18"/>
              </w:rPr>
              <w:t>能</w:t>
            </w:r>
            <w:r>
              <w:rPr>
                <w:rFonts w:hint="eastAsia" w:ascii="宋体" w:hAnsi="宋体"/>
                <w:sz w:val="18"/>
                <w:szCs w:val="18"/>
              </w:rPr>
              <w:t>对器件结构设计</w:t>
            </w:r>
            <w:r>
              <w:rPr>
                <w:rFonts w:ascii="宋体" w:hAnsi="宋体"/>
                <w:sz w:val="18"/>
                <w:szCs w:val="18"/>
              </w:rPr>
              <w:t>方案</w:t>
            </w:r>
            <w:r>
              <w:rPr>
                <w:rFonts w:hint="eastAsia" w:ascii="宋体" w:hAnsi="宋体"/>
                <w:sz w:val="18"/>
                <w:szCs w:val="18"/>
              </w:rPr>
              <w:t>进行优化选择；</w:t>
            </w:r>
          </w:p>
        </w:tc>
        <w:tc>
          <w:tcPr>
            <w:tcW w:w="2288" w:type="pct"/>
            <w:vAlign w:val="center"/>
          </w:tcPr>
          <w:p>
            <w:pPr>
              <w:spacing w:line="360" w:lineRule="auto"/>
              <w:rPr>
                <w:rFonts w:ascii="宋体" w:hAnsi="宋体"/>
                <w:sz w:val="18"/>
                <w:szCs w:val="18"/>
              </w:rPr>
            </w:pPr>
            <w:r>
              <w:rPr>
                <w:rFonts w:hint="eastAsia" w:ascii="宋体" w:hAnsi="宋体"/>
                <w:b/>
                <w:sz w:val="18"/>
                <w:szCs w:val="18"/>
              </w:rPr>
              <w:t>指标点3-1 按需设计：</w:t>
            </w:r>
            <w:r>
              <w:rPr>
                <w:bCs/>
                <w:sz w:val="18"/>
                <w:szCs w:val="18"/>
              </w:rPr>
              <w:t>能够根据用户特定需求设计复杂工程问题的解决方案，设计相关的信息处理系统、智能控制系统以及工艺流程，并能够针对方案进行优化选择。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rFonts w:ascii="宋体" w:hAnsi="宋体"/>
                <w:sz w:val="18"/>
                <w:szCs w:val="18"/>
              </w:rPr>
            </w:pPr>
            <w:r>
              <w:rPr>
                <w:rFonts w:hint="eastAsia" w:ascii="宋体" w:hAnsi="宋体"/>
                <w:sz w:val="18"/>
                <w:szCs w:val="18"/>
              </w:rPr>
              <w:t>2</w:t>
            </w:r>
          </w:p>
        </w:tc>
        <w:tc>
          <w:tcPr>
            <w:tcW w:w="2345" w:type="pct"/>
            <w:vAlign w:val="center"/>
          </w:tcPr>
          <w:p>
            <w:pPr>
              <w:spacing w:line="360" w:lineRule="auto"/>
              <w:rPr>
                <w:rFonts w:ascii="宋体" w:hAnsi="宋体"/>
                <w:sz w:val="18"/>
                <w:szCs w:val="18"/>
              </w:rPr>
            </w:pPr>
            <w:r>
              <w:rPr>
                <w:rFonts w:hint="eastAsia" w:ascii="宋体" w:hAnsi="宋体"/>
                <w:sz w:val="18"/>
                <w:szCs w:val="18"/>
              </w:rPr>
              <w:t>能够正确</w:t>
            </w:r>
            <w:r>
              <w:rPr>
                <w:rFonts w:ascii="宋体" w:hAnsi="宋体"/>
                <w:sz w:val="18"/>
                <w:szCs w:val="18"/>
              </w:rPr>
              <w:t>理解</w:t>
            </w:r>
            <w:r>
              <w:rPr>
                <w:rFonts w:hint="eastAsia" w:ascii="宋体" w:hAnsi="宋体"/>
                <w:sz w:val="18"/>
                <w:szCs w:val="18"/>
              </w:rPr>
              <w:t>Ansys</w:t>
            </w:r>
            <w:r>
              <w:rPr>
                <w:rFonts w:ascii="宋体" w:hAnsi="宋体"/>
                <w:sz w:val="18"/>
                <w:szCs w:val="18"/>
              </w:rPr>
              <w:t>有限元仿真结果</w:t>
            </w:r>
            <w:r>
              <w:rPr>
                <w:rFonts w:hint="eastAsia" w:ascii="宋体" w:hAnsi="宋体"/>
                <w:sz w:val="18"/>
                <w:szCs w:val="18"/>
              </w:rPr>
              <w:t>，并</w:t>
            </w:r>
            <w:r>
              <w:rPr>
                <w:rFonts w:ascii="宋体" w:hAnsi="宋体"/>
                <w:sz w:val="18"/>
                <w:szCs w:val="18"/>
              </w:rPr>
              <w:t>能</w:t>
            </w:r>
            <w:r>
              <w:rPr>
                <w:rFonts w:hint="eastAsia" w:ascii="宋体" w:hAnsi="宋体"/>
                <w:sz w:val="18"/>
                <w:szCs w:val="18"/>
              </w:rPr>
              <w:t>对</w:t>
            </w:r>
            <w:r>
              <w:rPr>
                <w:rFonts w:ascii="宋体" w:hAnsi="宋体"/>
                <w:sz w:val="18"/>
                <w:szCs w:val="18"/>
              </w:rPr>
              <w:t>数据</w:t>
            </w:r>
            <w:r>
              <w:rPr>
                <w:rFonts w:hint="eastAsia" w:ascii="宋体" w:hAnsi="宋体"/>
                <w:sz w:val="18"/>
                <w:szCs w:val="18"/>
              </w:rPr>
              <w:t>进行</w:t>
            </w:r>
            <w:r>
              <w:rPr>
                <w:rFonts w:ascii="宋体" w:hAnsi="宋体"/>
                <w:sz w:val="18"/>
                <w:szCs w:val="18"/>
              </w:rPr>
              <w:t>分析</w:t>
            </w:r>
            <w:r>
              <w:rPr>
                <w:rFonts w:hint="eastAsia" w:ascii="宋体" w:hAnsi="宋体"/>
                <w:sz w:val="18"/>
                <w:szCs w:val="18"/>
              </w:rPr>
              <w:t>处理</w:t>
            </w:r>
            <w:r>
              <w:rPr>
                <w:rFonts w:ascii="宋体" w:hAnsi="宋体"/>
                <w:sz w:val="18"/>
                <w:szCs w:val="18"/>
              </w:rPr>
              <w:t>，得到有效结论，</w:t>
            </w:r>
            <w:r>
              <w:rPr>
                <w:rFonts w:hint="eastAsia" w:ascii="宋体" w:hAnsi="宋体"/>
                <w:sz w:val="18"/>
                <w:szCs w:val="18"/>
              </w:rPr>
              <w:t>反馈指导器件结构设计的改进与优化；</w:t>
            </w:r>
          </w:p>
        </w:tc>
        <w:tc>
          <w:tcPr>
            <w:tcW w:w="2288" w:type="pct"/>
            <w:vAlign w:val="center"/>
          </w:tcPr>
          <w:p>
            <w:pPr>
              <w:spacing w:line="360" w:lineRule="auto"/>
              <w:rPr>
                <w:rFonts w:ascii="宋体" w:hAnsi="宋体"/>
                <w:sz w:val="18"/>
                <w:szCs w:val="18"/>
              </w:rPr>
            </w:pPr>
            <w:r>
              <w:rPr>
                <w:rFonts w:hint="eastAsia" w:ascii="宋体" w:hAnsi="宋体"/>
                <w:b/>
                <w:sz w:val="18"/>
                <w:szCs w:val="18"/>
              </w:rPr>
              <w:t>指标点4-3 实验结果分析：</w:t>
            </w:r>
            <w:r>
              <w:rPr>
                <w:bCs/>
                <w:sz w:val="18"/>
                <w:szCs w:val="18"/>
              </w:rPr>
              <w:t>能正确采集、整理、综合实验数据及相关信息，对多因素实验结果进行关联处理，得到有效结论，提出优化方案。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rFonts w:ascii="宋体" w:hAnsi="宋体"/>
                <w:sz w:val="18"/>
                <w:szCs w:val="18"/>
              </w:rPr>
            </w:pPr>
            <w:r>
              <w:rPr>
                <w:rFonts w:hint="eastAsia" w:ascii="宋体" w:hAnsi="宋体"/>
                <w:sz w:val="18"/>
                <w:szCs w:val="18"/>
              </w:rPr>
              <w:t>3</w:t>
            </w:r>
          </w:p>
        </w:tc>
        <w:tc>
          <w:tcPr>
            <w:tcW w:w="2345" w:type="pct"/>
            <w:vAlign w:val="center"/>
          </w:tcPr>
          <w:p>
            <w:pPr>
              <w:spacing w:line="360" w:lineRule="auto"/>
              <w:rPr>
                <w:rFonts w:ascii="宋体" w:hAnsi="宋体"/>
                <w:sz w:val="18"/>
                <w:szCs w:val="18"/>
              </w:rPr>
            </w:pPr>
            <w:r>
              <w:rPr>
                <w:rFonts w:hint="eastAsia" w:ascii="宋体" w:hAnsi="宋体"/>
                <w:sz w:val="18"/>
                <w:szCs w:val="18"/>
              </w:rPr>
              <w:t>能够使用Ansys软件工具实现压力传感器、加速度计、微陀螺等传感器的仿真设计，确定器件</w:t>
            </w:r>
            <w:r>
              <w:rPr>
                <w:rFonts w:ascii="宋体" w:hAnsi="宋体"/>
                <w:sz w:val="18"/>
                <w:szCs w:val="18"/>
              </w:rPr>
              <w:t>材料选型</w:t>
            </w:r>
            <w:r>
              <w:rPr>
                <w:rFonts w:hint="eastAsia" w:ascii="宋体" w:hAnsi="宋体"/>
                <w:sz w:val="18"/>
                <w:szCs w:val="18"/>
              </w:rPr>
              <w:t>、</w:t>
            </w:r>
            <w:r>
              <w:rPr>
                <w:rFonts w:ascii="宋体" w:hAnsi="宋体"/>
                <w:sz w:val="18"/>
                <w:szCs w:val="18"/>
              </w:rPr>
              <w:t>结构</w:t>
            </w:r>
            <w:r>
              <w:rPr>
                <w:rFonts w:hint="eastAsia" w:ascii="宋体" w:hAnsi="宋体"/>
                <w:sz w:val="18"/>
                <w:szCs w:val="18"/>
              </w:rPr>
              <w:t>及关键</w:t>
            </w:r>
            <w:r>
              <w:rPr>
                <w:rFonts w:ascii="宋体" w:hAnsi="宋体"/>
                <w:sz w:val="18"/>
                <w:szCs w:val="18"/>
              </w:rPr>
              <w:t>尺寸参数。</w:t>
            </w:r>
          </w:p>
        </w:tc>
        <w:tc>
          <w:tcPr>
            <w:tcW w:w="2288" w:type="pct"/>
            <w:vAlign w:val="center"/>
          </w:tcPr>
          <w:p>
            <w:pPr>
              <w:spacing w:line="360" w:lineRule="auto"/>
              <w:rPr>
                <w:rFonts w:ascii="宋体" w:hAnsi="宋体"/>
                <w:sz w:val="18"/>
                <w:szCs w:val="18"/>
              </w:rPr>
            </w:pPr>
            <w:r>
              <w:rPr>
                <w:rFonts w:hint="eastAsia" w:ascii="宋体" w:hAnsi="宋体"/>
                <w:b/>
                <w:sz w:val="18"/>
                <w:szCs w:val="18"/>
              </w:rPr>
              <w:t>指标点5-2专业工具使用：</w:t>
            </w:r>
            <w:r>
              <w:rPr>
                <w:bCs/>
                <w:sz w:val="18"/>
                <w:szCs w:val="18"/>
              </w:rPr>
              <w:t>能使用工具对智能信息处理或控制系统进行设计和仿真，确定功能和相关设计参数。</w:t>
            </w:r>
          </w:p>
        </w:tc>
      </w:tr>
    </w:tbl>
    <w:p>
      <w:pPr>
        <w:tabs>
          <w:tab w:val="left" w:pos="420"/>
        </w:tabs>
        <w:adjustRightInd w:val="0"/>
        <w:snapToGrid w:val="0"/>
        <w:spacing w:line="360" w:lineRule="auto"/>
        <w:ind w:left="420" w:hanging="420"/>
        <w:rPr>
          <w:rFonts w:eastAsia="黑体"/>
          <w:szCs w:val="21"/>
        </w:rPr>
      </w:pPr>
    </w:p>
    <w:p>
      <w:pPr>
        <w:tabs>
          <w:tab w:val="left" w:pos="420"/>
        </w:tabs>
        <w:adjustRightInd w:val="0"/>
        <w:snapToGrid w:val="0"/>
        <w:spacing w:line="360" w:lineRule="auto"/>
        <w:ind w:left="420" w:hanging="420"/>
        <w:rPr>
          <w:rFonts w:eastAsia="黑体"/>
          <w:szCs w:val="21"/>
        </w:rPr>
      </w:pPr>
      <w:r>
        <w:rPr>
          <w:rFonts w:hint="eastAsia" w:eastAsia="黑体"/>
          <w:szCs w:val="21"/>
        </w:rPr>
        <w:t>三、基本要求</w:t>
      </w:r>
    </w:p>
    <w:p>
      <w:pPr>
        <w:spacing w:line="360" w:lineRule="auto"/>
        <w:ind w:firstLine="420" w:firstLineChars="200"/>
        <w:rPr>
          <w:szCs w:val="21"/>
        </w:rPr>
      </w:pPr>
      <w:r>
        <w:rPr>
          <w:rFonts w:hint="eastAsia"/>
          <w:szCs w:val="21"/>
        </w:rPr>
        <w:t>1、本课程为专业选修课程，要求先修工程力学、精密仪器零件设计。通过本课程的学习，培养学生的创新设计能力和仿真能力，提高学生解决实际问题的能力。</w:t>
      </w:r>
    </w:p>
    <w:p>
      <w:pPr>
        <w:spacing w:line="360" w:lineRule="auto"/>
        <w:ind w:firstLine="420" w:firstLineChars="200"/>
        <w:rPr>
          <w:szCs w:val="21"/>
        </w:rPr>
      </w:pPr>
      <w:r>
        <w:rPr>
          <w:rFonts w:hint="eastAsia"/>
          <w:szCs w:val="21"/>
        </w:rPr>
        <w:t>2、在教学过程中应注重新原理、新结构的传感器和测试系统设计与启发，利用Ansys如何完成结构仿真，以提升知识实用水平。</w:t>
      </w:r>
    </w:p>
    <w:p>
      <w:pPr>
        <w:spacing w:line="360" w:lineRule="auto"/>
        <w:ind w:firstLine="420" w:firstLineChars="200"/>
        <w:rPr>
          <w:szCs w:val="21"/>
        </w:rPr>
      </w:pPr>
      <w:r>
        <w:rPr>
          <w:rFonts w:hint="eastAsia"/>
          <w:szCs w:val="21"/>
        </w:rPr>
        <w:t>3、在理论教学中要展示三个以上传感器的专题设计，并在实验教学让学生选择性实现仿真设计。</w:t>
      </w:r>
    </w:p>
    <w:p>
      <w:pPr>
        <w:spacing w:line="360" w:lineRule="auto"/>
        <w:ind w:firstLine="420" w:firstLineChars="200"/>
        <w:rPr>
          <w:szCs w:val="21"/>
        </w:rPr>
      </w:pPr>
      <w:r>
        <w:rPr>
          <w:rFonts w:hint="eastAsia"/>
          <w:szCs w:val="21"/>
        </w:rPr>
        <w:t>4、本课程是一门实践性很强的课程。要求学生通过实验环节把所学的理论知识与工程实践联系起来，并能举一反三。要求在CAI教室进行授课，并且教学和实验交替进行。</w:t>
      </w:r>
    </w:p>
    <w:p>
      <w:pPr>
        <w:spacing w:line="360" w:lineRule="auto"/>
        <w:ind w:firstLine="420" w:firstLineChars="200"/>
        <w:rPr>
          <w:szCs w:val="21"/>
        </w:rPr>
      </w:pPr>
      <w:r>
        <w:rPr>
          <w:rFonts w:hint="eastAsia"/>
          <w:szCs w:val="21"/>
        </w:rPr>
        <w:t>6、深度和广度说明：对传感器的结构设计思路及问题、网格化、加载设置、动力学分析和优化设计、器件级仿真等内容要深入讲解；对结构建模、和软件操作、后处理等内容熟悉就行；对系统级仿真和工艺级仿真了解即可。</w:t>
      </w:r>
    </w:p>
    <w:p>
      <w:pPr>
        <w:spacing w:line="360" w:lineRule="auto"/>
        <w:ind w:firstLine="420" w:firstLineChars="200"/>
        <w:rPr>
          <w:szCs w:val="21"/>
        </w:rPr>
      </w:pPr>
      <w:r>
        <w:rPr>
          <w:szCs w:val="21"/>
        </w:rPr>
        <w:t>7、偏差说明：为了鼓励教师引入个人授课风格或者适应技术发展的紧迫性，本课程允许教师授课内容做适当调整，最大正偏差为</w:t>
      </w:r>
      <w:r>
        <w:rPr>
          <w:rFonts w:hint="eastAsia"/>
          <w:szCs w:val="21"/>
        </w:rPr>
        <w:t>10%，不允许负偏差。正偏差通过压缩同等内容的学时数来完成。特殊情况，最大正偏差和置换偏差累计可达到20%，但在开课前要申请专业责任人批准。（正偏差指大纲知识点不变，新增知识点；负偏差是大纲知识点减少；置换偏差是指大纲中部分知识点被其它类似知识点替换）。</w:t>
      </w:r>
    </w:p>
    <w:p>
      <w:pPr>
        <w:spacing w:line="360" w:lineRule="auto"/>
        <w:ind w:firstLine="420" w:firstLineChars="200"/>
        <w:rPr>
          <w:szCs w:val="21"/>
        </w:rPr>
      </w:pPr>
    </w:p>
    <w:p>
      <w:pPr>
        <w:tabs>
          <w:tab w:val="left" w:pos="420"/>
        </w:tabs>
        <w:spacing w:line="360" w:lineRule="auto"/>
        <w:ind w:left="420" w:hanging="420"/>
        <w:rPr>
          <w:rFonts w:eastAsia="黑体"/>
          <w:szCs w:val="21"/>
        </w:rPr>
      </w:pPr>
      <w:r>
        <w:rPr>
          <w:rFonts w:hint="eastAsia" w:eastAsia="黑体"/>
          <w:szCs w:val="21"/>
        </w:rPr>
        <w:t>四、教学内容和教学方法</w:t>
      </w:r>
    </w:p>
    <w:p>
      <w:pPr>
        <w:spacing w:line="360" w:lineRule="auto"/>
        <w:ind w:firstLine="420" w:firstLineChars="200"/>
        <w:rPr>
          <w:szCs w:val="21"/>
        </w:rPr>
      </w:pPr>
      <w:r>
        <w:rPr>
          <w:rFonts w:hint="eastAsia"/>
          <w:szCs w:val="21"/>
        </w:rPr>
        <w:t>四、教学内容和教学方法</w:t>
      </w:r>
    </w:p>
    <w:p>
      <w:pPr>
        <w:spacing w:line="360" w:lineRule="auto"/>
        <w:ind w:firstLine="420" w:firstLineChars="200"/>
        <w:rPr>
          <w:szCs w:val="21"/>
        </w:rPr>
      </w:pPr>
      <w:r>
        <w:rPr>
          <w:rFonts w:hint="eastAsia"/>
          <w:szCs w:val="21"/>
        </w:rPr>
        <w:t>本课程重点讲授的内容包括：传感器的设计思想、设计方法和仿真技术。仿真技术主要包括传感器器件级仿真，有建模与网格化、静力学分析、模态分析、瞬态分析、谐响应分析和结构优化设计。所应用的软件是ANSYS，Comsol可作为验证软件。</w:t>
      </w:r>
    </w:p>
    <w:p>
      <w:pPr>
        <w:spacing w:line="360" w:lineRule="auto"/>
        <w:ind w:firstLine="420" w:firstLineChars="200"/>
        <w:rPr>
          <w:rFonts w:ascii="黑体" w:hAnsi="黑体" w:eastAsia="黑体"/>
          <w:szCs w:val="21"/>
        </w:rPr>
      </w:pPr>
      <w:r>
        <w:rPr>
          <w:szCs w:val="21"/>
        </w:rPr>
        <w:t>本课程在教学方法上，充分利用各种媒体教学手段，采取课堂教学、多媒体课件、验证性实验、课外分组实验方式有机结合，提高教学效率。</w:t>
      </w:r>
    </w:p>
    <w:p>
      <w:pPr>
        <w:spacing w:line="360" w:lineRule="auto"/>
        <w:ind w:firstLine="420" w:firstLineChars="200"/>
        <w:rPr>
          <w:szCs w:val="21"/>
        </w:rPr>
      </w:pPr>
      <w:r>
        <w:rPr>
          <w:rFonts w:hint="eastAsia"/>
          <w:szCs w:val="21"/>
        </w:rPr>
        <w:t>ANSYS在传感器设计、微执行器设计、测试系统设计中占有非常重要的地位，因此教师要重点讲授以使学生完全掌握。</w:t>
      </w:r>
    </w:p>
    <w:p>
      <w:pPr>
        <w:spacing w:line="360" w:lineRule="auto"/>
        <w:ind w:firstLine="420" w:firstLineChars="200"/>
        <w:rPr>
          <w:szCs w:val="21"/>
        </w:rPr>
      </w:pPr>
      <w:r>
        <w:rPr>
          <w:rFonts w:hint="eastAsia"/>
          <w:szCs w:val="21"/>
        </w:rPr>
        <w:t>为了提高学生的学习兴趣，并取得良好的教学效果，教师在知识讲解的过程中要充分利用问题引导、案例分析、实验操作等多种教学方法，以进一步提高教学质量。</w:t>
      </w:r>
    </w:p>
    <w:p>
      <w:pPr>
        <w:widowControl/>
        <w:adjustRightInd w:val="0"/>
        <w:snapToGrid w:val="0"/>
        <w:spacing w:line="360" w:lineRule="auto"/>
        <w:ind w:firstLine="420" w:firstLineChars="200"/>
        <w:rPr>
          <w:rFonts w:eastAsia="黑体"/>
          <w:szCs w:val="21"/>
        </w:rPr>
      </w:pPr>
      <w:r>
        <w:rPr>
          <w:rFonts w:eastAsia="黑体"/>
          <w:szCs w:val="21"/>
        </w:rPr>
        <w:t>1  绪论及基础知识（2学时）</w:t>
      </w:r>
    </w:p>
    <w:p>
      <w:pPr>
        <w:adjustRightInd w:val="0"/>
        <w:snapToGrid w:val="0"/>
        <w:spacing w:line="360" w:lineRule="auto"/>
        <w:ind w:firstLine="420" w:firstLineChars="200"/>
        <w:rPr>
          <w:szCs w:val="21"/>
        </w:rPr>
      </w:pPr>
      <w:r>
        <w:rPr>
          <w:szCs w:val="21"/>
        </w:rPr>
        <w:t>1.1、Ansys的设计对象和任务；</w:t>
      </w:r>
    </w:p>
    <w:p>
      <w:pPr>
        <w:adjustRightInd w:val="0"/>
        <w:snapToGrid w:val="0"/>
        <w:spacing w:line="360" w:lineRule="auto"/>
        <w:ind w:firstLine="420" w:firstLineChars="200"/>
        <w:rPr>
          <w:szCs w:val="21"/>
        </w:rPr>
      </w:pPr>
      <w:r>
        <w:rPr>
          <w:szCs w:val="21"/>
        </w:rPr>
        <w:t>1.2、Ansys工具及功能；（重点）</w:t>
      </w:r>
    </w:p>
    <w:p>
      <w:pPr>
        <w:adjustRightInd w:val="0"/>
        <w:snapToGrid w:val="0"/>
        <w:spacing w:line="360" w:lineRule="auto"/>
        <w:ind w:firstLine="420" w:firstLineChars="200"/>
        <w:rPr>
          <w:szCs w:val="21"/>
        </w:rPr>
      </w:pPr>
      <w:r>
        <w:rPr>
          <w:szCs w:val="21"/>
        </w:rPr>
        <w:t>1.3、Ansys的设计思路及问题（难点）；</w:t>
      </w:r>
    </w:p>
    <w:p>
      <w:pPr>
        <w:adjustRightInd w:val="0"/>
        <w:snapToGrid w:val="0"/>
        <w:spacing w:line="360" w:lineRule="auto"/>
        <w:ind w:firstLine="420" w:firstLineChars="200"/>
        <w:rPr>
          <w:szCs w:val="21"/>
        </w:rPr>
      </w:pPr>
      <w:r>
        <w:rPr>
          <w:szCs w:val="21"/>
        </w:rPr>
        <w:t>1.4、传感器和测试系统设计的目标及任务；</w:t>
      </w:r>
    </w:p>
    <w:p>
      <w:pPr>
        <w:adjustRightInd w:val="0"/>
        <w:snapToGrid w:val="0"/>
        <w:spacing w:line="360" w:lineRule="auto"/>
        <w:ind w:firstLine="420" w:firstLineChars="200"/>
        <w:rPr>
          <w:szCs w:val="21"/>
        </w:rPr>
      </w:pPr>
      <w:r>
        <w:rPr>
          <w:szCs w:val="21"/>
        </w:rPr>
        <w:t>1.5、课程的考察要求。</w:t>
      </w:r>
    </w:p>
    <w:p>
      <w:pPr>
        <w:adjustRightInd w:val="0"/>
        <w:snapToGrid w:val="0"/>
        <w:spacing w:line="360" w:lineRule="auto"/>
        <w:ind w:firstLine="420" w:firstLineChars="200"/>
        <w:rPr>
          <w:szCs w:val="21"/>
        </w:rPr>
      </w:pPr>
      <w:r>
        <w:rPr>
          <w:rFonts w:cs="宋体"/>
          <w:bCs/>
          <w:snapToGrid w:val="0"/>
          <w:kern w:val="0"/>
          <w:szCs w:val="21"/>
        </w:rPr>
        <w:t>本章内容支撑课程目标</w:t>
      </w:r>
      <w:r>
        <w:rPr>
          <w:rFonts w:hint="eastAsia" w:cs="宋体"/>
          <w:bCs/>
          <w:snapToGrid w:val="0"/>
          <w:kern w:val="0"/>
          <w:szCs w:val="21"/>
        </w:rPr>
        <w:t>1。</w:t>
      </w:r>
    </w:p>
    <w:p>
      <w:pPr>
        <w:widowControl/>
        <w:adjustRightInd w:val="0"/>
        <w:snapToGrid w:val="0"/>
        <w:spacing w:line="360" w:lineRule="auto"/>
        <w:ind w:firstLine="420" w:firstLineChars="200"/>
        <w:rPr>
          <w:rFonts w:eastAsia="黑体"/>
          <w:szCs w:val="21"/>
        </w:rPr>
      </w:pPr>
      <w:r>
        <w:rPr>
          <w:rFonts w:eastAsia="黑体"/>
          <w:szCs w:val="21"/>
        </w:rPr>
        <w:t>2  ANSYS的建模与网格划分技术（2学时）</w:t>
      </w:r>
    </w:p>
    <w:p>
      <w:pPr>
        <w:adjustRightInd w:val="0"/>
        <w:snapToGrid w:val="0"/>
        <w:spacing w:line="360" w:lineRule="auto"/>
        <w:ind w:firstLine="420" w:firstLineChars="200"/>
        <w:rPr>
          <w:szCs w:val="21"/>
        </w:rPr>
      </w:pPr>
      <w:r>
        <w:rPr>
          <w:szCs w:val="21"/>
        </w:rPr>
        <w:t>2.1、ANSYS的工作平面和坐标系统；</w:t>
      </w:r>
    </w:p>
    <w:p>
      <w:pPr>
        <w:adjustRightInd w:val="0"/>
        <w:snapToGrid w:val="0"/>
        <w:spacing w:line="360" w:lineRule="auto"/>
        <w:ind w:firstLine="420" w:firstLineChars="200"/>
        <w:rPr>
          <w:szCs w:val="21"/>
        </w:rPr>
      </w:pPr>
      <w:r>
        <w:rPr>
          <w:szCs w:val="21"/>
        </w:rPr>
        <w:t>2.2、ANSYS建模及高级操作技术；（重点）</w:t>
      </w:r>
    </w:p>
    <w:p>
      <w:pPr>
        <w:adjustRightInd w:val="0"/>
        <w:snapToGrid w:val="0"/>
        <w:spacing w:line="360" w:lineRule="auto"/>
        <w:ind w:firstLine="420" w:firstLineChars="200"/>
        <w:rPr>
          <w:szCs w:val="21"/>
        </w:rPr>
      </w:pPr>
      <w:r>
        <w:rPr>
          <w:szCs w:val="21"/>
        </w:rPr>
        <w:t>2.3、结构原型及问题抽象模型；</w:t>
      </w:r>
    </w:p>
    <w:p>
      <w:pPr>
        <w:adjustRightInd w:val="0"/>
        <w:snapToGrid w:val="0"/>
        <w:spacing w:line="360" w:lineRule="auto"/>
        <w:ind w:firstLine="420" w:firstLineChars="200"/>
        <w:rPr>
          <w:szCs w:val="21"/>
        </w:rPr>
      </w:pPr>
      <w:r>
        <w:rPr>
          <w:szCs w:val="21"/>
        </w:rPr>
        <w:t>2.4、ANSYS的网格划分与优化技术；（难点）</w:t>
      </w:r>
    </w:p>
    <w:p>
      <w:pPr>
        <w:adjustRightInd w:val="0"/>
        <w:snapToGrid w:val="0"/>
        <w:spacing w:line="360" w:lineRule="auto"/>
        <w:ind w:firstLine="420" w:firstLineChars="200"/>
        <w:rPr>
          <w:szCs w:val="21"/>
        </w:rPr>
      </w:pPr>
      <w:r>
        <w:rPr>
          <w:szCs w:val="21"/>
        </w:rPr>
        <w:t>2.5、物理问题与ANSYS的单元选择。</w:t>
      </w:r>
    </w:p>
    <w:p>
      <w:pPr>
        <w:adjustRightInd w:val="0"/>
        <w:snapToGrid w:val="0"/>
        <w:spacing w:line="360" w:lineRule="auto"/>
        <w:ind w:firstLine="420" w:firstLineChars="200"/>
        <w:rPr>
          <w:szCs w:val="21"/>
        </w:rPr>
      </w:pPr>
      <w:r>
        <w:rPr>
          <w:rFonts w:cs="宋体"/>
          <w:bCs/>
          <w:snapToGrid w:val="0"/>
          <w:kern w:val="0"/>
          <w:szCs w:val="21"/>
        </w:rPr>
        <w:t>本章内容支撑课程目标</w:t>
      </w:r>
      <w:r>
        <w:rPr>
          <w:rFonts w:hint="eastAsia" w:cs="宋体"/>
          <w:bCs/>
          <w:snapToGrid w:val="0"/>
          <w:kern w:val="0"/>
          <w:szCs w:val="21"/>
        </w:rPr>
        <w:t>1。</w:t>
      </w:r>
    </w:p>
    <w:p>
      <w:pPr>
        <w:widowControl/>
        <w:adjustRightInd w:val="0"/>
        <w:snapToGrid w:val="0"/>
        <w:spacing w:line="360" w:lineRule="auto"/>
        <w:ind w:firstLine="420" w:firstLineChars="200"/>
        <w:rPr>
          <w:rFonts w:eastAsia="黑体"/>
          <w:szCs w:val="21"/>
        </w:rPr>
      </w:pPr>
      <w:r>
        <w:rPr>
          <w:rFonts w:eastAsia="黑体"/>
          <w:szCs w:val="21"/>
        </w:rPr>
        <w:t>3  基本载荷、求解及后处理（2学时）</w:t>
      </w:r>
    </w:p>
    <w:p>
      <w:pPr>
        <w:adjustRightInd w:val="0"/>
        <w:snapToGrid w:val="0"/>
        <w:spacing w:line="360" w:lineRule="auto"/>
        <w:ind w:firstLine="420" w:firstLineChars="200"/>
        <w:rPr>
          <w:szCs w:val="21"/>
        </w:rPr>
      </w:pPr>
      <w:r>
        <w:rPr>
          <w:szCs w:val="21"/>
        </w:rPr>
        <w:t>3.1、载荷的施加方法和多载荷步加载技术；（难点）</w:t>
      </w:r>
    </w:p>
    <w:p>
      <w:pPr>
        <w:adjustRightInd w:val="0"/>
        <w:snapToGrid w:val="0"/>
        <w:spacing w:line="360" w:lineRule="auto"/>
        <w:ind w:firstLine="420" w:firstLineChars="200"/>
        <w:rPr>
          <w:szCs w:val="21"/>
        </w:rPr>
      </w:pPr>
      <w:r>
        <w:rPr>
          <w:szCs w:val="21"/>
        </w:rPr>
        <w:t>3.2、ANSYS的求解设置及求解技术；</w:t>
      </w:r>
    </w:p>
    <w:p>
      <w:pPr>
        <w:adjustRightInd w:val="0"/>
        <w:snapToGrid w:val="0"/>
        <w:spacing w:line="360" w:lineRule="auto"/>
        <w:ind w:firstLine="420" w:firstLineChars="200"/>
        <w:rPr>
          <w:szCs w:val="21"/>
        </w:rPr>
      </w:pPr>
      <w:r>
        <w:rPr>
          <w:szCs w:val="21"/>
        </w:rPr>
        <w:t>3.3、数据路径设计及结果显示技术；</w:t>
      </w:r>
    </w:p>
    <w:p>
      <w:pPr>
        <w:adjustRightInd w:val="0"/>
        <w:snapToGrid w:val="0"/>
        <w:spacing w:line="360" w:lineRule="auto"/>
        <w:ind w:firstLine="420" w:firstLineChars="200"/>
        <w:rPr>
          <w:szCs w:val="21"/>
        </w:rPr>
      </w:pPr>
      <w:r>
        <w:rPr>
          <w:szCs w:val="21"/>
        </w:rPr>
        <w:t>3.4、求解的优化设计思想及方法。（重点）</w:t>
      </w:r>
    </w:p>
    <w:p>
      <w:pPr>
        <w:adjustRightInd w:val="0"/>
        <w:snapToGrid w:val="0"/>
        <w:spacing w:line="360" w:lineRule="auto"/>
        <w:ind w:firstLine="420" w:firstLineChars="200"/>
        <w:rPr>
          <w:szCs w:val="21"/>
        </w:rPr>
      </w:pPr>
      <w:r>
        <w:rPr>
          <w:rFonts w:cs="宋体"/>
          <w:bCs/>
          <w:snapToGrid w:val="0"/>
          <w:kern w:val="0"/>
          <w:szCs w:val="21"/>
        </w:rPr>
        <w:t>本章内容支撑课程目标</w:t>
      </w:r>
      <w:r>
        <w:rPr>
          <w:rFonts w:hint="eastAsia" w:cs="宋体"/>
          <w:bCs/>
          <w:snapToGrid w:val="0"/>
          <w:kern w:val="0"/>
          <w:szCs w:val="21"/>
        </w:rPr>
        <w:t>1、2。</w:t>
      </w:r>
    </w:p>
    <w:p>
      <w:pPr>
        <w:widowControl/>
        <w:adjustRightInd w:val="0"/>
        <w:snapToGrid w:val="0"/>
        <w:spacing w:line="360" w:lineRule="auto"/>
        <w:ind w:firstLine="420" w:firstLineChars="200"/>
        <w:rPr>
          <w:rFonts w:eastAsia="黑体"/>
          <w:szCs w:val="21"/>
        </w:rPr>
      </w:pPr>
      <w:r>
        <w:rPr>
          <w:rFonts w:eastAsia="黑体"/>
          <w:szCs w:val="21"/>
        </w:rPr>
        <w:t>4  静力学分析（2学时）</w:t>
      </w:r>
    </w:p>
    <w:p>
      <w:pPr>
        <w:adjustRightInd w:val="0"/>
        <w:snapToGrid w:val="0"/>
        <w:spacing w:line="360" w:lineRule="auto"/>
        <w:ind w:firstLine="420" w:firstLineChars="200"/>
        <w:rPr>
          <w:szCs w:val="21"/>
        </w:rPr>
      </w:pPr>
      <w:r>
        <w:rPr>
          <w:szCs w:val="21"/>
        </w:rPr>
        <w:t>4.1、线性分析及应用；</w:t>
      </w:r>
    </w:p>
    <w:p>
      <w:pPr>
        <w:adjustRightInd w:val="0"/>
        <w:snapToGrid w:val="0"/>
        <w:spacing w:line="360" w:lineRule="auto"/>
        <w:ind w:firstLine="420" w:firstLineChars="200"/>
        <w:rPr>
          <w:szCs w:val="21"/>
        </w:rPr>
      </w:pPr>
      <w:r>
        <w:rPr>
          <w:szCs w:val="21"/>
        </w:rPr>
        <w:t>4.2、非线性分析及应用；（难点）</w:t>
      </w:r>
    </w:p>
    <w:p>
      <w:pPr>
        <w:adjustRightInd w:val="0"/>
        <w:snapToGrid w:val="0"/>
        <w:spacing w:line="360" w:lineRule="auto"/>
        <w:ind w:firstLine="420" w:firstLineChars="200"/>
        <w:rPr>
          <w:szCs w:val="21"/>
        </w:rPr>
      </w:pPr>
      <w:r>
        <w:rPr>
          <w:szCs w:val="21"/>
        </w:rPr>
        <w:t>4.3、静力加载与求解设置及后处理。（重点）</w:t>
      </w:r>
    </w:p>
    <w:p>
      <w:pPr>
        <w:adjustRightInd w:val="0"/>
        <w:snapToGrid w:val="0"/>
        <w:spacing w:line="360" w:lineRule="auto"/>
        <w:ind w:firstLine="420" w:firstLineChars="200"/>
        <w:rPr>
          <w:szCs w:val="21"/>
        </w:rPr>
      </w:pPr>
      <w:r>
        <w:rPr>
          <w:rFonts w:cs="宋体"/>
          <w:bCs/>
          <w:snapToGrid w:val="0"/>
          <w:kern w:val="0"/>
          <w:szCs w:val="21"/>
        </w:rPr>
        <w:t>本章内容支撑课程目标2</w:t>
      </w:r>
      <w:r>
        <w:rPr>
          <w:rFonts w:hint="eastAsia" w:cs="宋体"/>
          <w:bCs/>
          <w:snapToGrid w:val="0"/>
          <w:kern w:val="0"/>
          <w:szCs w:val="21"/>
        </w:rPr>
        <w:t>、3。</w:t>
      </w:r>
    </w:p>
    <w:p>
      <w:pPr>
        <w:widowControl/>
        <w:adjustRightInd w:val="0"/>
        <w:snapToGrid w:val="0"/>
        <w:spacing w:line="360" w:lineRule="auto"/>
        <w:ind w:firstLine="420" w:firstLineChars="200"/>
        <w:rPr>
          <w:rFonts w:eastAsia="黑体"/>
          <w:szCs w:val="21"/>
        </w:rPr>
      </w:pPr>
      <w:r>
        <w:rPr>
          <w:rFonts w:eastAsia="黑体"/>
          <w:szCs w:val="21"/>
        </w:rPr>
        <w:t>5  动力学分析（4学时）</w:t>
      </w:r>
    </w:p>
    <w:p>
      <w:pPr>
        <w:adjustRightInd w:val="0"/>
        <w:snapToGrid w:val="0"/>
        <w:spacing w:line="360" w:lineRule="auto"/>
        <w:ind w:firstLine="420" w:firstLineChars="200"/>
        <w:rPr>
          <w:szCs w:val="21"/>
        </w:rPr>
      </w:pPr>
      <w:r>
        <w:rPr>
          <w:szCs w:val="21"/>
        </w:rPr>
        <w:t>5.1、熟练掌握模态分析；</w:t>
      </w:r>
    </w:p>
    <w:p>
      <w:pPr>
        <w:adjustRightInd w:val="0"/>
        <w:snapToGrid w:val="0"/>
        <w:spacing w:line="360" w:lineRule="auto"/>
        <w:ind w:firstLine="420" w:firstLineChars="200"/>
        <w:rPr>
          <w:szCs w:val="21"/>
        </w:rPr>
      </w:pPr>
      <w:r>
        <w:rPr>
          <w:szCs w:val="21"/>
        </w:rPr>
        <w:t>5.2、熟练掌握瞬态分析、谐响应分析；（重点）</w:t>
      </w:r>
    </w:p>
    <w:p>
      <w:pPr>
        <w:adjustRightInd w:val="0"/>
        <w:snapToGrid w:val="0"/>
        <w:spacing w:line="360" w:lineRule="auto"/>
        <w:ind w:firstLine="420" w:firstLineChars="200"/>
        <w:rPr>
          <w:szCs w:val="21"/>
        </w:rPr>
      </w:pPr>
      <w:r>
        <w:rPr>
          <w:szCs w:val="21"/>
        </w:rPr>
        <w:t>5.3、了解有预应力的和大变形结构的模态分析。（难点）</w:t>
      </w:r>
    </w:p>
    <w:p>
      <w:pPr>
        <w:adjustRightInd w:val="0"/>
        <w:snapToGrid w:val="0"/>
        <w:spacing w:line="360" w:lineRule="auto"/>
        <w:ind w:firstLine="420" w:firstLineChars="200"/>
        <w:rPr>
          <w:szCs w:val="21"/>
        </w:rPr>
      </w:pPr>
      <w:r>
        <w:rPr>
          <w:rFonts w:cs="宋体"/>
          <w:bCs/>
          <w:snapToGrid w:val="0"/>
          <w:kern w:val="0"/>
          <w:szCs w:val="21"/>
        </w:rPr>
        <w:t>本章内容支撑课程目标</w:t>
      </w:r>
      <w:r>
        <w:rPr>
          <w:rFonts w:hint="eastAsia" w:cs="宋体"/>
          <w:bCs/>
          <w:snapToGrid w:val="0"/>
          <w:kern w:val="0"/>
          <w:szCs w:val="21"/>
        </w:rPr>
        <w:t>2、</w:t>
      </w:r>
      <w:r>
        <w:rPr>
          <w:rFonts w:cs="宋体"/>
          <w:bCs/>
          <w:snapToGrid w:val="0"/>
          <w:kern w:val="0"/>
          <w:szCs w:val="21"/>
        </w:rPr>
        <w:t>3</w:t>
      </w:r>
      <w:r>
        <w:rPr>
          <w:rFonts w:hint="eastAsia" w:cs="宋体"/>
          <w:bCs/>
          <w:snapToGrid w:val="0"/>
          <w:kern w:val="0"/>
          <w:szCs w:val="21"/>
        </w:rPr>
        <w:t>。</w:t>
      </w:r>
    </w:p>
    <w:p>
      <w:pPr>
        <w:widowControl/>
        <w:adjustRightInd w:val="0"/>
        <w:snapToGrid w:val="0"/>
        <w:spacing w:line="360" w:lineRule="auto"/>
        <w:ind w:firstLine="420" w:firstLineChars="200"/>
        <w:rPr>
          <w:rFonts w:eastAsia="黑体"/>
          <w:szCs w:val="21"/>
        </w:rPr>
      </w:pPr>
      <w:r>
        <w:rPr>
          <w:rFonts w:eastAsia="黑体"/>
          <w:szCs w:val="21"/>
        </w:rPr>
        <w:t>6  结构优化设计（4学时）</w:t>
      </w:r>
    </w:p>
    <w:p>
      <w:pPr>
        <w:adjustRightInd w:val="0"/>
        <w:snapToGrid w:val="0"/>
        <w:spacing w:line="360" w:lineRule="auto"/>
        <w:ind w:firstLine="420" w:firstLineChars="200"/>
        <w:rPr>
          <w:szCs w:val="21"/>
        </w:rPr>
      </w:pPr>
      <w:r>
        <w:rPr>
          <w:szCs w:val="21"/>
        </w:rPr>
        <w:t>6.1、掌握优化设计思想及方法；（重点）</w:t>
      </w:r>
    </w:p>
    <w:p>
      <w:pPr>
        <w:adjustRightInd w:val="0"/>
        <w:snapToGrid w:val="0"/>
        <w:spacing w:line="360" w:lineRule="auto"/>
        <w:ind w:firstLine="420" w:firstLineChars="200"/>
        <w:rPr>
          <w:szCs w:val="21"/>
        </w:rPr>
      </w:pPr>
      <w:r>
        <w:rPr>
          <w:szCs w:val="21"/>
        </w:rPr>
        <w:t>6.2、掌握优化设计过程及步骤；</w:t>
      </w:r>
    </w:p>
    <w:p>
      <w:pPr>
        <w:adjustRightInd w:val="0"/>
        <w:snapToGrid w:val="0"/>
        <w:spacing w:line="360" w:lineRule="auto"/>
        <w:ind w:firstLine="420" w:firstLineChars="200"/>
        <w:rPr>
          <w:szCs w:val="21"/>
        </w:rPr>
      </w:pPr>
      <w:r>
        <w:rPr>
          <w:szCs w:val="21"/>
        </w:rPr>
        <w:t>6.3、优化设计的应用及案例分析。（难点）</w:t>
      </w:r>
    </w:p>
    <w:p>
      <w:pPr>
        <w:spacing w:line="360" w:lineRule="auto"/>
        <w:ind w:left="426"/>
        <w:rPr>
          <w:rFonts w:eastAsia="黑体"/>
          <w:szCs w:val="21"/>
        </w:rPr>
      </w:pPr>
      <w:r>
        <w:rPr>
          <w:rFonts w:cs="宋体"/>
          <w:bCs/>
          <w:snapToGrid w:val="0"/>
          <w:kern w:val="0"/>
          <w:szCs w:val="21"/>
        </w:rPr>
        <w:t>本章内容支撑课程目标1</w:t>
      </w:r>
      <w:r>
        <w:rPr>
          <w:rFonts w:hint="eastAsia" w:cs="宋体"/>
          <w:bCs/>
          <w:snapToGrid w:val="0"/>
          <w:kern w:val="0"/>
          <w:szCs w:val="21"/>
        </w:rPr>
        <w:t>、3。</w:t>
      </w:r>
    </w:p>
    <w:p>
      <w:pPr>
        <w:adjustRightInd w:val="0"/>
        <w:snapToGrid w:val="0"/>
        <w:spacing w:line="360" w:lineRule="auto"/>
        <w:rPr>
          <w:b/>
          <w:sz w:val="24"/>
          <w:szCs w:val="24"/>
        </w:rPr>
      </w:pPr>
    </w:p>
    <w:p>
      <w:pPr>
        <w:tabs>
          <w:tab w:val="left" w:pos="420"/>
        </w:tabs>
        <w:adjustRightInd w:val="0"/>
        <w:snapToGrid w:val="0"/>
        <w:spacing w:line="360" w:lineRule="auto"/>
        <w:ind w:left="420" w:hanging="420"/>
        <w:rPr>
          <w:rFonts w:eastAsia="黑体"/>
          <w:szCs w:val="24"/>
        </w:rPr>
      </w:pPr>
      <w:r>
        <w:rPr>
          <w:rFonts w:hint="eastAsia" w:eastAsia="黑体"/>
          <w:szCs w:val="24"/>
        </w:rPr>
        <w:t>五、实验内容</w:t>
      </w:r>
    </w:p>
    <w:p>
      <w:pPr>
        <w:adjustRightInd w:val="0"/>
        <w:snapToGrid w:val="0"/>
        <w:spacing w:line="360" w:lineRule="auto"/>
        <w:ind w:firstLine="420" w:firstLineChars="200"/>
        <w:rPr>
          <w:kern w:val="0"/>
          <w:szCs w:val="21"/>
        </w:rPr>
      </w:pPr>
      <w:r>
        <w:rPr>
          <w:kern w:val="0"/>
          <w:szCs w:val="21"/>
        </w:rPr>
        <w:t>实验环节主要是上机操作，要求保证上机条件，即具备常用的EDA软件工具，以开展演示和验证性操作，要求学生掌握MEMS加速度计、压力传感器的器件级仿真，达到能够设计针对测控专业复杂工程问题的解决方案和能够对相关复杂工程问题进行预测与模拟。</w:t>
      </w:r>
    </w:p>
    <w:p>
      <w:pPr>
        <w:adjustRightInd w:val="0"/>
        <w:snapToGrid w:val="0"/>
        <w:spacing w:line="360" w:lineRule="auto"/>
        <w:ind w:firstLine="420" w:firstLineChars="200"/>
        <w:rPr>
          <w:kern w:val="0"/>
          <w:szCs w:val="21"/>
        </w:rPr>
      </w:pPr>
      <w:r>
        <w:rPr>
          <w:kern w:val="0"/>
          <w:szCs w:val="21"/>
        </w:rPr>
        <w:t>16个学时共完成4个实验，实验前由老师进行实验演示，讲解重点和难点，之后由学生实际操作完成所演示的实验，过程中可以进行讨论和对共性问题进行讲解。</w:t>
      </w:r>
    </w:p>
    <w:p>
      <w:pPr>
        <w:widowControl/>
        <w:adjustRightInd w:val="0"/>
        <w:snapToGrid w:val="0"/>
        <w:spacing w:line="360" w:lineRule="auto"/>
        <w:ind w:firstLine="420" w:firstLineChars="200"/>
        <w:jc w:val="left"/>
        <w:rPr>
          <w:rFonts w:eastAsia="黑体"/>
          <w:snapToGrid w:val="0"/>
          <w:kern w:val="0"/>
          <w:szCs w:val="21"/>
        </w:rPr>
      </w:pPr>
      <w:r>
        <w:rPr>
          <w:rFonts w:eastAsia="黑体"/>
          <w:snapToGrid w:val="0"/>
          <w:kern w:val="0"/>
          <w:szCs w:val="21"/>
        </w:rPr>
        <w:t>实验一 ANSYS基本操作练习（2学时）</w:t>
      </w:r>
    </w:p>
    <w:p>
      <w:pPr>
        <w:adjustRightInd w:val="0"/>
        <w:snapToGrid w:val="0"/>
        <w:spacing w:line="360" w:lineRule="auto"/>
        <w:ind w:firstLine="420" w:firstLineChars="200"/>
        <w:rPr>
          <w:kern w:val="0"/>
          <w:szCs w:val="21"/>
        </w:rPr>
      </w:pPr>
      <w:r>
        <w:rPr>
          <w:kern w:val="0"/>
          <w:szCs w:val="21"/>
        </w:rPr>
        <w:t>内容：练习ANSYS软件的功能操作，建立模型并网格化，学习模态分析方法，了解静态加载及求解操作，并进行数据后处理展示。</w:t>
      </w:r>
    </w:p>
    <w:p>
      <w:pPr>
        <w:adjustRightInd w:val="0"/>
        <w:snapToGrid w:val="0"/>
        <w:spacing w:line="360" w:lineRule="auto"/>
        <w:ind w:firstLine="420" w:firstLineChars="200"/>
        <w:rPr>
          <w:kern w:val="0"/>
          <w:szCs w:val="21"/>
        </w:rPr>
      </w:pPr>
      <w:r>
        <w:rPr>
          <w:kern w:val="0"/>
          <w:szCs w:val="21"/>
        </w:rPr>
        <w:t>基本要求：</w:t>
      </w:r>
    </w:p>
    <w:p>
      <w:pPr>
        <w:adjustRightInd w:val="0"/>
        <w:snapToGrid w:val="0"/>
        <w:spacing w:line="360" w:lineRule="auto"/>
        <w:ind w:firstLine="420" w:firstLineChars="200"/>
        <w:rPr>
          <w:kern w:val="0"/>
          <w:szCs w:val="21"/>
        </w:rPr>
      </w:pPr>
      <w:r>
        <w:rPr>
          <w:kern w:val="0"/>
          <w:szCs w:val="21"/>
        </w:rPr>
        <w:t>1、掌握ANSYS软件的构成及界面；</w:t>
      </w:r>
    </w:p>
    <w:p>
      <w:pPr>
        <w:adjustRightInd w:val="0"/>
        <w:snapToGrid w:val="0"/>
        <w:spacing w:line="360" w:lineRule="auto"/>
        <w:ind w:firstLine="420" w:firstLineChars="200"/>
        <w:rPr>
          <w:kern w:val="0"/>
          <w:szCs w:val="21"/>
        </w:rPr>
      </w:pPr>
      <w:r>
        <w:rPr>
          <w:kern w:val="0"/>
          <w:szCs w:val="21"/>
        </w:rPr>
        <w:t>2、掌握ANSYS软件的基本命令和操作；</w:t>
      </w:r>
    </w:p>
    <w:p>
      <w:pPr>
        <w:adjustRightInd w:val="0"/>
        <w:snapToGrid w:val="0"/>
        <w:spacing w:line="360" w:lineRule="auto"/>
        <w:ind w:firstLine="420" w:firstLineChars="200"/>
        <w:rPr>
          <w:kern w:val="0"/>
          <w:szCs w:val="21"/>
        </w:rPr>
      </w:pPr>
      <w:r>
        <w:rPr>
          <w:kern w:val="0"/>
          <w:szCs w:val="21"/>
        </w:rPr>
        <w:t>3、掌握ANSYS软件的功能；</w:t>
      </w:r>
    </w:p>
    <w:p>
      <w:pPr>
        <w:adjustRightInd w:val="0"/>
        <w:snapToGrid w:val="0"/>
        <w:spacing w:line="360" w:lineRule="auto"/>
        <w:ind w:firstLine="420" w:firstLineChars="200"/>
        <w:rPr>
          <w:kern w:val="0"/>
          <w:szCs w:val="21"/>
        </w:rPr>
      </w:pPr>
      <w:r>
        <w:rPr>
          <w:kern w:val="0"/>
          <w:szCs w:val="21"/>
        </w:rPr>
        <w:t>4、掌握简单微结构的建模与网格划分。</w:t>
      </w:r>
    </w:p>
    <w:p>
      <w:pPr>
        <w:adjustRightInd w:val="0"/>
        <w:snapToGrid w:val="0"/>
        <w:spacing w:line="360" w:lineRule="auto"/>
        <w:ind w:firstLine="420" w:firstLineChars="200"/>
        <w:rPr>
          <w:kern w:val="0"/>
          <w:szCs w:val="21"/>
        </w:rPr>
      </w:pPr>
      <w:r>
        <w:rPr>
          <w:rFonts w:cs="宋体"/>
          <w:bCs/>
          <w:snapToGrid w:val="0"/>
          <w:kern w:val="0"/>
          <w:szCs w:val="21"/>
        </w:rPr>
        <w:t>本实验支撑课程目标</w:t>
      </w:r>
      <w:r>
        <w:rPr>
          <w:rFonts w:hint="eastAsia" w:cs="宋体"/>
          <w:bCs/>
          <w:snapToGrid w:val="0"/>
          <w:kern w:val="0"/>
          <w:szCs w:val="21"/>
        </w:rPr>
        <w:t>1。</w:t>
      </w:r>
    </w:p>
    <w:p>
      <w:pPr>
        <w:widowControl/>
        <w:adjustRightInd w:val="0"/>
        <w:snapToGrid w:val="0"/>
        <w:spacing w:line="360" w:lineRule="auto"/>
        <w:ind w:firstLine="420" w:firstLineChars="200"/>
        <w:jc w:val="left"/>
        <w:rPr>
          <w:rFonts w:eastAsia="黑体"/>
          <w:snapToGrid w:val="0"/>
          <w:kern w:val="0"/>
          <w:szCs w:val="21"/>
        </w:rPr>
      </w:pPr>
      <w:r>
        <w:rPr>
          <w:rFonts w:eastAsia="黑体"/>
          <w:snapToGrid w:val="0"/>
          <w:kern w:val="0"/>
          <w:szCs w:val="21"/>
        </w:rPr>
        <w:t>实验二悬臂梁质量块的实体建模与仿真（4学时）</w:t>
      </w:r>
    </w:p>
    <w:p>
      <w:pPr>
        <w:widowControl/>
        <w:adjustRightInd w:val="0"/>
        <w:snapToGrid w:val="0"/>
        <w:spacing w:line="360" w:lineRule="auto"/>
        <w:ind w:firstLine="420" w:firstLineChars="200"/>
        <w:rPr>
          <w:kern w:val="0"/>
          <w:szCs w:val="21"/>
        </w:rPr>
      </w:pPr>
      <w:r>
        <w:rPr>
          <w:kern w:val="0"/>
          <w:szCs w:val="21"/>
        </w:rPr>
        <w:t>内容：进一步练习ANSYS软件的操作，实际操作建立模型并网格化，学习模态分析方法，了解静态加载及求解操作。</w:t>
      </w:r>
    </w:p>
    <w:p>
      <w:pPr>
        <w:widowControl/>
        <w:adjustRightInd w:val="0"/>
        <w:snapToGrid w:val="0"/>
        <w:spacing w:line="360" w:lineRule="auto"/>
        <w:ind w:firstLine="420" w:firstLineChars="200"/>
        <w:rPr>
          <w:kern w:val="0"/>
          <w:szCs w:val="21"/>
        </w:rPr>
      </w:pPr>
      <w:r>
        <w:rPr>
          <w:kern w:val="0"/>
          <w:szCs w:val="21"/>
        </w:rPr>
        <w:t>基本要求：</w:t>
      </w:r>
    </w:p>
    <w:p>
      <w:pPr>
        <w:widowControl/>
        <w:adjustRightInd w:val="0"/>
        <w:snapToGrid w:val="0"/>
        <w:spacing w:line="360" w:lineRule="auto"/>
        <w:ind w:firstLine="420" w:firstLineChars="200"/>
        <w:rPr>
          <w:kern w:val="0"/>
          <w:szCs w:val="21"/>
        </w:rPr>
      </w:pPr>
      <w:r>
        <w:rPr>
          <w:kern w:val="0"/>
          <w:szCs w:val="21"/>
        </w:rPr>
        <w:t>1、掌握建立模型的方法和命令；</w:t>
      </w:r>
    </w:p>
    <w:p>
      <w:pPr>
        <w:widowControl/>
        <w:adjustRightInd w:val="0"/>
        <w:snapToGrid w:val="0"/>
        <w:spacing w:line="360" w:lineRule="auto"/>
        <w:ind w:firstLine="420" w:firstLineChars="200"/>
        <w:rPr>
          <w:kern w:val="0"/>
          <w:szCs w:val="21"/>
        </w:rPr>
      </w:pPr>
      <w:r>
        <w:rPr>
          <w:kern w:val="0"/>
          <w:szCs w:val="21"/>
        </w:rPr>
        <w:t>2、掌握对模型的网格化的基本方法；</w:t>
      </w:r>
    </w:p>
    <w:p>
      <w:pPr>
        <w:widowControl/>
        <w:adjustRightInd w:val="0"/>
        <w:snapToGrid w:val="0"/>
        <w:spacing w:line="360" w:lineRule="auto"/>
        <w:ind w:firstLine="420" w:firstLineChars="200"/>
        <w:rPr>
          <w:kern w:val="0"/>
          <w:szCs w:val="21"/>
        </w:rPr>
      </w:pPr>
      <w:r>
        <w:rPr>
          <w:kern w:val="0"/>
          <w:szCs w:val="21"/>
        </w:rPr>
        <w:t>3、掌握模态分析及静态分析的方法；</w:t>
      </w:r>
    </w:p>
    <w:p>
      <w:pPr>
        <w:widowControl/>
        <w:adjustRightInd w:val="0"/>
        <w:snapToGrid w:val="0"/>
        <w:spacing w:line="360" w:lineRule="auto"/>
        <w:ind w:firstLine="420" w:firstLineChars="200"/>
        <w:rPr>
          <w:kern w:val="0"/>
          <w:szCs w:val="21"/>
        </w:rPr>
      </w:pPr>
      <w:r>
        <w:rPr>
          <w:kern w:val="0"/>
          <w:szCs w:val="21"/>
        </w:rPr>
        <w:t>4、掌握后处理的基本操作。</w:t>
      </w:r>
    </w:p>
    <w:p>
      <w:pPr>
        <w:widowControl/>
        <w:adjustRightInd w:val="0"/>
        <w:snapToGrid w:val="0"/>
        <w:spacing w:line="360" w:lineRule="auto"/>
        <w:ind w:firstLine="420" w:firstLineChars="200"/>
        <w:rPr>
          <w:kern w:val="0"/>
          <w:szCs w:val="21"/>
        </w:rPr>
      </w:pPr>
      <w:r>
        <w:rPr>
          <w:rFonts w:cs="宋体"/>
          <w:bCs/>
          <w:snapToGrid w:val="0"/>
          <w:kern w:val="0"/>
          <w:szCs w:val="21"/>
        </w:rPr>
        <w:t>本实验支撑课程目标</w:t>
      </w:r>
      <w:r>
        <w:rPr>
          <w:rFonts w:hint="eastAsia" w:cs="宋体"/>
          <w:bCs/>
          <w:snapToGrid w:val="0"/>
          <w:kern w:val="0"/>
          <w:szCs w:val="21"/>
        </w:rPr>
        <w:t>1、2。</w:t>
      </w:r>
    </w:p>
    <w:p>
      <w:pPr>
        <w:widowControl/>
        <w:adjustRightInd w:val="0"/>
        <w:snapToGrid w:val="0"/>
        <w:spacing w:line="360" w:lineRule="auto"/>
        <w:ind w:firstLine="420" w:firstLineChars="200"/>
        <w:jc w:val="left"/>
        <w:rPr>
          <w:rFonts w:eastAsia="黑体"/>
          <w:kern w:val="44"/>
          <w:szCs w:val="28"/>
        </w:rPr>
      </w:pPr>
      <w:r>
        <w:rPr>
          <w:rFonts w:eastAsia="黑体"/>
          <w:snapToGrid w:val="0"/>
          <w:kern w:val="0"/>
          <w:szCs w:val="21"/>
        </w:rPr>
        <w:t>实验三</w:t>
      </w:r>
      <w:r>
        <w:rPr>
          <w:rFonts w:eastAsia="黑体"/>
          <w:kern w:val="44"/>
          <w:szCs w:val="28"/>
        </w:rPr>
        <w:t>加速度计的设计与仿真（4学时）</w:t>
      </w:r>
    </w:p>
    <w:p>
      <w:pPr>
        <w:widowControl/>
        <w:adjustRightInd w:val="0"/>
        <w:snapToGrid w:val="0"/>
        <w:spacing w:line="360" w:lineRule="auto"/>
        <w:ind w:firstLine="420" w:firstLineChars="200"/>
        <w:rPr>
          <w:kern w:val="0"/>
          <w:szCs w:val="21"/>
        </w:rPr>
      </w:pPr>
      <w:r>
        <w:rPr>
          <w:kern w:val="0"/>
          <w:szCs w:val="21"/>
        </w:rPr>
        <w:t>内容：练习模型建立及网格划分的高级方法，运用所掌握的ANSYS知识，完成模态分析和静态分析，学习瞬态分析及谐响应分析。</w:t>
      </w:r>
    </w:p>
    <w:p>
      <w:pPr>
        <w:widowControl/>
        <w:adjustRightInd w:val="0"/>
        <w:snapToGrid w:val="0"/>
        <w:spacing w:line="360" w:lineRule="auto"/>
        <w:ind w:firstLine="420" w:firstLineChars="200"/>
        <w:rPr>
          <w:kern w:val="0"/>
          <w:szCs w:val="21"/>
        </w:rPr>
      </w:pPr>
      <w:r>
        <w:rPr>
          <w:kern w:val="0"/>
          <w:szCs w:val="21"/>
        </w:rPr>
        <w:t>基本要求：</w:t>
      </w:r>
    </w:p>
    <w:p>
      <w:pPr>
        <w:widowControl/>
        <w:adjustRightInd w:val="0"/>
        <w:snapToGrid w:val="0"/>
        <w:spacing w:line="360" w:lineRule="auto"/>
        <w:ind w:firstLine="420" w:firstLineChars="200"/>
        <w:rPr>
          <w:kern w:val="0"/>
          <w:szCs w:val="21"/>
        </w:rPr>
      </w:pPr>
      <w:r>
        <w:rPr>
          <w:kern w:val="0"/>
          <w:szCs w:val="21"/>
        </w:rPr>
        <w:t>1、掌握瞬态分析的方法；</w:t>
      </w:r>
    </w:p>
    <w:p>
      <w:pPr>
        <w:widowControl/>
        <w:adjustRightInd w:val="0"/>
        <w:snapToGrid w:val="0"/>
        <w:spacing w:line="360" w:lineRule="auto"/>
        <w:ind w:firstLine="420" w:firstLineChars="200"/>
        <w:rPr>
          <w:kern w:val="0"/>
          <w:szCs w:val="21"/>
        </w:rPr>
      </w:pPr>
      <w:r>
        <w:rPr>
          <w:kern w:val="0"/>
          <w:szCs w:val="21"/>
        </w:rPr>
        <w:t>2、掌握协响应分析方法；</w:t>
      </w:r>
    </w:p>
    <w:p>
      <w:pPr>
        <w:widowControl/>
        <w:adjustRightInd w:val="0"/>
        <w:snapToGrid w:val="0"/>
        <w:spacing w:line="360" w:lineRule="auto"/>
        <w:ind w:firstLine="420" w:firstLineChars="200"/>
        <w:rPr>
          <w:kern w:val="0"/>
          <w:szCs w:val="21"/>
        </w:rPr>
      </w:pPr>
      <w:r>
        <w:rPr>
          <w:kern w:val="0"/>
          <w:szCs w:val="21"/>
        </w:rPr>
        <w:t>3、掌握对实验结果进行分析的方法。</w:t>
      </w:r>
    </w:p>
    <w:p>
      <w:pPr>
        <w:widowControl/>
        <w:adjustRightInd w:val="0"/>
        <w:snapToGrid w:val="0"/>
        <w:spacing w:line="360" w:lineRule="auto"/>
        <w:ind w:firstLine="420" w:firstLineChars="200"/>
        <w:rPr>
          <w:kern w:val="0"/>
          <w:szCs w:val="21"/>
        </w:rPr>
      </w:pPr>
      <w:r>
        <w:rPr>
          <w:rFonts w:cs="宋体"/>
          <w:bCs/>
          <w:snapToGrid w:val="0"/>
          <w:kern w:val="0"/>
          <w:szCs w:val="21"/>
        </w:rPr>
        <w:t>本实验支撑课程目标</w:t>
      </w:r>
      <w:r>
        <w:rPr>
          <w:rFonts w:hint="eastAsia" w:cs="宋体"/>
          <w:bCs/>
          <w:snapToGrid w:val="0"/>
          <w:kern w:val="0"/>
          <w:szCs w:val="21"/>
        </w:rPr>
        <w:t>2、3。</w:t>
      </w:r>
    </w:p>
    <w:p>
      <w:pPr>
        <w:widowControl/>
        <w:adjustRightInd w:val="0"/>
        <w:snapToGrid w:val="0"/>
        <w:spacing w:line="360" w:lineRule="auto"/>
        <w:ind w:firstLine="420" w:firstLineChars="200"/>
        <w:jc w:val="left"/>
        <w:rPr>
          <w:rFonts w:eastAsia="黑体"/>
          <w:kern w:val="44"/>
          <w:szCs w:val="28"/>
        </w:rPr>
      </w:pPr>
      <w:r>
        <w:rPr>
          <w:rFonts w:eastAsia="黑体"/>
          <w:kern w:val="44"/>
          <w:szCs w:val="28"/>
        </w:rPr>
        <w:t>实验四</w:t>
      </w:r>
      <w:r>
        <w:rPr>
          <w:rFonts w:eastAsia="黑体"/>
          <w:snapToGrid w:val="0"/>
          <w:kern w:val="0"/>
          <w:szCs w:val="21"/>
        </w:rPr>
        <w:t>压力传感器的设计与优化</w:t>
      </w:r>
      <w:r>
        <w:rPr>
          <w:rFonts w:eastAsia="黑体"/>
          <w:kern w:val="44"/>
          <w:szCs w:val="28"/>
        </w:rPr>
        <w:t>（6学时）</w:t>
      </w:r>
    </w:p>
    <w:p>
      <w:pPr>
        <w:widowControl/>
        <w:adjustRightInd w:val="0"/>
        <w:snapToGrid w:val="0"/>
        <w:spacing w:line="360" w:lineRule="auto"/>
        <w:ind w:firstLine="420" w:firstLineChars="200"/>
        <w:rPr>
          <w:kern w:val="0"/>
          <w:szCs w:val="21"/>
        </w:rPr>
      </w:pPr>
      <w:r>
        <w:rPr>
          <w:kern w:val="0"/>
          <w:szCs w:val="21"/>
        </w:rPr>
        <w:t>内容：熟悉ANSYS 优化设计的原理及操作方法，练习函数加载方法，完成模态分析和瞬态分析，在老师的指导下完成压力传感器的优化设计。</w:t>
      </w:r>
    </w:p>
    <w:p>
      <w:pPr>
        <w:widowControl/>
        <w:adjustRightInd w:val="0"/>
        <w:snapToGrid w:val="0"/>
        <w:spacing w:line="360" w:lineRule="auto"/>
        <w:ind w:firstLine="420" w:firstLineChars="200"/>
        <w:rPr>
          <w:kern w:val="0"/>
          <w:szCs w:val="21"/>
        </w:rPr>
      </w:pPr>
      <w:r>
        <w:rPr>
          <w:kern w:val="0"/>
          <w:szCs w:val="21"/>
        </w:rPr>
        <w:t>基本要求：</w:t>
      </w:r>
    </w:p>
    <w:p>
      <w:pPr>
        <w:widowControl/>
        <w:adjustRightInd w:val="0"/>
        <w:snapToGrid w:val="0"/>
        <w:spacing w:line="360" w:lineRule="auto"/>
        <w:ind w:firstLine="420" w:firstLineChars="200"/>
        <w:rPr>
          <w:kern w:val="0"/>
          <w:szCs w:val="21"/>
        </w:rPr>
      </w:pPr>
      <w:r>
        <w:rPr>
          <w:kern w:val="0"/>
          <w:szCs w:val="21"/>
        </w:rPr>
        <w:t>1、掌握ANSYS优化设计环境的基本操作；</w:t>
      </w:r>
    </w:p>
    <w:p>
      <w:pPr>
        <w:widowControl/>
        <w:adjustRightInd w:val="0"/>
        <w:snapToGrid w:val="0"/>
        <w:spacing w:line="360" w:lineRule="auto"/>
        <w:ind w:firstLine="420" w:firstLineChars="200"/>
        <w:rPr>
          <w:kern w:val="0"/>
          <w:szCs w:val="21"/>
        </w:rPr>
      </w:pPr>
      <w:r>
        <w:rPr>
          <w:kern w:val="0"/>
          <w:szCs w:val="21"/>
        </w:rPr>
        <w:t>2、掌握优化设计结构建模及仿真的方法；</w:t>
      </w:r>
    </w:p>
    <w:p>
      <w:pPr>
        <w:widowControl/>
        <w:adjustRightInd w:val="0"/>
        <w:snapToGrid w:val="0"/>
        <w:spacing w:line="360" w:lineRule="auto"/>
        <w:ind w:firstLine="420" w:firstLineChars="200"/>
        <w:rPr>
          <w:kern w:val="0"/>
          <w:szCs w:val="21"/>
        </w:rPr>
      </w:pPr>
      <w:r>
        <w:rPr>
          <w:kern w:val="0"/>
          <w:szCs w:val="21"/>
        </w:rPr>
        <w:t>3、了解结构优化设计的思想及步骤。</w:t>
      </w:r>
    </w:p>
    <w:p>
      <w:pPr>
        <w:adjustRightInd w:val="0"/>
        <w:snapToGrid w:val="0"/>
        <w:spacing w:line="360" w:lineRule="auto"/>
        <w:ind w:firstLine="420" w:firstLineChars="200"/>
        <w:rPr>
          <w:rFonts w:cs="宋体"/>
          <w:kern w:val="0"/>
          <w:szCs w:val="21"/>
        </w:rPr>
      </w:pPr>
      <w:r>
        <w:rPr>
          <w:rFonts w:cs="宋体"/>
          <w:bCs/>
          <w:snapToGrid w:val="0"/>
          <w:kern w:val="0"/>
          <w:szCs w:val="21"/>
        </w:rPr>
        <w:t>本实验支撑课程目标</w:t>
      </w:r>
      <w:r>
        <w:rPr>
          <w:rFonts w:hint="eastAsia" w:cs="宋体"/>
          <w:bCs/>
          <w:snapToGrid w:val="0"/>
          <w:kern w:val="0"/>
          <w:szCs w:val="21"/>
        </w:rPr>
        <w:t>1、3。</w:t>
      </w:r>
    </w:p>
    <w:p>
      <w:pPr>
        <w:spacing w:line="360" w:lineRule="auto"/>
        <w:ind w:left="422" w:leftChars="201" w:firstLine="420" w:firstLineChars="200"/>
        <w:rPr>
          <w:szCs w:val="21"/>
        </w:rPr>
      </w:pPr>
    </w:p>
    <w:p>
      <w:pPr>
        <w:widowControl/>
        <w:spacing w:line="360" w:lineRule="auto"/>
        <w:jc w:val="left"/>
        <w:rPr>
          <w:rFonts w:ascii="黑体" w:hAnsi="黑体" w:eastAsia="黑体"/>
          <w:szCs w:val="21"/>
        </w:rPr>
      </w:pPr>
      <w:r>
        <w:rPr>
          <w:rFonts w:hint="eastAsia" w:ascii="黑体" w:hAnsi="宋体" w:eastAsia="黑体" w:cs="宋体"/>
          <w:kern w:val="0"/>
          <w:szCs w:val="21"/>
        </w:rPr>
        <w:t>六、学时分配</w:t>
      </w:r>
    </w:p>
    <w:tbl>
      <w:tblPr>
        <w:tblStyle w:val="19"/>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145"/>
        <w:gridCol w:w="1724"/>
        <w:gridCol w:w="1724"/>
        <w:gridCol w:w="93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30" w:type="pct"/>
            <w:shd w:val="clear" w:color="auto" w:fill="auto"/>
            <w:vAlign w:val="center"/>
          </w:tcPr>
          <w:p>
            <w:pPr>
              <w:adjustRightInd w:val="0"/>
              <w:snapToGrid w:val="0"/>
              <w:jc w:val="center"/>
              <w:rPr>
                <w:sz w:val="18"/>
                <w:szCs w:val="18"/>
              </w:rPr>
            </w:pPr>
            <w:r>
              <w:rPr>
                <w:sz w:val="18"/>
                <w:szCs w:val="18"/>
              </w:rPr>
              <w:t>知识点及内容</w:t>
            </w:r>
          </w:p>
        </w:tc>
        <w:tc>
          <w:tcPr>
            <w:tcW w:w="1011" w:type="pct"/>
            <w:shd w:val="clear" w:color="auto" w:fill="auto"/>
            <w:vAlign w:val="center"/>
          </w:tcPr>
          <w:p>
            <w:pPr>
              <w:adjustRightInd w:val="0"/>
              <w:snapToGrid w:val="0"/>
              <w:jc w:val="center"/>
              <w:rPr>
                <w:sz w:val="18"/>
                <w:szCs w:val="18"/>
              </w:rPr>
            </w:pPr>
            <w:r>
              <w:rPr>
                <w:sz w:val="18"/>
                <w:szCs w:val="18"/>
              </w:rPr>
              <w:t>讲授（学时）</w:t>
            </w:r>
          </w:p>
        </w:tc>
        <w:tc>
          <w:tcPr>
            <w:tcW w:w="1011" w:type="pct"/>
            <w:shd w:val="clear" w:color="auto" w:fill="auto"/>
            <w:vAlign w:val="center"/>
          </w:tcPr>
          <w:p>
            <w:pPr>
              <w:adjustRightInd w:val="0"/>
              <w:snapToGrid w:val="0"/>
              <w:jc w:val="center"/>
              <w:rPr>
                <w:sz w:val="18"/>
                <w:szCs w:val="18"/>
              </w:rPr>
            </w:pPr>
            <w:r>
              <w:rPr>
                <w:sz w:val="18"/>
                <w:szCs w:val="18"/>
              </w:rPr>
              <w:t>实验（学时）</w:t>
            </w:r>
          </w:p>
        </w:tc>
        <w:tc>
          <w:tcPr>
            <w:tcW w:w="548" w:type="pct"/>
            <w:shd w:val="clear" w:color="auto" w:fill="auto"/>
            <w:vAlign w:val="center"/>
          </w:tcPr>
          <w:p>
            <w:pPr>
              <w:adjustRightInd w:val="0"/>
              <w:snapToGrid w:val="0"/>
              <w:jc w:val="center"/>
              <w:rPr>
                <w:sz w:val="18"/>
                <w:szCs w:val="18"/>
              </w:rPr>
            </w:pPr>
            <w:r>
              <w:rPr>
                <w:sz w:val="18"/>
                <w:szCs w:val="18"/>
              </w:rPr>
              <w:t>小计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30" w:type="pct"/>
            <w:shd w:val="clear" w:color="auto" w:fill="auto"/>
            <w:vAlign w:val="center"/>
          </w:tcPr>
          <w:p>
            <w:pPr>
              <w:adjustRightInd w:val="0"/>
              <w:snapToGrid w:val="0"/>
              <w:jc w:val="center"/>
              <w:rPr>
                <w:sz w:val="18"/>
                <w:szCs w:val="18"/>
              </w:rPr>
            </w:pPr>
            <w:r>
              <w:rPr>
                <w:kern w:val="44"/>
                <w:sz w:val="18"/>
                <w:szCs w:val="18"/>
              </w:rPr>
              <w:t>1绪论及基础知识</w:t>
            </w:r>
          </w:p>
        </w:tc>
        <w:tc>
          <w:tcPr>
            <w:tcW w:w="1011" w:type="pct"/>
            <w:shd w:val="clear" w:color="auto" w:fill="auto"/>
            <w:vAlign w:val="center"/>
          </w:tcPr>
          <w:p>
            <w:pPr>
              <w:adjustRightInd w:val="0"/>
              <w:snapToGrid w:val="0"/>
              <w:jc w:val="center"/>
              <w:rPr>
                <w:sz w:val="18"/>
                <w:szCs w:val="18"/>
              </w:rPr>
            </w:pPr>
            <w:r>
              <w:rPr>
                <w:sz w:val="18"/>
                <w:szCs w:val="18"/>
              </w:rPr>
              <w:t>2</w:t>
            </w:r>
          </w:p>
        </w:tc>
        <w:tc>
          <w:tcPr>
            <w:tcW w:w="1011" w:type="pct"/>
            <w:shd w:val="clear" w:color="auto" w:fill="auto"/>
            <w:vAlign w:val="center"/>
          </w:tcPr>
          <w:p>
            <w:pPr>
              <w:adjustRightInd w:val="0"/>
              <w:snapToGrid w:val="0"/>
              <w:jc w:val="center"/>
              <w:rPr>
                <w:sz w:val="18"/>
                <w:szCs w:val="18"/>
              </w:rPr>
            </w:pPr>
            <w:r>
              <w:rPr>
                <w:sz w:val="18"/>
                <w:szCs w:val="18"/>
              </w:rPr>
              <w:t>0</w:t>
            </w:r>
          </w:p>
        </w:tc>
        <w:tc>
          <w:tcPr>
            <w:tcW w:w="548" w:type="pct"/>
            <w:shd w:val="clear" w:color="auto" w:fill="auto"/>
            <w:vAlign w:val="center"/>
          </w:tcPr>
          <w:p>
            <w:pPr>
              <w:adjustRightInd w:val="0"/>
              <w:snapToGrid w:val="0"/>
              <w:jc w:val="center"/>
              <w:rPr>
                <w:sz w:val="18"/>
                <w:szCs w:val="18"/>
              </w:rPr>
            </w:pPr>
            <w:r>
              <w:rPr>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30" w:type="pct"/>
            <w:shd w:val="clear" w:color="auto" w:fill="auto"/>
            <w:vAlign w:val="center"/>
          </w:tcPr>
          <w:p>
            <w:pPr>
              <w:adjustRightInd w:val="0"/>
              <w:snapToGrid w:val="0"/>
              <w:jc w:val="center"/>
              <w:rPr>
                <w:sz w:val="18"/>
                <w:szCs w:val="18"/>
              </w:rPr>
            </w:pPr>
            <w:r>
              <w:rPr>
                <w:kern w:val="44"/>
                <w:sz w:val="18"/>
                <w:szCs w:val="18"/>
              </w:rPr>
              <w:t>2 ANSYS的建模与网格划分技术</w:t>
            </w:r>
          </w:p>
        </w:tc>
        <w:tc>
          <w:tcPr>
            <w:tcW w:w="1011" w:type="pct"/>
            <w:shd w:val="clear" w:color="auto" w:fill="auto"/>
            <w:vAlign w:val="center"/>
          </w:tcPr>
          <w:p>
            <w:pPr>
              <w:adjustRightInd w:val="0"/>
              <w:snapToGrid w:val="0"/>
              <w:jc w:val="center"/>
              <w:rPr>
                <w:sz w:val="18"/>
                <w:szCs w:val="18"/>
              </w:rPr>
            </w:pPr>
            <w:r>
              <w:rPr>
                <w:sz w:val="18"/>
                <w:szCs w:val="18"/>
              </w:rPr>
              <w:t>2</w:t>
            </w:r>
          </w:p>
        </w:tc>
        <w:tc>
          <w:tcPr>
            <w:tcW w:w="1011" w:type="pct"/>
            <w:shd w:val="clear" w:color="auto" w:fill="auto"/>
            <w:vAlign w:val="center"/>
          </w:tcPr>
          <w:p>
            <w:pPr>
              <w:adjustRightInd w:val="0"/>
              <w:snapToGrid w:val="0"/>
              <w:jc w:val="center"/>
              <w:rPr>
                <w:sz w:val="18"/>
                <w:szCs w:val="18"/>
              </w:rPr>
            </w:pPr>
            <w:r>
              <w:rPr>
                <w:sz w:val="18"/>
                <w:szCs w:val="18"/>
              </w:rPr>
              <w:t>2</w:t>
            </w:r>
          </w:p>
        </w:tc>
        <w:tc>
          <w:tcPr>
            <w:tcW w:w="548" w:type="pct"/>
            <w:shd w:val="clear" w:color="auto" w:fill="auto"/>
            <w:vAlign w:val="center"/>
          </w:tcPr>
          <w:p>
            <w:pPr>
              <w:adjustRightInd w:val="0"/>
              <w:snapToGrid w:val="0"/>
              <w:jc w:val="center"/>
              <w:rPr>
                <w:sz w:val="18"/>
                <w:szCs w:val="18"/>
              </w:rPr>
            </w:pPr>
            <w:r>
              <w:rPr>
                <w:sz w:val="18"/>
                <w:szCs w:val="18"/>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30" w:type="pct"/>
            <w:shd w:val="clear" w:color="auto" w:fill="auto"/>
            <w:vAlign w:val="center"/>
          </w:tcPr>
          <w:p>
            <w:pPr>
              <w:adjustRightInd w:val="0"/>
              <w:snapToGrid w:val="0"/>
              <w:jc w:val="center"/>
              <w:rPr>
                <w:sz w:val="18"/>
                <w:szCs w:val="18"/>
              </w:rPr>
            </w:pPr>
            <w:r>
              <w:rPr>
                <w:kern w:val="44"/>
                <w:sz w:val="18"/>
                <w:szCs w:val="18"/>
              </w:rPr>
              <w:t>3基本载荷、求解及后处理</w:t>
            </w:r>
          </w:p>
        </w:tc>
        <w:tc>
          <w:tcPr>
            <w:tcW w:w="1011" w:type="pct"/>
            <w:shd w:val="clear" w:color="auto" w:fill="auto"/>
            <w:vAlign w:val="center"/>
          </w:tcPr>
          <w:p>
            <w:pPr>
              <w:adjustRightInd w:val="0"/>
              <w:snapToGrid w:val="0"/>
              <w:jc w:val="center"/>
              <w:rPr>
                <w:sz w:val="18"/>
                <w:szCs w:val="18"/>
              </w:rPr>
            </w:pPr>
            <w:r>
              <w:rPr>
                <w:sz w:val="18"/>
                <w:szCs w:val="18"/>
              </w:rPr>
              <w:t>2</w:t>
            </w:r>
          </w:p>
        </w:tc>
        <w:tc>
          <w:tcPr>
            <w:tcW w:w="1011" w:type="pct"/>
            <w:shd w:val="clear" w:color="auto" w:fill="auto"/>
            <w:vAlign w:val="center"/>
          </w:tcPr>
          <w:p>
            <w:pPr>
              <w:adjustRightInd w:val="0"/>
              <w:snapToGrid w:val="0"/>
              <w:jc w:val="center"/>
              <w:rPr>
                <w:sz w:val="18"/>
                <w:szCs w:val="18"/>
              </w:rPr>
            </w:pPr>
            <w:r>
              <w:rPr>
                <w:sz w:val="18"/>
                <w:szCs w:val="18"/>
              </w:rPr>
              <w:t>2</w:t>
            </w:r>
          </w:p>
        </w:tc>
        <w:tc>
          <w:tcPr>
            <w:tcW w:w="548" w:type="pct"/>
            <w:shd w:val="clear" w:color="auto" w:fill="auto"/>
            <w:vAlign w:val="center"/>
          </w:tcPr>
          <w:p>
            <w:pPr>
              <w:adjustRightInd w:val="0"/>
              <w:snapToGrid w:val="0"/>
              <w:jc w:val="center"/>
              <w:rPr>
                <w:sz w:val="18"/>
                <w:szCs w:val="18"/>
              </w:rPr>
            </w:pPr>
            <w:r>
              <w:rPr>
                <w:sz w:val="18"/>
                <w:szCs w:val="18"/>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30" w:type="pct"/>
            <w:shd w:val="clear" w:color="auto" w:fill="auto"/>
            <w:vAlign w:val="center"/>
          </w:tcPr>
          <w:p>
            <w:pPr>
              <w:adjustRightInd w:val="0"/>
              <w:snapToGrid w:val="0"/>
              <w:jc w:val="center"/>
              <w:rPr>
                <w:sz w:val="18"/>
                <w:szCs w:val="18"/>
              </w:rPr>
            </w:pPr>
            <w:r>
              <w:rPr>
                <w:kern w:val="44"/>
                <w:sz w:val="18"/>
                <w:szCs w:val="18"/>
              </w:rPr>
              <w:t>4静力学分析</w:t>
            </w:r>
          </w:p>
        </w:tc>
        <w:tc>
          <w:tcPr>
            <w:tcW w:w="1011" w:type="pct"/>
            <w:shd w:val="clear" w:color="auto" w:fill="auto"/>
            <w:vAlign w:val="center"/>
          </w:tcPr>
          <w:p>
            <w:pPr>
              <w:adjustRightInd w:val="0"/>
              <w:snapToGrid w:val="0"/>
              <w:jc w:val="center"/>
              <w:rPr>
                <w:sz w:val="18"/>
                <w:szCs w:val="18"/>
              </w:rPr>
            </w:pPr>
            <w:r>
              <w:rPr>
                <w:sz w:val="18"/>
                <w:szCs w:val="18"/>
              </w:rPr>
              <w:t>2</w:t>
            </w:r>
          </w:p>
        </w:tc>
        <w:tc>
          <w:tcPr>
            <w:tcW w:w="1011" w:type="pct"/>
            <w:shd w:val="clear" w:color="auto" w:fill="auto"/>
            <w:vAlign w:val="center"/>
          </w:tcPr>
          <w:p>
            <w:pPr>
              <w:adjustRightInd w:val="0"/>
              <w:snapToGrid w:val="0"/>
              <w:jc w:val="center"/>
              <w:rPr>
                <w:sz w:val="18"/>
                <w:szCs w:val="18"/>
              </w:rPr>
            </w:pPr>
            <w:r>
              <w:rPr>
                <w:sz w:val="18"/>
                <w:szCs w:val="18"/>
              </w:rPr>
              <w:t>2</w:t>
            </w:r>
          </w:p>
        </w:tc>
        <w:tc>
          <w:tcPr>
            <w:tcW w:w="548" w:type="pct"/>
            <w:shd w:val="clear" w:color="auto" w:fill="auto"/>
            <w:vAlign w:val="center"/>
          </w:tcPr>
          <w:p>
            <w:pPr>
              <w:adjustRightInd w:val="0"/>
              <w:snapToGrid w:val="0"/>
              <w:jc w:val="center"/>
              <w:rPr>
                <w:sz w:val="18"/>
                <w:szCs w:val="18"/>
              </w:rPr>
            </w:pPr>
            <w:r>
              <w:rPr>
                <w:sz w:val="18"/>
                <w:szCs w:val="18"/>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30" w:type="pct"/>
            <w:shd w:val="clear" w:color="auto" w:fill="auto"/>
            <w:vAlign w:val="center"/>
          </w:tcPr>
          <w:p>
            <w:pPr>
              <w:adjustRightInd w:val="0"/>
              <w:snapToGrid w:val="0"/>
              <w:jc w:val="center"/>
              <w:rPr>
                <w:sz w:val="18"/>
                <w:szCs w:val="18"/>
              </w:rPr>
            </w:pPr>
            <w:r>
              <w:rPr>
                <w:kern w:val="44"/>
                <w:sz w:val="18"/>
                <w:szCs w:val="18"/>
              </w:rPr>
              <w:t>5动力学分析</w:t>
            </w:r>
          </w:p>
        </w:tc>
        <w:tc>
          <w:tcPr>
            <w:tcW w:w="1011" w:type="pct"/>
            <w:shd w:val="clear" w:color="auto" w:fill="auto"/>
            <w:vAlign w:val="center"/>
          </w:tcPr>
          <w:p>
            <w:pPr>
              <w:adjustRightInd w:val="0"/>
              <w:snapToGrid w:val="0"/>
              <w:jc w:val="center"/>
              <w:rPr>
                <w:sz w:val="18"/>
                <w:szCs w:val="18"/>
              </w:rPr>
            </w:pPr>
            <w:r>
              <w:rPr>
                <w:sz w:val="18"/>
                <w:szCs w:val="18"/>
              </w:rPr>
              <w:t>4</w:t>
            </w:r>
          </w:p>
        </w:tc>
        <w:tc>
          <w:tcPr>
            <w:tcW w:w="1011" w:type="pct"/>
            <w:shd w:val="clear" w:color="auto" w:fill="auto"/>
            <w:vAlign w:val="center"/>
          </w:tcPr>
          <w:p>
            <w:pPr>
              <w:adjustRightInd w:val="0"/>
              <w:snapToGrid w:val="0"/>
              <w:jc w:val="center"/>
              <w:rPr>
                <w:sz w:val="18"/>
                <w:szCs w:val="18"/>
              </w:rPr>
            </w:pPr>
            <w:r>
              <w:rPr>
                <w:sz w:val="18"/>
                <w:szCs w:val="18"/>
              </w:rPr>
              <w:t>4</w:t>
            </w:r>
          </w:p>
        </w:tc>
        <w:tc>
          <w:tcPr>
            <w:tcW w:w="548" w:type="pct"/>
            <w:shd w:val="clear" w:color="auto" w:fill="auto"/>
            <w:vAlign w:val="center"/>
          </w:tcPr>
          <w:p>
            <w:pPr>
              <w:adjustRightInd w:val="0"/>
              <w:snapToGrid w:val="0"/>
              <w:jc w:val="center"/>
              <w:rPr>
                <w:sz w:val="18"/>
                <w:szCs w:val="18"/>
              </w:rPr>
            </w:pPr>
            <w:r>
              <w:rPr>
                <w:sz w:val="18"/>
                <w:szCs w:val="18"/>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30" w:type="pct"/>
            <w:shd w:val="clear" w:color="auto" w:fill="auto"/>
            <w:vAlign w:val="center"/>
          </w:tcPr>
          <w:p>
            <w:pPr>
              <w:adjustRightInd w:val="0"/>
              <w:snapToGrid w:val="0"/>
              <w:jc w:val="center"/>
              <w:rPr>
                <w:sz w:val="18"/>
                <w:szCs w:val="18"/>
              </w:rPr>
            </w:pPr>
            <w:r>
              <w:rPr>
                <w:kern w:val="44"/>
                <w:sz w:val="18"/>
                <w:szCs w:val="18"/>
              </w:rPr>
              <w:t>6结构优化设计</w:t>
            </w:r>
          </w:p>
        </w:tc>
        <w:tc>
          <w:tcPr>
            <w:tcW w:w="1011" w:type="pct"/>
            <w:shd w:val="clear" w:color="auto" w:fill="auto"/>
            <w:vAlign w:val="center"/>
          </w:tcPr>
          <w:p>
            <w:pPr>
              <w:adjustRightInd w:val="0"/>
              <w:snapToGrid w:val="0"/>
              <w:jc w:val="center"/>
              <w:rPr>
                <w:sz w:val="18"/>
                <w:szCs w:val="18"/>
              </w:rPr>
            </w:pPr>
            <w:r>
              <w:rPr>
                <w:sz w:val="18"/>
                <w:szCs w:val="18"/>
              </w:rPr>
              <w:t>4</w:t>
            </w:r>
          </w:p>
        </w:tc>
        <w:tc>
          <w:tcPr>
            <w:tcW w:w="1011" w:type="pct"/>
            <w:shd w:val="clear" w:color="auto" w:fill="auto"/>
            <w:vAlign w:val="center"/>
          </w:tcPr>
          <w:p>
            <w:pPr>
              <w:adjustRightInd w:val="0"/>
              <w:snapToGrid w:val="0"/>
              <w:jc w:val="center"/>
              <w:rPr>
                <w:sz w:val="18"/>
                <w:szCs w:val="18"/>
              </w:rPr>
            </w:pPr>
            <w:r>
              <w:rPr>
                <w:sz w:val="18"/>
                <w:szCs w:val="18"/>
              </w:rPr>
              <w:t>6</w:t>
            </w:r>
          </w:p>
        </w:tc>
        <w:tc>
          <w:tcPr>
            <w:tcW w:w="548" w:type="pct"/>
            <w:shd w:val="clear" w:color="auto" w:fill="auto"/>
            <w:vAlign w:val="center"/>
          </w:tcPr>
          <w:p>
            <w:pPr>
              <w:adjustRightInd w:val="0"/>
              <w:snapToGrid w:val="0"/>
              <w:jc w:val="center"/>
              <w:rPr>
                <w:sz w:val="18"/>
                <w:szCs w:val="18"/>
              </w:rPr>
            </w:pPr>
            <w:r>
              <w:rPr>
                <w:sz w:val="18"/>
                <w:szCs w:val="18"/>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30" w:type="pct"/>
            <w:shd w:val="clear" w:color="auto" w:fill="auto"/>
            <w:vAlign w:val="center"/>
          </w:tcPr>
          <w:p>
            <w:pPr>
              <w:adjustRightInd w:val="0"/>
              <w:snapToGrid w:val="0"/>
              <w:jc w:val="center"/>
              <w:rPr>
                <w:sz w:val="18"/>
                <w:szCs w:val="18"/>
              </w:rPr>
            </w:pPr>
            <w:r>
              <w:rPr>
                <w:sz w:val="18"/>
                <w:szCs w:val="18"/>
              </w:rPr>
              <w:t>合计</w:t>
            </w:r>
          </w:p>
        </w:tc>
        <w:tc>
          <w:tcPr>
            <w:tcW w:w="1011" w:type="pct"/>
            <w:shd w:val="clear" w:color="auto" w:fill="auto"/>
            <w:vAlign w:val="center"/>
          </w:tcPr>
          <w:p>
            <w:pPr>
              <w:adjustRightInd w:val="0"/>
              <w:snapToGrid w:val="0"/>
              <w:jc w:val="center"/>
              <w:rPr>
                <w:sz w:val="18"/>
                <w:szCs w:val="18"/>
              </w:rPr>
            </w:pPr>
            <w:r>
              <w:rPr>
                <w:sz w:val="18"/>
                <w:szCs w:val="18"/>
              </w:rPr>
              <w:t>16</w:t>
            </w:r>
          </w:p>
        </w:tc>
        <w:tc>
          <w:tcPr>
            <w:tcW w:w="1011" w:type="pct"/>
            <w:shd w:val="clear" w:color="auto" w:fill="auto"/>
            <w:vAlign w:val="center"/>
          </w:tcPr>
          <w:p>
            <w:pPr>
              <w:adjustRightInd w:val="0"/>
              <w:snapToGrid w:val="0"/>
              <w:jc w:val="center"/>
              <w:rPr>
                <w:sz w:val="18"/>
                <w:szCs w:val="18"/>
              </w:rPr>
            </w:pPr>
            <w:r>
              <w:rPr>
                <w:sz w:val="18"/>
                <w:szCs w:val="18"/>
              </w:rPr>
              <w:t>16</w:t>
            </w:r>
          </w:p>
        </w:tc>
        <w:tc>
          <w:tcPr>
            <w:tcW w:w="548" w:type="pct"/>
            <w:shd w:val="clear" w:color="auto" w:fill="auto"/>
            <w:vAlign w:val="center"/>
          </w:tcPr>
          <w:p>
            <w:pPr>
              <w:adjustRightInd w:val="0"/>
              <w:snapToGrid w:val="0"/>
              <w:jc w:val="center"/>
              <w:rPr>
                <w:sz w:val="18"/>
                <w:szCs w:val="18"/>
              </w:rPr>
            </w:pPr>
            <w:r>
              <w:rPr>
                <w:sz w:val="18"/>
                <w:szCs w:val="18"/>
              </w:rPr>
              <w:t>32</w:t>
            </w:r>
          </w:p>
        </w:tc>
      </w:tr>
    </w:tbl>
    <w:p>
      <w:pPr>
        <w:tabs>
          <w:tab w:val="left" w:pos="420"/>
        </w:tabs>
        <w:spacing w:line="360" w:lineRule="auto"/>
        <w:rPr>
          <w:rFonts w:eastAsia="黑体"/>
          <w:szCs w:val="24"/>
        </w:rPr>
      </w:pPr>
    </w:p>
    <w:p>
      <w:pPr>
        <w:tabs>
          <w:tab w:val="left" w:pos="420"/>
        </w:tabs>
        <w:spacing w:line="360" w:lineRule="auto"/>
        <w:ind w:left="420" w:hanging="420"/>
        <w:rPr>
          <w:rFonts w:eastAsia="黑体"/>
          <w:szCs w:val="24"/>
        </w:rPr>
      </w:pPr>
      <w:r>
        <w:rPr>
          <w:rFonts w:hint="eastAsia" w:eastAsia="黑体"/>
          <w:szCs w:val="24"/>
        </w:rPr>
        <w:t>七、教材、补充教材及参考资料</w:t>
      </w:r>
    </w:p>
    <w:p>
      <w:pPr>
        <w:spacing w:line="360" w:lineRule="auto"/>
        <w:ind w:firstLine="420" w:firstLineChars="200"/>
        <w:rPr>
          <w:szCs w:val="21"/>
        </w:rPr>
      </w:pPr>
      <w:r>
        <w:rPr>
          <w:szCs w:val="21"/>
        </w:rPr>
        <w:t>1、</w:t>
      </w:r>
      <w:r>
        <w:rPr>
          <w:rFonts w:hint="eastAsia"/>
          <w:szCs w:val="21"/>
        </w:rPr>
        <w:t>丁毓峰，《ANSYS12.0有限元分析完全手册》，ISBN 9787121123047，电子工业出版社，2011。</w:t>
      </w:r>
    </w:p>
    <w:p>
      <w:pPr>
        <w:spacing w:line="360" w:lineRule="auto"/>
        <w:ind w:firstLine="420" w:firstLineChars="200"/>
        <w:rPr>
          <w:szCs w:val="21"/>
        </w:rPr>
      </w:pPr>
      <w:r>
        <w:rPr>
          <w:rFonts w:hint="eastAsia"/>
          <w:szCs w:val="21"/>
        </w:rPr>
        <w:t>2、</w:t>
      </w:r>
      <w:r>
        <w:rPr>
          <w:szCs w:val="21"/>
        </w:rPr>
        <w:t>博弈创作室，《ANSYS 9.0 经典产品基础教程与实例详解》，ISBN 7508435427，水利水电出版社，2006。</w:t>
      </w:r>
    </w:p>
    <w:p>
      <w:pPr>
        <w:spacing w:line="360" w:lineRule="auto"/>
        <w:ind w:firstLine="420" w:firstLineChars="200"/>
        <w:rPr>
          <w:szCs w:val="21"/>
        </w:rPr>
      </w:pPr>
      <w:r>
        <w:rPr>
          <w:szCs w:val="21"/>
        </w:rPr>
        <w:t>3、王新敏，《ANSYS工程结构数值分析》，ISBN 9787114068102，人民交通出版社，2007。</w:t>
      </w:r>
    </w:p>
    <w:p>
      <w:pPr>
        <w:spacing w:line="360" w:lineRule="auto"/>
        <w:ind w:firstLine="420" w:firstLineChars="200"/>
        <w:rPr>
          <w:szCs w:val="21"/>
        </w:rPr>
      </w:pPr>
      <w:r>
        <w:rPr>
          <w:szCs w:val="21"/>
        </w:rPr>
        <w:t>4、王新敏等，《ANSYS结构分析单元与应用》，ISBN 9787114092404，人民交通出版社，2011。</w:t>
      </w:r>
    </w:p>
    <w:p>
      <w:pPr>
        <w:tabs>
          <w:tab w:val="left" w:pos="420"/>
        </w:tabs>
        <w:spacing w:line="360" w:lineRule="auto"/>
        <w:ind w:left="420" w:hanging="420"/>
        <w:rPr>
          <w:rFonts w:eastAsia="黑体"/>
          <w:szCs w:val="24"/>
        </w:rPr>
      </w:pPr>
    </w:p>
    <w:p>
      <w:pPr>
        <w:tabs>
          <w:tab w:val="left" w:pos="420"/>
        </w:tabs>
        <w:spacing w:line="360" w:lineRule="auto"/>
        <w:ind w:left="420" w:hanging="420"/>
        <w:rPr>
          <w:rFonts w:eastAsia="黑体"/>
          <w:szCs w:val="24"/>
        </w:rPr>
      </w:pPr>
      <w:r>
        <w:rPr>
          <w:rFonts w:hint="eastAsia" w:eastAsia="黑体"/>
          <w:szCs w:val="24"/>
        </w:rPr>
        <w:t>八、课程目标达成的途径和措施</w:t>
      </w:r>
    </w:p>
    <w:p>
      <w:pPr>
        <w:adjustRightInd w:val="0"/>
        <w:snapToGrid w:val="0"/>
        <w:spacing w:line="360" w:lineRule="auto"/>
        <w:ind w:firstLine="420" w:firstLineChars="200"/>
        <w:rPr>
          <w:szCs w:val="21"/>
        </w:rPr>
      </w:pPr>
      <w:r>
        <w:rPr>
          <w:szCs w:val="21"/>
        </w:rPr>
        <w:t>1、考核目标：考核学生对结构和系统的设计实现能力，重点实现静力学分析、动力学分析和结构优化分析。采取措施：案例教学。</w:t>
      </w:r>
    </w:p>
    <w:p>
      <w:pPr>
        <w:adjustRightInd w:val="0"/>
        <w:snapToGrid w:val="0"/>
        <w:spacing w:line="360" w:lineRule="auto"/>
        <w:ind w:firstLine="420" w:firstLineChars="200"/>
        <w:rPr>
          <w:szCs w:val="21"/>
        </w:rPr>
      </w:pPr>
      <w:r>
        <w:rPr>
          <w:szCs w:val="21"/>
        </w:rPr>
        <w:t>2、考核方式：实验、报告。</w:t>
      </w:r>
    </w:p>
    <w:p>
      <w:pPr>
        <w:adjustRightInd w:val="0"/>
        <w:snapToGrid w:val="0"/>
        <w:spacing w:line="360" w:lineRule="auto"/>
        <w:ind w:firstLine="420" w:firstLineChars="200"/>
        <w:rPr>
          <w:szCs w:val="21"/>
        </w:rPr>
      </w:pPr>
      <w:r>
        <w:rPr>
          <w:szCs w:val="21"/>
        </w:rPr>
        <w:t>3、评价环节对课程目标达成贡献率及支撑材料：</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5"/>
        <w:gridCol w:w="1383"/>
        <w:gridCol w:w="1448"/>
        <w:gridCol w:w="1448"/>
        <w:gridCol w:w="1402"/>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88" w:type="pct"/>
            <w:tcBorders>
              <w:left w:val="nil"/>
              <w:right w:val="single" w:color="auto" w:sz="4" w:space="0"/>
            </w:tcBorders>
            <w:shd w:val="clear" w:color="auto" w:fill="auto"/>
            <w:vAlign w:val="center"/>
          </w:tcPr>
          <w:p>
            <w:pPr>
              <w:widowControl/>
              <w:jc w:val="center"/>
              <w:rPr>
                <w:kern w:val="0"/>
                <w:sz w:val="18"/>
                <w:szCs w:val="18"/>
              </w:rPr>
            </w:pPr>
            <w:r>
              <w:rPr>
                <w:kern w:val="0"/>
                <w:sz w:val="18"/>
                <w:szCs w:val="18"/>
              </w:rPr>
              <w:t>考察环节</w:t>
            </w:r>
          </w:p>
        </w:tc>
        <w:tc>
          <w:tcPr>
            <w:tcW w:w="811" w:type="pct"/>
            <w:tcBorders>
              <w:left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课堂情况</w:t>
            </w:r>
          </w:p>
        </w:tc>
        <w:tc>
          <w:tcPr>
            <w:tcW w:w="849" w:type="pct"/>
            <w:tcBorders>
              <w:left w:val="single" w:color="auto" w:sz="4" w:space="0"/>
              <w:right w:val="single" w:color="auto" w:sz="4" w:space="0"/>
            </w:tcBorders>
            <w:vAlign w:val="center"/>
          </w:tcPr>
          <w:p>
            <w:pPr>
              <w:widowControl/>
              <w:jc w:val="center"/>
              <w:rPr>
                <w:kern w:val="0"/>
                <w:sz w:val="18"/>
                <w:szCs w:val="18"/>
              </w:rPr>
            </w:pPr>
            <w:r>
              <w:rPr>
                <w:rFonts w:hint="eastAsia"/>
                <w:kern w:val="0"/>
                <w:sz w:val="18"/>
                <w:szCs w:val="18"/>
              </w:rPr>
              <w:t>作业</w:t>
            </w:r>
          </w:p>
        </w:tc>
        <w:tc>
          <w:tcPr>
            <w:tcW w:w="849" w:type="pct"/>
            <w:tcBorders>
              <w:left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单项实验</w:t>
            </w:r>
          </w:p>
        </w:tc>
        <w:tc>
          <w:tcPr>
            <w:tcW w:w="822" w:type="pct"/>
            <w:tcBorders>
              <w:left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综合设计</w:t>
            </w:r>
            <w:r>
              <w:rPr>
                <w:rFonts w:hint="eastAsia"/>
                <w:kern w:val="0"/>
                <w:sz w:val="18"/>
                <w:szCs w:val="18"/>
              </w:rPr>
              <w:t>实验验收</w:t>
            </w:r>
          </w:p>
        </w:tc>
        <w:tc>
          <w:tcPr>
            <w:tcW w:w="782" w:type="pct"/>
            <w:tcBorders>
              <w:left w:val="single" w:color="auto" w:sz="4" w:space="0"/>
              <w:right w:val="nil"/>
            </w:tcBorders>
            <w:shd w:val="clear" w:color="auto" w:fill="auto"/>
            <w:vAlign w:val="center"/>
          </w:tcPr>
          <w:p>
            <w:pPr>
              <w:widowControl/>
              <w:jc w:val="center"/>
              <w:rPr>
                <w:kern w:val="0"/>
                <w:sz w:val="18"/>
                <w:szCs w:val="18"/>
              </w:rPr>
            </w:pPr>
            <w:r>
              <w:rPr>
                <w:kern w:val="0"/>
                <w:sz w:val="18"/>
                <w:szCs w:val="18"/>
              </w:rPr>
              <w:t>综合设计实验</w:t>
            </w:r>
            <w:r>
              <w:rPr>
                <w:rFonts w:hint="eastAsia"/>
                <w:kern w:val="0"/>
                <w:sz w:val="18"/>
                <w:szCs w:val="18"/>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88" w:type="pct"/>
            <w:tcBorders>
              <w:left w:val="nil"/>
              <w:right w:val="single" w:color="auto" w:sz="4" w:space="0"/>
            </w:tcBorders>
            <w:shd w:val="clear" w:color="auto" w:fill="auto"/>
            <w:vAlign w:val="center"/>
          </w:tcPr>
          <w:p>
            <w:pPr>
              <w:widowControl/>
              <w:jc w:val="center"/>
              <w:rPr>
                <w:kern w:val="0"/>
                <w:sz w:val="18"/>
                <w:szCs w:val="18"/>
              </w:rPr>
            </w:pPr>
            <w:r>
              <w:rPr>
                <w:kern w:val="0"/>
                <w:sz w:val="18"/>
                <w:szCs w:val="18"/>
              </w:rPr>
              <w:t>课程目标达成</w:t>
            </w:r>
          </w:p>
          <w:p>
            <w:pPr>
              <w:widowControl/>
              <w:jc w:val="center"/>
              <w:rPr>
                <w:kern w:val="0"/>
                <w:sz w:val="18"/>
                <w:szCs w:val="18"/>
              </w:rPr>
            </w:pPr>
            <w:r>
              <w:rPr>
                <w:kern w:val="0"/>
                <w:sz w:val="18"/>
                <w:szCs w:val="18"/>
              </w:rPr>
              <w:t>的贡献率</w:t>
            </w:r>
          </w:p>
        </w:tc>
        <w:tc>
          <w:tcPr>
            <w:tcW w:w="811" w:type="pct"/>
            <w:tcBorders>
              <w:left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w:t>
            </w:r>
            <w:r>
              <w:rPr>
                <w:rFonts w:hint="eastAsia"/>
                <w:kern w:val="0"/>
                <w:sz w:val="18"/>
                <w:szCs w:val="18"/>
              </w:rPr>
              <w:t>10</w:t>
            </w:r>
          </w:p>
        </w:tc>
        <w:tc>
          <w:tcPr>
            <w:tcW w:w="849" w:type="pct"/>
            <w:tcBorders>
              <w:left w:val="single" w:color="auto" w:sz="4" w:space="0"/>
              <w:right w:val="single" w:color="auto" w:sz="4" w:space="0"/>
            </w:tcBorders>
            <w:vAlign w:val="center"/>
          </w:tcPr>
          <w:p>
            <w:pPr>
              <w:widowControl/>
              <w:jc w:val="center"/>
              <w:rPr>
                <w:kern w:val="0"/>
                <w:sz w:val="18"/>
                <w:szCs w:val="18"/>
              </w:rPr>
            </w:pPr>
            <w:r>
              <w:rPr>
                <w:kern w:val="0"/>
                <w:sz w:val="18"/>
                <w:szCs w:val="18"/>
              </w:rPr>
              <w:t>0.</w:t>
            </w:r>
            <w:r>
              <w:rPr>
                <w:rFonts w:hint="eastAsia"/>
                <w:kern w:val="0"/>
                <w:sz w:val="18"/>
                <w:szCs w:val="18"/>
              </w:rPr>
              <w:t>10</w:t>
            </w:r>
          </w:p>
        </w:tc>
        <w:tc>
          <w:tcPr>
            <w:tcW w:w="849" w:type="pct"/>
            <w:tcBorders>
              <w:left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0.40</w:t>
            </w:r>
          </w:p>
        </w:tc>
        <w:tc>
          <w:tcPr>
            <w:tcW w:w="822" w:type="pct"/>
            <w:tcBorders>
              <w:left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0.05</w:t>
            </w:r>
          </w:p>
        </w:tc>
        <w:tc>
          <w:tcPr>
            <w:tcW w:w="782" w:type="pct"/>
            <w:tcBorders>
              <w:left w:val="single" w:color="auto" w:sz="4" w:space="0"/>
              <w:right w:val="nil"/>
            </w:tcBorders>
            <w:shd w:val="clear" w:color="auto" w:fill="auto"/>
            <w:vAlign w:val="center"/>
          </w:tcPr>
          <w:p>
            <w:pPr>
              <w:widowControl/>
              <w:jc w:val="center"/>
              <w:rPr>
                <w:kern w:val="0"/>
                <w:sz w:val="18"/>
                <w:szCs w:val="18"/>
              </w:rPr>
            </w:pPr>
            <w:r>
              <w:rPr>
                <w:kern w:val="0"/>
                <w:sz w:val="18"/>
                <w:szCs w:val="18"/>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888" w:type="pct"/>
            <w:tcBorders>
              <w:left w:val="nil"/>
              <w:right w:val="single" w:color="auto" w:sz="4" w:space="0"/>
            </w:tcBorders>
            <w:shd w:val="clear" w:color="auto" w:fill="auto"/>
            <w:vAlign w:val="center"/>
          </w:tcPr>
          <w:p>
            <w:pPr>
              <w:widowControl/>
              <w:jc w:val="center"/>
              <w:rPr>
                <w:kern w:val="0"/>
                <w:sz w:val="18"/>
                <w:szCs w:val="18"/>
              </w:rPr>
            </w:pPr>
            <w:r>
              <w:rPr>
                <w:kern w:val="0"/>
                <w:sz w:val="18"/>
                <w:szCs w:val="18"/>
              </w:rPr>
              <w:t>支撑材料</w:t>
            </w:r>
          </w:p>
        </w:tc>
        <w:tc>
          <w:tcPr>
            <w:tcW w:w="811" w:type="pct"/>
            <w:tcBorders>
              <w:left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课堂评价标准，课堂提问记录或随堂考试，结合出勤率等</w:t>
            </w:r>
          </w:p>
        </w:tc>
        <w:tc>
          <w:tcPr>
            <w:tcW w:w="849" w:type="pct"/>
            <w:tcBorders>
              <w:left w:val="single" w:color="auto" w:sz="4" w:space="0"/>
              <w:right w:val="single" w:color="auto" w:sz="4" w:space="0"/>
            </w:tcBorders>
            <w:vAlign w:val="center"/>
          </w:tcPr>
          <w:p>
            <w:pPr>
              <w:widowControl/>
              <w:jc w:val="center"/>
              <w:rPr>
                <w:kern w:val="0"/>
                <w:sz w:val="18"/>
                <w:szCs w:val="18"/>
              </w:rPr>
            </w:pPr>
            <w:r>
              <w:rPr>
                <w:rFonts w:hint="eastAsia"/>
                <w:kern w:val="0"/>
                <w:sz w:val="18"/>
                <w:szCs w:val="18"/>
              </w:rPr>
              <w:t>作业评价标准，典型作业拍照，或电子版</w:t>
            </w:r>
          </w:p>
        </w:tc>
        <w:tc>
          <w:tcPr>
            <w:tcW w:w="849" w:type="pct"/>
            <w:tcBorders>
              <w:left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课内实验评价标准，实验课堂记录，实验报告</w:t>
            </w:r>
          </w:p>
        </w:tc>
        <w:tc>
          <w:tcPr>
            <w:tcW w:w="1604" w:type="pct"/>
            <w:gridSpan w:val="2"/>
            <w:tcBorders>
              <w:left w:val="single" w:color="auto" w:sz="4" w:space="0"/>
              <w:right w:val="nil"/>
            </w:tcBorders>
            <w:shd w:val="clear" w:color="auto" w:fill="auto"/>
            <w:vAlign w:val="center"/>
          </w:tcPr>
          <w:p>
            <w:pPr>
              <w:widowControl/>
              <w:jc w:val="center"/>
              <w:rPr>
                <w:kern w:val="0"/>
                <w:sz w:val="18"/>
                <w:szCs w:val="18"/>
              </w:rPr>
            </w:pPr>
            <w:r>
              <w:rPr>
                <w:kern w:val="0"/>
                <w:sz w:val="18"/>
                <w:szCs w:val="18"/>
              </w:rPr>
              <w:t>综合设计评价标准，综合设计报告</w:t>
            </w:r>
          </w:p>
        </w:tc>
      </w:tr>
    </w:tbl>
    <w:p>
      <w:pPr>
        <w:spacing w:line="360" w:lineRule="auto"/>
        <w:ind w:firstLine="420" w:firstLineChars="200"/>
        <w:rPr>
          <w:szCs w:val="21"/>
        </w:rPr>
      </w:pPr>
    </w:p>
    <w:p>
      <w:pPr>
        <w:tabs>
          <w:tab w:val="left" w:pos="420"/>
        </w:tabs>
        <w:adjustRightInd w:val="0"/>
        <w:snapToGrid w:val="0"/>
        <w:spacing w:line="360" w:lineRule="auto"/>
        <w:rPr>
          <w:rFonts w:ascii="宋体" w:hAnsi="宋体"/>
          <w:sz w:val="18"/>
          <w:szCs w:val="18"/>
        </w:rPr>
      </w:pPr>
      <w:r>
        <w:rPr>
          <w:rFonts w:eastAsia="黑体"/>
          <w:szCs w:val="24"/>
        </w:rPr>
        <w:t>九</w:t>
      </w:r>
      <w:r>
        <w:rPr>
          <w:rFonts w:hint="eastAsia" w:eastAsia="黑体"/>
          <w:szCs w:val="24"/>
        </w:rPr>
        <w:t>、覆盖课程目标达成评价的知识点及权重</w:t>
      </w:r>
    </w:p>
    <w:tbl>
      <w:tblPr>
        <w:tblStyle w:val="20"/>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562"/>
        <w:gridCol w:w="1179"/>
        <w:gridCol w:w="178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vAlign w:val="center"/>
          </w:tcPr>
          <w:p>
            <w:pPr>
              <w:jc w:val="center"/>
              <w:rPr>
                <w:sz w:val="18"/>
                <w:szCs w:val="18"/>
              </w:rPr>
            </w:pPr>
            <w:r>
              <w:rPr>
                <w:sz w:val="18"/>
                <w:szCs w:val="18"/>
              </w:rPr>
              <w:t>知识点</w:t>
            </w:r>
          </w:p>
        </w:tc>
        <w:tc>
          <w:tcPr>
            <w:tcW w:w="691" w:type="pct"/>
            <w:vAlign w:val="center"/>
          </w:tcPr>
          <w:p>
            <w:pPr>
              <w:jc w:val="center"/>
              <w:rPr>
                <w:sz w:val="18"/>
                <w:szCs w:val="18"/>
              </w:rPr>
            </w:pPr>
            <w:r>
              <w:rPr>
                <w:sz w:val="18"/>
                <w:szCs w:val="18"/>
              </w:rPr>
              <w:t>权重</w:t>
            </w:r>
          </w:p>
        </w:tc>
        <w:tc>
          <w:tcPr>
            <w:tcW w:w="1048" w:type="pct"/>
            <w:vAlign w:val="center"/>
          </w:tcPr>
          <w:p>
            <w:pPr>
              <w:jc w:val="center"/>
              <w:rPr>
                <w:sz w:val="18"/>
                <w:szCs w:val="18"/>
              </w:rPr>
            </w:pPr>
            <w:r>
              <w:rPr>
                <w:sz w:val="18"/>
                <w:szCs w:val="18"/>
              </w:rPr>
              <w:t>支撑课程目标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vAlign w:val="center"/>
          </w:tcPr>
          <w:p>
            <w:pPr>
              <w:rPr>
                <w:sz w:val="18"/>
                <w:szCs w:val="18"/>
              </w:rPr>
            </w:pPr>
            <w:r>
              <w:rPr>
                <w:rFonts w:hint="eastAsia"/>
                <w:sz w:val="18"/>
                <w:szCs w:val="18"/>
              </w:rPr>
              <w:t>1、ANSYS的功能，结构分析分类，进行ANSYS分析的基本步骤</w:t>
            </w:r>
          </w:p>
        </w:tc>
        <w:tc>
          <w:tcPr>
            <w:tcW w:w="691" w:type="pct"/>
            <w:vAlign w:val="center"/>
          </w:tcPr>
          <w:p>
            <w:pPr>
              <w:jc w:val="center"/>
              <w:rPr>
                <w:sz w:val="18"/>
                <w:szCs w:val="18"/>
              </w:rPr>
            </w:pPr>
            <w:r>
              <w:rPr>
                <w:rFonts w:hint="eastAsia"/>
                <w:sz w:val="18"/>
                <w:szCs w:val="18"/>
              </w:rPr>
              <w:t>0.</w:t>
            </w:r>
            <w:r>
              <w:rPr>
                <w:sz w:val="18"/>
                <w:szCs w:val="18"/>
              </w:rPr>
              <w:t>10</w:t>
            </w:r>
          </w:p>
        </w:tc>
        <w:tc>
          <w:tcPr>
            <w:tcW w:w="1048" w:type="pct"/>
            <w:vAlign w:val="center"/>
          </w:tcPr>
          <w:p>
            <w:pPr>
              <w:jc w:val="center"/>
              <w:rPr>
                <w:sz w:val="18"/>
                <w:szCs w:val="18"/>
              </w:rPr>
            </w:pPr>
            <w:r>
              <w:rPr>
                <w:rFonts w:hint="eastAsia"/>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vAlign w:val="center"/>
          </w:tcPr>
          <w:p>
            <w:pPr>
              <w:rPr>
                <w:sz w:val="18"/>
                <w:szCs w:val="18"/>
              </w:rPr>
            </w:pPr>
            <w:r>
              <w:rPr>
                <w:rFonts w:hint="eastAsia"/>
                <w:sz w:val="18"/>
                <w:szCs w:val="18"/>
              </w:rPr>
              <w:t>2、ANSYS建模及高级操作技术、网格划分与优化技术；</w:t>
            </w:r>
          </w:p>
        </w:tc>
        <w:tc>
          <w:tcPr>
            <w:tcW w:w="691" w:type="pct"/>
            <w:vAlign w:val="center"/>
          </w:tcPr>
          <w:p>
            <w:pPr>
              <w:jc w:val="center"/>
              <w:rPr>
                <w:sz w:val="18"/>
                <w:szCs w:val="18"/>
              </w:rPr>
            </w:pPr>
            <w:r>
              <w:rPr>
                <w:rFonts w:hint="eastAsia"/>
                <w:sz w:val="18"/>
                <w:szCs w:val="18"/>
              </w:rPr>
              <w:t>0.20</w:t>
            </w:r>
          </w:p>
        </w:tc>
        <w:tc>
          <w:tcPr>
            <w:tcW w:w="1048" w:type="pct"/>
            <w:vAlign w:val="center"/>
          </w:tcPr>
          <w:p>
            <w:pPr>
              <w:jc w:val="center"/>
              <w:rPr>
                <w:sz w:val="18"/>
                <w:szCs w:val="18"/>
              </w:rPr>
            </w:pPr>
            <w:r>
              <w:rPr>
                <w:rFonts w:hint="eastAsia"/>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vAlign w:val="center"/>
          </w:tcPr>
          <w:p>
            <w:pPr>
              <w:rPr>
                <w:sz w:val="18"/>
                <w:szCs w:val="18"/>
              </w:rPr>
            </w:pPr>
            <w:r>
              <w:rPr>
                <w:rFonts w:hint="eastAsia"/>
                <w:sz w:val="18"/>
                <w:szCs w:val="18"/>
              </w:rPr>
              <w:t>3、静力学分析步骤，静力加载与求解设置及后处理方法</w:t>
            </w:r>
          </w:p>
        </w:tc>
        <w:tc>
          <w:tcPr>
            <w:tcW w:w="691" w:type="pct"/>
            <w:vAlign w:val="center"/>
          </w:tcPr>
          <w:p>
            <w:pPr>
              <w:jc w:val="center"/>
              <w:rPr>
                <w:sz w:val="18"/>
                <w:szCs w:val="18"/>
              </w:rPr>
            </w:pPr>
            <w:r>
              <w:rPr>
                <w:rFonts w:hint="eastAsia"/>
                <w:sz w:val="18"/>
                <w:szCs w:val="18"/>
              </w:rPr>
              <w:t>0.20</w:t>
            </w:r>
          </w:p>
        </w:tc>
        <w:tc>
          <w:tcPr>
            <w:tcW w:w="1048" w:type="pct"/>
            <w:vAlign w:val="center"/>
          </w:tcPr>
          <w:p>
            <w:pPr>
              <w:jc w:val="center"/>
              <w:rPr>
                <w:sz w:val="18"/>
                <w:szCs w:val="18"/>
              </w:rPr>
            </w:pPr>
            <w:r>
              <w:rPr>
                <w:rFonts w:hint="eastAsia"/>
                <w:sz w:val="18"/>
                <w:szCs w:val="18"/>
              </w:rPr>
              <w:t>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vAlign w:val="center"/>
          </w:tcPr>
          <w:p>
            <w:pPr>
              <w:rPr>
                <w:sz w:val="18"/>
                <w:szCs w:val="18"/>
              </w:rPr>
            </w:pPr>
            <w:r>
              <w:rPr>
                <w:rFonts w:hint="eastAsia"/>
                <w:sz w:val="18"/>
                <w:szCs w:val="18"/>
              </w:rPr>
              <w:t>4、动力学分析的目的、分析类型</w:t>
            </w:r>
          </w:p>
        </w:tc>
        <w:tc>
          <w:tcPr>
            <w:tcW w:w="691" w:type="pct"/>
            <w:vAlign w:val="center"/>
          </w:tcPr>
          <w:p>
            <w:pPr>
              <w:jc w:val="center"/>
              <w:rPr>
                <w:sz w:val="18"/>
                <w:szCs w:val="18"/>
              </w:rPr>
            </w:pPr>
            <w:r>
              <w:rPr>
                <w:rFonts w:hint="eastAsia"/>
                <w:sz w:val="18"/>
                <w:szCs w:val="18"/>
              </w:rPr>
              <w:t>0.</w:t>
            </w:r>
            <w:r>
              <w:rPr>
                <w:sz w:val="18"/>
                <w:szCs w:val="18"/>
              </w:rPr>
              <w:t>1</w:t>
            </w:r>
            <w:r>
              <w:rPr>
                <w:rFonts w:hint="eastAsia"/>
                <w:sz w:val="18"/>
                <w:szCs w:val="18"/>
              </w:rPr>
              <w:t>0</w:t>
            </w:r>
          </w:p>
        </w:tc>
        <w:tc>
          <w:tcPr>
            <w:tcW w:w="1048" w:type="pct"/>
            <w:vAlign w:val="center"/>
          </w:tcPr>
          <w:p>
            <w:pPr>
              <w:jc w:val="center"/>
              <w:rPr>
                <w:sz w:val="18"/>
                <w:szCs w:val="18"/>
              </w:rPr>
            </w:pPr>
            <w:r>
              <w:rPr>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vAlign w:val="center"/>
          </w:tcPr>
          <w:p>
            <w:pPr>
              <w:rPr>
                <w:sz w:val="18"/>
                <w:szCs w:val="18"/>
              </w:rPr>
            </w:pPr>
            <w:r>
              <w:rPr>
                <w:rFonts w:hint="eastAsia"/>
                <w:sz w:val="18"/>
                <w:szCs w:val="18"/>
              </w:rPr>
              <w:t>5、模态分析、谐响应分析、瞬态动力学分析基本概念、分析步骤</w:t>
            </w:r>
          </w:p>
        </w:tc>
        <w:tc>
          <w:tcPr>
            <w:tcW w:w="691" w:type="pct"/>
            <w:vAlign w:val="center"/>
          </w:tcPr>
          <w:p>
            <w:pPr>
              <w:jc w:val="center"/>
              <w:rPr>
                <w:sz w:val="18"/>
                <w:szCs w:val="18"/>
              </w:rPr>
            </w:pPr>
            <w:r>
              <w:rPr>
                <w:rFonts w:hint="eastAsia"/>
                <w:sz w:val="18"/>
                <w:szCs w:val="18"/>
              </w:rPr>
              <w:t>0.20</w:t>
            </w:r>
          </w:p>
        </w:tc>
        <w:tc>
          <w:tcPr>
            <w:tcW w:w="1048" w:type="pct"/>
            <w:vAlign w:val="center"/>
          </w:tcPr>
          <w:p>
            <w:pPr>
              <w:jc w:val="center"/>
              <w:rPr>
                <w:sz w:val="18"/>
                <w:szCs w:val="18"/>
              </w:rPr>
            </w:pPr>
            <w:r>
              <w:rPr>
                <w:rFonts w:hint="eastAsia"/>
                <w:sz w:val="18"/>
                <w:szCs w:val="18"/>
              </w:rPr>
              <w:t>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vAlign w:val="center"/>
          </w:tcPr>
          <w:p>
            <w:pPr>
              <w:rPr>
                <w:sz w:val="18"/>
                <w:szCs w:val="18"/>
              </w:rPr>
            </w:pPr>
            <w:r>
              <w:rPr>
                <w:rFonts w:hint="eastAsia"/>
                <w:sz w:val="18"/>
                <w:szCs w:val="18"/>
              </w:rPr>
              <w:t>6、优化设计思想、方法及应用；</w:t>
            </w:r>
          </w:p>
        </w:tc>
        <w:tc>
          <w:tcPr>
            <w:tcW w:w="691" w:type="pct"/>
            <w:vAlign w:val="center"/>
          </w:tcPr>
          <w:p>
            <w:pPr>
              <w:jc w:val="center"/>
              <w:rPr>
                <w:sz w:val="18"/>
                <w:szCs w:val="18"/>
              </w:rPr>
            </w:pPr>
            <w:r>
              <w:rPr>
                <w:rFonts w:hint="eastAsia"/>
                <w:sz w:val="18"/>
                <w:szCs w:val="18"/>
              </w:rPr>
              <w:t>0.20</w:t>
            </w:r>
          </w:p>
        </w:tc>
        <w:tc>
          <w:tcPr>
            <w:tcW w:w="1048" w:type="pct"/>
            <w:vAlign w:val="center"/>
          </w:tcPr>
          <w:p>
            <w:pPr>
              <w:jc w:val="center"/>
              <w:rPr>
                <w:sz w:val="18"/>
                <w:szCs w:val="18"/>
              </w:rPr>
            </w:pPr>
            <w:r>
              <w:rPr>
                <w:sz w:val="18"/>
                <w:szCs w:val="18"/>
              </w:rPr>
              <w:t>1</w:t>
            </w:r>
            <w:r>
              <w:rPr>
                <w:rFonts w:hint="eastAsia"/>
                <w:sz w:val="18"/>
                <w:szCs w:val="18"/>
              </w:rPr>
              <w:t>、3</w:t>
            </w:r>
          </w:p>
        </w:tc>
      </w:tr>
    </w:tbl>
    <w:p>
      <w:pPr>
        <w:spacing w:before="120" w:beforeLines="50" w:line="360" w:lineRule="auto"/>
        <w:ind w:firstLine="420" w:firstLineChars="200"/>
        <w:rPr>
          <w:rFonts w:ascii="宋体" w:hAnsi="宋体"/>
          <w:szCs w:val="21"/>
        </w:rPr>
      </w:pPr>
      <w:r>
        <w:rPr>
          <w:rFonts w:ascii="宋体" w:hAnsi="宋体"/>
          <w:szCs w:val="21"/>
        </w:rPr>
        <w:t>学生可以依据仪器与电子学院相关文件，以允许的第二课堂成果折算单项成绩，与对应知识点加权累计达到</w:t>
      </w:r>
      <w:r>
        <w:rPr>
          <w:rFonts w:hint="eastAsia" w:ascii="宋体" w:hAnsi="宋体"/>
          <w:szCs w:val="21"/>
        </w:rPr>
        <w:t>7</w:t>
      </w:r>
      <w:r>
        <w:rPr>
          <w:rFonts w:ascii="宋体" w:hAnsi="宋体"/>
          <w:szCs w:val="21"/>
        </w:rPr>
        <w:t>5</w:t>
      </w:r>
      <w:r>
        <w:rPr>
          <w:rFonts w:hint="eastAsia" w:ascii="宋体" w:hAnsi="宋体"/>
          <w:szCs w:val="21"/>
        </w:rPr>
        <w:t>（含）以上，且对所有课程目标的支撑不能有缺项，即可申请本门课程免修。</w:t>
      </w:r>
    </w:p>
    <w:p>
      <w:pPr>
        <w:spacing w:line="360" w:lineRule="auto"/>
        <w:ind w:firstLine="420" w:firstLineChars="200"/>
        <w:rPr>
          <w:szCs w:val="21"/>
        </w:rPr>
        <w:sectPr>
          <w:headerReference r:id="rId71" w:type="first"/>
          <w:footerReference r:id="rId74" w:type="first"/>
          <w:headerReference r:id="rId69" w:type="default"/>
          <w:footerReference r:id="rId72" w:type="default"/>
          <w:headerReference r:id="rId70" w:type="even"/>
          <w:footerReference r:id="rId73" w:type="even"/>
          <w:pgSz w:w="11906" w:h="16838"/>
          <w:pgMar w:top="1440" w:right="1797" w:bottom="1440" w:left="1797" w:header="851" w:footer="992" w:gutter="0"/>
          <w:pgNumType w:fmt="decimal"/>
          <w:cols w:space="425" w:num="1"/>
          <w:docGrid w:linePitch="312" w:charSpace="0"/>
        </w:sectPr>
      </w:pPr>
    </w:p>
    <w:p>
      <w:pPr>
        <w:tabs>
          <w:tab w:val="left" w:pos="420"/>
        </w:tabs>
        <w:adjustRightInd w:val="0"/>
        <w:snapToGrid w:val="0"/>
        <w:spacing w:line="360" w:lineRule="auto"/>
        <w:ind w:left="420" w:hanging="420"/>
        <w:rPr>
          <w:rFonts w:eastAsia="黑体"/>
          <w:szCs w:val="24"/>
        </w:rPr>
      </w:pPr>
      <w:r>
        <w:rPr>
          <w:rFonts w:hint="eastAsia" w:eastAsia="黑体"/>
          <w:szCs w:val="24"/>
        </w:rPr>
        <w:t>十、课程目标达成评价</w:t>
      </w:r>
    </w:p>
    <w:p>
      <w:pPr>
        <w:spacing w:line="360" w:lineRule="auto"/>
        <w:ind w:firstLine="420" w:firstLineChars="200"/>
        <w:jc w:val="center"/>
      </w:pPr>
      <w:r>
        <w:rPr>
          <w:rFonts w:hint="eastAsia"/>
        </w:rPr>
        <w:t>各环节对课程目标达成评价所使用到的权重占比分配及考核权重分配</w:t>
      </w:r>
    </w:p>
    <w:tbl>
      <w:tblPr>
        <w:tblStyle w:val="19"/>
        <w:tblW w:w="5000" w:type="pct"/>
        <w:jc w:val="center"/>
        <w:tblLayout w:type="autofit"/>
        <w:tblCellMar>
          <w:top w:w="0" w:type="dxa"/>
          <w:left w:w="108" w:type="dxa"/>
          <w:bottom w:w="0" w:type="dxa"/>
          <w:right w:w="108" w:type="dxa"/>
        </w:tblCellMar>
      </w:tblPr>
      <w:tblGrid>
        <w:gridCol w:w="712"/>
        <w:gridCol w:w="1188"/>
        <w:gridCol w:w="814"/>
        <w:gridCol w:w="814"/>
        <w:gridCol w:w="816"/>
        <w:gridCol w:w="814"/>
        <w:gridCol w:w="819"/>
        <w:gridCol w:w="887"/>
        <w:gridCol w:w="887"/>
        <w:gridCol w:w="887"/>
        <w:gridCol w:w="887"/>
        <w:gridCol w:w="887"/>
        <w:gridCol w:w="754"/>
        <w:gridCol w:w="754"/>
        <w:gridCol w:w="754"/>
        <w:gridCol w:w="754"/>
        <w:gridCol w:w="746"/>
      </w:tblGrid>
      <w:tr>
        <w:tblPrEx>
          <w:tblCellMar>
            <w:top w:w="0" w:type="dxa"/>
            <w:left w:w="108" w:type="dxa"/>
            <w:bottom w:w="0" w:type="dxa"/>
            <w:right w:w="108" w:type="dxa"/>
          </w:tblCellMar>
        </w:tblPrEx>
        <w:trPr>
          <w:trHeight w:val="1015" w:hRule="atLeast"/>
          <w:jc w:val="center"/>
        </w:trPr>
        <w:tc>
          <w:tcPr>
            <w:tcW w:w="25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课程目标</w:t>
            </w:r>
          </w:p>
        </w:tc>
        <w:tc>
          <w:tcPr>
            <w:tcW w:w="41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知识面比例</w:t>
            </w:r>
          </w:p>
          <w:p>
            <w:pPr>
              <w:widowControl/>
              <w:jc w:val="center"/>
              <w:rPr>
                <w:rFonts w:ascii="宋体" w:hAnsi="宋体" w:cs="宋体"/>
                <w:kern w:val="0"/>
                <w:sz w:val="18"/>
                <w:szCs w:val="18"/>
              </w:rPr>
            </w:pPr>
            <w:r>
              <w:rPr>
                <w:rFonts w:hint="eastAsia" w:ascii="宋体" w:hAnsi="宋体" w:cs="宋体"/>
                <w:kern w:val="0"/>
                <w:sz w:val="18"/>
                <w:szCs w:val="18"/>
              </w:rPr>
              <w:t>（本列总和为1）</w:t>
            </w:r>
          </w:p>
          <w:p>
            <w:pPr>
              <w:widowControl/>
              <w:jc w:val="center"/>
              <w:rPr>
                <w:rFonts w:ascii="宋体" w:hAnsi="宋体" w:cs="宋体"/>
                <w:i/>
                <w:kern w:val="0"/>
                <w:sz w:val="18"/>
                <w:szCs w:val="18"/>
              </w:rPr>
            </w:pPr>
            <w:r>
              <w:rPr>
                <w:rFonts w:ascii="宋体" w:hAnsi="宋体" w:cs="宋体"/>
                <w:i/>
                <w:kern w:val="0"/>
                <w:sz w:val="18"/>
                <w:szCs w:val="18"/>
              </w:rPr>
              <w:t>P</w:t>
            </w:r>
            <w:r>
              <w:rPr>
                <w:rFonts w:ascii="宋体" w:hAnsi="宋体" w:cs="宋体"/>
                <w:i/>
                <w:kern w:val="0"/>
                <w:sz w:val="18"/>
                <w:szCs w:val="18"/>
                <w:vertAlign w:val="subscript"/>
              </w:rPr>
              <w:t>i</w:t>
            </w:r>
          </w:p>
        </w:tc>
        <w:tc>
          <w:tcPr>
            <w:tcW w:w="1438"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18"/>
                <w:szCs w:val="18"/>
              </w:rPr>
            </w:pPr>
            <w:r>
              <w:rPr>
                <w:rFonts w:hint="eastAsia" w:ascii="宋体" w:hAnsi="宋体"/>
                <w:sz w:val="18"/>
                <w:szCs w:val="18"/>
              </w:rPr>
              <w:t>各环节评价比例分配</w:t>
            </w:r>
            <w:r>
              <w:rPr>
                <w:rFonts w:hint="eastAsia" w:ascii="宋体" w:hAnsi="宋体"/>
                <w:sz w:val="18"/>
                <w:szCs w:val="18"/>
              </w:rPr>
              <w:br w:type="textWrapping"/>
            </w:r>
            <w:r>
              <w:rPr>
                <w:rFonts w:hint="eastAsia" w:ascii="宋体" w:hAnsi="宋体"/>
                <w:sz w:val="18"/>
                <w:szCs w:val="18"/>
              </w:rPr>
              <w:t>（每行总和为1）</w:t>
            </w:r>
            <w:r>
              <w:rPr>
                <w:rFonts w:hint="eastAsia" w:ascii="宋体" w:hAnsi="宋体"/>
                <w:sz w:val="18"/>
                <w:szCs w:val="18"/>
              </w:rPr>
              <w:br w:type="textWrapping"/>
            </w:r>
            <w:r>
              <w:rPr>
                <w:rFonts w:hint="eastAsia" w:ascii="宋体" w:hAnsi="宋体"/>
                <w:i/>
                <w:sz w:val="18"/>
                <w:szCs w:val="18"/>
              </w:rPr>
              <w:t>W</w:t>
            </w:r>
            <w:r>
              <w:rPr>
                <w:rFonts w:hint="eastAsia" w:ascii="宋体" w:hAnsi="宋体"/>
                <w:i/>
                <w:sz w:val="18"/>
                <w:szCs w:val="18"/>
                <w:vertAlign w:val="subscript"/>
              </w:rPr>
              <w:t>ik</w:t>
            </w:r>
          </w:p>
        </w:tc>
        <w:tc>
          <w:tcPr>
            <w:tcW w:w="1564" w:type="pct"/>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各环节在课程达成中的占比</w:t>
            </w:r>
            <w:r>
              <w:rPr>
                <w:rFonts w:hint="eastAsia" w:ascii="宋体" w:hAnsi="宋体"/>
                <w:sz w:val="18"/>
                <w:szCs w:val="18"/>
              </w:rPr>
              <w:br w:type="textWrapping"/>
            </w:r>
            <w:r>
              <w:rPr>
                <w:rFonts w:hint="eastAsia" w:ascii="宋体" w:hAnsi="宋体"/>
                <w:sz w:val="18"/>
                <w:szCs w:val="18"/>
              </w:rPr>
              <w:t>（所有行列总和为1）</w:t>
            </w:r>
            <w:r>
              <w:rPr>
                <w:rFonts w:hint="eastAsia" w:ascii="宋体" w:hAnsi="宋体"/>
                <w:sz w:val="18"/>
                <w:szCs w:val="18"/>
              </w:rPr>
              <w:br w:type="textWrapping"/>
            </w:r>
            <w:r>
              <w:rPr>
                <w:rFonts w:hint="eastAsia" w:ascii="宋体" w:hAnsi="宋体"/>
                <w:i/>
                <w:sz w:val="18"/>
                <w:szCs w:val="18"/>
              </w:rPr>
              <w:t>S</w:t>
            </w:r>
            <w:r>
              <w:rPr>
                <w:rFonts w:hint="eastAsia" w:ascii="宋体" w:hAnsi="宋体"/>
                <w:i/>
                <w:sz w:val="18"/>
                <w:szCs w:val="18"/>
                <w:vertAlign w:val="subscript"/>
              </w:rPr>
              <w:t>ik</w:t>
            </w:r>
            <w:r>
              <w:rPr>
                <w:rFonts w:hint="eastAsia" w:ascii="宋体" w:hAnsi="宋体"/>
                <w:i/>
                <w:sz w:val="18"/>
                <w:szCs w:val="18"/>
              </w:rPr>
              <w:t>=P</w:t>
            </w:r>
            <w:r>
              <w:rPr>
                <w:rFonts w:hint="eastAsia" w:ascii="宋体" w:hAnsi="宋体"/>
                <w:i/>
                <w:sz w:val="18"/>
                <w:szCs w:val="18"/>
                <w:vertAlign w:val="subscript"/>
              </w:rPr>
              <w:t>i</w:t>
            </w:r>
            <w:r>
              <w:rPr>
                <w:rFonts w:hint="eastAsia" w:ascii="宋体" w:hAnsi="宋体"/>
                <w:i/>
                <w:sz w:val="18"/>
                <w:szCs w:val="18"/>
              </w:rPr>
              <w:t>*W</w:t>
            </w:r>
            <w:r>
              <w:rPr>
                <w:rFonts w:hint="eastAsia" w:ascii="宋体" w:hAnsi="宋体"/>
                <w:i/>
                <w:sz w:val="18"/>
                <w:szCs w:val="18"/>
                <w:vertAlign w:val="subscript"/>
              </w:rPr>
              <w:t>ik</w:t>
            </w:r>
          </w:p>
        </w:tc>
        <w:tc>
          <w:tcPr>
            <w:tcW w:w="1328"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各环节课程目标考核权重分布</w:t>
            </w:r>
          </w:p>
          <w:p>
            <w:pPr>
              <w:jc w:val="center"/>
              <w:rPr>
                <w:rFonts w:ascii="宋体" w:hAnsi="宋体"/>
                <w:sz w:val="18"/>
                <w:szCs w:val="18"/>
              </w:rPr>
            </w:pPr>
            <w:r>
              <w:rPr>
                <w:rFonts w:ascii="宋体" w:hAnsi="宋体"/>
                <w:sz w:val="18"/>
                <w:szCs w:val="18"/>
              </w:rPr>
              <w:t>（每一列总和为</w:t>
            </w:r>
            <w:r>
              <w:rPr>
                <w:rFonts w:hint="eastAsia" w:ascii="宋体" w:hAnsi="宋体"/>
                <w:sz w:val="18"/>
                <w:szCs w:val="18"/>
              </w:rPr>
              <w:t>1</w:t>
            </w:r>
            <w:r>
              <w:rPr>
                <w:rFonts w:ascii="宋体" w:hAnsi="宋体"/>
                <w:sz w:val="18"/>
                <w:szCs w:val="18"/>
              </w:rPr>
              <w:t>）</w:t>
            </w:r>
          </w:p>
          <w:p>
            <w:pPr>
              <w:jc w:val="center"/>
              <w:rPr>
                <w:rFonts w:ascii="宋体" w:hAnsi="宋体"/>
                <w:i/>
                <w:sz w:val="18"/>
                <w:szCs w:val="18"/>
              </w:rPr>
            </w:pPr>
            <w:r>
              <w:rPr>
                <w:rFonts w:hint="eastAsia" w:ascii="宋体" w:hAnsi="宋体"/>
                <w:i/>
                <w:sz w:val="18"/>
                <w:szCs w:val="18"/>
              </w:rPr>
              <w:t>E</w:t>
            </w:r>
            <w:r>
              <w:rPr>
                <w:rFonts w:hint="eastAsia" w:ascii="宋体" w:hAnsi="宋体"/>
                <w:i/>
                <w:sz w:val="18"/>
                <w:szCs w:val="18"/>
                <w:vertAlign w:val="subscript"/>
              </w:rPr>
              <w:t>ik</w:t>
            </w:r>
            <w:r>
              <w:rPr>
                <w:rFonts w:hint="eastAsia" w:ascii="宋体" w:hAnsi="宋体"/>
                <w:i/>
                <w:sz w:val="18"/>
                <w:szCs w:val="18"/>
              </w:rPr>
              <w:t>=</w:t>
            </w:r>
            <w:r>
              <w:rPr>
                <w:rFonts w:ascii="宋体" w:hAnsi="宋体"/>
                <w:i/>
                <w:sz w:val="18"/>
                <w:szCs w:val="18"/>
              </w:rPr>
              <w:t>S</w:t>
            </w:r>
            <w:r>
              <w:rPr>
                <w:rFonts w:ascii="宋体" w:hAnsi="宋体"/>
                <w:i/>
                <w:sz w:val="18"/>
                <w:szCs w:val="18"/>
                <w:vertAlign w:val="subscript"/>
              </w:rPr>
              <w:t>ik</w:t>
            </w:r>
            <w:r>
              <w:rPr>
                <w:rFonts w:ascii="宋体" w:hAnsi="宋体"/>
                <w:i/>
                <w:sz w:val="18"/>
                <w:szCs w:val="18"/>
              </w:rPr>
              <w:t>/M</w:t>
            </w:r>
            <w:r>
              <w:rPr>
                <w:rFonts w:ascii="宋体" w:hAnsi="宋体"/>
                <w:i/>
                <w:sz w:val="18"/>
                <w:szCs w:val="18"/>
                <w:vertAlign w:val="subscript"/>
              </w:rPr>
              <w:t>ik</w:t>
            </w:r>
          </w:p>
        </w:tc>
      </w:tr>
      <w:tr>
        <w:tblPrEx>
          <w:tblCellMar>
            <w:top w:w="0" w:type="dxa"/>
            <w:left w:w="108" w:type="dxa"/>
            <w:bottom w:w="0" w:type="dxa"/>
            <w:right w:w="108" w:type="dxa"/>
          </w:tblCellMar>
        </w:tblPrEx>
        <w:trPr>
          <w:trHeight w:val="986" w:hRule="atLeast"/>
          <w:jc w:val="center"/>
        </w:trPr>
        <w:tc>
          <w:tcPr>
            <w:tcW w:w="25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41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28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课堂</w:t>
            </w:r>
          </w:p>
          <w:p>
            <w:pPr>
              <w:widowControl/>
              <w:jc w:val="center"/>
              <w:rPr>
                <w:rFonts w:ascii="宋体" w:hAnsi="宋体" w:cs="宋体"/>
                <w:kern w:val="0"/>
                <w:sz w:val="18"/>
                <w:szCs w:val="18"/>
              </w:rPr>
            </w:pPr>
            <w:r>
              <w:rPr>
                <w:rFonts w:hint="eastAsia" w:ascii="宋体" w:hAnsi="宋体" w:cs="宋体"/>
                <w:kern w:val="0"/>
                <w:sz w:val="18"/>
                <w:szCs w:val="18"/>
              </w:rPr>
              <w:t>情况</w:t>
            </w:r>
          </w:p>
        </w:tc>
        <w:tc>
          <w:tcPr>
            <w:tcW w:w="28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作业</w:t>
            </w:r>
          </w:p>
        </w:tc>
        <w:tc>
          <w:tcPr>
            <w:tcW w:w="2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单项实验</w:t>
            </w:r>
          </w:p>
        </w:tc>
        <w:tc>
          <w:tcPr>
            <w:tcW w:w="28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综合设计实验验收</w:t>
            </w:r>
          </w:p>
        </w:tc>
        <w:tc>
          <w:tcPr>
            <w:tcW w:w="2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综合设计实验报告</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课堂</w:t>
            </w:r>
          </w:p>
          <w:p>
            <w:pPr>
              <w:widowControl/>
              <w:jc w:val="center"/>
              <w:rPr>
                <w:rFonts w:ascii="宋体" w:hAnsi="宋体" w:cs="宋体"/>
                <w:kern w:val="0"/>
                <w:sz w:val="18"/>
                <w:szCs w:val="18"/>
              </w:rPr>
            </w:pPr>
            <w:r>
              <w:rPr>
                <w:rFonts w:hint="eastAsia" w:ascii="宋体" w:hAnsi="宋体" w:cs="宋体"/>
                <w:kern w:val="0"/>
                <w:sz w:val="18"/>
                <w:szCs w:val="18"/>
              </w:rPr>
              <w:t>情况</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作业</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单项实验</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综合设计实验验收</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综合设计实验报告</w:t>
            </w:r>
          </w:p>
        </w:tc>
        <w:tc>
          <w:tcPr>
            <w:tcW w:w="2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课堂</w:t>
            </w:r>
          </w:p>
          <w:p>
            <w:pPr>
              <w:widowControl/>
              <w:jc w:val="center"/>
              <w:rPr>
                <w:rFonts w:ascii="宋体" w:hAnsi="宋体" w:cs="宋体"/>
                <w:kern w:val="0"/>
                <w:sz w:val="18"/>
                <w:szCs w:val="18"/>
              </w:rPr>
            </w:pPr>
            <w:r>
              <w:rPr>
                <w:rFonts w:hint="eastAsia" w:ascii="宋体" w:hAnsi="宋体" w:cs="宋体"/>
                <w:kern w:val="0"/>
                <w:sz w:val="18"/>
                <w:szCs w:val="18"/>
              </w:rPr>
              <w:t>情况</w:t>
            </w:r>
          </w:p>
        </w:tc>
        <w:tc>
          <w:tcPr>
            <w:tcW w:w="2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作业</w:t>
            </w:r>
          </w:p>
        </w:tc>
        <w:tc>
          <w:tcPr>
            <w:tcW w:w="2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单项实验</w:t>
            </w:r>
          </w:p>
        </w:tc>
        <w:tc>
          <w:tcPr>
            <w:tcW w:w="2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综合设计实验验收</w:t>
            </w:r>
          </w:p>
        </w:tc>
        <w:tc>
          <w:tcPr>
            <w:tcW w:w="2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综合设计实验报告</w:t>
            </w:r>
          </w:p>
        </w:tc>
      </w:tr>
      <w:tr>
        <w:tblPrEx>
          <w:tblCellMar>
            <w:top w:w="0" w:type="dxa"/>
            <w:left w:w="108" w:type="dxa"/>
            <w:bottom w:w="0" w:type="dxa"/>
            <w:right w:w="108" w:type="dxa"/>
          </w:tblCellMar>
        </w:tblPrEx>
        <w:trPr>
          <w:trHeight w:val="1020" w:hRule="atLeast"/>
          <w:jc w:val="center"/>
        </w:trPr>
        <w:tc>
          <w:tcPr>
            <w:tcW w:w="251" w:type="pct"/>
            <w:tcBorders>
              <w:top w:val="nil"/>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1</w:t>
            </w:r>
          </w:p>
        </w:tc>
        <w:tc>
          <w:tcPr>
            <w:tcW w:w="4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jc w:val="center"/>
              <w:rPr>
                <w:bCs/>
                <w:kern w:val="0"/>
                <w:sz w:val="18"/>
                <w:szCs w:val="18"/>
              </w:rPr>
            </w:pPr>
            <w:r>
              <w:rPr>
                <w:bCs/>
                <w:kern w:val="0"/>
                <w:sz w:val="18"/>
                <w:szCs w:val="18"/>
              </w:rPr>
              <w:t>0.50</w:t>
            </w:r>
          </w:p>
        </w:tc>
        <w:tc>
          <w:tcPr>
            <w:tcW w:w="287"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0.10</w:t>
            </w:r>
          </w:p>
        </w:tc>
        <w:tc>
          <w:tcPr>
            <w:tcW w:w="287"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0.20</w:t>
            </w:r>
          </w:p>
        </w:tc>
        <w:tc>
          <w:tcPr>
            <w:tcW w:w="288"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0.40</w:t>
            </w:r>
          </w:p>
        </w:tc>
        <w:tc>
          <w:tcPr>
            <w:tcW w:w="287"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0.00</w:t>
            </w:r>
          </w:p>
        </w:tc>
        <w:tc>
          <w:tcPr>
            <w:tcW w:w="288"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0.30</w:t>
            </w:r>
          </w:p>
        </w:tc>
        <w:tc>
          <w:tcPr>
            <w:tcW w:w="313"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0.05</w:t>
            </w:r>
          </w:p>
        </w:tc>
        <w:tc>
          <w:tcPr>
            <w:tcW w:w="313"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0.10</w:t>
            </w:r>
          </w:p>
        </w:tc>
        <w:tc>
          <w:tcPr>
            <w:tcW w:w="313"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0.20</w:t>
            </w:r>
          </w:p>
        </w:tc>
        <w:tc>
          <w:tcPr>
            <w:tcW w:w="313"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0.00</w:t>
            </w:r>
          </w:p>
        </w:tc>
        <w:tc>
          <w:tcPr>
            <w:tcW w:w="313"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0.15</w:t>
            </w:r>
          </w:p>
        </w:tc>
        <w:tc>
          <w:tcPr>
            <w:tcW w:w="26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0.50</w:t>
            </w:r>
          </w:p>
        </w:tc>
        <w:tc>
          <w:tcPr>
            <w:tcW w:w="26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1.00</w:t>
            </w:r>
          </w:p>
        </w:tc>
        <w:tc>
          <w:tcPr>
            <w:tcW w:w="26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0.50</w:t>
            </w:r>
          </w:p>
        </w:tc>
        <w:tc>
          <w:tcPr>
            <w:tcW w:w="26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0.00</w:t>
            </w:r>
          </w:p>
        </w:tc>
        <w:tc>
          <w:tcPr>
            <w:tcW w:w="26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0.43</w:t>
            </w:r>
          </w:p>
        </w:tc>
      </w:tr>
      <w:tr>
        <w:trPr>
          <w:trHeight w:val="694" w:hRule="atLeast"/>
          <w:jc w:val="center"/>
        </w:trPr>
        <w:tc>
          <w:tcPr>
            <w:tcW w:w="251" w:type="pct"/>
            <w:tcBorders>
              <w:top w:val="nil"/>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2</w:t>
            </w:r>
          </w:p>
        </w:tc>
        <w:tc>
          <w:tcPr>
            <w:tcW w:w="419"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jc w:val="center"/>
              <w:rPr>
                <w:bCs/>
                <w:kern w:val="0"/>
                <w:sz w:val="18"/>
                <w:szCs w:val="18"/>
              </w:rPr>
            </w:pPr>
            <w:r>
              <w:rPr>
                <w:bCs/>
                <w:kern w:val="0"/>
                <w:sz w:val="18"/>
                <w:szCs w:val="18"/>
              </w:rPr>
              <w:t>0.30</w:t>
            </w:r>
          </w:p>
        </w:tc>
        <w:tc>
          <w:tcPr>
            <w:tcW w:w="287"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0.10</w:t>
            </w:r>
          </w:p>
        </w:tc>
        <w:tc>
          <w:tcPr>
            <w:tcW w:w="287"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0.00</w:t>
            </w:r>
          </w:p>
        </w:tc>
        <w:tc>
          <w:tcPr>
            <w:tcW w:w="288"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0.40</w:t>
            </w:r>
          </w:p>
        </w:tc>
        <w:tc>
          <w:tcPr>
            <w:tcW w:w="287"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0.10</w:t>
            </w:r>
          </w:p>
        </w:tc>
        <w:tc>
          <w:tcPr>
            <w:tcW w:w="288"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0.40</w:t>
            </w:r>
          </w:p>
        </w:tc>
        <w:tc>
          <w:tcPr>
            <w:tcW w:w="313"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0.03</w:t>
            </w:r>
          </w:p>
        </w:tc>
        <w:tc>
          <w:tcPr>
            <w:tcW w:w="313"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0.00</w:t>
            </w:r>
          </w:p>
        </w:tc>
        <w:tc>
          <w:tcPr>
            <w:tcW w:w="313"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0.12</w:t>
            </w:r>
          </w:p>
        </w:tc>
        <w:tc>
          <w:tcPr>
            <w:tcW w:w="313"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0.03</w:t>
            </w:r>
          </w:p>
        </w:tc>
        <w:tc>
          <w:tcPr>
            <w:tcW w:w="313"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0.12</w:t>
            </w:r>
          </w:p>
        </w:tc>
        <w:tc>
          <w:tcPr>
            <w:tcW w:w="26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0.30</w:t>
            </w:r>
          </w:p>
        </w:tc>
        <w:tc>
          <w:tcPr>
            <w:tcW w:w="26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0.00</w:t>
            </w:r>
          </w:p>
        </w:tc>
        <w:tc>
          <w:tcPr>
            <w:tcW w:w="26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0.30</w:t>
            </w:r>
          </w:p>
        </w:tc>
        <w:tc>
          <w:tcPr>
            <w:tcW w:w="26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0.60</w:t>
            </w:r>
          </w:p>
        </w:tc>
        <w:tc>
          <w:tcPr>
            <w:tcW w:w="26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0.34</w:t>
            </w:r>
          </w:p>
        </w:tc>
      </w:tr>
      <w:tr>
        <w:tblPrEx>
          <w:tblCellMar>
            <w:top w:w="0" w:type="dxa"/>
            <w:left w:w="108" w:type="dxa"/>
            <w:bottom w:w="0" w:type="dxa"/>
            <w:right w:w="108" w:type="dxa"/>
          </w:tblCellMar>
        </w:tblPrEx>
        <w:trPr>
          <w:trHeight w:val="690" w:hRule="atLeast"/>
          <w:jc w:val="center"/>
        </w:trPr>
        <w:tc>
          <w:tcPr>
            <w:tcW w:w="251" w:type="pct"/>
            <w:tcBorders>
              <w:top w:val="nil"/>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3</w:t>
            </w:r>
          </w:p>
        </w:tc>
        <w:tc>
          <w:tcPr>
            <w:tcW w:w="419"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jc w:val="center"/>
              <w:rPr>
                <w:bCs/>
                <w:kern w:val="0"/>
                <w:sz w:val="18"/>
                <w:szCs w:val="18"/>
              </w:rPr>
            </w:pPr>
            <w:r>
              <w:rPr>
                <w:bCs/>
                <w:kern w:val="0"/>
                <w:sz w:val="18"/>
                <w:szCs w:val="18"/>
              </w:rPr>
              <w:t>0.20</w:t>
            </w:r>
          </w:p>
        </w:tc>
        <w:tc>
          <w:tcPr>
            <w:tcW w:w="287"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0.10</w:t>
            </w:r>
          </w:p>
        </w:tc>
        <w:tc>
          <w:tcPr>
            <w:tcW w:w="287"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0.00</w:t>
            </w:r>
          </w:p>
        </w:tc>
        <w:tc>
          <w:tcPr>
            <w:tcW w:w="288"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0.40</w:t>
            </w:r>
          </w:p>
        </w:tc>
        <w:tc>
          <w:tcPr>
            <w:tcW w:w="287"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0.10</w:t>
            </w:r>
          </w:p>
        </w:tc>
        <w:tc>
          <w:tcPr>
            <w:tcW w:w="288"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0.40</w:t>
            </w:r>
          </w:p>
        </w:tc>
        <w:tc>
          <w:tcPr>
            <w:tcW w:w="313"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0.02</w:t>
            </w:r>
          </w:p>
        </w:tc>
        <w:tc>
          <w:tcPr>
            <w:tcW w:w="313"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0.00</w:t>
            </w:r>
          </w:p>
        </w:tc>
        <w:tc>
          <w:tcPr>
            <w:tcW w:w="313"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0.08</w:t>
            </w:r>
          </w:p>
        </w:tc>
        <w:tc>
          <w:tcPr>
            <w:tcW w:w="313"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0.02</w:t>
            </w:r>
          </w:p>
        </w:tc>
        <w:tc>
          <w:tcPr>
            <w:tcW w:w="313"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0.08</w:t>
            </w:r>
          </w:p>
        </w:tc>
        <w:tc>
          <w:tcPr>
            <w:tcW w:w="26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0.20</w:t>
            </w:r>
          </w:p>
        </w:tc>
        <w:tc>
          <w:tcPr>
            <w:tcW w:w="26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0.00</w:t>
            </w:r>
          </w:p>
        </w:tc>
        <w:tc>
          <w:tcPr>
            <w:tcW w:w="26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0.20</w:t>
            </w:r>
          </w:p>
        </w:tc>
        <w:tc>
          <w:tcPr>
            <w:tcW w:w="26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0.40</w:t>
            </w:r>
          </w:p>
        </w:tc>
        <w:tc>
          <w:tcPr>
            <w:tcW w:w="26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0.23</w:t>
            </w:r>
          </w:p>
        </w:tc>
      </w:tr>
      <w:tr>
        <w:tblPrEx>
          <w:tblCellMar>
            <w:top w:w="0" w:type="dxa"/>
            <w:left w:w="108" w:type="dxa"/>
            <w:bottom w:w="0" w:type="dxa"/>
            <w:right w:w="108" w:type="dxa"/>
          </w:tblCellMar>
        </w:tblPrEx>
        <w:trPr>
          <w:trHeight w:val="1026" w:hRule="atLeast"/>
          <w:jc w:val="center"/>
        </w:trPr>
        <w:tc>
          <w:tcPr>
            <w:tcW w:w="2108" w:type="pct"/>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环节对课程目标达成的贡献率（</w:t>
            </w:r>
            <w:r>
              <w:rPr>
                <w:rFonts w:hint="eastAsia" w:ascii="宋体" w:hAnsi="宋体" w:cs="宋体"/>
                <w:i/>
                <w:kern w:val="0"/>
                <w:sz w:val="18"/>
                <w:szCs w:val="18"/>
              </w:rPr>
              <w:t>M</w:t>
            </w:r>
            <w:r>
              <w:rPr>
                <w:rFonts w:hint="eastAsia" w:ascii="宋体" w:hAnsi="宋体" w:cs="宋体"/>
                <w:i/>
                <w:kern w:val="0"/>
                <w:sz w:val="18"/>
                <w:szCs w:val="18"/>
                <w:vertAlign w:val="subscript"/>
              </w:rPr>
              <w:t>k</w:t>
            </w:r>
            <w:r>
              <w:rPr>
                <w:rFonts w:hint="eastAsia" w:ascii="宋体" w:hAnsi="宋体" w:cs="宋体"/>
                <w:kern w:val="0"/>
                <w:sz w:val="18"/>
                <w:szCs w:val="18"/>
              </w:rPr>
              <w:t>）</w:t>
            </w:r>
          </w:p>
        </w:tc>
        <w:tc>
          <w:tcPr>
            <w:tcW w:w="31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Cs/>
                <w:sz w:val="18"/>
                <w:szCs w:val="18"/>
              </w:rPr>
            </w:pPr>
            <w:r>
              <w:rPr>
                <w:bCs/>
                <w:kern w:val="0"/>
                <w:sz w:val="18"/>
                <w:szCs w:val="18"/>
              </w:rPr>
              <w:t>0.</w:t>
            </w:r>
            <w:r>
              <w:rPr>
                <w:rFonts w:hint="eastAsia"/>
                <w:bCs/>
                <w:kern w:val="0"/>
                <w:sz w:val="18"/>
                <w:szCs w:val="18"/>
              </w:rPr>
              <w:t>1</w:t>
            </w:r>
            <w:r>
              <w:rPr>
                <w:bCs/>
                <w:kern w:val="0"/>
                <w:sz w:val="18"/>
                <w:szCs w:val="18"/>
              </w:rPr>
              <w:t>0</w:t>
            </w:r>
          </w:p>
        </w:tc>
        <w:tc>
          <w:tcPr>
            <w:tcW w:w="313"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jc w:val="center"/>
              <w:rPr>
                <w:bCs/>
                <w:kern w:val="0"/>
                <w:sz w:val="18"/>
                <w:szCs w:val="18"/>
              </w:rPr>
            </w:pPr>
            <w:r>
              <w:rPr>
                <w:bCs/>
                <w:kern w:val="0"/>
                <w:sz w:val="18"/>
                <w:szCs w:val="18"/>
              </w:rPr>
              <w:t>0.</w:t>
            </w:r>
            <w:r>
              <w:rPr>
                <w:rFonts w:hint="eastAsia"/>
                <w:bCs/>
                <w:kern w:val="0"/>
                <w:sz w:val="18"/>
                <w:szCs w:val="18"/>
              </w:rPr>
              <w:t>1</w:t>
            </w:r>
            <w:r>
              <w:rPr>
                <w:bCs/>
                <w:kern w:val="0"/>
                <w:sz w:val="18"/>
                <w:szCs w:val="18"/>
              </w:rPr>
              <w:t xml:space="preserve">0 </w:t>
            </w:r>
          </w:p>
        </w:tc>
        <w:tc>
          <w:tcPr>
            <w:tcW w:w="313"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jc w:val="center"/>
              <w:rPr>
                <w:bCs/>
                <w:kern w:val="0"/>
                <w:sz w:val="18"/>
                <w:szCs w:val="18"/>
              </w:rPr>
            </w:pPr>
            <w:r>
              <w:rPr>
                <w:bCs/>
                <w:kern w:val="0"/>
                <w:sz w:val="18"/>
                <w:szCs w:val="18"/>
              </w:rPr>
              <w:t xml:space="preserve">0.40 </w:t>
            </w:r>
          </w:p>
        </w:tc>
        <w:tc>
          <w:tcPr>
            <w:tcW w:w="313"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jc w:val="center"/>
              <w:rPr>
                <w:bCs/>
                <w:kern w:val="0"/>
                <w:sz w:val="18"/>
                <w:szCs w:val="18"/>
              </w:rPr>
            </w:pPr>
            <w:r>
              <w:rPr>
                <w:bCs/>
                <w:kern w:val="0"/>
                <w:sz w:val="18"/>
                <w:szCs w:val="18"/>
              </w:rPr>
              <w:t>0.05</w:t>
            </w:r>
          </w:p>
        </w:tc>
        <w:tc>
          <w:tcPr>
            <w:tcW w:w="313"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jc w:val="center"/>
              <w:rPr>
                <w:bCs/>
                <w:kern w:val="0"/>
                <w:sz w:val="18"/>
                <w:szCs w:val="18"/>
              </w:rPr>
            </w:pPr>
            <w:r>
              <w:rPr>
                <w:bCs/>
                <w:kern w:val="0"/>
                <w:sz w:val="18"/>
                <w:szCs w:val="18"/>
              </w:rPr>
              <w:t>0.35</w:t>
            </w:r>
          </w:p>
        </w:tc>
        <w:tc>
          <w:tcPr>
            <w:tcW w:w="1328"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教师出题或布置作业时</w:t>
            </w:r>
          </w:p>
          <w:p>
            <w:pPr>
              <w:jc w:val="center"/>
              <w:rPr>
                <w:b/>
                <w:sz w:val="18"/>
                <w:szCs w:val="18"/>
              </w:rPr>
            </w:pPr>
            <w:r>
              <w:rPr>
                <w:sz w:val="18"/>
                <w:szCs w:val="18"/>
              </w:rPr>
              <w:t>要尽量做到按照以上比例布局</w:t>
            </w:r>
          </w:p>
        </w:tc>
      </w:tr>
    </w:tbl>
    <w:p>
      <w:pPr>
        <w:spacing w:line="360" w:lineRule="auto"/>
        <w:jc w:val="left"/>
      </w:pPr>
    </w:p>
    <w:p>
      <w:pPr>
        <w:spacing w:line="360" w:lineRule="auto"/>
        <w:sectPr>
          <w:pgSz w:w="16838" w:h="11906" w:orient="landscape"/>
          <w:pgMar w:top="1797" w:right="1440" w:bottom="1797" w:left="1440" w:header="851" w:footer="992" w:gutter="0"/>
          <w:pgNumType w:fmt="decimal"/>
          <w:cols w:space="425" w:num="1"/>
          <w:docGrid w:linePitch="312" w:charSpace="0"/>
        </w:sectPr>
      </w:pPr>
    </w:p>
    <w:p>
      <w:pPr>
        <w:spacing w:line="360" w:lineRule="auto"/>
        <w:ind w:firstLine="420" w:firstLineChars="200"/>
        <w:rPr>
          <w:szCs w:val="21"/>
        </w:rPr>
      </w:pPr>
      <w:r>
        <w:rPr>
          <w:rFonts w:hint="eastAsia"/>
          <w:szCs w:val="21"/>
        </w:rPr>
        <w:t>采用达成值计算法，辅以对学生的问卷调查法。</w:t>
      </w:r>
    </w:p>
    <w:p>
      <w:pPr>
        <w:spacing w:line="360" w:lineRule="auto"/>
        <w:ind w:firstLine="422" w:firstLineChars="200"/>
        <w:rPr>
          <w:b/>
          <w:bCs/>
          <w:szCs w:val="21"/>
        </w:rPr>
      </w:pPr>
      <w:r>
        <w:rPr>
          <w:rFonts w:hint="eastAsia"/>
          <w:b/>
          <w:bCs/>
          <w:szCs w:val="21"/>
        </w:rPr>
        <w:t>课程目标定量评价：</w:t>
      </w:r>
    </w:p>
    <w:p>
      <w:pPr>
        <w:spacing w:line="360" w:lineRule="auto"/>
        <w:ind w:firstLine="420" w:firstLineChars="200"/>
        <w:rPr>
          <w:szCs w:val="21"/>
        </w:rPr>
      </w:pPr>
      <w:r>
        <w:rPr>
          <w:szCs w:val="21"/>
        </w:rPr>
        <w:t>达成值计算法结合上表权重分配，采用</w:t>
      </w:r>
      <w:r>
        <w:rPr>
          <w:rFonts w:hint="eastAsia"/>
          <w:szCs w:val="21"/>
        </w:rPr>
        <w:t>下表进行计算。</w:t>
      </w:r>
    </w:p>
    <w:p>
      <w:pPr>
        <w:spacing w:line="360" w:lineRule="auto"/>
        <w:ind w:firstLine="420" w:firstLineChars="200"/>
        <w:rPr>
          <w:szCs w:val="21"/>
        </w:rPr>
      </w:pPr>
      <w:r>
        <w:rPr>
          <w:szCs w:val="21"/>
        </w:rPr>
        <w:t>单一课程目标达成度评价采用下式：</w:t>
      </w:r>
    </w:p>
    <w:p>
      <w:pPr>
        <w:spacing w:line="360" w:lineRule="auto"/>
        <w:ind w:firstLine="420" w:firstLineChars="200"/>
        <w:rPr>
          <w:szCs w:val="21"/>
        </w:rPr>
      </w:pPr>
      <w:r>
        <w:rPr>
          <w:position w:val="-30"/>
          <w:szCs w:val="21"/>
        </w:rPr>
        <w:object>
          <v:shape id="_x0000_i1103" o:spt="75" type="#_x0000_t75" style="height:36pt;width:165.5pt;" o:ole="t" filled="f" o:preferrelative="t" stroked="f" coordsize="21600,21600">
            <v:path/>
            <v:fill on="f" focussize="0,0"/>
            <v:stroke on="f" joinstyle="miter"/>
            <v:imagedata r:id="rId145" o:title=""/>
            <o:lock v:ext="edit" aspectratio="t"/>
            <w10:wrap type="none"/>
            <w10:anchorlock/>
          </v:shape>
          <o:OLEObject Type="Embed" ProgID="Equation.3" ShapeID="_x0000_i1103" DrawAspect="Content" ObjectID="_1468075803" r:id="rId238">
            <o:LockedField>false</o:LockedField>
          </o:OLEObject>
        </w:object>
      </w:r>
    </w:p>
    <w:p>
      <w:pPr>
        <w:spacing w:line="360" w:lineRule="auto"/>
        <w:ind w:firstLine="420" w:firstLineChars="200"/>
        <w:rPr>
          <w:szCs w:val="21"/>
        </w:rPr>
      </w:pPr>
      <w:r>
        <w:rPr>
          <w:szCs w:val="21"/>
        </w:rPr>
        <w:t>总的课程目标达成度评价采用下式：</w:t>
      </w:r>
    </w:p>
    <w:p>
      <w:pPr>
        <w:spacing w:line="360" w:lineRule="auto"/>
        <w:ind w:firstLine="420" w:firstLineChars="200"/>
        <w:rPr>
          <w:szCs w:val="21"/>
        </w:rPr>
      </w:pPr>
      <w:r>
        <w:rPr>
          <w:position w:val="-30"/>
          <w:szCs w:val="21"/>
        </w:rPr>
        <w:object>
          <v:shape id="_x0000_i1104" o:spt="75" type="#_x0000_t75" style="height:36pt;width:151pt;" o:ole="t" filled="f" o:preferrelative="t" stroked="f" coordsize="21600,21600">
            <v:path/>
            <v:fill on="f" focussize="0,0"/>
            <v:stroke on="f" joinstyle="miter"/>
            <v:imagedata r:id="rId147" o:title=""/>
            <o:lock v:ext="edit" aspectratio="t"/>
            <w10:wrap type="none"/>
            <w10:anchorlock/>
          </v:shape>
          <o:OLEObject Type="Embed" ProgID="Equation.3" ShapeID="_x0000_i1104" DrawAspect="Content" ObjectID="_1468075804" r:id="rId239">
            <o:LockedField>false</o:LockedField>
          </o:OLEObject>
        </w:object>
      </w:r>
    </w:p>
    <w:p>
      <w:pPr>
        <w:spacing w:line="360" w:lineRule="auto"/>
        <w:ind w:firstLine="420" w:firstLineChars="200"/>
        <w:rPr>
          <w:szCs w:val="21"/>
        </w:rPr>
      </w:pPr>
      <w:r>
        <w:rPr>
          <w:szCs w:val="21"/>
        </w:rPr>
        <w:t>以上公式中：</w:t>
      </w:r>
    </w:p>
    <w:p>
      <w:pPr>
        <w:spacing w:line="360" w:lineRule="auto"/>
        <w:ind w:firstLine="420" w:firstLineChars="200"/>
        <w:rPr>
          <w:szCs w:val="21"/>
        </w:rPr>
      </w:pPr>
      <w:r>
        <w:rPr>
          <w:i/>
          <w:szCs w:val="21"/>
        </w:rPr>
        <w:t>k</w:t>
      </w:r>
      <w:r>
        <w:rPr>
          <w:szCs w:val="21"/>
        </w:rPr>
        <w:t>表示不同的评价方式，</w:t>
      </w:r>
      <w:r>
        <w:rPr>
          <w:i/>
          <w:szCs w:val="21"/>
        </w:rPr>
        <w:t>i</w:t>
      </w:r>
      <w:r>
        <w:rPr>
          <w:szCs w:val="21"/>
        </w:rPr>
        <w:t>表示不同的课程目标。</w:t>
      </w:r>
    </w:p>
    <w:p>
      <w:pPr>
        <w:spacing w:line="360" w:lineRule="auto"/>
        <w:ind w:firstLine="420" w:firstLineChars="200"/>
      </w:pPr>
      <w:r>
        <w:rPr>
          <w:position w:val="-10"/>
        </w:rPr>
        <w:object>
          <v:shape id="_x0000_i1105" o:spt="75" type="#_x0000_t75" style="height:14.5pt;width:14.5pt;" o:ole="t" filled="f" o:preferrelative="t" stroked="f" coordsize="21600,21600">
            <v:path/>
            <v:fill on="f" focussize="0,0"/>
            <v:stroke on="f" joinstyle="miter"/>
            <v:imagedata r:id="rId149" o:title=""/>
            <o:lock v:ext="edit" aspectratio="t"/>
            <w10:wrap type="none"/>
            <w10:anchorlock/>
          </v:shape>
          <o:OLEObject Type="Embed" ProgID="Equation.3" ShapeID="_x0000_i1105" DrawAspect="Content" ObjectID="_1468075805" r:id="rId240">
            <o:LockedField>false</o:LockedField>
          </o:OLEObject>
        </w:object>
      </w:r>
      <w:r>
        <w:t>表示第</w:t>
      </w:r>
      <w:r>
        <w:rPr>
          <w:i/>
        </w:rPr>
        <w:t>k</w:t>
      </w:r>
      <w:r>
        <w:t>种评价方式期末评价成绩平均分，均为百分制；</w:t>
      </w:r>
    </w:p>
    <w:p>
      <w:pPr>
        <w:spacing w:line="360" w:lineRule="auto"/>
        <w:ind w:firstLine="420" w:firstLineChars="200"/>
      </w:pPr>
      <w:r>
        <w:rPr>
          <w:position w:val="-10"/>
        </w:rPr>
        <w:object>
          <v:shape id="_x0000_i1106" o:spt="75" type="#_x0000_t75" style="height:14.5pt;width:72pt;" o:ole="t" filled="f" o:preferrelative="t" stroked="f" coordsize="21600,21600">
            <v:path/>
            <v:fill on="f" focussize="0,0"/>
            <v:stroke on="f" joinstyle="miter"/>
            <v:imagedata r:id="rId151" o:title=""/>
            <o:lock v:ext="edit" aspectratio="t"/>
            <w10:wrap type="none"/>
            <w10:anchorlock/>
          </v:shape>
          <o:OLEObject Type="Embed" ProgID="Equation.3" ShapeID="_x0000_i1106" DrawAspect="Content" ObjectID="_1468075806" r:id="rId241">
            <o:LockedField>false</o:LockedField>
          </o:OLEObject>
        </w:object>
      </w:r>
      <w:r>
        <w:t>是第</w:t>
      </w:r>
      <w:r>
        <w:rPr>
          <w:i/>
        </w:rPr>
        <w:t>k</w:t>
      </w:r>
      <w:r>
        <w:t>种评价方式通过第</w:t>
      </w:r>
      <w:r>
        <w:rPr>
          <w:i/>
        </w:rPr>
        <w:t>i</w:t>
      </w:r>
      <w:r>
        <w:t>个课程目标反映在总的课程目标评分占比；</w:t>
      </w:r>
    </w:p>
    <w:p>
      <w:pPr>
        <w:spacing w:line="360" w:lineRule="auto"/>
        <w:ind w:firstLine="420" w:firstLineChars="200"/>
        <w:rPr>
          <w:szCs w:val="21"/>
        </w:rPr>
      </w:pPr>
      <w:r>
        <w:rPr>
          <w:position w:val="-10"/>
        </w:rPr>
        <w:object>
          <v:shape id="_x0000_i1107" o:spt="75" type="#_x0000_t75" style="height:14.5pt;width:14.5pt;" o:ole="t" filled="f" o:preferrelative="t" stroked="f" coordsize="21600,21600">
            <v:path/>
            <v:fill on="f" focussize="0,0"/>
            <v:stroke on="f" joinstyle="miter"/>
            <v:imagedata r:id="rId153" o:title=""/>
            <o:lock v:ext="edit" aspectratio="t"/>
            <w10:wrap type="none"/>
            <w10:anchorlock/>
          </v:shape>
          <o:OLEObject Type="Embed" ProgID="Equation.3" ShapeID="_x0000_i1107" DrawAspect="Content" ObjectID="_1468075807" r:id="rId242">
            <o:LockedField>false</o:LockedField>
          </o:OLEObject>
        </w:object>
      </w:r>
      <w:r>
        <w:t>表示第</w:t>
      </w:r>
      <w:r>
        <w:rPr>
          <w:i/>
        </w:rPr>
        <w:t>k</w:t>
      </w:r>
      <w:r>
        <w:t>种评价方式对第</w:t>
      </w:r>
      <w:r>
        <w:rPr>
          <w:i/>
        </w:rPr>
        <w:t>i</w:t>
      </w:r>
      <w:r>
        <w:t>个课程目标百分占比；</w:t>
      </w:r>
    </w:p>
    <w:p>
      <w:pPr>
        <w:spacing w:line="360" w:lineRule="auto"/>
        <w:ind w:firstLine="420" w:firstLineChars="200"/>
      </w:pPr>
      <w:r>
        <w:rPr>
          <w:position w:val="-10"/>
        </w:rPr>
        <w:object>
          <v:shape id="_x0000_i1108" o:spt="75" type="#_x0000_t75" style="height:14.5pt;width:14.5pt;" o:ole="t" filled="f" o:preferrelative="t" stroked="f" coordsize="21600,21600">
            <v:path/>
            <v:fill on="f" focussize="0,0"/>
            <v:stroke on="f" joinstyle="miter"/>
            <v:imagedata r:id="rId155" o:title=""/>
            <o:lock v:ext="edit" aspectratio="t"/>
            <w10:wrap type="none"/>
            <w10:anchorlock/>
          </v:shape>
          <o:OLEObject Type="Embed" ProgID="Equation.3" ShapeID="_x0000_i1108" DrawAspect="Content" ObjectID="_1468075808" r:id="rId243">
            <o:LockedField>false</o:LockedField>
          </o:OLEObject>
        </w:object>
      </w:r>
      <w:r>
        <w:t>表示第</w:t>
      </w:r>
      <w:r>
        <w:rPr>
          <w:i/>
        </w:rPr>
        <w:t>i</w:t>
      </w:r>
      <w:r>
        <w:t>个课程目标在课程总评价中的占比；</w:t>
      </w:r>
    </w:p>
    <w:p>
      <w:pPr>
        <w:spacing w:line="360" w:lineRule="auto"/>
        <w:ind w:firstLine="422" w:firstLineChars="200"/>
        <w:rPr>
          <w:b/>
          <w:bCs/>
          <w:position w:val="-10"/>
          <w:szCs w:val="22"/>
        </w:rPr>
      </w:pPr>
      <w:r>
        <w:rPr>
          <w:rFonts w:hint="eastAsia"/>
          <w:b/>
          <w:bCs/>
          <w:position w:val="-10"/>
          <w:szCs w:val="22"/>
        </w:rPr>
        <w:t>课程目标定性评价：</w:t>
      </w:r>
    </w:p>
    <w:p>
      <w:pPr>
        <w:spacing w:line="360" w:lineRule="auto"/>
        <w:ind w:firstLine="420" w:firstLineChars="200"/>
        <w:rPr>
          <w:rFonts w:ascii="宋体" w:hAnsi="宋体" w:cs="宋体"/>
          <w:szCs w:val="21"/>
        </w:rPr>
      </w:pPr>
      <w:r>
        <w:rPr>
          <w:rFonts w:hint="eastAsia" w:ascii="宋体" w:hAnsi="宋体" w:cs="宋体"/>
          <w:szCs w:val="21"/>
        </w:rPr>
        <w:t>针对每门课的课程目标，直接设计问题，并要求学生明确给出目标能力达到的程度“很好（0.95）、较好（0.75）、中（0.60）、较差（0.45）、很差（0.25）”，根据各区段统计比例与括号中的目标分值加权后求和得出定性评价的结果。</w:t>
      </w:r>
    </w:p>
    <w:p>
      <w:pPr>
        <w:spacing w:line="360" w:lineRule="auto"/>
        <w:ind w:firstLine="422" w:firstLineChars="200"/>
        <w:rPr>
          <w:b/>
          <w:bCs/>
          <w:position w:val="-10"/>
          <w:szCs w:val="22"/>
        </w:rPr>
      </w:pPr>
      <w:r>
        <w:rPr>
          <w:rFonts w:hint="eastAsia"/>
          <w:b/>
          <w:bCs/>
          <w:position w:val="-10"/>
          <w:szCs w:val="22"/>
        </w:rPr>
        <w:t>课程目标达成结果：</w:t>
      </w:r>
    </w:p>
    <w:p>
      <w:pPr>
        <w:spacing w:line="360" w:lineRule="auto"/>
        <w:ind w:firstLine="420" w:firstLineChars="200"/>
        <w:rPr>
          <w:rFonts w:ascii="宋体" w:hAnsi="宋体" w:cs="宋体"/>
          <w:szCs w:val="21"/>
        </w:rPr>
      </w:pPr>
      <w:r>
        <w:rPr>
          <w:rFonts w:hint="eastAsia" w:ascii="宋体" w:hAnsi="宋体" w:cs="宋体"/>
          <w:szCs w:val="21"/>
        </w:rPr>
        <w:t>同一课程目标的评价，取定性评价和定量评价的平均值，作为最终评价结果。</w:t>
      </w:r>
    </w:p>
    <w:p>
      <w:pPr>
        <w:spacing w:line="360" w:lineRule="auto"/>
        <w:ind w:firstLine="420" w:firstLineChars="200"/>
        <w:rPr>
          <w:position w:val="-10"/>
          <w:szCs w:val="22"/>
        </w:rPr>
      </w:pPr>
      <w:r>
        <w:rPr>
          <w:rFonts w:hint="eastAsia"/>
          <w:position w:val="-10"/>
          <w:szCs w:val="22"/>
        </w:rPr>
        <w:t>课程目标达成度大于等于0.71为一级达成，大于等于0.65为二级达成。</w:t>
      </w:r>
    </w:p>
    <w:p>
      <w:pPr>
        <w:widowControl/>
        <w:jc w:val="left"/>
        <w:rPr>
          <w:rFonts w:eastAsia="黑体"/>
          <w:szCs w:val="24"/>
        </w:rPr>
      </w:pPr>
    </w:p>
    <w:p>
      <w:pPr>
        <w:tabs>
          <w:tab w:val="left" w:pos="420"/>
        </w:tabs>
        <w:adjustRightInd w:val="0"/>
        <w:snapToGrid w:val="0"/>
        <w:spacing w:line="360" w:lineRule="auto"/>
        <w:ind w:left="420" w:hanging="420"/>
        <w:rPr>
          <w:rFonts w:eastAsia="黑体"/>
          <w:szCs w:val="24"/>
        </w:rPr>
      </w:pPr>
      <w:r>
        <w:rPr>
          <w:rFonts w:hint="eastAsia" w:eastAsia="黑体"/>
          <w:szCs w:val="24"/>
        </w:rPr>
        <w:t>十一、各环节评价标准</w:t>
      </w:r>
    </w:p>
    <w:p>
      <w:pPr>
        <w:spacing w:line="360" w:lineRule="auto"/>
        <w:ind w:firstLine="420" w:firstLineChars="200"/>
        <w:rPr>
          <w:szCs w:val="21"/>
        </w:rPr>
      </w:pPr>
      <w:r>
        <w:rPr>
          <w:rFonts w:hint="eastAsia"/>
          <w:szCs w:val="21"/>
        </w:rPr>
        <w:t>本课程允许教师在各评价环节根据具体情况采取多样化、个性化的考核手段，其评价标准应当在《</w:t>
      </w:r>
      <w:r>
        <w:rPr>
          <w:rFonts w:hint="eastAsia" w:ascii="宋体" w:hAnsi="宋体"/>
          <w:szCs w:val="21"/>
        </w:rPr>
        <w:t>SIE-CT-01：</w:t>
      </w:r>
      <w:r>
        <w:rPr>
          <w:rFonts w:hint="eastAsia"/>
          <w:szCs w:val="21"/>
        </w:rPr>
        <w:t>授课计划》中明确并向学生公布，教学过程中的考核评价应当严格按照标准完成。</w:t>
      </w:r>
    </w:p>
    <w:p>
      <w:pPr>
        <w:tabs>
          <w:tab w:val="left" w:pos="420"/>
        </w:tabs>
        <w:adjustRightInd w:val="0"/>
        <w:snapToGrid w:val="0"/>
        <w:spacing w:line="360" w:lineRule="auto"/>
        <w:ind w:left="420" w:hanging="420"/>
        <w:rPr>
          <w:color w:val="0000FF"/>
        </w:rPr>
      </w:pPr>
    </w:p>
    <w:p>
      <w:pPr>
        <w:tabs>
          <w:tab w:val="left" w:pos="420"/>
        </w:tabs>
        <w:adjustRightInd w:val="0"/>
        <w:snapToGrid w:val="0"/>
        <w:spacing w:line="360" w:lineRule="auto"/>
        <w:ind w:left="420" w:hanging="420"/>
        <w:rPr>
          <w:rFonts w:eastAsia="黑体"/>
          <w:szCs w:val="24"/>
        </w:rPr>
      </w:pPr>
      <w:r>
        <w:rPr>
          <w:rFonts w:hint="eastAsia" w:eastAsia="黑体"/>
          <w:szCs w:val="24"/>
        </w:rPr>
        <w:t>十二、课程目标达成评价结果用于持续改进</w:t>
      </w:r>
    </w:p>
    <w:p>
      <w:pPr>
        <w:spacing w:line="360" w:lineRule="auto"/>
        <w:ind w:firstLine="420" w:firstLineChars="200"/>
        <w:rPr>
          <w:szCs w:val="21"/>
        </w:rPr>
      </w:pPr>
      <w:r>
        <w:rPr>
          <w:rFonts w:hint="eastAsia"/>
          <w:szCs w:val="21"/>
        </w:rPr>
        <w:t>课程目标达成评价结果将用于后续教学过程的持续改进。</w:t>
      </w:r>
    </w:p>
    <w:p>
      <w:pPr>
        <w:spacing w:line="360" w:lineRule="auto"/>
        <w:ind w:firstLine="420" w:firstLineChars="200"/>
        <w:rPr>
          <w:szCs w:val="21"/>
        </w:rPr>
      </w:pPr>
      <w:r>
        <w:rPr>
          <w:rFonts w:hint="eastAsia"/>
          <w:szCs w:val="21"/>
        </w:rPr>
        <w:t>针对课程目标达成评价中发现的问题与不足，重点是达成值相对较低的项，在本次授课总结中应由授课教师分析具体原因，并给出改进建议。后续任课教师应当针对以前的问题和建议，在授课计划中做好落实改进计划，并在授课过程中予以落实。</w:t>
      </w:r>
      <w:r>
        <w:br w:type="page"/>
      </w:r>
    </w:p>
    <w:p>
      <w:pPr>
        <w:pStyle w:val="18"/>
        <w:spacing w:before="240" w:after="360"/>
      </w:pPr>
      <w:bookmarkStart w:id="25" w:name="_Toc20544"/>
      <w:r>
        <w:rPr>
          <w:rFonts w:hint="eastAsia"/>
        </w:rPr>
        <w:t>《文献检索专题》教学大纲</w:t>
      </w:r>
      <w:bookmarkEnd w:id="25"/>
    </w:p>
    <w:p>
      <w:pPr>
        <w:adjustRightInd w:val="0"/>
        <w:snapToGrid w:val="0"/>
        <w:spacing w:line="360" w:lineRule="auto"/>
        <w:rPr>
          <w:bCs/>
          <w:kern w:val="0"/>
        </w:rPr>
      </w:pPr>
      <w:r>
        <w:rPr>
          <w:rFonts w:hint="eastAsia" w:eastAsia="黑体"/>
          <w:szCs w:val="21"/>
        </w:rPr>
        <w:t>课程编号：</w:t>
      </w:r>
      <w:r>
        <w:rPr>
          <w:bCs/>
          <w:kern w:val="0"/>
        </w:rPr>
        <w:t>Y07060005</w:t>
      </w:r>
    </w:p>
    <w:p>
      <w:pPr>
        <w:adjustRightInd w:val="0"/>
        <w:snapToGrid w:val="0"/>
        <w:spacing w:line="360" w:lineRule="auto"/>
        <w:rPr>
          <w:snapToGrid w:val="0"/>
          <w:kern w:val="0"/>
          <w:szCs w:val="21"/>
        </w:rPr>
      </w:pPr>
      <w:r>
        <w:rPr>
          <w:rFonts w:hint="eastAsia" w:eastAsia="黑体"/>
          <w:szCs w:val="21"/>
        </w:rPr>
        <w:t>课程名称：</w:t>
      </w:r>
      <w:r>
        <w:rPr>
          <w:rFonts w:hint="eastAsia"/>
          <w:szCs w:val="21"/>
        </w:rPr>
        <w:t>文献检索专题</w:t>
      </w:r>
      <w:r>
        <w:rPr>
          <w:szCs w:val="21"/>
        </w:rPr>
        <w:tab/>
      </w:r>
      <w:r>
        <w:rPr>
          <w:szCs w:val="21"/>
        </w:rPr>
        <w:tab/>
      </w:r>
      <w:r>
        <w:rPr>
          <w:szCs w:val="21"/>
        </w:rPr>
        <w:tab/>
      </w:r>
      <w:r>
        <w:rPr>
          <w:szCs w:val="21"/>
        </w:rPr>
        <w:tab/>
      </w:r>
      <w:r>
        <w:rPr>
          <w:szCs w:val="21"/>
        </w:rPr>
        <w:tab/>
      </w:r>
      <w:r>
        <w:rPr>
          <w:rFonts w:hint="eastAsia" w:eastAsia="黑体"/>
          <w:szCs w:val="21"/>
        </w:rPr>
        <w:t>开课单位：</w:t>
      </w:r>
      <w:r>
        <w:rPr>
          <w:rFonts w:hint="eastAsia"/>
          <w:szCs w:val="21"/>
        </w:rPr>
        <w:t>仪器与电子学院</w:t>
      </w:r>
      <w:r>
        <w:rPr>
          <w:rFonts w:eastAsia="黑体"/>
          <w:szCs w:val="21"/>
        </w:rPr>
        <w:tab/>
      </w:r>
    </w:p>
    <w:p>
      <w:pPr>
        <w:adjustRightInd w:val="0"/>
        <w:snapToGrid w:val="0"/>
        <w:spacing w:line="360" w:lineRule="auto"/>
        <w:rPr>
          <w:rFonts w:eastAsia="黑体"/>
          <w:szCs w:val="21"/>
        </w:rPr>
      </w:pPr>
      <w:r>
        <w:rPr>
          <w:rFonts w:hint="eastAsia" w:eastAsia="黑体"/>
          <w:szCs w:val="21"/>
        </w:rPr>
        <w:t>总学时：</w:t>
      </w:r>
      <w:r>
        <w:rPr>
          <w:szCs w:val="21"/>
        </w:rPr>
        <w:t>8</w:t>
      </w:r>
      <w:r>
        <w:rPr>
          <w:rFonts w:eastAsia="黑体"/>
          <w:szCs w:val="21"/>
        </w:rPr>
        <w:tab/>
      </w:r>
      <w:r>
        <w:rPr>
          <w:rFonts w:eastAsia="黑体"/>
          <w:szCs w:val="21"/>
        </w:rPr>
        <w:tab/>
      </w:r>
      <w:r>
        <w:rPr>
          <w:rFonts w:eastAsia="黑体"/>
          <w:szCs w:val="21"/>
        </w:rPr>
        <w:tab/>
      </w:r>
      <w:r>
        <w:rPr>
          <w:rFonts w:eastAsia="黑体"/>
          <w:szCs w:val="21"/>
        </w:rPr>
        <w:tab/>
      </w:r>
      <w:r>
        <w:rPr>
          <w:rFonts w:eastAsia="黑体"/>
          <w:szCs w:val="21"/>
        </w:rPr>
        <w:tab/>
      </w:r>
      <w:r>
        <w:rPr>
          <w:rFonts w:hint="eastAsia" w:eastAsia="黑体"/>
          <w:szCs w:val="21"/>
        </w:rPr>
        <w:t>学分：</w:t>
      </w:r>
      <w:r>
        <w:rPr>
          <w:rFonts w:eastAsia="黑体"/>
          <w:szCs w:val="21"/>
        </w:rPr>
        <w:t>0.5</w:t>
      </w:r>
    </w:p>
    <w:p>
      <w:pPr>
        <w:adjustRightInd w:val="0"/>
        <w:snapToGrid w:val="0"/>
        <w:spacing w:line="360" w:lineRule="auto"/>
        <w:rPr>
          <w:rFonts w:eastAsia="黑体"/>
          <w:szCs w:val="21"/>
        </w:rPr>
      </w:pPr>
      <w:r>
        <w:rPr>
          <w:rFonts w:hint="eastAsia" w:eastAsia="黑体"/>
          <w:szCs w:val="21"/>
        </w:rPr>
        <w:t>适用专业：</w:t>
      </w:r>
      <w:r>
        <w:rPr>
          <w:rFonts w:hint="eastAsia"/>
          <w:szCs w:val="21"/>
          <w:lang w:eastAsia="zh-CN"/>
        </w:rPr>
        <w:t>智能感知工程</w:t>
      </w:r>
      <w:r>
        <w:rPr>
          <w:rFonts w:hint="eastAsia"/>
          <w:szCs w:val="21"/>
        </w:rPr>
        <w:t>专业、测控技术与仪器专业、电子科学与技术专业</w:t>
      </w:r>
    </w:p>
    <w:p>
      <w:pPr>
        <w:adjustRightInd w:val="0"/>
        <w:snapToGrid w:val="0"/>
        <w:spacing w:line="360" w:lineRule="auto"/>
        <w:rPr>
          <w:szCs w:val="21"/>
        </w:rPr>
      </w:pPr>
      <w:r>
        <w:rPr>
          <w:rFonts w:hint="eastAsia" w:eastAsia="黑体"/>
          <w:szCs w:val="21"/>
        </w:rPr>
        <w:t>先修课程：</w:t>
      </w:r>
      <w:r>
        <w:rPr>
          <w:rFonts w:hint="eastAsia"/>
          <w:szCs w:val="21"/>
        </w:rPr>
        <w:t>大学英语、专业基础课</w:t>
      </w:r>
    </w:p>
    <w:p>
      <w:pPr>
        <w:adjustRightInd w:val="0"/>
        <w:snapToGrid w:val="0"/>
        <w:spacing w:line="360" w:lineRule="auto"/>
        <w:rPr>
          <w:szCs w:val="21"/>
        </w:rPr>
      </w:pPr>
      <w:r>
        <w:rPr>
          <w:rFonts w:hint="eastAsia" w:eastAsia="黑体"/>
          <w:szCs w:val="21"/>
        </w:rPr>
        <w:t>大纲撰写人：</w:t>
      </w:r>
      <w:r>
        <w:rPr>
          <w:rFonts w:hint="eastAsia"/>
          <w:szCs w:val="21"/>
        </w:rPr>
        <w:t>黄堃</w:t>
      </w:r>
    </w:p>
    <w:p>
      <w:pPr>
        <w:adjustRightInd w:val="0"/>
        <w:snapToGrid w:val="0"/>
        <w:spacing w:line="360" w:lineRule="auto"/>
        <w:rPr>
          <w:szCs w:val="21"/>
        </w:rPr>
      </w:pPr>
      <w:r>
        <w:rPr>
          <w:rFonts w:hint="eastAsia" w:eastAsia="黑体"/>
          <w:szCs w:val="21"/>
        </w:rPr>
        <w:t>大纲编写（修订）时间：</w:t>
      </w:r>
      <w:r>
        <w:rPr>
          <w:szCs w:val="21"/>
        </w:rPr>
        <w:t>2019年5月</w:t>
      </w:r>
    </w:p>
    <w:p>
      <w:pPr>
        <w:rPr>
          <w:b/>
          <w:szCs w:val="21"/>
        </w:rPr>
      </w:pPr>
    </w:p>
    <w:p>
      <w:pPr>
        <w:tabs>
          <w:tab w:val="left" w:pos="420"/>
        </w:tabs>
        <w:adjustRightInd w:val="0"/>
        <w:snapToGrid w:val="0"/>
        <w:spacing w:line="360" w:lineRule="auto"/>
        <w:rPr>
          <w:rFonts w:eastAsia="黑体"/>
          <w:szCs w:val="21"/>
        </w:rPr>
      </w:pPr>
      <w:r>
        <w:rPr>
          <w:rFonts w:hint="eastAsia" w:ascii="黑体" w:hAnsi="黑体" w:eastAsia="黑体"/>
          <w:szCs w:val="21"/>
        </w:rPr>
        <w:t>一、</w:t>
      </w:r>
      <w:r>
        <w:rPr>
          <w:rFonts w:hint="eastAsia" w:eastAsia="黑体"/>
          <w:szCs w:val="21"/>
        </w:rPr>
        <w:t>课程在教学计划中的地位、作用</w:t>
      </w:r>
    </w:p>
    <w:p>
      <w:pPr>
        <w:adjustRightInd w:val="0"/>
        <w:snapToGrid w:val="0"/>
        <w:spacing w:line="360" w:lineRule="auto"/>
        <w:ind w:firstLine="420" w:firstLineChars="200"/>
      </w:pPr>
      <w:r>
        <w:t>《文献检索专题》是培养学生信息情报意识，掌握手工方式和计算机方式检索文献信息、获取知识和情报的一门科学方法课。该课程对学生的文献收集、专业综合素质方面起到重要的支撑作用。</w:t>
      </w:r>
    </w:p>
    <w:p>
      <w:pPr>
        <w:adjustRightInd w:val="0"/>
        <w:snapToGrid w:val="0"/>
        <w:spacing w:line="360" w:lineRule="auto"/>
        <w:ind w:firstLine="420" w:firstLineChars="200"/>
        <w:rPr>
          <w:b/>
        </w:rPr>
      </w:pPr>
      <w:r>
        <w:t>本课程为本学科及相关学科文献信息源使用及检索的基本工具，涉及文献信息检索的基本知识，对培养学生应用文献检索工具与参考工具书的使用，熟知国内外常用网络检索系统，掌握如何获得与利用文献信息的方法，增强自学能力与研究能力具有重要作用。</w:t>
      </w:r>
    </w:p>
    <w:p>
      <w:pPr>
        <w:spacing w:line="360" w:lineRule="auto"/>
        <w:rPr>
          <w:szCs w:val="21"/>
        </w:rPr>
      </w:pPr>
    </w:p>
    <w:p>
      <w:pPr>
        <w:tabs>
          <w:tab w:val="left" w:pos="420"/>
        </w:tabs>
        <w:adjustRightInd w:val="0"/>
        <w:snapToGrid w:val="0"/>
        <w:spacing w:line="360" w:lineRule="auto"/>
        <w:ind w:left="420" w:hanging="420"/>
        <w:rPr>
          <w:szCs w:val="21"/>
        </w:rPr>
      </w:pPr>
      <w:r>
        <w:rPr>
          <w:rFonts w:hint="eastAsia" w:eastAsia="黑体"/>
          <w:szCs w:val="21"/>
        </w:rPr>
        <w:t>二、课程目标</w:t>
      </w:r>
    </w:p>
    <w:p>
      <w:pPr>
        <w:spacing w:line="360" w:lineRule="auto"/>
        <w:rPr>
          <w:szCs w:val="21"/>
        </w:rPr>
      </w:pPr>
      <w:r>
        <w:rPr>
          <w:rFonts w:hint="eastAsia"/>
          <w:szCs w:val="21"/>
          <w:lang w:eastAsia="zh-CN"/>
        </w:rPr>
        <w:t>智能感知工程</w:t>
      </w:r>
      <w:r>
        <w:rPr>
          <w:rFonts w:hint="eastAsia"/>
          <w:szCs w:val="21"/>
        </w:rPr>
        <w:t>专业：</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59"/>
        <w:gridCol w:w="3050"/>
        <w:gridCol w:w="501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9" w:type="pct"/>
            <w:vAlign w:val="center"/>
          </w:tcPr>
          <w:p>
            <w:pPr>
              <w:spacing w:line="360" w:lineRule="auto"/>
              <w:jc w:val="center"/>
              <w:rPr>
                <w:sz w:val="18"/>
                <w:szCs w:val="18"/>
              </w:rPr>
            </w:pPr>
            <w:bookmarkStart w:id="26" w:name="_Hlk38009709"/>
            <w:r>
              <w:rPr>
                <w:sz w:val="18"/>
                <w:szCs w:val="18"/>
              </w:rPr>
              <w:t>序号</w:t>
            </w:r>
          </w:p>
        </w:tc>
        <w:tc>
          <w:tcPr>
            <w:tcW w:w="1788" w:type="pct"/>
            <w:vAlign w:val="center"/>
          </w:tcPr>
          <w:p>
            <w:pPr>
              <w:spacing w:line="360" w:lineRule="auto"/>
              <w:jc w:val="center"/>
              <w:rPr>
                <w:sz w:val="18"/>
                <w:szCs w:val="18"/>
              </w:rPr>
            </w:pPr>
            <w:r>
              <w:rPr>
                <w:sz w:val="18"/>
                <w:szCs w:val="18"/>
              </w:rPr>
              <w:t>课程目标</w:t>
            </w:r>
          </w:p>
        </w:tc>
        <w:tc>
          <w:tcPr>
            <w:tcW w:w="2942" w:type="pct"/>
            <w:vAlign w:val="center"/>
          </w:tcPr>
          <w:p>
            <w:pPr>
              <w:spacing w:line="360" w:lineRule="auto"/>
              <w:jc w:val="center"/>
              <w:rPr>
                <w:sz w:val="18"/>
                <w:szCs w:val="18"/>
              </w:rPr>
            </w:pPr>
            <w:r>
              <w:rPr>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9" w:type="pct"/>
            <w:vAlign w:val="center"/>
          </w:tcPr>
          <w:p>
            <w:pPr>
              <w:spacing w:line="360" w:lineRule="auto"/>
              <w:jc w:val="center"/>
              <w:rPr>
                <w:sz w:val="18"/>
                <w:szCs w:val="18"/>
              </w:rPr>
            </w:pPr>
            <w:r>
              <w:rPr>
                <w:rFonts w:hint="eastAsia"/>
                <w:sz w:val="18"/>
                <w:szCs w:val="18"/>
              </w:rPr>
              <w:t>1</w:t>
            </w:r>
          </w:p>
        </w:tc>
        <w:tc>
          <w:tcPr>
            <w:tcW w:w="1788" w:type="pct"/>
          </w:tcPr>
          <w:p>
            <w:pPr>
              <w:spacing w:line="360" w:lineRule="auto"/>
              <w:rPr>
                <w:rFonts w:ascii="宋体" w:hAnsi="宋体"/>
                <w:sz w:val="18"/>
                <w:szCs w:val="18"/>
              </w:rPr>
            </w:pPr>
            <w:r>
              <w:rPr>
                <w:rFonts w:ascii="宋体" w:hAnsi="宋体"/>
                <w:sz w:val="18"/>
                <w:szCs w:val="18"/>
              </w:rPr>
              <w:t>能够使学生掌握信息资源检索的手段、类型以及原理</w:t>
            </w:r>
            <w:r>
              <w:rPr>
                <w:rFonts w:hint="eastAsia" w:ascii="宋体" w:hAnsi="宋体"/>
                <w:sz w:val="18"/>
                <w:szCs w:val="18"/>
              </w:rPr>
              <w:t>。</w:t>
            </w:r>
            <w:r>
              <w:rPr>
                <w:rFonts w:ascii="宋体" w:hAnsi="宋体"/>
                <w:sz w:val="18"/>
                <w:szCs w:val="18"/>
              </w:rPr>
              <w:drawing>
                <wp:anchor distT="0" distB="0" distL="114300" distR="114300" simplePos="0" relativeHeight="251695104" behindDoc="0" locked="0" layoutInCell="1" allowOverlap="1">
                  <wp:simplePos x="0" y="0"/>
                  <wp:positionH relativeFrom="character">
                    <wp:posOffset>1591310</wp:posOffset>
                  </wp:positionH>
                  <wp:positionV relativeFrom="line">
                    <wp:posOffset>77470</wp:posOffset>
                  </wp:positionV>
                  <wp:extent cx="6985" cy="23495"/>
                  <wp:effectExtent l="19050" t="19050" r="12065" b="14605"/>
                  <wp:wrapNone/>
                  <wp:docPr id="277" name="图片 277"/>
                  <wp:cNvGraphicFramePr/>
                  <a:graphic xmlns:a="http://schemas.openxmlformats.org/drawingml/2006/main">
                    <a:graphicData uri="http://schemas.openxmlformats.org/drawingml/2006/picture">
                      <pic:pic xmlns:pic="http://schemas.openxmlformats.org/drawingml/2006/picture">
                        <pic:nvPicPr>
                          <pic:cNvPr id="277" name="图片 277"/>
                          <pic:cNvPicPr preferRelativeResize="0">
                            <a:picLocks noChangeArrowheads="1"/>
                          </pic:cNvPicPr>
                        </pic:nvPicPr>
                        <pic:blipFill>
                          <a:blip r:embed="rId244">
                            <a:extLst>
                              <a:ext uri="{28A0092B-C50C-407E-A947-70E740481C1C}">
                                <a14:useLocalDpi xmlns:a14="http://schemas.microsoft.com/office/drawing/2010/main" val="0"/>
                              </a:ext>
                            </a:extLst>
                          </a:blip>
                          <a:srcRect/>
                          <a:stretch>
                            <a:fillRect/>
                          </a:stretch>
                        </pic:blipFill>
                        <pic:spPr>
                          <a:xfrm>
                            <a:off x="0" y="0"/>
                            <a:ext cx="6985" cy="23495"/>
                          </a:xfrm>
                          <a:prstGeom prst="rect">
                            <a:avLst/>
                          </a:prstGeom>
                          <a:solidFill>
                            <a:srgbClr val="FFFFFF"/>
                          </a:solidFill>
                          <a:ln w="9525">
                            <a:solidFill>
                              <a:srgbClr val="000000"/>
                            </a:solidFill>
                            <a:round/>
                          </a:ln>
                        </pic:spPr>
                      </pic:pic>
                    </a:graphicData>
                  </a:graphic>
                </wp:anchor>
              </w:drawing>
            </w:r>
          </w:p>
        </w:tc>
        <w:tc>
          <w:tcPr>
            <w:tcW w:w="2942" w:type="pct"/>
          </w:tcPr>
          <w:p>
            <w:pPr>
              <w:spacing w:line="360" w:lineRule="auto"/>
              <w:rPr>
                <w:rFonts w:ascii="宋体" w:hAnsi="宋体"/>
                <w:sz w:val="18"/>
                <w:szCs w:val="18"/>
              </w:rPr>
            </w:pPr>
            <w:r>
              <w:rPr>
                <w:rFonts w:hint="eastAsia" w:ascii="宋体" w:hAnsi="宋体"/>
                <w:b/>
                <w:bCs/>
                <w:sz w:val="18"/>
                <w:szCs w:val="18"/>
              </w:rPr>
              <w:t>指标点2-4 信息获取能力：</w:t>
            </w:r>
            <w:r>
              <w:rPr>
                <w:bCs/>
                <w:sz w:val="18"/>
                <w:szCs w:val="18"/>
              </w:rPr>
              <w:t>掌握文献检索、资料查询及运用现代技术获取信息的方法，能通过该手段获取行业内解决同类问题的方法与效果，支撑自己的方案，并理解其差距与优势。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9" w:type="pct"/>
            <w:vAlign w:val="center"/>
          </w:tcPr>
          <w:p>
            <w:pPr>
              <w:spacing w:line="360" w:lineRule="auto"/>
              <w:jc w:val="center"/>
              <w:rPr>
                <w:sz w:val="18"/>
                <w:szCs w:val="18"/>
              </w:rPr>
            </w:pPr>
            <w:r>
              <w:rPr>
                <w:rFonts w:hint="eastAsia"/>
                <w:sz w:val="18"/>
                <w:szCs w:val="18"/>
              </w:rPr>
              <w:t>2</w:t>
            </w:r>
          </w:p>
        </w:tc>
        <w:tc>
          <w:tcPr>
            <w:tcW w:w="1788" w:type="pct"/>
          </w:tcPr>
          <w:p>
            <w:pPr>
              <w:spacing w:line="360" w:lineRule="auto"/>
              <w:rPr>
                <w:rFonts w:ascii="宋体" w:hAnsi="宋体"/>
                <w:sz w:val="18"/>
                <w:szCs w:val="18"/>
              </w:rPr>
            </w:pPr>
            <w:r>
              <w:rPr>
                <w:rFonts w:ascii="宋体" w:hAnsi="宋体"/>
                <w:sz w:val="18"/>
                <w:szCs w:val="18"/>
              </w:rPr>
              <w:t>能够独立地根据检索课题选用适当的检索工具或数据库，能够综合利用多种检索工具或数据库完成检索课题</w:t>
            </w:r>
            <w:r>
              <w:rPr>
                <w:rFonts w:hint="eastAsia" w:ascii="宋体" w:hAnsi="宋体"/>
                <w:sz w:val="18"/>
                <w:szCs w:val="18"/>
              </w:rPr>
              <w:t>。</w:t>
            </w:r>
          </w:p>
        </w:tc>
        <w:tc>
          <w:tcPr>
            <w:tcW w:w="2942" w:type="pct"/>
          </w:tcPr>
          <w:p>
            <w:pPr>
              <w:spacing w:line="360" w:lineRule="auto"/>
              <w:rPr>
                <w:rFonts w:ascii="宋体" w:hAnsi="宋体"/>
                <w:sz w:val="18"/>
                <w:szCs w:val="18"/>
              </w:rPr>
            </w:pPr>
            <w:r>
              <w:rPr>
                <w:rFonts w:hint="eastAsia" w:ascii="宋体" w:hAnsi="宋体"/>
                <w:b/>
                <w:sz w:val="18"/>
                <w:szCs w:val="18"/>
              </w:rPr>
              <w:t>指标点5-3 其它手段与资源：</w:t>
            </w:r>
            <w:r>
              <w:rPr>
                <w:bCs/>
                <w:sz w:val="18"/>
                <w:szCs w:val="18"/>
              </w:rPr>
              <w:t>能够充分利用高级语言、通用数据处理软件和字处理等其它信息技术工具与资源，提高工作效率。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9" w:type="pct"/>
            <w:vAlign w:val="center"/>
          </w:tcPr>
          <w:p>
            <w:pPr>
              <w:spacing w:line="360" w:lineRule="auto"/>
              <w:jc w:val="center"/>
              <w:rPr>
                <w:sz w:val="18"/>
                <w:szCs w:val="18"/>
              </w:rPr>
            </w:pPr>
            <w:r>
              <w:rPr>
                <w:rFonts w:hint="eastAsia"/>
                <w:sz w:val="18"/>
                <w:szCs w:val="18"/>
              </w:rPr>
              <w:t>3</w:t>
            </w:r>
          </w:p>
        </w:tc>
        <w:tc>
          <w:tcPr>
            <w:tcW w:w="1788" w:type="pct"/>
          </w:tcPr>
          <w:p>
            <w:pPr>
              <w:spacing w:line="360" w:lineRule="auto"/>
              <w:rPr>
                <w:rFonts w:ascii="宋体" w:hAnsi="宋体"/>
                <w:sz w:val="18"/>
                <w:szCs w:val="18"/>
              </w:rPr>
            </w:pPr>
            <w:r>
              <w:rPr>
                <w:rFonts w:ascii="宋体" w:hAnsi="宋体"/>
                <w:sz w:val="18"/>
                <w:szCs w:val="18"/>
              </w:rPr>
              <w:t>能够根据相应检索结果进行信息筛选，写出检索报告</w:t>
            </w:r>
            <w:r>
              <w:rPr>
                <w:rFonts w:hint="eastAsia" w:ascii="宋体" w:hAnsi="宋体"/>
                <w:sz w:val="18"/>
                <w:szCs w:val="18"/>
              </w:rPr>
              <w:t>。</w:t>
            </w:r>
          </w:p>
        </w:tc>
        <w:tc>
          <w:tcPr>
            <w:tcW w:w="2942" w:type="pct"/>
          </w:tcPr>
          <w:p>
            <w:pPr>
              <w:spacing w:line="360" w:lineRule="auto"/>
              <w:rPr>
                <w:rFonts w:ascii="宋体" w:hAnsi="宋体"/>
                <w:b/>
                <w:sz w:val="18"/>
                <w:szCs w:val="18"/>
              </w:rPr>
            </w:pPr>
            <w:r>
              <w:rPr>
                <w:rFonts w:hint="eastAsia" w:ascii="宋体" w:hAnsi="宋体"/>
                <w:b/>
                <w:sz w:val="18"/>
                <w:szCs w:val="18"/>
              </w:rPr>
              <w:t>指标点12-2 学习能力：</w:t>
            </w:r>
            <w:r>
              <w:rPr>
                <w:bCs/>
                <w:sz w:val="18"/>
                <w:szCs w:val="18"/>
              </w:rPr>
              <w:t>掌握正确的学习方法，具备通过学习不断提高、不断调整自己适应行业发展和环境变化的能力。</w:t>
            </w:r>
          </w:p>
        </w:tc>
      </w:tr>
      <w:bookmarkEnd w:id="26"/>
    </w:tbl>
    <w:p>
      <w:pPr>
        <w:tabs>
          <w:tab w:val="left" w:pos="420"/>
        </w:tabs>
        <w:adjustRightInd w:val="0"/>
        <w:snapToGrid w:val="0"/>
        <w:spacing w:line="360" w:lineRule="auto"/>
        <w:ind w:left="420" w:hanging="420"/>
        <w:rPr>
          <w:rFonts w:eastAsia="黑体"/>
          <w:szCs w:val="21"/>
        </w:rPr>
      </w:pPr>
    </w:p>
    <w:p>
      <w:pPr>
        <w:tabs>
          <w:tab w:val="left" w:pos="420"/>
        </w:tabs>
        <w:adjustRightInd w:val="0"/>
        <w:snapToGrid w:val="0"/>
        <w:spacing w:line="360" w:lineRule="auto"/>
        <w:ind w:left="420" w:hanging="420"/>
        <w:rPr>
          <w:rFonts w:ascii="宋体" w:hAnsi="宋体"/>
          <w:szCs w:val="21"/>
        </w:rPr>
      </w:pPr>
      <w:r>
        <w:rPr>
          <w:rFonts w:hint="eastAsia" w:ascii="宋体" w:hAnsi="宋体"/>
          <w:szCs w:val="21"/>
        </w:rPr>
        <w:t>测控技术与仪器专业：</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3010"/>
        <w:gridCol w:w="489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367" w:type="pct"/>
            <w:vAlign w:val="center"/>
          </w:tcPr>
          <w:p>
            <w:pPr>
              <w:spacing w:line="360" w:lineRule="auto"/>
              <w:jc w:val="center"/>
              <w:rPr>
                <w:sz w:val="18"/>
                <w:szCs w:val="18"/>
              </w:rPr>
            </w:pPr>
            <w:r>
              <w:rPr>
                <w:sz w:val="18"/>
                <w:szCs w:val="18"/>
              </w:rPr>
              <w:t>序号</w:t>
            </w:r>
          </w:p>
        </w:tc>
        <w:tc>
          <w:tcPr>
            <w:tcW w:w="1765" w:type="pct"/>
            <w:vAlign w:val="center"/>
          </w:tcPr>
          <w:p>
            <w:pPr>
              <w:spacing w:line="360" w:lineRule="auto"/>
              <w:jc w:val="center"/>
              <w:rPr>
                <w:sz w:val="18"/>
                <w:szCs w:val="18"/>
              </w:rPr>
            </w:pPr>
            <w:r>
              <w:rPr>
                <w:sz w:val="18"/>
                <w:szCs w:val="18"/>
              </w:rPr>
              <w:t>课程目标</w:t>
            </w:r>
          </w:p>
        </w:tc>
        <w:tc>
          <w:tcPr>
            <w:tcW w:w="2868" w:type="pct"/>
            <w:vAlign w:val="center"/>
          </w:tcPr>
          <w:p>
            <w:pPr>
              <w:spacing w:line="360" w:lineRule="auto"/>
              <w:jc w:val="center"/>
              <w:rPr>
                <w:sz w:val="18"/>
                <w:szCs w:val="18"/>
              </w:rPr>
            </w:pPr>
            <w:r>
              <w:rPr>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1</w:t>
            </w:r>
          </w:p>
        </w:tc>
        <w:tc>
          <w:tcPr>
            <w:tcW w:w="1765" w:type="pct"/>
          </w:tcPr>
          <w:p>
            <w:pPr>
              <w:spacing w:line="360" w:lineRule="auto"/>
              <w:rPr>
                <w:rFonts w:ascii="宋体" w:hAnsi="宋体"/>
                <w:sz w:val="18"/>
                <w:szCs w:val="18"/>
              </w:rPr>
            </w:pPr>
            <w:r>
              <w:rPr>
                <w:rFonts w:ascii="宋体" w:hAnsi="宋体"/>
                <w:sz w:val="18"/>
                <w:szCs w:val="18"/>
              </w:rPr>
              <w:t>能够使学生掌握信息资源检索的手段、类型以及原理</w:t>
            </w:r>
            <w:r>
              <w:rPr>
                <w:rFonts w:hint="eastAsia" w:ascii="宋体" w:hAnsi="宋体"/>
                <w:sz w:val="18"/>
                <w:szCs w:val="18"/>
              </w:rPr>
              <w:t>。</w:t>
            </w:r>
            <w:r>
              <w:rPr>
                <w:rFonts w:ascii="宋体" w:hAnsi="宋体"/>
                <w:sz w:val="18"/>
                <w:szCs w:val="18"/>
              </w:rPr>
              <w:drawing>
                <wp:anchor distT="0" distB="0" distL="114300" distR="114300" simplePos="0" relativeHeight="251696128" behindDoc="0" locked="0" layoutInCell="1" allowOverlap="1">
                  <wp:simplePos x="0" y="0"/>
                  <wp:positionH relativeFrom="character">
                    <wp:posOffset>1591310</wp:posOffset>
                  </wp:positionH>
                  <wp:positionV relativeFrom="line">
                    <wp:posOffset>77470</wp:posOffset>
                  </wp:positionV>
                  <wp:extent cx="6985" cy="23495"/>
                  <wp:effectExtent l="19050" t="19050" r="12065" b="14605"/>
                  <wp:wrapNone/>
                  <wp:docPr id="276" name="图片 276"/>
                  <wp:cNvGraphicFramePr/>
                  <a:graphic xmlns:a="http://schemas.openxmlformats.org/drawingml/2006/main">
                    <a:graphicData uri="http://schemas.openxmlformats.org/drawingml/2006/picture">
                      <pic:pic xmlns:pic="http://schemas.openxmlformats.org/drawingml/2006/picture">
                        <pic:nvPicPr>
                          <pic:cNvPr id="276" name="图片 276"/>
                          <pic:cNvPicPr preferRelativeResize="0">
                            <a:picLocks noChangeArrowheads="1"/>
                          </pic:cNvPicPr>
                        </pic:nvPicPr>
                        <pic:blipFill>
                          <a:blip r:embed="rId244">
                            <a:extLst>
                              <a:ext uri="{28A0092B-C50C-407E-A947-70E740481C1C}">
                                <a14:useLocalDpi xmlns:a14="http://schemas.microsoft.com/office/drawing/2010/main" val="0"/>
                              </a:ext>
                            </a:extLst>
                          </a:blip>
                          <a:srcRect/>
                          <a:stretch>
                            <a:fillRect/>
                          </a:stretch>
                        </pic:blipFill>
                        <pic:spPr>
                          <a:xfrm>
                            <a:off x="0" y="0"/>
                            <a:ext cx="6985" cy="23495"/>
                          </a:xfrm>
                          <a:prstGeom prst="rect">
                            <a:avLst/>
                          </a:prstGeom>
                          <a:solidFill>
                            <a:srgbClr val="FFFFFF"/>
                          </a:solidFill>
                          <a:ln w="9525">
                            <a:solidFill>
                              <a:srgbClr val="000000"/>
                            </a:solidFill>
                            <a:round/>
                          </a:ln>
                        </pic:spPr>
                      </pic:pic>
                    </a:graphicData>
                  </a:graphic>
                </wp:anchor>
              </w:drawing>
            </w:r>
          </w:p>
        </w:tc>
        <w:tc>
          <w:tcPr>
            <w:tcW w:w="2868" w:type="pct"/>
          </w:tcPr>
          <w:p>
            <w:pPr>
              <w:spacing w:line="360" w:lineRule="auto"/>
              <w:rPr>
                <w:rFonts w:ascii="宋体" w:hAnsi="宋体"/>
                <w:sz w:val="18"/>
                <w:szCs w:val="18"/>
              </w:rPr>
            </w:pPr>
            <w:r>
              <w:rPr>
                <w:rFonts w:hint="eastAsia" w:ascii="宋体" w:hAnsi="宋体"/>
                <w:b/>
                <w:bCs/>
                <w:sz w:val="18"/>
                <w:szCs w:val="18"/>
              </w:rPr>
              <w:t>指标点2-4 信息获取能力：</w:t>
            </w:r>
            <w:r>
              <w:rPr>
                <w:rFonts w:hint="eastAsia" w:ascii="宋体" w:hAnsi="宋体"/>
                <w:sz w:val="18"/>
                <w:szCs w:val="18"/>
              </w:rPr>
              <w:t>掌握文献检索、资料查询及运用现代技术获取信息的方法，能通过该手段获取行业内解决同类问题的方法与效果，支撑自己的方案，并理解其差距与优势。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2</w:t>
            </w:r>
          </w:p>
        </w:tc>
        <w:tc>
          <w:tcPr>
            <w:tcW w:w="1765" w:type="pct"/>
          </w:tcPr>
          <w:p>
            <w:pPr>
              <w:spacing w:line="360" w:lineRule="auto"/>
              <w:rPr>
                <w:rFonts w:ascii="宋体" w:hAnsi="宋体"/>
                <w:sz w:val="18"/>
                <w:szCs w:val="18"/>
              </w:rPr>
            </w:pPr>
            <w:r>
              <w:rPr>
                <w:rFonts w:ascii="宋体" w:hAnsi="宋体"/>
                <w:sz w:val="18"/>
                <w:szCs w:val="18"/>
              </w:rPr>
              <w:t>能够独立地根据检索课题选用适当的检索工具或数据库，能够综合利用多种检索工具或数据库完成检索课题</w:t>
            </w:r>
            <w:r>
              <w:rPr>
                <w:rFonts w:hint="eastAsia" w:ascii="宋体" w:hAnsi="宋体"/>
                <w:sz w:val="18"/>
                <w:szCs w:val="18"/>
              </w:rPr>
              <w:t>。</w:t>
            </w:r>
          </w:p>
        </w:tc>
        <w:tc>
          <w:tcPr>
            <w:tcW w:w="2868" w:type="pct"/>
          </w:tcPr>
          <w:p>
            <w:pPr>
              <w:spacing w:line="360" w:lineRule="auto"/>
              <w:rPr>
                <w:rFonts w:ascii="宋体" w:hAnsi="宋体"/>
                <w:sz w:val="18"/>
                <w:szCs w:val="18"/>
              </w:rPr>
            </w:pPr>
            <w:r>
              <w:rPr>
                <w:rFonts w:hint="eastAsia" w:ascii="宋体" w:hAnsi="宋体"/>
                <w:b/>
                <w:sz w:val="18"/>
                <w:szCs w:val="18"/>
              </w:rPr>
              <w:t>指标点5-3 其它手段与资源：</w:t>
            </w:r>
            <w:r>
              <w:rPr>
                <w:rFonts w:hint="eastAsia" w:ascii="宋体" w:hAnsi="宋体"/>
                <w:sz w:val="18"/>
                <w:szCs w:val="18"/>
              </w:rPr>
              <w:t>能够充分利用高级语言、通用数据处理软件和字处理等其它信息技术工具与资源，提高工作效率</w:t>
            </w:r>
            <w:r>
              <w:rPr>
                <w:rFonts w:hint="eastAsia" w:ascii="宋体" w:hAnsi="宋体"/>
                <w:bCs/>
                <w:sz w:val="18"/>
                <w:szCs w:val="18"/>
              </w:rPr>
              <w:t>和效果</w:t>
            </w:r>
            <w:r>
              <w:rPr>
                <w:rFonts w:hint="eastAsia" w:ascii="宋体" w:hAnsi="宋体"/>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3</w:t>
            </w:r>
          </w:p>
        </w:tc>
        <w:tc>
          <w:tcPr>
            <w:tcW w:w="1765" w:type="pct"/>
          </w:tcPr>
          <w:p>
            <w:pPr>
              <w:spacing w:line="360" w:lineRule="auto"/>
              <w:rPr>
                <w:rFonts w:ascii="宋体" w:hAnsi="宋体"/>
                <w:sz w:val="18"/>
                <w:szCs w:val="18"/>
              </w:rPr>
            </w:pPr>
            <w:r>
              <w:rPr>
                <w:rFonts w:ascii="宋体" w:hAnsi="宋体"/>
                <w:sz w:val="18"/>
                <w:szCs w:val="18"/>
              </w:rPr>
              <w:t>能够根据相应检索结果进行信息筛选，写出检索报告</w:t>
            </w:r>
            <w:r>
              <w:rPr>
                <w:rFonts w:hint="eastAsia" w:ascii="宋体" w:hAnsi="宋体"/>
                <w:sz w:val="18"/>
                <w:szCs w:val="18"/>
              </w:rPr>
              <w:t>。</w:t>
            </w:r>
          </w:p>
        </w:tc>
        <w:tc>
          <w:tcPr>
            <w:tcW w:w="2868" w:type="pct"/>
          </w:tcPr>
          <w:p>
            <w:pPr>
              <w:spacing w:line="360" w:lineRule="auto"/>
              <w:rPr>
                <w:rFonts w:ascii="宋体" w:hAnsi="宋体"/>
                <w:b/>
                <w:sz w:val="18"/>
                <w:szCs w:val="18"/>
              </w:rPr>
            </w:pPr>
            <w:r>
              <w:rPr>
                <w:rFonts w:hint="eastAsia" w:ascii="宋体" w:hAnsi="宋体"/>
                <w:b/>
                <w:sz w:val="18"/>
                <w:szCs w:val="18"/>
              </w:rPr>
              <w:t>指标点12-2 学习能力：</w:t>
            </w:r>
            <w:r>
              <w:rPr>
                <w:rFonts w:hint="eastAsia" w:ascii="宋体" w:hAnsi="宋体"/>
                <w:bCs/>
                <w:sz w:val="18"/>
                <w:szCs w:val="18"/>
              </w:rPr>
              <w:t>根据研究现状和未来发展趋势，结合自身发展需求，能够在相关工程时间活动中主动搜集、获取、更新相关知识和技能，不断调整自己适应行业发展和环境变化的能力。</w:t>
            </w:r>
          </w:p>
        </w:tc>
      </w:tr>
    </w:tbl>
    <w:p>
      <w:pPr>
        <w:tabs>
          <w:tab w:val="left" w:pos="420"/>
        </w:tabs>
        <w:adjustRightInd w:val="0"/>
        <w:spacing w:line="360" w:lineRule="auto"/>
        <w:ind w:left="420" w:hanging="420"/>
        <w:rPr>
          <w:rFonts w:eastAsia="黑体"/>
          <w:szCs w:val="21"/>
        </w:rPr>
      </w:pPr>
    </w:p>
    <w:p>
      <w:pPr>
        <w:tabs>
          <w:tab w:val="left" w:pos="420"/>
        </w:tabs>
        <w:adjustRightInd w:val="0"/>
        <w:spacing w:line="360" w:lineRule="auto"/>
        <w:ind w:left="420" w:hanging="420"/>
        <w:rPr>
          <w:rFonts w:ascii="宋体" w:hAnsi="宋体"/>
          <w:szCs w:val="21"/>
        </w:rPr>
      </w:pPr>
      <w:r>
        <w:rPr>
          <w:rFonts w:hint="eastAsia" w:ascii="宋体" w:hAnsi="宋体"/>
          <w:szCs w:val="21"/>
        </w:rPr>
        <w:t>电子科学与技术专业：</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3010"/>
        <w:gridCol w:w="489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sz w:val="18"/>
                <w:szCs w:val="18"/>
              </w:rPr>
              <w:t>序号</w:t>
            </w:r>
          </w:p>
        </w:tc>
        <w:tc>
          <w:tcPr>
            <w:tcW w:w="1765" w:type="pct"/>
            <w:vAlign w:val="center"/>
          </w:tcPr>
          <w:p>
            <w:pPr>
              <w:spacing w:line="360" w:lineRule="auto"/>
              <w:jc w:val="center"/>
              <w:rPr>
                <w:sz w:val="18"/>
                <w:szCs w:val="18"/>
              </w:rPr>
            </w:pPr>
            <w:r>
              <w:rPr>
                <w:sz w:val="18"/>
                <w:szCs w:val="18"/>
              </w:rPr>
              <w:t>课程目标</w:t>
            </w:r>
          </w:p>
        </w:tc>
        <w:tc>
          <w:tcPr>
            <w:tcW w:w="2868" w:type="pct"/>
            <w:vAlign w:val="center"/>
          </w:tcPr>
          <w:p>
            <w:pPr>
              <w:spacing w:line="360" w:lineRule="auto"/>
              <w:jc w:val="center"/>
              <w:rPr>
                <w:sz w:val="18"/>
                <w:szCs w:val="18"/>
              </w:rPr>
            </w:pPr>
            <w:r>
              <w:rPr>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1</w:t>
            </w:r>
          </w:p>
        </w:tc>
        <w:tc>
          <w:tcPr>
            <w:tcW w:w="1765" w:type="pct"/>
          </w:tcPr>
          <w:p>
            <w:pPr>
              <w:spacing w:line="360" w:lineRule="auto"/>
              <w:rPr>
                <w:rFonts w:ascii="宋体" w:hAnsi="宋体"/>
                <w:sz w:val="18"/>
                <w:szCs w:val="18"/>
              </w:rPr>
            </w:pPr>
            <w:r>
              <w:rPr>
                <w:rFonts w:ascii="宋体" w:hAnsi="宋体"/>
                <w:sz w:val="18"/>
                <w:szCs w:val="18"/>
              </w:rPr>
              <w:t>能够使学生掌握信息资源检索的手段、类型以及原理</w:t>
            </w:r>
            <w:r>
              <w:rPr>
                <w:rFonts w:hint="eastAsia" w:ascii="宋体" w:hAnsi="宋体"/>
                <w:sz w:val="18"/>
                <w:szCs w:val="18"/>
              </w:rPr>
              <w:t>。</w:t>
            </w:r>
            <w:r>
              <w:rPr>
                <w:rFonts w:ascii="宋体" w:hAnsi="宋体"/>
                <w:sz w:val="18"/>
                <w:szCs w:val="18"/>
              </w:rPr>
              <w:drawing>
                <wp:anchor distT="0" distB="0" distL="114300" distR="114300" simplePos="0" relativeHeight="251697152" behindDoc="0" locked="0" layoutInCell="1" allowOverlap="1">
                  <wp:simplePos x="0" y="0"/>
                  <wp:positionH relativeFrom="character">
                    <wp:posOffset>1591310</wp:posOffset>
                  </wp:positionH>
                  <wp:positionV relativeFrom="line">
                    <wp:posOffset>77470</wp:posOffset>
                  </wp:positionV>
                  <wp:extent cx="6985" cy="23495"/>
                  <wp:effectExtent l="19050" t="19050" r="12065" b="14605"/>
                  <wp:wrapNone/>
                  <wp:docPr id="275" name="图片 275"/>
                  <wp:cNvGraphicFramePr/>
                  <a:graphic xmlns:a="http://schemas.openxmlformats.org/drawingml/2006/main">
                    <a:graphicData uri="http://schemas.openxmlformats.org/drawingml/2006/picture">
                      <pic:pic xmlns:pic="http://schemas.openxmlformats.org/drawingml/2006/picture">
                        <pic:nvPicPr>
                          <pic:cNvPr id="275" name="图片 275"/>
                          <pic:cNvPicPr preferRelativeResize="0">
                            <a:picLocks noChangeArrowheads="1"/>
                          </pic:cNvPicPr>
                        </pic:nvPicPr>
                        <pic:blipFill>
                          <a:blip r:embed="rId244">
                            <a:extLst>
                              <a:ext uri="{28A0092B-C50C-407E-A947-70E740481C1C}">
                                <a14:useLocalDpi xmlns:a14="http://schemas.microsoft.com/office/drawing/2010/main" val="0"/>
                              </a:ext>
                            </a:extLst>
                          </a:blip>
                          <a:srcRect/>
                          <a:stretch>
                            <a:fillRect/>
                          </a:stretch>
                        </pic:blipFill>
                        <pic:spPr>
                          <a:xfrm>
                            <a:off x="0" y="0"/>
                            <a:ext cx="6985" cy="23495"/>
                          </a:xfrm>
                          <a:prstGeom prst="rect">
                            <a:avLst/>
                          </a:prstGeom>
                          <a:solidFill>
                            <a:srgbClr val="FFFFFF"/>
                          </a:solidFill>
                          <a:ln w="9525">
                            <a:solidFill>
                              <a:srgbClr val="000000"/>
                            </a:solidFill>
                            <a:round/>
                          </a:ln>
                        </pic:spPr>
                      </pic:pic>
                    </a:graphicData>
                  </a:graphic>
                </wp:anchor>
              </w:drawing>
            </w:r>
          </w:p>
        </w:tc>
        <w:tc>
          <w:tcPr>
            <w:tcW w:w="2868" w:type="pct"/>
          </w:tcPr>
          <w:p>
            <w:pPr>
              <w:spacing w:line="360" w:lineRule="auto"/>
              <w:rPr>
                <w:rFonts w:ascii="宋体" w:hAnsi="宋体"/>
                <w:sz w:val="18"/>
                <w:szCs w:val="18"/>
              </w:rPr>
            </w:pPr>
            <w:r>
              <w:rPr>
                <w:rFonts w:hint="eastAsia" w:ascii="宋体" w:hAnsi="宋体"/>
                <w:b/>
                <w:bCs/>
                <w:sz w:val="18"/>
                <w:szCs w:val="18"/>
              </w:rPr>
              <w:t>指标点2-4 信息获取能力：</w:t>
            </w:r>
            <w:r>
              <w:rPr>
                <w:rFonts w:hint="eastAsia" w:ascii="宋体" w:hAnsi="宋体"/>
                <w:sz w:val="18"/>
                <w:szCs w:val="18"/>
              </w:rPr>
              <w:t>掌握文献检索、资料查询及运用现代技术获取信息的方法，能通过该手段获取行业内解决同类问题的方法与效果，支撑自己的方案，并理解其差距与优势。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2</w:t>
            </w:r>
          </w:p>
        </w:tc>
        <w:tc>
          <w:tcPr>
            <w:tcW w:w="1765" w:type="pct"/>
          </w:tcPr>
          <w:p>
            <w:pPr>
              <w:spacing w:line="360" w:lineRule="auto"/>
              <w:rPr>
                <w:rFonts w:ascii="宋体" w:hAnsi="宋体"/>
                <w:sz w:val="18"/>
                <w:szCs w:val="18"/>
              </w:rPr>
            </w:pPr>
            <w:r>
              <w:rPr>
                <w:rFonts w:ascii="宋体" w:hAnsi="宋体"/>
                <w:sz w:val="18"/>
                <w:szCs w:val="18"/>
              </w:rPr>
              <w:t>能够独立地根据检索课题选用适当的检索工具或数据库，能够综合利用多种检索工具或数据库完成检索课题</w:t>
            </w:r>
            <w:r>
              <w:rPr>
                <w:rFonts w:hint="eastAsia" w:ascii="宋体" w:hAnsi="宋体"/>
                <w:sz w:val="18"/>
                <w:szCs w:val="18"/>
              </w:rPr>
              <w:t>。</w:t>
            </w:r>
          </w:p>
        </w:tc>
        <w:tc>
          <w:tcPr>
            <w:tcW w:w="2868" w:type="pct"/>
          </w:tcPr>
          <w:p>
            <w:pPr>
              <w:spacing w:line="360" w:lineRule="auto"/>
              <w:rPr>
                <w:rFonts w:ascii="宋体" w:hAnsi="宋体"/>
                <w:sz w:val="18"/>
                <w:szCs w:val="18"/>
              </w:rPr>
            </w:pPr>
            <w:r>
              <w:rPr>
                <w:rFonts w:hint="eastAsia" w:ascii="宋体" w:hAnsi="宋体"/>
                <w:b/>
                <w:sz w:val="18"/>
                <w:szCs w:val="18"/>
              </w:rPr>
              <w:t>指标点5-3 其它手段与资源：</w:t>
            </w:r>
            <w:r>
              <w:rPr>
                <w:rFonts w:hint="eastAsia" w:ascii="宋体" w:hAnsi="宋体"/>
                <w:sz w:val="18"/>
                <w:szCs w:val="18"/>
              </w:rPr>
              <w:t>能够充分利用高级语言、通用数据处理软件和字处理等其它信息技术工具与资源，提高工作效率</w:t>
            </w:r>
            <w:r>
              <w:rPr>
                <w:rFonts w:hint="eastAsia" w:ascii="宋体" w:hAnsi="宋体"/>
                <w:bCs/>
                <w:sz w:val="18"/>
                <w:szCs w:val="18"/>
              </w:rPr>
              <w:t>和效果</w:t>
            </w:r>
            <w:r>
              <w:rPr>
                <w:rFonts w:hint="eastAsia" w:ascii="宋体" w:hAnsi="宋体"/>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3</w:t>
            </w:r>
          </w:p>
        </w:tc>
        <w:tc>
          <w:tcPr>
            <w:tcW w:w="1765" w:type="pct"/>
          </w:tcPr>
          <w:p>
            <w:pPr>
              <w:spacing w:line="360" w:lineRule="auto"/>
              <w:rPr>
                <w:rFonts w:ascii="宋体" w:hAnsi="宋体"/>
                <w:sz w:val="18"/>
                <w:szCs w:val="18"/>
              </w:rPr>
            </w:pPr>
            <w:r>
              <w:rPr>
                <w:rFonts w:ascii="宋体" w:hAnsi="宋体"/>
                <w:sz w:val="18"/>
                <w:szCs w:val="18"/>
              </w:rPr>
              <w:t>能够根据相应检索结果进行信息筛选，写出检索报告</w:t>
            </w:r>
            <w:r>
              <w:rPr>
                <w:rFonts w:hint="eastAsia" w:ascii="宋体" w:hAnsi="宋体"/>
                <w:sz w:val="18"/>
                <w:szCs w:val="18"/>
              </w:rPr>
              <w:t>。</w:t>
            </w:r>
          </w:p>
        </w:tc>
        <w:tc>
          <w:tcPr>
            <w:tcW w:w="2868" w:type="pct"/>
          </w:tcPr>
          <w:p>
            <w:pPr>
              <w:spacing w:line="360" w:lineRule="auto"/>
              <w:rPr>
                <w:rFonts w:ascii="宋体" w:hAnsi="宋体"/>
                <w:b/>
                <w:sz w:val="18"/>
                <w:szCs w:val="18"/>
              </w:rPr>
            </w:pPr>
            <w:r>
              <w:rPr>
                <w:rFonts w:hint="eastAsia" w:ascii="宋体" w:hAnsi="宋体"/>
                <w:b/>
                <w:sz w:val="18"/>
                <w:szCs w:val="18"/>
              </w:rPr>
              <w:t>指标点12-2 学习能力：</w:t>
            </w:r>
            <w:r>
              <w:rPr>
                <w:rFonts w:hint="eastAsia" w:ascii="宋体" w:hAnsi="宋体"/>
                <w:bCs/>
                <w:sz w:val="18"/>
                <w:szCs w:val="18"/>
              </w:rPr>
              <w:t>根据研究现状和未来发展趋势，结合自身发展需求，能够在相关工程时间活动中主动搜集、获取、更新相关知识和技能，不断调整自己适应行业发展和环境变化的能力。</w:t>
            </w:r>
          </w:p>
        </w:tc>
      </w:tr>
    </w:tbl>
    <w:p>
      <w:pPr>
        <w:tabs>
          <w:tab w:val="left" w:pos="420"/>
        </w:tabs>
        <w:adjustRightInd w:val="0"/>
        <w:snapToGrid w:val="0"/>
        <w:spacing w:line="360" w:lineRule="auto"/>
        <w:ind w:left="420" w:hanging="420"/>
        <w:rPr>
          <w:rFonts w:eastAsia="黑体"/>
          <w:szCs w:val="21"/>
        </w:rPr>
      </w:pPr>
    </w:p>
    <w:p>
      <w:pPr>
        <w:tabs>
          <w:tab w:val="left" w:pos="420"/>
        </w:tabs>
        <w:adjustRightInd w:val="0"/>
        <w:snapToGrid w:val="0"/>
        <w:spacing w:line="360" w:lineRule="auto"/>
        <w:ind w:left="420" w:hanging="420"/>
        <w:rPr>
          <w:rFonts w:eastAsia="黑体"/>
          <w:szCs w:val="21"/>
        </w:rPr>
      </w:pPr>
      <w:r>
        <w:rPr>
          <w:rFonts w:hint="eastAsia" w:eastAsia="黑体"/>
          <w:szCs w:val="21"/>
        </w:rPr>
        <w:t>三、基本要求</w:t>
      </w:r>
    </w:p>
    <w:p>
      <w:pPr>
        <w:spacing w:line="360" w:lineRule="auto"/>
        <w:ind w:firstLine="420" w:firstLineChars="200"/>
        <w:rPr>
          <w:szCs w:val="21"/>
        </w:rPr>
      </w:pPr>
      <w:r>
        <w:rPr>
          <w:rFonts w:hint="eastAsia"/>
          <w:szCs w:val="21"/>
        </w:rPr>
        <w:t>1、本课程要求学生掌握典型的信息来源和检索技术手段；掌握常用国内外检索工具使用的方法和技术；学生需具备基本的信息处理分析和提炼筛选的能力；能够独立的综合利用多种检索工具或数据库完成专业课题检索。</w:t>
      </w:r>
    </w:p>
    <w:p>
      <w:pPr>
        <w:adjustRightInd w:val="0"/>
        <w:snapToGrid w:val="0"/>
        <w:spacing w:line="360" w:lineRule="auto"/>
        <w:ind w:firstLine="420" w:firstLineChars="200"/>
        <w:rPr>
          <w:szCs w:val="21"/>
        </w:rPr>
      </w:pPr>
      <w:r>
        <w:rPr>
          <w:rFonts w:hint="eastAsia"/>
          <w:szCs w:val="21"/>
        </w:rPr>
        <w:t>2、深度和广度说明：</w:t>
      </w:r>
    </w:p>
    <w:p>
      <w:pPr>
        <w:adjustRightInd w:val="0"/>
        <w:snapToGrid w:val="0"/>
        <w:spacing w:line="360" w:lineRule="auto"/>
        <w:ind w:firstLine="420" w:firstLineChars="200"/>
      </w:pPr>
      <w:r>
        <w:t>1）以中文数据库检索方法为重点，讲授中国学术期刊网络出版总库、中文科技期刊数据库检索组成及方法，以中文著名期刊数据库如万方、超星为例讲解科技知识检索；适当讲述专利、以及硕博士论文关键技术检索；</w:t>
      </w:r>
    </w:p>
    <w:p>
      <w:pPr>
        <w:adjustRightInd w:val="0"/>
        <w:snapToGrid w:val="0"/>
        <w:spacing w:line="360" w:lineRule="auto"/>
        <w:ind w:firstLine="420" w:firstLineChars="200"/>
      </w:pPr>
      <w:r>
        <w:t>2）外文数据库（主要是英文）检索方法，重点讲述Springer Link、Science Direct、Web of Science等数据库组成以及检索要点，适当讲述EI、Inspec的检索及使用方法；</w:t>
      </w:r>
    </w:p>
    <w:p>
      <w:pPr>
        <w:adjustRightInd w:val="0"/>
        <w:snapToGrid w:val="0"/>
        <w:spacing w:line="360" w:lineRule="auto"/>
        <w:ind w:firstLine="420" w:firstLineChars="200"/>
      </w:pPr>
      <w:r>
        <w:t>3）鉴于本课程很强的实践性，可以适当增加学生的实践动手能力，同时辅助讲解，重点讲述文献综述的写作要点和技巧。</w:t>
      </w:r>
    </w:p>
    <w:p>
      <w:pPr>
        <w:spacing w:line="360" w:lineRule="auto"/>
        <w:ind w:firstLine="420" w:firstLineChars="200"/>
        <w:rPr>
          <w:szCs w:val="21"/>
        </w:rPr>
      </w:pPr>
      <w:r>
        <w:rPr>
          <w:rFonts w:hint="eastAsia"/>
          <w:szCs w:val="21"/>
        </w:rPr>
        <w:t>3</w:t>
      </w:r>
      <w:r>
        <w:rPr>
          <w:szCs w:val="21"/>
        </w:rPr>
        <w:t>、偏差说明：</w:t>
      </w:r>
      <w:r>
        <w:t>为了鼓励教师引入个人授课风格或者适应技术发展的紧迫性，本课程允许教师授课内容做适当调整，最大正偏差为10%，不允许负偏差。正偏差通过压缩同等内容的学时数来完成。特殊情况，最大正偏差和置换偏差累计可达到20%，但在开课前要申请专业责任人批准。（正偏差指大纲知识点不变，新增知识点；负偏差是大纲知识点减少；置换偏差是指大纲中部分知识点被其它类似知识点替换）。</w:t>
      </w:r>
    </w:p>
    <w:p>
      <w:pPr>
        <w:tabs>
          <w:tab w:val="left" w:pos="420"/>
        </w:tabs>
        <w:spacing w:line="360" w:lineRule="auto"/>
        <w:ind w:left="420" w:hanging="420"/>
        <w:rPr>
          <w:rFonts w:eastAsia="黑体"/>
          <w:szCs w:val="21"/>
        </w:rPr>
      </w:pPr>
      <w:r>
        <w:rPr>
          <w:rFonts w:hint="eastAsia" w:eastAsia="黑体"/>
          <w:szCs w:val="21"/>
        </w:rPr>
        <w:t>四、教学内容和教学方法</w:t>
      </w:r>
    </w:p>
    <w:p>
      <w:pPr>
        <w:adjustRightInd w:val="0"/>
        <w:snapToGrid w:val="0"/>
        <w:spacing w:line="360" w:lineRule="auto"/>
        <w:ind w:firstLine="420" w:firstLineChars="200"/>
      </w:pPr>
      <w:r>
        <w:t>本课程重点讲授的内容包括：文献信息检索的一般概念、基本原理、检索方法和技术；常用的中外文数据库、电子图书、特种文献；网络信息的检索方法、步骤及规则；设置综合检索课题，引导学生得到较好的检索结果。</w:t>
      </w:r>
    </w:p>
    <w:p>
      <w:pPr>
        <w:spacing w:line="360" w:lineRule="auto"/>
        <w:ind w:firstLine="420" w:firstLineChars="200"/>
        <w:rPr>
          <w:szCs w:val="21"/>
        </w:rPr>
      </w:pPr>
      <w:r>
        <w:rPr>
          <w:szCs w:val="21"/>
        </w:rPr>
        <w:t>本课程在教学方法上，充分利用</w:t>
      </w:r>
      <w:r>
        <w:t>CAI形式讲授，</w:t>
      </w:r>
      <w:r>
        <w:rPr>
          <w:rFonts w:hint="eastAsia"/>
        </w:rPr>
        <w:t>并结合图书馆信息资源实践操作</w:t>
      </w:r>
      <w:r>
        <w:t>，引导学生</w:t>
      </w:r>
      <w:r>
        <w:rPr>
          <w:rFonts w:hint="eastAsia"/>
        </w:rPr>
        <w:t>如何高效检索所需资料文献</w:t>
      </w:r>
      <w:r>
        <w:t>，让学生获得更多的锻炼机会。</w:t>
      </w:r>
    </w:p>
    <w:p>
      <w:pPr>
        <w:spacing w:line="360" w:lineRule="auto"/>
        <w:ind w:firstLine="420" w:firstLineChars="200"/>
        <w:rPr>
          <w:szCs w:val="21"/>
        </w:rPr>
      </w:pPr>
      <w:r>
        <w:rPr>
          <w:rFonts w:hint="eastAsia"/>
          <w:szCs w:val="21"/>
        </w:rPr>
        <w:t>为了提高学生的学习兴趣，并取得良好的教学效果，教师在实践操作的过程中要充分利用检索案例指导，以进一步提高教学质量。</w:t>
      </w:r>
    </w:p>
    <w:p>
      <w:pPr>
        <w:adjustRightInd w:val="0"/>
        <w:snapToGrid w:val="0"/>
        <w:spacing w:line="360" w:lineRule="auto"/>
        <w:ind w:firstLine="420" w:firstLineChars="200"/>
        <w:rPr>
          <w:rFonts w:eastAsia="黑体"/>
          <w:szCs w:val="24"/>
        </w:rPr>
      </w:pPr>
      <w:r>
        <w:rPr>
          <w:rFonts w:hint="eastAsia" w:eastAsia="黑体"/>
          <w:szCs w:val="24"/>
        </w:rPr>
        <w:t xml:space="preserve">1 </w:t>
      </w:r>
      <w:r>
        <w:rPr>
          <w:rFonts w:eastAsia="黑体"/>
          <w:szCs w:val="24"/>
        </w:rPr>
        <w:t xml:space="preserve">绪论 ( </w:t>
      </w:r>
      <w:r>
        <w:rPr>
          <w:rFonts w:hint="eastAsia" w:eastAsia="黑体"/>
          <w:szCs w:val="24"/>
        </w:rPr>
        <w:t>1</w:t>
      </w:r>
      <w:r>
        <w:rPr>
          <w:rFonts w:eastAsia="黑体"/>
          <w:szCs w:val="24"/>
        </w:rPr>
        <w:t>学时)</w:t>
      </w:r>
    </w:p>
    <w:p>
      <w:pPr>
        <w:adjustRightInd w:val="0"/>
        <w:snapToGrid w:val="0"/>
        <w:spacing w:line="360" w:lineRule="auto"/>
        <w:ind w:firstLine="420" w:firstLineChars="200"/>
        <w:rPr>
          <w:szCs w:val="24"/>
        </w:rPr>
      </w:pPr>
      <w:r>
        <w:rPr>
          <w:szCs w:val="24"/>
        </w:rPr>
        <w:t>1.1</w:t>
      </w:r>
      <w:r>
        <w:rPr>
          <w:rFonts w:hint="eastAsia"/>
          <w:szCs w:val="24"/>
        </w:rPr>
        <w:t>、</w:t>
      </w:r>
      <w:r>
        <w:rPr>
          <w:szCs w:val="24"/>
        </w:rPr>
        <w:t>文献信息基本知识；</w:t>
      </w:r>
    </w:p>
    <w:p>
      <w:pPr>
        <w:adjustRightInd w:val="0"/>
        <w:snapToGrid w:val="0"/>
        <w:spacing w:line="360" w:lineRule="auto"/>
        <w:ind w:firstLine="420" w:firstLineChars="200"/>
        <w:rPr>
          <w:szCs w:val="24"/>
        </w:rPr>
      </w:pPr>
      <w:r>
        <w:rPr>
          <w:szCs w:val="24"/>
        </w:rPr>
        <w:t>1.2</w:t>
      </w:r>
      <w:r>
        <w:rPr>
          <w:rFonts w:hint="eastAsia"/>
          <w:szCs w:val="24"/>
        </w:rPr>
        <w:t>、</w:t>
      </w:r>
      <w:r>
        <w:rPr>
          <w:szCs w:val="24"/>
        </w:rPr>
        <w:t>信息检索基础知识；</w:t>
      </w:r>
    </w:p>
    <w:p>
      <w:pPr>
        <w:adjustRightInd w:val="0"/>
        <w:snapToGrid w:val="0"/>
        <w:spacing w:line="360" w:lineRule="auto"/>
        <w:ind w:firstLine="420" w:firstLineChars="200"/>
        <w:rPr>
          <w:szCs w:val="24"/>
        </w:rPr>
      </w:pPr>
      <w:r>
        <w:rPr>
          <w:szCs w:val="24"/>
        </w:rPr>
        <w:t>1.3</w:t>
      </w:r>
      <w:r>
        <w:rPr>
          <w:rFonts w:hint="eastAsia"/>
          <w:szCs w:val="24"/>
        </w:rPr>
        <w:t>、</w:t>
      </w:r>
      <w:r>
        <w:rPr>
          <w:szCs w:val="24"/>
        </w:rPr>
        <w:t>计算机检索技术及方法。</w:t>
      </w:r>
    </w:p>
    <w:p>
      <w:pPr>
        <w:widowControl/>
        <w:adjustRightInd w:val="0"/>
        <w:snapToGrid w:val="0"/>
        <w:spacing w:line="360" w:lineRule="auto"/>
        <w:ind w:firstLine="420" w:firstLineChars="200"/>
        <w:jc w:val="left"/>
        <w:rPr>
          <w:snapToGrid w:val="0"/>
          <w:kern w:val="0"/>
        </w:rPr>
      </w:pPr>
      <w:r>
        <w:rPr>
          <w:snapToGrid w:val="0"/>
          <w:kern w:val="0"/>
        </w:rPr>
        <w:t>重点：</w:t>
      </w:r>
      <w:r>
        <w:rPr>
          <w:szCs w:val="24"/>
        </w:rPr>
        <w:t>信息检索基础的基本概念及基础知识</w:t>
      </w:r>
      <w:r>
        <w:rPr>
          <w:snapToGrid w:val="0"/>
          <w:kern w:val="0"/>
        </w:rPr>
        <w:t>。</w:t>
      </w:r>
    </w:p>
    <w:p>
      <w:pPr>
        <w:widowControl/>
        <w:adjustRightInd w:val="0"/>
        <w:snapToGrid w:val="0"/>
        <w:spacing w:line="360" w:lineRule="auto"/>
        <w:ind w:firstLine="420" w:firstLineChars="200"/>
        <w:jc w:val="left"/>
        <w:rPr>
          <w:snapToGrid w:val="0"/>
          <w:kern w:val="0"/>
        </w:rPr>
      </w:pPr>
      <w:r>
        <w:rPr>
          <w:snapToGrid w:val="0"/>
          <w:kern w:val="0"/>
        </w:rPr>
        <w:t>难点：对信息检索的正确认识。</w:t>
      </w:r>
    </w:p>
    <w:p>
      <w:pPr>
        <w:widowControl/>
        <w:adjustRightInd w:val="0"/>
        <w:snapToGrid w:val="0"/>
        <w:spacing w:line="360" w:lineRule="auto"/>
        <w:ind w:firstLine="420" w:firstLineChars="200"/>
        <w:jc w:val="left"/>
        <w:rPr>
          <w:snapToGrid w:val="0"/>
          <w:kern w:val="0"/>
        </w:rPr>
      </w:pPr>
      <w:r>
        <w:rPr>
          <w:snapToGrid w:val="0"/>
          <w:kern w:val="0"/>
        </w:rPr>
        <w:t>教学方式：课堂教学1学时。</w:t>
      </w:r>
    </w:p>
    <w:p>
      <w:pPr>
        <w:widowControl/>
        <w:adjustRightInd w:val="0"/>
        <w:snapToGrid w:val="0"/>
        <w:spacing w:line="360" w:lineRule="auto"/>
        <w:ind w:firstLine="420" w:firstLineChars="200"/>
        <w:jc w:val="left"/>
        <w:rPr>
          <w:snapToGrid w:val="0"/>
          <w:kern w:val="0"/>
        </w:rPr>
      </w:pPr>
      <w:r>
        <w:rPr>
          <w:rFonts w:hint="eastAsia"/>
          <w:snapToGrid w:val="0"/>
          <w:kern w:val="0"/>
        </w:rPr>
        <w:t>本内容支撑课程目标1。</w:t>
      </w:r>
    </w:p>
    <w:p>
      <w:pPr>
        <w:adjustRightInd w:val="0"/>
        <w:snapToGrid w:val="0"/>
        <w:spacing w:line="360" w:lineRule="auto"/>
        <w:ind w:firstLine="420" w:firstLineChars="200"/>
        <w:rPr>
          <w:rFonts w:eastAsia="黑体"/>
          <w:szCs w:val="24"/>
        </w:rPr>
      </w:pPr>
      <w:r>
        <w:rPr>
          <w:rFonts w:hint="eastAsia" w:eastAsia="黑体"/>
          <w:szCs w:val="24"/>
        </w:rPr>
        <w:t>2</w:t>
      </w:r>
      <w:r>
        <w:rPr>
          <w:rFonts w:eastAsia="黑体"/>
          <w:szCs w:val="24"/>
        </w:rPr>
        <w:t>常用中文数据库检索方法（</w:t>
      </w:r>
      <w:r>
        <w:rPr>
          <w:rFonts w:hint="eastAsia" w:eastAsia="黑体"/>
          <w:szCs w:val="24"/>
        </w:rPr>
        <w:t>2</w:t>
      </w:r>
      <w:r>
        <w:rPr>
          <w:rFonts w:eastAsia="黑体"/>
          <w:szCs w:val="24"/>
        </w:rPr>
        <w:t>学时）</w:t>
      </w:r>
    </w:p>
    <w:p>
      <w:pPr>
        <w:adjustRightInd w:val="0"/>
        <w:snapToGrid w:val="0"/>
        <w:spacing w:line="360" w:lineRule="auto"/>
        <w:ind w:firstLine="420" w:firstLineChars="200"/>
        <w:rPr>
          <w:szCs w:val="24"/>
        </w:rPr>
      </w:pPr>
      <w:r>
        <w:rPr>
          <w:szCs w:val="24"/>
        </w:rPr>
        <w:t>2.1</w:t>
      </w:r>
      <w:r>
        <w:rPr>
          <w:rFonts w:hint="eastAsia"/>
          <w:szCs w:val="24"/>
        </w:rPr>
        <w:t>、</w:t>
      </w:r>
      <w:r>
        <w:rPr>
          <w:szCs w:val="24"/>
        </w:rPr>
        <w:t>中国学术期刊网络出版总库、中文科技期刊数据库检索组成及方法；</w:t>
      </w:r>
    </w:p>
    <w:p>
      <w:pPr>
        <w:adjustRightInd w:val="0"/>
        <w:snapToGrid w:val="0"/>
        <w:spacing w:line="360" w:lineRule="auto"/>
        <w:ind w:firstLine="420" w:firstLineChars="200"/>
        <w:rPr>
          <w:szCs w:val="24"/>
        </w:rPr>
      </w:pPr>
      <w:r>
        <w:rPr>
          <w:szCs w:val="24"/>
        </w:rPr>
        <w:t>2.2</w:t>
      </w:r>
      <w:r>
        <w:rPr>
          <w:rFonts w:hint="eastAsia"/>
          <w:szCs w:val="24"/>
        </w:rPr>
        <w:t>、</w:t>
      </w:r>
      <w:r>
        <w:rPr>
          <w:szCs w:val="24"/>
        </w:rPr>
        <w:t>万方数据资源信息检索系统、超星电子图书、书生之家电子图书等数据库的检索组成及方法；</w:t>
      </w:r>
    </w:p>
    <w:p>
      <w:pPr>
        <w:adjustRightInd w:val="0"/>
        <w:snapToGrid w:val="0"/>
        <w:spacing w:line="360" w:lineRule="auto"/>
        <w:ind w:firstLine="420" w:firstLineChars="200"/>
        <w:rPr>
          <w:szCs w:val="24"/>
        </w:rPr>
      </w:pPr>
      <w:r>
        <w:rPr>
          <w:szCs w:val="24"/>
        </w:rPr>
        <w:t>2.3</w:t>
      </w:r>
      <w:r>
        <w:rPr>
          <w:rFonts w:hint="eastAsia"/>
          <w:szCs w:val="24"/>
        </w:rPr>
        <w:t>、</w:t>
      </w:r>
      <w:r>
        <w:rPr>
          <w:szCs w:val="24"/>
        </w:rPr>
        <w:t>专利及学位论文的检索、使用方法；</w:t>
      </w:r>
    </w:p>
    <w:p>
      <w:pPr>
        <w:adjustRightInd w:val="0"/>
        <w:snapToGrid w:val="0"/>
        <w:spacing w:line="360" w:lineRule="auto"/>
        <w:ind w:firstLine="420" w:firstLineChars="200"/>
        <w:rPr>
          <w:szCs w:val="24"/>
        </w:rPr>
      </w:pPr>
      <w:r>
        <w:rPr>
          <w:szCs w:val="24"/>
        </w:rPr>
        <w:t>2.4</w:t>
      </w:r>
      <w:r>
        <w:rPr>
          <w:rFonts w:hint="eastAsia"/>
          <w:szCs w:val="24"/>
        </w:rPr>
        <w:t>、</w:t>
      </w:r>
      <w:r>
        <w:rPr>
          <w:szCs w:val="24"/>
        </w:rPr>
        <w:t>会议文献、标准文献的检索及使用方法；</w:t>
      </w:r>
    </w:p>
    <w:p>
      <w:pPr>
        <w:adjustRightInd w:val="0"/>
        <w:snapToGrid w:val="0"/>
        <w:spacing w:line="360" w:lineRule="auto"/>
        <w:ind w:firstLine="420" w:firstLineChars="200"/>
        <w:rPr>
          <w:szCs w:val="24"/>
        </w:rPr>
      </w:pPr>
      <w:r>
        <w:rPr>
          <w:szCs w:val="24"/>
        </w:rPr>
        <w:t>2.5</w:t>
      </w:r>
      <w:r>
        <w:rPr>
          <w:rFonts w:hint="eastAsia"/>
          <w:szCs w:val="24"/>
        </w:rPr>
        <w:t>、</w:t>
      </w:r>
      <w:r>
        <w:rPr>
          <w:szCs w:val="24"/>
        </w:rPr>
        <w:t>检索</w:t>
      </w:r>
      <w:r>
        <w:rPr>
          <w:rFonts w:hint="eastAsia"/>
          <w:szCs w:val="24"/>
        </w:rPr>
        <w:t>实践</w:t>
      </w:r>
      <w:r>
        <w:rPr>
          <w:szCs w:val="24"/>
        </w:rPr>
        <w:t>，中文数据库检索常用方法及检索技巧。</w:t>
      </w:r>
    </w:p>
    <w:p>
      <w:pPr>
        <w:widowControl/>
        <w:adjustRightInd w:val="0"/>
        <w:snapToGrid w:val="0"/>
        <w:spacing w:line="360" w:lineRule="auto"/>
        <w:ind w:firstLine="420" w:firstLineChars="200"/>
        <w:jc w:val="left"/>
        <w:rPr>
          <w:snapToGrid w:val="0"/>
          <w:kern w:val="0"/>
        </w:rPr>
      </w:pPr>
      <w:r>
        <w:rPr>
          <w:snapToGrid w:val="0"/>
          <w:kern w:val="0"/>
        </w:rPr>
        <w:t>重点：</w:t>
      </w:r>
      <w:r>
        <w:rPr>
          <w:szCs w:val="24"/>
        </w:rPr>
        <w:t>中国学术期刊网络出版总库、中文科技期刊数据库检索组成及方法；万方数据资源信息检索系统、超星电子图书等检索方法；纸质书籍的检索方法及关键技术。</w:t>
      </w:r>
    </w:p>
    <w:p>
      <w:pPr>
        <w:widowControl/>
        <w:adjustRightInd w:val="0"/>
        <w:snapToGrid w:val="0"/>
        <w:spacing w:line="360" w:lineRule="auto"/>
        <w:ind w:firstLine="420" w:firstLineChars="200"/>
        <w:jc w:val="left"/>
        <w:rPr>
          <w:snapToGrid w:val="0"/>
          <w:kern w:val="0"/>
        </w:rPr>
      </w:pPr>
      <w:r>
        <w:rPr>
          <w:snapToGrid w:val="0"/>
          <w:kern w:val="0"/>
        </w:rPr>
        <w:t>难点：中文检索报告的组成及书写要点。</w:t>
      </w:r>
    </w:p>
    <w:p>
      <w:pPr>
        <w:widowControl/>
        <w:adjustRightInd w:val="0"/>
        <w:snapToGrid w:val="0"/>
        <w:spacing w:line="360" w:lineRule="auto"/>
        <w:ind w:firstLine="420" w:firstLineChars="200"/>
        <w:jc w:val="left"/>
        <w:rPr>
          <w:snapToGrid w:val="0"/>
          <w:kern w:val="0"/>
        </w:rPr>
      </w:pPr>
      <w:r>
        <w:rPr>
          <w:snapToGrid w:val="0"/>
          <w:kern w:val="0"/>
        </w:rPr>
        <w:t>教学方式：课堂教学</w:t>
      </w:r>
      <w:r>
        <w:rPr>
          <w:rFonts w:hint="eastAsia"/>
          <w:snapToGrid w:val="0"/>
          <w:kern w:val="0"/>
        </w:rPr>
        <w:t>2学时。</w:t>
      </w:r>
    </w:p>
    <w:p>
      <w:pPr>
        <w:widowControl/>
        <w:adjustRightInd w:val="0"/>
        <w:snapToGrid w:val="0"/>
        <w:spacing w:line="360" w:lineRule="auto"/>
        <w:ind w:firstLine="420" w:firstLineChars="200"/>
        <w:jc w:val="left"/>
        <w:rPr>
          <w:snapToGrid w:val="0"/>
          <w:kern w:val="0"/>
        </w:rPr>
      </w:pPr>
      <w:r>
        <w:rPr>
          <w:rFonts w:hint="eastAsia"/>
          <w:snapToGrid w:val="0"/>
          <w:kern w:val="0"/>
        </w:rPr>
        <w:t>本内容支撑课程目标2、3。</w:t>
      </w:r>
    </w:p>
    <w:p>
      <w:pPr>
        <w:adjustRightInd w:val="0"/>
        <w:snapToGrid w:val="0"/>
        <w:spacing w:line="360" w:lineRule="auto"/>
        <w:ind w:firstLine="420" w:firstLineChars="200"/>
        <w:rPr>
          <w:rFonts w:eastAsia="黑体"/>
          <w:szCs w:val="24"/>
        </w:rPr>
      </w:pPr>
      <w:r>
        <w:rPr>
          <w:rFonts w:hint="eastAsia" w:eastAsia="黑体"/>
          <w:szCs w:val="24"/>
        </w:rPr>
        <w:t>3</w:t>
      </w:r>
      <w:r>
        <w:rPr>
          <w:rFonts w:eastAsia="黑体"/>
          <w:szCs w:val="24"/>
        </w:rPr>
        <w:t>常用外文数据库检索方法（</w:t>
      </w:r>
      <w:r>
        <w:rPr>
          <w:rFonts w:hint="eastAsia" w:eastAsia="黑体"/>
          <w:szCs w:val="24"/>
        </w:rPr>
        <w:t>2</w:t>
      </w:r>
      <w:r>
        <w:rPr>
          <w:rFonts w:eastAsia="黑体"/>
          <w:szCs w:val="24"/>
        </w:rPr>
        <w:t>学时）</w:t>
      </w:r>
    </w:p>
    <w:p>
      <w:pPr>
        <w:adjustRightInd w:val="0"/>
        <w:snapToGrid w:val="0"/>
        <w:spacing w:line="360" w:lineRule="auto"/>
        <w:ind w:firstLine="420" w:firstLineChars="200"/>
        <w:rPr>
          <w:szCs w:val="24"/>
        </w:rPr>
      </w:pPr>
      <w:r>
        <w:rPr>
          <w:szCs w:val="24"/>
        </w:rPr>
        <w:t>3.1</w:t>
      </w:r>
      <w:r>
        <w:rPr>
          <w:rFonts w:hint="eastAsia"/>
          <w:szCs w:val="24"/>
        </w:rPr>
        <w:t>、</w:t>
      </w:r>
      <w:r>
        <w:rPr>
          <w:szCs w:val="24"/>
        </w:rPr>
        <w:t>Springer Link，Science Direct的检索组成及方法；</w:t>
      </w:r>
    </w:p>
    <w:p>
      <w:pPr>
        <w:adjustRightInd w:val="0"/>
        <w:snapToGrid w:val="0"/>
        <w:spacing w:line="360" w:lineRule="auto"/>
        <w:ind w:firstLine="420" w:firstLineChars="200"/>
        <w:rPr>
          <w:szCs w:val="24"/>
        </w:rPr>
      </w:pPr>
      <w:r>
        <w:rPr>
          <w:szCs w:val="24"/>
        </w:rPr>
        <w:t>3.2</w:t>
      </w:r>
      <w:r>
        <w:rPr>
          <w:rFonts w:hint="eastAsia"/>
          <w:szCs w:val="24"/>
        </w:rPr>
        <w:t>、</w:t>
      </w:r>
      <w:r>
        <w:rPr>
          <w:szCs w:val="24"/>
        </w:rPr>
        <w:t>Dialog国际联机检索系统，Web of Knowledge</w:t>
      </w:r>
      <w:r>
        <w:rPr>
          <w:rFonts w:hint="eastAsia"/>
          <w:szCs w:val="24"/>
        </w:rPr>
        <w:t>等</w:t>
      </w:r>
      <w:r>
        <w:rPr>
          <w:szCs w:val="24"/>
        </w:rPr>
        <w:t>检索组成及方法；</w:t>
      </w:r>
    </w:p>
    <w:p>
      <w:pPr>
        <w:adjustRightInd w:val="0"/>
        <w:snapToGrid w:val="0"/>
        <w:spacing w:line="360" w:lineRule="auto"/>
        <w:ind w:firstLine="420" w:firstLineChars="200"/>
        <w:rPr>
          <w:szCs w:val="24"/>
        </w:rPr>
      </w:pPr>
      <w:r>
        <w:rPr>
          <w:szCs w:val="24"/>
        </w:rPr>
        <w:t>3.3</w:t>
      </w:r>
      <w:r>
        <w:rPr>
          <w:rFonts w:hint="eastAsia"/>
          <w:szCs w:val="24"/>
        </w:rPr>
        <w:t>、</w:t>
      </w:r>
      <w:r>
        <w:rPr>
          <w:szCs w:val="24"/>
        </w:rPr>
        <w:t>EI、Inspec的检索及使用方法；</w:t>
      </w:r>
    </w:p>
    <w:p>
      <w:pPr>
        <w:adjustRightInd w:val="0"/>
        <w:snapToGrid w:val="0"/>
        <w:spacing w:line="360" w:lineRule="auto"/>
        <w:ind w:firstLine="420" w:firstLineChars="200"/>
        <w:rPr>
          <w:szCs w:val="24"/>
        </w:rPr>
      </w:pPr>
      <w:r>
        <w:rPr>
          <w:szCs w:val="24"/>
        </w:rPr>
        <w:t>3.4</w:t>
      </w:r>
      <w:r>
        <w:rPr>
          <w:rFonts w:hint="eastAsia"/>
          <w:szCs w:val="24"/>
        </w:rPr>
        <w:t>、</w:t>
      </w:r>
      <w:r>
        <w:rPr>
          <w:szCs w:val="24"/>
        </w:rPr>
        <w:t>检索</w:t>
      </w:r>
      <w:r>
        <w:rPr>
          <w:rFonts w:hint="eastAsia"/>
          <w:szCs w:val="24"/>
        </w:rPr>
        <w:t>实践</w:t>
      </w:r>
      <w:r>
        <w:rPr>
          <w:szCs w:val="24"/>
        </w:rPr>
        <w:t>，外文</w:t>
      </w:r>
      <w:r>
        <w:rPr>
          <w:snapToGrid w:val="0"/>
          <w:kern w:val="0"/>
        </w:rPr>
        <w:t>检索报告的组成及书写要点</w:t>
      </w:r>
      <w:r>
        <w:rPr>
          <w:szCs w:val="24"/>
        </w:rPr>
        <w:t>。</w:t>
      </w:r>
    </w:p>
    <w:p>
      <w:pPr>
        <w:widowControl/>
        <w:adjustRightInd w:val="0"/>
        <w:snapToGrid w:val="0"/>
        <w:spacing w:line="360" w:lineRule="auto"/>
        <w:ind w:firstLine="420" w:firstLineChars="200"/>
        <w:jc w:val="left"/>
        <w:rPr>
          <w:snapToGrid w:val="0"/>
          <w:kern w:val="0"/>
        </w:rPr>
      </w:pPr>
      <w:r>
        <w:rPr>
          <w:snapToGrid w:val="0"/>
          <w:kern w:val="0"/>
        </w:rPr>
        <w:t>重点：</w:t>
      </w:r>
      <w:r>
        <w:rPr>
          <w:szCs w:val="24"/>
        </w:rPr>
        <w:t>Springer Link，Science Direct的检索组成及方法；Dialog国际联机检索系统，Web of Knowledge</w:t>
      </w:r>
      <w:r>
        <w:rPr>
          <w:rFonts w:hint="eastAsia"/>
          <w:szCs w:val="24"/>
        </w:rPr>
        <w:t>等</w:t>
      </w:r>
      <w:r>
        <w:rPr>
          <w:szCs w:val="24"/>
        </w:rPr>
        <w:t>检索组成及方法；</w:t>
      </w:r>
    </w:p>
    <w:p>
      <w:pPr>
        <w:widowControl/>
        <w:adjustRightInd w:val="0"/>
        <w:snapToGrid w:val="0"/>
        <w:spacing w:line="360" w:lineRule="auto"/>
        <w:ind w:firstLine="420" w:firstLineChars="200"/>
        <w:jc w:val="left"/>
        <w:rPr>
          <w:snapToGrid w:val="0"/>
          <w:kern w:val="0"/>
        </w:rPr>
      </w:pPr>
      <w:r>
        <w:rPr>
          <w:snapToGrid w:val="0"/>
          <w:kern w:val="0"/>
        </w:rPr>
        <w:t>难点：外文检索报告的组成及书写要点。</w:t>
      </w:r>
    </w:p>
    <w:p>
      <w:pPr>
        <w:widowControl/>
        <w:adjustRightInd w:val="0"/>
        <w:snapToGrid w:val="0"/>
        <w:spacing w:line="360" w:lineRule="auto"/>
        <w:ind w:firstLine="420" w:firstLineChars="200"/>
        <w:jc w:val="left"/>
        <w:rPr>
          <w:snapToGrid w:val="0"/>
          <w:kern w:val="0"/>
        </w:rPr>
      </w:pPr>
      <w:r>
        <w:rPr>
          <w:snapToGrid w:val="0"/>
          <w:kern w:val="0"/>
        </w:rPr>
        <w:t>教学方式：课堂教学</w:t>
      </w:r>
      <w:r>
        <w:rPr>
          <w:rFonts w:hint="eastAsia"/>
          <w:snapToGrid w:val="0"/>
          <w:kern w:val="0"/>
        </w:rPr>
        <w:t>2</w:t>
      </w:r>
      <w:r>
        <w:rPr>
          <w:snapToGrid w:val="0"/>
          <w:kern w:val="0"/>
        </w:rPr>
        <w:t>学时</w:t>
      </w:r>
      <w:r>
        <w:rPr>
          <w:rFonts w:hint="eastAsia"/>
          <w:snapToGrid w:val="0"/>
          <w:kern w:val="0"/>
        </w:rPr>
        <w:t>。</w:t>
      </w:r>
    </w:p>
    <w:p>
      <w:pPr>
        <w:widowControl/>
        <w:adjustRightInd w:val="0"/>
        <w:snapToGrid w:val="0"/>
        <w:spacing w:line="360" w:lineRule="auto"/>
        <w:ind w:firstLine="420" w:firstLineChars="200"/>
        <w:jc w:val="left"/>
        <w:rPr>
          <w:snapToGrid w:val="0"/>
          <w:kern w:val="0"/>
        </w:rPr>
      </w:pPr>
      <w:r>
        <w:rPr>
          <w:rFonts w:hint="eastAsia"/>
          <w:snapToGrid w:val="0"/>
          <w:kern w:val="0"/>
        </w:rPr>
        <w:t>本内容支撑课程目标2、3。</w:t>
      </w:r>
    </w:p>
    <w:p>
      <w:pPr>
        <w:adjustRightInd w:val="0"/>
        <w:snapToGrid w:val="0"/>
        <w:spacing w:line="360" w:lineRule="auto"/>
        <w:ind w:firstLine="420" w:firstLineChars="200"/>
        <w:rPr>
          <w:szCs w:val="24"/>
        </w:rPr>
      </w:pPr>
      <w:r>
        <w:rPr>
          <w:rFonts w:hint="eastAsia" w:eastAsia="黑体"/>
          <w:szCs w:val="24"/>
        </w:rPr>
        <w:t>4</w:t>
      </w:r>
      <w:r>
        <w:rPr>
          <w:rFonts w:eastAsia="黑体"/>
          <w:szCs w:val="24"/>
        </w:rPr>
        <w:t>常用网络信息检索（</w:t>
      </w:r>
      <w:r>
        <w:rPr>
          <w:rFonts w:hint="eastAsia" w:eastAsia="黑体"/>
          <w:szCs w:val="24"/>
        </w:rPr>
        <w:t>1</w:t>
      </w:r>
      <w:r>
        <w:rPr>
          <w:rFonts w:eastAsia="黑体"/>
          <w:szCs w:val="24"/>
        </w:rPr>
        <w:t>学时）</w:t>
      </w:r>
    </w:p>
    <w:p>
      <w:pPr>
        <w:adjustRightInd w:val="0"/>
        <w:snapToGrid w:val="0"/>
        <w:spacing w:line="360" w:lineRule="auto"/>
        <w:ind w:firstLine="420" w:firstLineChars="200"/>
        <w:rPr>
          <w:szCs w:val="24"/>
        </w:rPr>
      </w:pPr>
      <w:r>
        <w:rPr>
          <w:szCs w:val="24"/>
        </w:rPr>
        <w:t>4.1</w:t>
      </w:r>
      <w:r>
        <w:rPr>
          <w:rFonts w:hint="eastAsia"/>
          <w:szCs w:val="24"/>
        </w:rPr>
        <w:t>、</w:t>
      </w:r>
      <w:r>
        <w:rPr>
          <w:szCs w:val="24"/>
        </w:rPr>
        <w:t>百度及百度学术、雅虎、谷歌及谷歌学术搜索引擎组成及使用方法；</w:t>
      </w:r>
    </w:p>
    <w:p>
      <w:pPr>
        <w:adjustRightInd w:val="0"/>
        <w:snapToGrid w:val="0"/>
        <w:spacing w:line="360" w:lineRule="auto"/>
        <w:ind w:firstLine="420" w:firstLineChars="200"/>
        <w:rPr>
          <w:szCs w:val="24"/>
        </w:rPr>
      </w:pPr>
      <w:r>
        <w:rPr>
          <w:szCs w:val="24"/>
        </w:rPr>
        <w:t>4.2</w:t>
      </w:r>
      <w:r>
        <w:rPr>
          <w:rFonts w:hint="eastAsia"/>
          <w:szCs w:val="24"/>
        </w:rPr>
        <w:t>、</w:t>
      </w:r>
      <w:r>
        <w:rPr>
          <w:szCs w:val="24"/>
        </w:rPr>
        <w:t>网络信息检索报告的撰写。</w:t>
      </w:r>
    </w:p>
    <w:p>
      <w:pPr>
        <w:widowControl/>
        <w:adjustRightInd w:val="0"/>
        <w:snapToGrid w:val="0"/>
        <w:spacing w:line="360" w:lineRule="auto"/>
        <w:ind w:firstLine="420" w:firstLineChars="200"/>
        <w:jc w:val="left"/>
        <w:rPr>
          <w:szCs w:val="24"/>
        </w:rPr>
      </w:pPr>
      <w:r>
        <w:rPr>
          <w:snapToGrid w:val="0"/>
          <w:kern w:val="0"/>
        </w:rPr>
        <w:t>重点：</w:t>
      </w:r>
      <w:r>
        <w:rPr>
          <w:szCs w:val="24"/>
        </w:rPr>
        <w:t>百度学术、谷歌学术中、外文搜索组成及使用方法；</w:t>
      </w:r>
    </w:p>
    <w:p>
      <w:pPr>
        <w:widowControl/>
        <w:adjustRightInd w:val="0"/>
        <w:snapToGrid w:val="0"/>
        <w:spacing w:line="360" w:lineRule="auto"/>
        <w:ind w:firstLine="420" w:firstLineChars="200"/>
        <w:jc w:val="left"/>
        <w:rPr>
          <w:snapToGrid w:val="0"/>
          <w:kern w:val="0"/>
        </w:rPr>
      </w:pPr>
      <w:r>
        <w:rPr>
          <w:snapToGrid w:val="0"/>
          <w:kern w:val="0"/>
        </w:rPr>
        <w:t>难点：相关性文献的检索方法及技巧、检索报告的写作。</w:t>
      </w:r>
    </w:p>
    <w:p>
      <w:pPr>
        <w:widowControl/>
        <w:adjustRightInd w:val="0"/>
        <w:snapToGrid w:val="0"/>
        <w:spacing w:line="360" w:lineRule="auto"/>
        <w:ind w:firstLine="420" w:firstLineChars="200"/>
        <w:jc w:val="left"/>
        <w:rPr>
          <w:snapToGrid w:val="0"/>
          <w:kern w:val="0"/>
        </w:rPr>
      </w:pPr>
      <w:r>
        <w:rPr>
          <w:snapToGrid w:val="0"/>
          <w:kern w:val="0"/>
        </w:rPr>
        <w:t>教学方式：课堂教学</w:t>
      </w:r>
      <w:r>
        <w:rPr>
          <w:rFonts w:hint="eastAsia"/>
          <w:snapToGrid w:val="0"/>
          <w:kern w:val="0"/>
        </w:rPr>
        <w:t>1</w:t>
      </w:r>
      <w:r>
        <w:rPr>
          <w:snapToGrid w:val="0"/>
          <w:kern w:val="0"/>
        </w:rPr>
        <w:t>学时。</w:t>
      </w:r>
    </w:p>
    <w:p>
      <w:pPr>
        <w:widowControl/>
        <w:adjustRightInd w:val="0"/>
        <w:snapToGrid w:val="0"/>
        <w:spacing w:line="360" w:lineRule="auto"/>
        <w:ind w:firstLine="420" w:firstLineChars="200"/>
        <w:jc w:val="left"/>
        <w:rPr>
          <w:snapToGrid w:val="0"/>
          <w:kern w:val="0"/>
        </w:rPr>
      </w:pPr>
      <w:r>
        <w:rPr>
          <w:rFonts w:hint="eastAsia"/>
          <w:snapToGrid w:val="0"/>
          <w:kern w:val="0"/>
        </w:rPr>
        <w:t>本内容支撑课程目标2、3。</w:t>
      </w:r>
    </w:p>
    <w:p>
      <w:pPr>
        <w:adjustRightInd w:val="0"/>
        <w:snapToGrid w:val="0"/>
        <w:spacing w:line="360" w:lineRule="auto"/>
        <w:ind w:firstLine="420" w:firstLineChars="200"/>
        <w:rPr>
          <w:szCs w:val="24"/>
        </w:rPr>
      </w:pPr>
      <w:r>
        <w:rPr>
          <w:rFonts w:hint="eastAsia" w:eastAsia="黑体"/>
          <w:szCs w:val="24"/>
        </w:rPr>
        <w:t>5</w:t>
      </w:r>
      <w:r>
        <w:rPr>
          <w:b/>
          <w:szCs w:val="24"/>
        </w:rPr>
        <w:t>文献综合检索</w:t>
      </w:r>
      <w:r>
        <w:rPr>
          <w:rFonts w:eastAsia="黑体"/>
          <w:szCs w:val="24"/>
        </w:rPr>
        <w:t>（</w:t>
      </w:r>
      <w:r>
        <w:rPr>
          <w:rFonts w:hint="eastAsia" w:eastAsia="黑体"/>
          <w:szCs w:val="24"/>
        </w:rPr>
        <w:t>2</w:t>
      </w:r>
      <w:r>
        <w:rPr>
          <w:rFonts w:eastAsia="黑体"/>
          <w:szCs w:val="24"/>
        </w:rPr>
        <w:t>学时）</w:t>
      </w:r>
    </w:p>
    <w:p>
      <w:pPr>
        <w:adjustRightInd w:val="0"/>
        <w:snapToGrid w:val="0"/>
        <w:spacing w:line="360" w:lineRule="auto"/>
        <w:ind w:firstLine="420" w:firstLineChars="200"/>
        <w:rPr>
          <w:szCs w:val="24"/>
        </w:rPr>
      </w:pPr>
      <w:r>
        <w:rPr>
          <w:szCs w:val="24"/>
        </w:rPr>
        <w:t>5.1</w:t>
      </w:r>
      <w:r>
        <w:rPr>
          <w:rFonts w:hint="eastAsia"/>
          <w:szCs w:val="24"/>
        </w:rPr>
        <w:t>、</w:t>
      </w:r>
      <w:r>
        <w:rPr>
          <w:szCs w:val="24"/>
        </w:rPr>
        <w:t>文献综合检索方法；</w:t>
      </w:r>
    </w:p>
    <w:p>
      <w:pPr>
        <w:adjustRightInd w:val="0"/>
        <w:snapToGrid w:val="0"/>
        <w:spacing w:line="360" w:lineRule="auto"/>
        <w:ind w:firstLine="420" w:firstLineChars="200"/>
        <w:rPr>
          <w:szCs w:val="24"/>
        </w:rPr>
      </w:pPr>
      <w:r>
        <w:rPr>
          <w:szCs w:val="24"/>
        </w:rPr>
        <w:t>5.2</w:t>
      </w:r>
      <w:r>
        <w:rPr>
          <w:rFonts w:hint="eastAsia"/>
          <w:szCs w:val="24"/>
        </w:rPr>
        <w:t>、</w:t>
      </w:r>
      <w:r>
        <w:rPr>
          <w:szCs w:val="24"/>
        </w:rPr>
        <w:t>文献综合检索实验，相关文献综合检索及检索报告。</w:t>
      </w:r>
    </w:p>
    <w:p>
      <w:pPr>
        <w:widowControl/>
        <w:adjustRightInd w:val="0"/>
        <w:snapToGrid w:val="0"/>
        <w:spacing w:line="360" w:lineRule="auto"/>
        <w:ind w:firstLine="420" w:firstLineChars="200"/>
        <w:jc w:val="left"/>
        <w:rPr>
          <w:szCs w:val="24"/>
        </w:rPr>
      </w:pPr>
      <w:r>
        <w:rPr>
          <w:snapToGrid w:val="0"/>
          <w:kern w:val="0"/>
        </w:rPr>
        <w:t>重点：</w:t>
      </w:r>
      <w:r>
        <w:rPr>
          <w:szCs w:val="24"/>
        </w:rPr>
        <w:t>文献综合检索方法；</w:t>
      </w:r>
    </w:p>
    <w:p>
      <w:pPr>
        <w:widowControl/>
        <w:adjustRightInd w:val="0"/>
        <w:snapToGrid w:val="0"/>
        <w:spacing w:line="360" w:lineRule="auto"/>
        <w:ind w:firstLine="420" w:firstLineChars="200"/>
        <w:jc w:val="left"/>
        <w:rPr>
          <w:snapToGrid w:val="0"/>
          <w:kern w:val="0"/>
        </w:rPr>
      </w:pPr>
      <w:r>
        <w:rPr>
          <w:snapToGrid w:val="0"/>
          <w:kern w:val="0"/>
        </w:rPr>
        <w:t>难点：综合检索报告的写作。</w:t>
      </w:r>
    </w:p>
    <w:p>
      <w:pPr>
        <w:widowControl/>
        <w:adjustRightInd w:val="0"/>
        <w:snapToGrid w:val="0"/>
        <w:spacing w:line="360" w:lineRule="auto"/>
        <w:ind w:firstLine="420" w:firstLineChars="200"/>
        <w:jc w:val="left"/>
        <w:rPr>
          <w:snapToGrid w:val="0"/>
          <w:kern w:val="0"/>
        </w:rPr>
      </w:pPr>
      <w:r>
        <w:rPr>
          <w:snapToGrid w:val="0"/>
          <w:kern w:val="0"/>
        </w:rPr>
        <w:t>教学方式：</w:t>
      </w:r>
      <w:r>
        <w:rPr>
          <w:rFonts w:hint="eastAsia"/>
          <w:snapToGrid w:val="0"/>
          <w:kern w:val="0"/>
        </w:rPr>
        <w:t>课堂教学</w:t>
      </w:r>
      <w:r>
        <w:rPr>
          <w:snapToGrid w:val="0"/>
          <w:kern w:val="0"/>
        </w:rPr>
        <w:t>2</w:t>
      </w:r>
      <w:r>
        <w:rPr>
          <w:rFonts w:hint="eastAsia"/>
          <w:snapToGrid w:val="0"/>
          <w:kern w:val="0"/>
        </w:rPr>
        <w:t>学时</w:t>
      </w:r>
      <w:r>
        <w:rPr>
          <w:snapToGrid w:val="0"/>
          <w:kern w:val="0"/>
        </w:rPr>
        <w:t>。</w:t>
      </w:r>
    </w:p>
    <w:p>
      <w:pPr>
        <w:widowControl/>
        <w:adjustRightInd w:val="0"/>
        <w:snapToGrid w:val="0"/>
        <w:spacing w:line="360" w:lineRule="auto"/>
        <w:ind w:firstLine="420" w:firstLineChars="200"/>
        <w:jc w:val="left"/>
        <w:rPr>
          <w:snapToGrid w:val="0"/>
          <w:kern w:val="0"/>
        </w:rPr>
      </w:pPr>
      <w:r>
        <w:rPr>
          <w:rFonts w:hint="eastAsia"/>
          <w:snapToGrid w:val="0"/>
          <w:kern w:val="0"/>
        </w:rPr>
        <w:t>本内容支撑课程目标3。</w:t>
      </w:r>
    </w:p>
    <w:p>
      <w:pPr>
        <w:adjustRightInd w:val="0"/>
        <w:snapToGrid w:val="0"/>
        <w:spacing w:line="360" w:lineRule="auto"/>
        <w:rPr>
          <w:b/>
          <w:sz w:val="24"/>
          <w:szCs w:val="24"/>
        </w:rPr>
      </w:pPr>
    </w:p>
    <w:p>
      <w:pPr>
        <w:tabs>
          <w:tab w:val="left" w:pos="420"/>
        </w:tabs>
        <w:adjustRightInd w:val="0"/>
        <w:snapToGrid w:val="0"/>
        <w:spacing w:line="360" w:lineRule="auto"/>
        <w:rPr>
          <w:rFonts w:eastAsia="黑体"/>
        </w:rPr>
      </w:pPr>
      <w:r>
        <w:rPr>
          <w:rFonts w:eastAsia="黑体"/>
        </w:rPr>
        <w:t>五、实验内容</w:t>
      </w:r>
    </w:p>
    <w:p>
      <w:pPr>
        <w:adjustRightInd w:val="0"/>
        <w:snapToGrid w:val="0"/>
        <w:spacing w:line="360" w:lineRule="auto"/>
        <w:ind w:firstLine="420" w:firstLineChars="200"/>
        <w:rPr>
          <w:snapToGrid w:val="0"/>
          <w:kern w:val="0"/>
        </w:rPr>
      </w:pPr>
      <w:r>
        <w:rPr>
          <w:rFonts w:hint="eastAsia"/>
          <w:snapToGrid w:val="0"/>
          <w:kern w:val="0"/>
        </w:rPr>
        <w:t>无</w:t>
      </w:r>
    </w:p>
    <w:p>
      <w:pPr>
        <w:adjustRightInd w:val="0"/>
        <w:snapToGrid w:val="0"/>
        <w:spacing w:line="360" w:lineRule="auto"/>
        <w:ind w:firstLine="420" w:firstLineChars="200"/>
        <w:rPr>
          <w:snapToGrid w:val="0"/>
          <w:kern w:val="0"/>
        </w:rPr>
      </w:pPr>
    </w:p>
    <w:p>
      <w:pPr>
        <w:widowControl/>
        <w:spacing w:line="360" w:lineRule="auto"/>
        <w:jc w:val="left"/>
        <w:rPr>
          <w:rFonts w:ascii="黑体" w:hAnsi="宋体" w:eastAsia="黑体" w:cs="宋体"/>
          <w:kern w:val="0"/>
          <w:szCs w:val="21"/>
        </w:rPr>
      </w:pPr>
      <w:r>
        <w:rPr>
          <w:rFonts w:hint="eastAsia" w:ascii="黑体" w:hAnsi="宋体" w:eastAsia="黑体" w:cs="宋体"/>
          <w:kern w:val="0"/>
          <w:szCs w:val="21"/>
        </w:rPr>
        <w:t>六、学时分配</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217"/>
        <w:gridCol w:w="1905"/>
        <w:gridCol w:w="1905"/>
        <w:gridCol w:w="150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86" w:type="pct"/>
            <w:vAlign w:val="center"/>
          </w:tcPr>
          <w:p>
            <w:pPr>
              <w:adjustRightInd w:val="0"/>
              <w:snapToGrid w:val="0"/>
              <w:jc w:val="center"/>
              <w:rPr>
                <w:sz w:val="18"/>
                <w:szCs w:val="18"/>
              </w:rPr>
            </w:pPr>
            <w:r>
              <w:rPr>
                <w:sz w:val="18"/>
                <w:szCs w:val="18"/>
              </w:rPr>
              <w:t>章节名称</w:t>
            </w:r>
          </w:p>
        </w:tc>
        <w:tc>
          <w:tcPr>
            <w:tcW w:w="1117" w:type="pct"/>
            <w:vAlign w:val="center"/>
          </w:tcPr>
          <w:p>
            <w:pPr>
              <w:adjustRightInd w:val="0"/>
              <w:snapToGrid w:val="0"/>
              <w:jc w:val="center"/>
              <w:rPr>
                <w:sz w:val="18"/>
                <w:szCs w:val="18"/>
              </w:rPr>
            </w:pPr>
            <w:r>
              <w:rPr>
                <w:sz w:val="18"/>
                <w:szCs w:val="18"/>
              </w:rPr>
              <w:t>讲授（学时）</w:t>
            </w:r>
          </w:p>
        </w:tc>
        <w:tc>
          <w:tcPr>
            <w:tcW w:w="1117" w:type="pct"/>
            <w:vAlign w:val="center"/>
          </w:tcPr>
          <w:p>
            <w:pPr>
              <w:adjustRightInd w:val="0"/>
              <w:snapToGrid w:val="0"/>
              <w:jc w:val="center"/>
              <w:rPr>
                <w:sz w:val="18"/>
                <w:szCs w:val="18"/>
              </w:rPr>
            </w:pPr>
            <w:r>
              <w:rPr>
                <w:sz w:val="18"/>
                <w:szCs w:val="18"/>
              </w:rPr>
              <w:t>实验（学时）</w:t>
            </w:r>
          </w:p>
        </w:tc>
        <w:tc>
          <w:tcPr>
            <w:tcW w:w="880" w:type="pct"/>
            <w:vAlign w:val="center"/>
          </w:tcPr>
          <w:p>
            <w:pPr>
              <w:adjustRightInd w:val="0"/>
              <w:snapToGrid w:val="0"/>
              <w:jc w:val="center"/>
              <w:rPr>
                <w:sz w:val="18"/>
                <w:szCs w:val="18"/>
              </w:rPr>
            </w:pPr>
            <w:r>
              <w:rPr>
                <w:sz w:val="18"/>
                <w:szCs w:val="18"/>
              </w:rPr>
              <w:t>小计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86" w:type="pct"/>
            <w:vAlign w:val="center"/>
          </w:tcPr>
          <w:p>
            <w:pPr>
              <w:adjustRightInd w:val="0"/>
              <w:snapToGrid w:val="0"/>
              <w:jc w:val="center"/>
              <w:rPr>
                <w:sz w:val="18"/>
                <w:szCs w:val="18"/>
              </w:rPr>
            </w:pPr>
            <w:r>
              <w:rPr>
                <w:sz w:val="18"/>
                <w:szCs w:val="18"/>
              </w:rPr>
              <w:t>1绪论</w:t>
            </w:r>
          </w:p>
        </w:tc>
        <w:tc>
          <w:tcPr>
            <w:tcW w:w="1117" w:type="pct"/>
            <w:vAlign w:val="center"/>
          </w:tcPr>
          <w:p>
            <w:pPr>
              <w:adjustRightInd w:val="0"/>
              <w:snapToGrid w:val="0"/>
              <w:jc w:val="center"/>
              <w:rPr>
                <w:sz w:val="18"/>
                <w:szCs w:val="18"/>
              </w:rPr>
            </w:pPr>
            <w:r>
              <w:rPr>
                <w:rFonts w:hint="eastAsia"/>
                <w:sz w:val="18"/>
                <w:szCs w:val="18"/>
              </w:rPr>
              <w:t>1</w:t>
            </w:r>
          </w:p>
        </w:tc>
        <w:tc>
          <w:tcPr>
            <w:tcW w:w="1117" w:type="pct"/>
            <w:vAlign w:val="center"/>
          </w:tcPr>
          <w:p>
            <w:pPr>
              <w:adjustRightInd w:val="0"/>
              <w:snapToGrid w:val="0"/>
              <w:jc w:val="center"/>
              <w:rPr>
                <w:sz w:val="18"/>
                <w:szCs w:val="18"/>
              </w:rPr>
            </w:pPr>
            <w:r>
              <w:rPr>
                <w:rFonts w:hint="eastAsia"/>
                <w:sz w:val="18"/>
                <w:szCs w:val="18"/>
              </w:rPr>
              <w:t>0</w:t>
            </w:r>
          </w:p>
        </w:tc>
        <w:tc>
          <w:tcPr>
            <w:tcW w:w="880" w:type="pct"/>
            <w:vAlign w:val="center"/>
          </w:tcPr>
          <w:p>
            <w:pPr>
              <w:adjustRightInd w:val="0"/>
              <w:snapToGrid w:val="0"/>
              <w:jc w:val="center"/>
              <w:rPr>
                <w:sz w:val="18"/>
                <w:szCs w:val="18"/>
              </w:rPr>
            </w:pPr>
            <w:r>
              <w:rPr>
                <w:rFonts w:hint="eastAsia"/>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86" w:type="pct"/>
            <w:vAlign w:val="center"/>
          </w:tcPr>
          <w:p>
            <w:pPr>
              <w:adjustRightInd w:val="0"/>
              <w:snapToGrid w:val="0"/>
              <w:ind w:left="28" w:right="28"/>
              <w:jc w:val="center"/>
              <w:rPr>
                <w:sz w:val="18"/>
                <w:szCs w:val="18"/>
              </w:rPr>
            </w:pPr>
            <w:r>
              <w:rPr>
                <w:sz w:val="18"/>
                <w:szCs w:val="18"/>
              </w:rPr>
              <w:t>2常用中文数据库检索方法</w:t>
            </w:r>
          </w:p>
        </w:tc>
        <w:tc>
          <w:tcPr>
            <w:tcW w:w="1117" w:type="pct"/>
            <w:vAlign w:val="center"/>
          </w:tcPr>
          <w:p>
            <w:pPr>
              <w:adjustRightInd w:val="0"/>
              <w:snapToGrid w:val="0"/>
              <w:jc w:val="center"/>
              <w:rPr>
                <w:sz w:val="18"/>
                <w:szCs w:val="18"/>
              </w:rPr>
            </w:pPr>
            <w:r>
              <w:rPr>
                <w:rFonts w:hint="eastAsia"/>
                <w:sz w:val="18"/>
                <w:szCs w:val="18"/>
              </w:rPr>
              <w:t>1</w:t>
            </w:r>
          </w:p>
        </w:tc>
        <w:tc>
          <w:tcPr>
            <w:tcW w:w="1117" w:type="pct"/>
            <w:vAlign w:val="center"/>
          </w:tcPr>
          <w:p>
            <w:pPr>
              <w:adjustRightInd w:val="0"/>
              <w:snapToGrid w:val="0"/>
              <w:jc w:val="center"/>
              <w:rPr>
                <w:sz w:val="18"/>
                <w:szCs w:val="18"/>
              </w:rPr>
            </w:pPr>
            <w:r>
              <w:rPr>
                <w:rFonts w:hint="eastAsia"/>
                <w:sz w:val="18"/>
                <w:szCs w:val="18"/>
              </w:rPr>
              <w:t>1</w:t>
            </w:r>
          </w:p>
        </w:tc>
        <w:tc>
          <w:tcPr>
            <w:tcW w:w="880" w:type="pct"/>
            <w:vAlign w:val="center"/>
          </w:tcPr>
          <w:p>
            <w:pPr>
              <w:adjustRightInd w:val="0"/>
              <w:snapToGrid w:val="0"/>
              <w:jc w:val="center"/>
              <w:rPr>
                <w:sz w:val="18"/>
                <w:szCs w:val="18"/>
              </w:rPr>
            </w:pPr>
            <w:r>
              <w:rPr>
                <w:rFonts w:hint="eastAsia"/>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86" w:type="pct"/>
            <w:vAlign w:val="center"/>
          </w:tcPr>
          <w:p>
            <w:pPr>
              <w:adjustRightInd w:val="0"/>
              <w:snapToGrid w:val="0"/>
              <w:ind w:left="28" w:right="28"/>
              <w:jc w:val="center"/>
              <w:rPr>
                <w:sz w:val="18"/>
                <w:szCs w:val="18"/>
              </w:rPr>
            </w:pPr>
            <w:r>
              <w:rPr>
                <w:sz w:val="18"/>
                <w:szCs w:val="18"/>
              </w:rPr>
              <w:t>4常用国外数据库检索方法</w:t>
            </w:r>
          </w:p>
        </w:tc>
        <w:tc>
          <w:tcPr>
            <w:tcW w:w="1117" w:type="pct"/>
            <w:vAlign w:val="center"/>
          </w:tcPr>
          <w:p>
            <w:pPr>
              <w:adjustRightInd w:val="0"/>
              <w:snapToGrid w:val="0"/>
              <w:jc w:val="center"/>
              <w:rPr>
                <w:sz w:val="18"/>
                <w:szCs w:val="18"/>
              </w:rPr>
            </w:pPr>
            <w:r>
              <w:rPr>
                <w:rFonts w:hint="eastAsia"/>
                <w:sz w:val="18"/>
                <w:szCs w:val="18"/>
              </w:rPr>
              <w:t>1</w:t>
            </w:r>
          </w:p>
        </w:tc>
        <w:tc>
          <w:tcPr>
            <w:tcW w:w="1117" w:type="pct"/>
            <w:vAlign w:val="center"/>
          </w:tcPr>
          <w:p>
            <w:pPr>
              <w:adjustRightInd w:val="0"/>
              <w:snapToGrid w:val="0"/>
              <w:jc w:val="center"/>
              <w:rPr>
                <w:sz w:val="18"/>
                <w:szCs w:val="18"/>
              </w:rPr>
            </w:pPr>
            <w:r>
              <w:rPr>
                <w:rFonts w:hint="eastAsia"/>
                <w:sz w:val="18"/>
                <w:szCs w:val="18"/>
              </w:rPr>
              <w:t>1</w:t>
            </w:r>
          </w:p>
        </w:tc>
        <w:tc>
          <w:tcPr>
            <w:tcW w:w="880" w:type="pct"/>
            <w:vAlign w:val="center"/>
          </w:tcPr>
          <w:p>
            <w:pPr>
              <w:adjustRightInd w:val="0"/>
              <w:snapToGrid w:val="0"/>
              <w:jc w:val="center"/>
              <w:rPr>
                <w:sz w:val="18"/>
                <w:szCs w:val="18"/>
              </w:rPr>
            </w:pPr>
            <w:r>
              <w:rPr>
                <w:rFonts w:hint="eastAsia"/>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86" w:type="pct"/>
            <w:vAlign w:val="center"/>
          </w:tcPr>
          <w:p>
            <w:pPr>
              <w:adjustRightInd w:val="0"/>
              <w:snapToGrid w:val="0"/>
              <w:ind w:left="28" w:right="28"/>
              <w:jc w:val="center"/>
              <w:rPr>
                <w:sz w:val="18"/>
                <w:szCs w:val="18"/>
              </w:rPr>
            </w:pPr>
            <w:r>
              <w:rPr>
                <w:sz w:val="18"/>
                <w:szCs w:val="18"/>
              </w:rPr>
              <w:t>5常用网络信息检索与利用</w:t>
            </w:r>
          </w:p>
        </w:tc>
        <w:tc>
          <w:tcPr>
            <w:tcW w:w="1117" w:type="pct"/>
            <w:vAlign w:val="center"/>
          </w:tcPr>
          <w:p>
            <w:pPr>
              <w:adjustRightInd w:val="0"/>
              <w:snapToGrid w:val="0"/>
              <w:jc w:val="center"/>
              <w:rPr>
                <w:sz w:val="18"/>
                <w:szCs w:val="18"/>
              </w:rPr>
            </w:pPr>
            <w:r>
              <w:rPr>
                <w:rFonts w:hint="eastAsia"/>
                <w:sz w:val="18"/>
                <w:szCs w:val="18"/>
              </w:rPr>
              <w:t>1</w:t>
            </w:r>
          </w:p>
        </w:tc>
        <w:tc>
          <w:tcPr>
            <w:tcW w:w="1117" w:type="pct"/>
            <w:vAlign w:val="center"/>
          </w:tcPr>
          <w:p>
            <w:pPr>
              <w:adjustRightInd w:val="0"/>
              <w:snapToGrid w:val="0"/>
              <w:jc w:val="center"/>
              <w:rPr>
                <w:sz w:val="18"/>
                <w:szCs w:val="18"/>
              </w:rPr>
            </w:pPr>
            <w:r>
              <w:rPr>
                <w:rFonts w:hint="eastAsia"/>
                <w:sz w:val="18"/>
                <w:szCs w:val="18"/>
              </w:rPr>
              <w:t>0</w:t>
            </w:r>
          </w:p>
        </w:tc>
        <w:tc>
          <w:tcPr>
            <w:tcW w:w="880" w:type="pct"/>
            <w:vAlign w:val="center"/>
          </w:tcPr>
          <w:p>
            <w:pPr>
              <w:adjustRightInd w:val="0"/>
              <w:snapToGrid w:val="0"/>
              <w:jc w:val="center"/>
              <w:rPr>
                <w:sz w:val="18"/>
                <w:szCs w:val="18"/>
              </w:rPr>
            </w:pPr>
            <w:r>
              <w:rPr>
                <w:rFonts w:hint="eastAsia"/>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86" w:type="pct"/>
            <w:vAlign w:val="center"/>
          </w:tcPr>
          <w:p>
            <w:pPr>
              <w:adjustRightInd w:val="0"/>
              <w:snapToGrid w:val="0"/>
              <w:ind w:left="28" w:right="28"/>
              <w:jc w:val="center"/>
              <w:rPr>
                <w:sz w:val="18"/>
                <w:szCs w:val="18"/>
              </w:rPr>
            </w:pPr>
            <w:r>
              <w:rPr>
                <w:sz w:val="18"/>
                <w:szCs w:val="18"/>
              </w:rPr>
              <w:t>6文献综合检索</w:t>
            </w:r>
          </w:p>
        </w:tc>
        <w:tc>
          <w:tcPr>
            <w:tcW w:w="1117" w:type="pct"/>
            <w:vAlign w:val="center"/>
          </w:tcPr>
          <w:p>
            <w:pPr>
              <w:adjustRightInd w:val="0"/>
              <w:snapToGrid w:val="0"/>
              <w:jc w:val="center"/>
              <w:rPr>
                <w:sz w:val="18"/>
                <w:szCs w:val="18"/>
              </w:rPr>
            </w:pPr>
            <w:r>
              <w:rPr>
                <w:rFonts w:hint="eastAsia"/>
                <w:sz w:val="18"/>
                <w:szCs w:val="18"/>
              </w:rPr>
              <w:t>0</w:t>
            </w:r>
          </w:p>
        </w:tc>
        <w:tc>
          <w:tcPr>
            <w:tcW w:w="1117" w:type="pct"/>
            <w:vAlign w:val="center"/>
          </w:tcPr>
          <w:p>
            <w:pPr>
              <w:adjustRightInd w:val="0"/>
              <w:snapToGrid w:val="0"/>
              <w:jc w:val="center"/>
              <w:rPr>
                <w:sz w:val="18"/>
                <w:szCs w:val="18"/>
              </w:rPr>
            </w:pPr>
            <w:r>
              <w:rPr>
                <w:rFonts w:hint="eastAsia"/>
                <w:sz w:val="18"/>
                <w:szCs w:val="18"/>
              </w:rPr>
              <w:t>2</w:t>
            </w:r>
          </w:p>
        </w:tc>
        <w:tc>
          <w:tcPr>
            <w:tcW w:w="880" w:type="pct"/>
            <w:vAlign w:val="center"/>
          </w:tcPr>
          <w:p>
            <w:pPr>
              <w:adjustRightInd w:val="0"/>
              <w:snapToGrid w:val="0"/>
              <w:jc w:val="center"/>
              <w:rPr>
                <w:sz w:val="18"/>
                <w:szCs w:val="18"/>
              </w:rPr>
            </w:pPr>
            <w:r>
              <w:rPr>
                <w:rFonts w:hint="eastAsia"/>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86" w:type="pct"/>
            <w:vAlign w:val="center"/>
          </w:tcPr>
          <w:p>
            <w:pPr>
              <w:adjustRightInd w:val="0"/>
              <w:snapToGrid w:val="0"/>
              <w:jc w:val="center"/>
              <w:rPr>
                <w:sz w:val="18"/>
                <w:szCs w:val="18"/>
              </w:rPr>
            </w:pPr>
            <w:r>
              <w:rPr>
                <w:sz w:val="18"/>
                <w:szCs w:val="18"/>
              </w:rPr>
              <w:t>合计</w:t>
            </w:r>
          </w:p>
        </w:tc>
        <w:tc>
          <w:tcPr>
            <w:tcW w:w="1117" w:type="pct"/>
            <w:vAlign w:val="center"/>
          </w:tcPr>
          <w:p>
            <w:pPr>
              <w:adjustRightInd w:val="0"/>
              <w:snapToGrid w:val="0"/>
              <w:jc w:val="center"/>
              <w:rPr>
                <w:sz w:val="18"/>
                <w:szCs w:val="18"/>
              </w:rPr>
            </w:pPr>
            <w:r>
              <w:rPr>
                <w:rFonts w:hint="eastAsia"/>
                <w:sz w:val="18"/>
                <w:szCs w:val="18"/>
              </w:rPr>
              <w:t>4</w:t>
            </w:r>
          </w:p>
        </w:tc>
        <w:tc>
          <w:tcPr>
            <w:tcW w:w="1117" w:type="pct"/>
            <w:vAlign w:val="center"/>
          </w:tcPr>
          <w:p>
            <w:pPr>
              <w:adjustRightInd w:val="0"/>
              <w:snapToGrid w:val="0"/>
              <w:jc w:val="center"/>
              <w:rPr>
                <w:sz w:val="18"/>
                <w:szCs w:val="18"/>
              </w:rPr>
            </w:pPr>
            <w:r>
              <w:rPr>
                <w:rFonts w:hint="eastAsia"/>
                <w:sz w:val="18"/>
                <w:szCs w:val="18"/>
              </w:rPr>
              <w:t>4</w:t>
            </w:r>
          </w:p>
        </w:tc>
        <w:tc>
          <w:tcPr>
            <w:tcW w:w="880" w:type="pct"/>
            <w:vAlign w:val="center"/>
          </w:tcPr>
          <w:p>
            <w:pPr>
              <w:adjustRightInd w:val="0"/>
              <w:snapToGrid w:val="0"/>
              <w:jc w:val="center"/>
              <w:rPr>
                <w:sz w:val="18"/>
                <w:szCs w:val="18"/>
              </w:rPr>
            </w:pPr>
            <w:r>
              <w:rPr>
                <w:rFonts w:hint="eastAsia"/>
                <w:sz w:val="18"/>
                <w:szCs w:val="18"/>
              </w:rPr>
              <w:t>8</w:t>
            </w:r>
          </w:p>
        </w:tc>
      </w:tr>
    </w:tbl>
    <w:p>
      <w:pPr>
        <w:spacing w:line="360" w:lineRule="auto"/>
        <w:rPr>
          <w:b/>
          <w:sz w:val="24"/>
          <w:szCs w:val="24"/>
        </w:rPr>
      </w:pPr>
    </w:p>
    <w:p>
      <w:pPr>
        <w:tabs>
          <w:tab w:val="left" w:pos="420"/>
        </w:tabs>
        <w:spacing w:line="360" w:lineRule="auto"/>
        <w:ind w:left="420" w:hanging="420"/>
        <w:rPr>
          <w:rFonts w:eastAsia="黑体"/>
          <w:szCs w:val="24"/>
        </w:rPr>
      </w:pPr>
      <w:r>
        <w:rPr>
          <w:rFonts w:hint="eastAsia" w:eastAsia="黑体"/>
          <w:szCs w:val="24"/>
        </w:rPr>
        <w:t>七、教材、补充教材及参考资料</w:t>
      </w:r>
    </w:p>
    <w:p>
      <w:pPr>
        <w:adjustRightInd w:val="0"/>
        <w:snapToGrid w:val="0"/>
        <w:spacing w:line="360" w:lineRule="auto"/>
        <w:ind w:firstLine="420" w:firstLineChars="200"/>
        <w:rPr>
          <w:szCs w:val="24"/>
        </w:rPr>
      </w:pPr>
      <w:r>
        <w:rPr>
          <w:szCs w:val="24"/>
        </w:rPr>
        <w:t>1. 文献信息检索。凤元杰主编，陈文清范全青黄天青副主编。科学出版社。</w:t>
      </w:r>
    </w:p>
    <w:p>
      <w:pPr>
        <w:adjustRightInd w:val="0"/>
        <w:snapToGrid w:val="0"/>
        <w:spacing w:line="360" w:lineRule="auto"/>
        <w:ind w:firstLine="420" w:firstLineChars="200"/>
        <w:rPr>
          <w:szCs w:val="24"/>
        </w:rPr>
      </w:pPr>
      <w:r>
        <w:rPr>
          <w:szCs w:val="24"/>
        </w:rPr>
        <w:t>2. 文献信息检索与利用。陈冬花主编，王新荣王铭礼副主编。上海交通大学出版社。</w:t>
      </w:r>
    </w:p>
    <w:p>
      <w:pPr>
        <w:adjustRightInd w:val="0"/>
        <w:snapToGrid w:val="0"/>
        <w:spacing w:line="360" w:lineRule="auto"/>
        <w:ind w:firstLine="420" w:firstLineChars="200"/>
        <w:rPr>
          <w:sz w:val="18"/>
          <w:szCs w:val="18"/>
        </w:rPr>
      </w:pPr>
      <w:r>
        <w:rPr>
          <w:szCs w:val="24"/>
        </w:rPr>
        <w:t>3. 电子文献检索教程。胡光林李雪萍主编。上海交通大学出版社。</w:t>
      </w:r>
    </w:p>
    <w:p>
      <w:pPr>
        <w:adjustRightInd w:val="0"/>
        <w:snapToGrid w:val="0"/>
        <w:spacing w:line="360" w:lineRule="auto"/>
        <w:ind w:firstLine="420" w:firstLineChars="200"/>
        <w:rPr>
          <w:szCs w:val="24"/>
        </w:rPr>
      </w:pPr>
      <w:r>
        <w:rPr>
          <w:szCs w:val="24"/>
        </w:rPr>
        <w:t>4. 网络信息检索实用教程。邰峻，刘文科。电子工业出版社。2010-1-1。</w:t>
      </w:r>
    </w:p>
    <w:p>
      <w:pPr>
        <w:adjustRightInd w:val="0"/>
        <w:snapToGrid w:val="0"/>
        <w:spacing w:line="360" w:lineRule="auto"/>
        <w:ind w:firstLine="420" w:firstLineChars="200"/>
        <w:rPr>
          <w:szCs w:val="24"/>
        </w:rPr>
      </w:pPr>
    </w:p>
    <w:p>
      <w:pPr>
        <w:tabs>
          <w:tab w:val="left" w:pos="420"/>
        </w:tabs>
        <w:spacing w:line="360" w:lineRule="auto"/>
        <w:ind w:left="420" w:hanging="420"/>
        <w:rPr>
          <w:rFonts w:eastAsia="黑体"/>
          <w:szCs w:val="24"/>
        </w:rPr>
      </w:pPr>
      <w:r>
        <w:rPr>
          <w:rFonts w:hint="eastAsia" w:eastAsia="黑体"/>
          <w:szCs w:val="24"/>
        </w:rPr>
        <w:t>八、课程目标达成的途径和措施</w:t>
      </w:r>
    </w:p>
    <w:p>
      <w:pPr>
        <w:adjustRightInd w:val="0"/>
        <w:snapToGrid w:val="0"/>
        <w:spacing w:line="360" w:lineRule="auto"/>
        <w:ind w:firstLine="420" w:firstLineChars="200"/>
        <w:rPr>
          <w:szCs w:val="24"/>
        </w:rPr>
      </w:pPr>
      <w:r>
        <w:rPr>
          <w:szCs w:val="24"/>
        </w:rPr>
        <w:t>1、考核目标：在考核学生对文献信息检索基本原理和方法的基础上，重点考核学生综合运用中外文数据库搜索的运用能力、搜索引擎、以及现代外文网络工具进行综合检索的能力。</w:t>
      </w:r>
    </w:p>
    <w:p>
      <w:pPr>
        <w:adjustRightInd w:val="0"/>
        <w:snapToGrid w:val="0"/>
        <w:spacing w:line="360" w:lineRule="auto"/>
        <w:ind w:firstLine="420" w:firstLineChars="200"/>
        <w:rPr>
          <w:szCs w:val="24"/>
        </w:rPr>
      </w:pPr>
      <w:r>
        <w:rPr>
          <w:szCs w:val="24"/>
        </w:rPr>
        <w:t>2、考核方式：作业、检索实验、课堂与检索报告</w:t>
      </w:r>
    </w:p>
    <w:p>
      <w:pPr>
        <w:adjustRightInd w:val="0"/>
        <w:snapToGrid w:val="0"/>
        <w:spacing w:line="360" w:lineRule="auto"/>
        <w:ind w:firstLine="420" w:firstLineChars="200"/>
        <w:rPr>
          <w:szCs w:val="24"/>
        </w:rPr>
      </w:pPr>
      <w:r>
        <w:rPr>
          <w:szCs w:val="24"/>
        </w:rPr>
        <w:t>3、评价环节对课程目标达成贡献率及支撑材料：</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807"/>
        <w:gridCol w:w="1728"/>
        <w:gridCol w:w="1728"/>
        <w:gridCol w:w="1728"/>
        <w:gridCol w:w="153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060" w:type="pct"/>
            <w:vAlign w:val="center"/>
          </w:tcPr>
          <w:p>
            <w:pPr>
              <w:widowControl/>
              <w:jc w:val="center"/>
              <w:rPr>
                <w:kern w:val="0"/>
                <w:sz w:val="18"/>
                <w:szCs w:val="18"/>
              </w:rPr>
            </w:pPr>
            <w:r>
              <w:rPr>
                <w:kern w:val="0"/>
                <w:sz w:val="18"/>
                <w:szCs w:val="18"/>
              </w:rPr>
              <w:t>考察环节</w:t>
            </w:r>
          </w:p>
        </w:tc>
        <w:tc>
          <w:tcPr>
            <w:tcW w:w="1013" w:type="pct"/>
            <w:vAlign w:val="center"/>
          </w:tcPr>
          <w:p>
            <w:pPr>
              <w:widowControl/>
              <w:jc w:val="center"/>
              <w:rPr>
                <w:kern w:val="0"/>
                <w:sz w:val="18"/>
                <w:szCs w:val="18"/>
              </w:rPr>
            </w:pPr>
            <w:r>
              <w:rPr>
                <w:kern w:val="0"/>
                <w:sz w:val="18"/>
                <w:szCs w:val="18"/>
              </w:rPr>
              <w:t>课堂</w:t>
            </w:r>
          </w:p>
        </w:tc>
        <w:tc>
          <w:tcPr>
            <w:tcW w:w="1013" w:type="pct"/>
            <w:shd w:val="clear" w:color="auto" w:fill="auto"/>
            <w:vAlign w:val="center"/>
          </w:tcPr>
          <w:p>
            <w:pPr>
              <w:widowControl/>
              <w:jc w:val="center"/>
              <w:rPr>
                <w:kern w:val="0"/>
                <w:sz w:val="18"/>
                <w:szCs w:val="18"/>
              </w:rPr>
            </w:pPr>
            <w:r>
              <w:rPr>
                <w:kern w:val="0"/>
                <w:sz w:val="18"/>
                <w:szCs w:val="18"/>
              </w:rPr>
              <w:t>作业</w:t>
            </w:r>
          </w:p>
        </w:tc>
        <w:tc>
          <w:tcPr>
            <w:tcW w:w="1013" w:type="pct"/>
            <w:shd w:val="clear" w:color="auto" w:fill="auto"/>
            <w:vAlign w:val="center"/>
          </w:tcPr>
          <w:p>
            <w:pPr>
              <w:widowControl/>
              <w:jc w:val="center"/>
              <w:rPr>
                <w:kern w:val="0"/>
                <w:sz w:val="18"/>
                <w:szCs w:val="18"/>
              </w:rPr>
            </w:pPr>
            <w:r>
              <w:rPr>
                <w:kern w:val="0"/>
                <w:sz w:val="18"/>
                <w:szCs w:val="18"/>
              </w:rPr>
              <w:t>检索实验</w:t>
            </w:r>
          </w:p>
        </w:tc>
        <w:tc>
          <w:tcPr>
            <w:tcW w:w="901" w:type="pct"/>
            <w:shd w:val="clear" w:color="auto" w:fill="auto"/>
            <w:vAlign w:val="center"/>
          </w:tcPr>
          <w:p>
            <w:pPr>
              <w:widowControl/>
              <w:jc w:val="center"/>
              <w:rPr>
                <w:kern w:val="0"/>
                <w:sz w:val="18"/>
                <w:szCs w:val="18"/>
              </w:rPr>
            </w:pPr>
            <w:r>
              <w:rPr>
                <w:kern w:val="0"/>
                <w:sz w:val="18"/>
                <w:szCs w:val="18"/>
              </w:rPr>
              <w:t>综合性报告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060" w:type="pct"/>
            <w:vAlign w:val="center"/>
          </w:tcPr>
          <w:p>
            <w:pPr>
              <w:widowControl/>
              <w:jc w:val="center"/>
              <w:rPr>
                <w:kern w:val="0"/>
                <w:sz w:val="18"/>
                <w:szCs w:val="18"/>
              </w:rPr>
            </w:pPr>
            <w:r>
              <w:rPr>
                <w:kern w:val="0"/>
                <w:sz w:val="18"/>
                <w:szCs w:val="18"/>
              </w:rPr>
              <w:t>课程目标达成</w:t>
            </w:r>
          </w:p>
          <w:p>
            <w:pPr>
              <w:widowControl/>
              <w:jc w:val="center"/>
              <w:rPr>
                <w:kern w:val="0"/>
                <w:sz w:val="18"/>
                <w:szCs w:val="18"/>
              </w:rPr>
            </w:pPr>
            <w:r>
              <w:rPr>
                <w:kern w:val="0"/>
                <w:sz w:val="18"/>
                <w:szCs w:val="18"/>
              </w:rPr>
              <w:t>的贡献率</w:t>
            </w:r>
          </w:p>
        </w:tc>
        <w:tc>
          <w:tcPr>
            <w:tcW w:w="1013" w:type="pct"/>
            <w:vAlign w:val="center"/>
          </w:tcPr>
          <w:p>
            <w:pPr>
              <w:jc w:val="center"/>
              <w:rPr>
                <w:sz w:val="18"/>
                <w:szCs w:val="18"/>
              </w:rPr>
            </w:pPr>
            <w:r>
              <w:rPr>
                <w:sz w:val="18"/>
                <w:szCs w:val="18"/>
              </w:rPr>
              <w:t>0.16</w:t>
            </w:r>
          </w:p>
        </w:tc>
        <w:tc>
          <w:tcPr>
            <w:tcW w:w="1013" w:type="pct"/>
            <w:shd w:val="clear" w:color="auto" w:fill="auto"/>
            <w:vAlign w:val="center"/>
          </w:tcPr>
          <w:p>
            <w:pPr>
              <w:jc w:val="center"/>
              <w:rPr>
                <w:sz w:val="18"/>
                <w:szCs w:val="18"/>
              </w:rPr>
            </w:pPr>
            <w:r>
              <w:rPr>
                <w:sz w:val="18"/>
                <w:szCs w:val="18"/>
              </w:rPr>
              <w:t>0.1</w:t>
            </w:r>
            <w:r>
              <w:rPr>
                <w:rFonts w:hint="eastAsia"/>
                <w:sz w:val="18"/>
                <w:szCs w:val="18"/>
              </w:rPr>
              <w:t>6</w:t>
            </w:r>
          </w:p>
        </w:tc>
        <w:tc>
          <w:tcPr>
            <w:tcW w:w="1013" w:type="pct"/>
            <w:shd w:val="clear" w:color="auto" w:fill="auto"/>
            <w:vAlign w:val="center"/>
          </w:tcPr>
          <w:p>
            <w:pPr>
              <w:jc w:val="center"/>
              <w:rPr>
                <w:sz w:val="18"/>
                <w:szCs w:val="18"/>
              </w:rPr>
            </w:pPr>
            <w:r>
              <w:rPr>
                <w:sz w:val="18"/>
                <w:szCs w:val="18"/>
              </w:rPr>
              <w:t>0.2</w:t>
            </w:r>
            <w:r>
              <w:rPr>
                <w:rFonts w:hint="eastAsia"/>
                <w:sz w:val="18"/>
                <w:szCs w:val="18"/>
              </w:rPr>
              <w:t>2</w:t>
            </w:r>
          </w:p>
        </w:tc>
        <w:tc>
          <w:tcPr>
            <w:tcW w:w="901" w:type="pct"/>
            <w:shd w:val="clear" w:color="auto" w:fill="auto"/>
            <w:vAlign w:val="center"/>
          </w:tcPr>
          <w:p>
            <w:pPr>
              <w:jc w:val="center"/>
              <w:rPr>
                <w:sz w:val="18"/>
                <w:szCs w:val="18"/>
              </w:rPr>
            </w:pPr>
            <w:r>
              <w:rPr>
                <w:sz w:val="18"/>
                <w:szCs w:val="18"/>
              </w:rPr>
              <w:t>0.4</w:t>
            </w:r>
            <w:r>
              <w:rPr>
                <w:rFonts w:hint="eastAsia"/>
                <w:sz w:val="18"/>
                <w:szCs w:val="18"/>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060" w:type="pct"/>
            <w:vAlign w:val="center"/>
          </w:tcPr>
          <w:p>
            <w:pPr>
              <w:widowControl/>
              <w:jc w:val="center"/>
              <w:rPr>
                <w:kern w:val="0"/>
                <w:sz w:val="18"/>
                <w:szCs w:val="18"/>
              </w:rPr>
            </w:pPr>
            <w:r>
              <w:rPr>
                <w:kern w:val="0"/>
                <w:sz w:val="18"/>
                <w:szCs w:val="18"/>
              </w:rPr>
              <w:t>支撑材料</w:t>
            </w:r>
          </w:p>
        </w:tc>
        <w:tc>
          <w:tcPr>
            <w:tcW w:w="1013" w:type="pct"/>
            <w:vAlign w:val="center"/>
          </w:tcPr>
          <w:p>
            <w:pPr>
              <w:widowControl/>
              <w:jc w:val="center"/>
              <w:rPr>
                <w:kern w:val="0"/>
                <w:sz w:val="18"/>
                <w:szCs w:val="18"/>
              </w:rPr>
            </w:pPr>
            <w:r>
              <w:rPr>
                <w:kern w:val="0"/>
                <w:sz w:val="18"/>
                <w:szCs w:val="18"/>
              </w:rPr>
              <w:t>课堂情况记录表、学生出勤表</w:t>
            </w:r>
          </w:p>
        </w:tc>
        <w:tc>
          <w:tcPr>
            <w:tcW w:w="1013" w:type="pct"/>
            <w:shd w:val="clear" w:color="auto" w:fill="auto"/>
            <w:vAlign w:val="center"/>
          </w:tcPr>
          <w:p>
            <w:pPr>
              <w:widowControl/>
              <w:jc w:val="center"/>
              <w:rPr>
                <w:kern w:val="0"/>
                <w:sz w:val="18"/>
                <w:szCs w:val="18"/>
              </w:rPr>
            </w:pPr>
            <w:r>
              <w:rPr>
                <w:kern w:val="0"/>
                <w:sz w:val="18"/>
                <w:szCs w:val="18"/>
              </w:rPr>
              <w:t>作业评价标准、作业评分登记表</w:t>
            </w:r>
          </w:p>
        </w:tc>
        <w:tc>
          <w:tcPr>
            <w:tcW w:w="1013" w:type="pct"/>
            <w:shd w:val="clear" w:color="auto" w:fill="auto"/>
            <w:vAlign w:val="center"/>
          </w:tcPr>
          <w:p>
            <w:pPr>
              <w:widowControl/>
              <w:jc w:val="center"/>
              <w:rPr>
                <w:kern w:val="0"/>
                <w:sz w:val="18"/>
                <w:szCs w:val="18"/>
              </w:rPr>
            </w:pPr>
            <w:r>
              <w:rPr>
                <w:rFonts w:hint="eastAsia"/>
                <w:color w:val="121212"/>
                <w:kern w:val="0"/>
                <w:sz w:val="18"/>
              </w:rPr>
              <w:t>检索实践作业</w:t>
            </w:r>
            <w:r>
              <w:rPr>
                <w:color w:val="121212"/>
                <w:kern w:val="0"/>
                <w:sz w:val="18"/>
              </w:rPr>
              <w:t>评价标准，</w:t>
            </w:r>
            <w:r>
              <w:rPr>
                <w:rFonts w:hint="eastAsia"/>
                <w:color w:val="121212"/>
                <w:kern w:val="0"/>
                <w:sz w:val="18"/>
              </w:rPr>
              <w:t>作业报告</w:t>
            </w:r>
            <w:r>
              <w:rPr>
                <w:color w:val="121212"/>
                <w:kern w:val="0"/>
                <w:sz w:val="18"/>
              </w:rPr>
              <w:t>（可以提交电子版）</w:t>
            </w:r>
          </w:p>
        </w:tc>
        <w:tc>
          <w:tcPr>
            <w:tcW w:w="901" w:type="pct"/>
            <w:shd w:val="clear" w:color="auto" w:fill="auto"/>
            <w:vAlign w:val="center"/>
          </w:tcPr>
          <w:p>
            <w:pPr>
              <w:widowControl/>
              <w:jc w:val="center"/>
              <w:rPr>
                <w:kern w:val="0"/>
                <w:sz w:val="18"/>
                <w:szCs w:val="18"/>
              </w:rPr>
            </w:pPr>
            <w:r>
              <w:rPr>
                <w:kern w:val="0"/>
                <w:sz w:val="18"/>
                <w:szCs w:val="18"/>
              </w:rPr>
              <w:t>综合性报告评价标准，综合性报告评分登记表，典型综合性报告</w:t>
            </w:r>
          </w:p>
        </w:tc>
      </w:tr>
    </w:tbl>
    <w:p>
      <w:pPr>
        <w:pStyle w:val="44"/>
        <w:widowControl/>
        <w:spacing w:line="360" w:lineRule="auto"/>
        <w:ind w:firstLine="0" w:firstLineChars="0"/>
        <w:jc w:val="left"/>
        <w:rPr>
          <w:rFonts w:eastAsia="黑体"/>
          <w:szCs w:val="24"/>
        </w:rPr>
      </w:pPr>
    </w:p>
    <w:p>
      <w:pPr>
        <w:tabs>
          <w:tab w:val="left" w:pos="420"/>
        </w:tabs>
        <w:adjustRightInd w:val="0"/>
        <w:snapToGrid w:val="0"/>
        <w:spacing w:line="360" w:lineRule="auto"/>
        <w:ind w:left="420" w:hanging="420"/>
        <w:rPr>
          <w:rFonts w:ascii="宋体" w:hAnsi="宋体"/>
          <w:sz w:val="18"/>
          <w:szCs w:val="18"/>
        </w:rPr>
      </w:pPr>
      <w:r>
        <w:rPr>
          <w:rFonts w:eastAsia="黑体"/>
          <w:szCs w:val="24"/>
        </w:rPr>
        <w:t>九</w:t>
      </w:r>
      <w:r>
        <w:rPr>
          <w:rFonts w:hint="eastAsia" w:eastAsia="黑体"/>
          <w:szCs w:val="24"/>
        </w:rPr>
        <w:t>、覆盖课程目标达成评价的知识点及权重</w:t>
      </w:r>
      <w:r>
        <w:drawing>
          <wp:anchor distT="0" distB="0" distL="114300" distR="114300" simplePos="0" relativeHeight="251683840" behindDoc="0" locked="0" layoutInCell="1" allowOverlap="1">
            <wp:simplePos x="0" y="0"/>
            <wp:positionH relativeFrom="character">
              <wp:posOffset>1545590</wp:posOffset>
            </wp:positionH>
            <wp:positionV relativeFrom="line">
              <wp:posOffset>-256540</wp:posOffset>
            </wp:positionV>
            <wp:extent cx="57150" cy="23495"/>
            <wp:effectExtent l="19050" t="19050" r="19050" b="14605"/>
            <wp:wrapNone/>
            <wp:docPr id="274" name="图片 274"/>
            <wp:cNvGraphicFramePr/>
            <a:graphic xmlns:a="http://schemas.openxmlformats.org/drawingml/2006/main">
              <a:graphicData uri="http://schemas.openxmlformats.org/drawingml/2006/picture">
                <pic:pic xmlns:pic="http://schemas.openxmlformats.org/drawingml/2006/picture">
                  <pic:nvPicPr>
                    <pic:cNvPr id="274" name="图片 274"/>
                    <pic:cNvPicPr preferRelativeResize="0">
                      <a:picLocks noChangeArrowheads="1"/>
                    </pic:cNvPicPr>
                  </pic:nvPicPr>
                  <pic:blipFill>
                    <a:blip r:embed="rId245">
                      <a:extLst>
                        <a:ext uri="{28A0092B-C50C-407E-A947-70E740481C1C}">
                          <a14:useLocalDpi xmlns:a14="http://schemas.microsoft.com/office/drawing/2010/main" val="0"/>
                        </a:ext>
                      </a:extLst>
                    </a:blip>
                    <a:srcRect/>
                    <a:stretch>
                      <a:fillRect/>
                    </a:stretch>
                  </pic:blipFill>
                  <pic:spPr>
                    <a:xfrm>
                      <a:off x="0" y="0"/>
                      <a:ext cx="57150" cy="23495"/>
                    </a:xfrm>
                    <a:prstGeom prst="rect">
                      <a:avLst/>
                    </a:prstGeom>
                    <a:solidFill>
                      <a:srgbClr val="FFFFFF"/>
                    </a:solidFill>
                    <a:ln w="9525">
                      <a:solidFill>
                        <a:srgbClr val="000000"/>
                      </a:solidFill>
                      <a:round/>
                    </a:ln>
                  </pic:spPr>
                </pic:pic>
              </a:graphicData>
            </a:graphic>
          </wp:anchor>
        </w:drawing>
      </w:r>
    </w:p>
    <w:tbl>
      <w:tblPr>
        <w:tblStyle w:val="20"/>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824"/>
        <w:gridCol w:w="1559"/>
        <w:gridCol w:w="314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242" w:type="pct"/>
            <w:vAlign w:val="center"/>
          </w:tcPr>
          <w:p>
            <w:pPr>
              <w:jc w:val="center"/>
              <w:rPr>
                <w:sz w:val="18"/>
                <w:szCs w:val="18"/>
              </w:rPr>
            </w:pPr>
            <w:r>
              <w:rPr>
                <w:sz w:val="18"/>
                <w:szCs w:val="18"/>
              </w:rPr>
              <w:t>知识点</w:t>
            </w:r>
          </w:p>
        </w:tc>
        <w:tc>
          <w:tcPr>
            <w:tcW w:w="914" w:type="pct"/>
            <w:vAlign w:val="center"/>
          </w:tcPr>
          <w:p>
            <w:pPr>
              <w:jc w:val="center"/>
              <w:rPr>
                <w:sz w:val="18"/>
                <w:szCs w:val="18"/>
              </w:rPr>
            </w:pPr>
            <w:r>
              <w:rPr>
                <w:sz w:val="18"/>
                <w:szCs w:val="18"/>
              </w:rPr>
              <w:t>权重</w:t>
            </w:r>
          </w:p>
        </w:tc>
        <w:tc>
          <w:tcPr>
            <w:tcW w:w="1845" w:type="pct"/>
            <w:vAlign w:val="center"/>
          </w:tcPr>
          <w:p>
            <w:pPr>
              <w:jc w:val="center"/>
              <w:rPr>
                <w:sz w:val="18"/>
                <w:szCs w:val="18"/>
              </w:rPr>
            </w:pPr>
            <w:r>
              <w:rPr>
                <w:sz w:val="18"/>
                <w:szCs w:val="18"/>
              </w:rPr>
              <w:t>支撑课程目标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2242" w:type="pct"/>
            <w:vAlign w:val="center"/>
          </w:tcPr>
          <w:p>
            <w:pPr>
              <w:rPr>
                <w:b/>
                <w:sz w:val="18"/>
                <w:szCs w:val="18"/>
              </w:rPr>
            </w:pPr>
            <w:r>
              <w:rPr>
                <w:rFonts w:hint="eastAsia"/>
                <w:sz w:val="18"/>
                <w:szCs w:val="18"/>
              </w:rPr>
              <w:t>1、信息检索基础的基本概念及基础知识</w:t>
            </w:r>
          </w:p>
        </w:tc>
        <w:tc>
          <w:tcPr>
            <w:tcW w:w="914" w:type="pct"/>
            <w:vAlign w:val="center"/>
          </w:tcPr>
          <w:p>
            <w:pPr>
              <w:jc w:val="center"/>
              <w:rPr>
                <w:sz w:val="18"/>
                <w:szCs w:val="18"/>
              </w:rPr>
            </w:pPr>
            <w:r>
              <w:rPr>
                <w:rFonts w:hint="eastAsia"/>
                <w:sz w:val="18"/>
                <w:szCs w:val="18"/>
              </w:rPr>
              <w:t>0.</w:t>
            </w:r>
            <w:r>
              <w:rPr>
                <w:sz w:val="18"/>
                <w:szCs w:val="18"/>
              </w:rPr>
              <w:t>10</w:t>
            </w:r>
          </w:p>
        </w:tc>
        <w:tc>
          <w:tcPr>
            <w:tcW w:w="1845" w:type="pct"/>
            <w:vAlign w:val="center"/>
          </w:tcPr>
          <w:p>
            <w:pPr>
              <w:jc w:val="center"/>
              <w:rPr>
                <w:bCs/>
                <w:sz w:val="18"/>
                <w:szCs w:val="18"/>
              </w:rPr>
            </w:pPr>
            <w:r>
              <w:rPr>
                <w:rFonts w:hint="eastAsia"/>
                <w:bCs/>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2242" w:type="pct"/>
            <w:vAlign w:val="center"/>
          </w:tcPr>
          <w:p>
            <w:pPr>
              <w:rPr>
                <w:sz w:val="18"/>
                <w:szCs w:val="18"/>
              </w:rPr>
            </w:pPr>
            <w:r>
              <w:rPr>
                <w:rFonts w:hint="eastAsia"/>
                <w:sz w:val="18"/>
                <w:szCs w:val="18"/>
              </w:rPr>
              <w:t>2、常用中文数据库检索方法</w:t>
            </w:r>
          </w:p>
        </w:tc>
        <w:tc>
          <w:tcPr>
            <w:tcW w:w="914" w:type="pct"/>
            <w:vAlign w:val="center"/>
          </w:tcPr>
          <w:p>
            <w:pPr>
              <w:jc w:val="center"/>
              <w:rPr>
                <w:sz w:val="18"/>
                <w:szCs w:val="18"/>
              </w:rPr>
            </w:pPr>
            <w:r>
              <w:rPr>
                <w:rFonts w:hint="eastAsia"/>
                <w:sz w:val="18"/>
                <w:szCs w:val="18"/>
              </w:rPr>
              <w:t>0.2</w:t>
            </w:r>
          </w:p>
        </w:tc>
        <w:tc>
          <w:tcPr>
            <w:tcW w:w="1845" w:type="pct"/>
            <w:vAlign w:val="center"/>
          </w:tcPr>
          <w:p>
            <w:pPr>
              <w:jc w:val="center"/>
              <w:rPr>
                <w:bCs/>
                <w:sz w:val="18"/>
                <w:szCs w:val="18"/>
              </w:rPr>
            </w:pPr>
            <w:r>
              <w:rPr>
                <w:rFonts w:hint="eastAsia"/>
                <w:bCs/>
                <w:sz w:val="18"/>
                <w:szCs w:val="18"/>
              </w:rPr>
              <w:t>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242" w:type="pct"/>
            <w:vAlign w:val="center"/>
          </w:tcPr>
          <w:p>
            <w:pPr>
              <w:rPr>
                <w:sz w:val="18"/>
                <w:szCs w:val="18"/>
              </w:rPr>
            </w:pPr>
            <w:r>
              <w:rPr>
                <w:rFonts w:hint="eastAsia"/>
                <w:sz w:val="18"/>
                <w:szCs w:val="18"/>
              </w:rPr>
              <w:t>3、常用英文数据库检索方法</w:t>
            </w:r>
          </w:p>
        </w:tc>
        <w:tc>
          <w:tcPr>
            <w:tcW w:w="914" w:type="pct"/>
            <w:vAlign w:val="center"/>
          </w:tcPr>
          <w:p>
            <w:pPr>
              <w:jc w:val="center"/>
              <w:rPr>
                <w:sz w:val="18"/>
                <w:szCs w:val="18"/>
              </w:rPr>
            </w:pPr>
            <w:r>
              <w:rPr>
                <w:rFonts w:hint="eastAsia"/>
                <w:sz w:val="18"/>
                <w:szCs w:val="18"/>
              </w:rPr>
              <w:t>0.2</w:t>
            </w:r>
          </w:p>
        </w:tc>
        <w:tc>
          <w:tcPr>
            <w:tcW w:w="1845" w:type="pct"/>
            <w:vAlign w:val="center"/>
          </w:tcPr>
          <w:p>
            <w:pPr>
              <w:jc w:val="center"/>
              <w:rPr>
                <w:bCs/>
                <w:sz w:val="18"/>
                <w:szCs w:val="18"/>
              </w:rPr>
            </w:pPr>
            <w:r>
              <w:rPr>
                <w:rFonts w:hint="eastAsia"/>
                <w:bCs/>
                <w:sz w:val="18"/>
                <w:szCs w:val="18"/>
              </w:rPr>
              <w:t>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2242" w:type="pct"/>
            <w:vAlign w:val="center"/>
          </w:tcPr>
          <w:p>
            <w:pPr>
              <w:rPr>
                <w:sz w:val="18"/>
                <w:szCs w:val="18"/>
              </w:rPr>
            </w:pPr>
            <w:r>
              <w:rPr>
                <w:rFonts w:hint="eastAsia"/>
                <w:sz w:val="18"/>
                <w:szCs w:val="18"/>
              </w:rPr>
              <w:t>4、常用网络数据库检索方法</w:t>
            </w:r>
          </w:p>
        </w:tc>
        <w:tc>
          <w:tcPr>
            <w:tcW w:w="914" w:type="pct"/>
            <w:vAlign w:val="center"/>
          </w:tcPr>
          <w:p>
            <w:pPr>
              <w:jc w:val="center"/>
              <w:rPr>
                <w:sz w:val="18"/>
                <w:szCs w:val="18"/>
              </w:rPr>
            </w:pPr>
            <w:r>
              <w:rPr>
                <w:rFonts w:hint="eastAsia"/>
                <w:sz w:val="18"/>
                <w:szCs w:val="18"/>
              </w:rPr>
              <w:t>0.2</w:t>
            </w:r>
          </w:p>
        </w:tc>
        <w:tc>
          <w:tcPr>
            <w:tcW w:w="1845" w:type="pct"/>
            <w:vAlign w:val="center"/>
          </w:tcPr>
          <w:p>
            <w:pPr>
              <w:jc w:val="center"/>
              <w:rPr>
                <w:bCs/>
                <w:sz w:val="18"/>
                <w:szCs w:val="18"/>
              </w:rPr>
            </w:pPr>
            <w:r>
              <w:rPr>
                <w:rFonts w:hint="eastAsia"/>
                <w:bCs/>
                <w:sz w:val="18"/>
                <w:szCs w:val="18"/>
              </w:rPr>
              <w:t>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2242" w:type="pct"/>
            <w:vAlign w:val="center"/>
          </w:tcPr>
          <w:p>
            <w:pPr>
              <w:rPr>
                <w:sz w:val="18"/>
                <w:szCs w:val="18"/>
              </w:rPr>
            </w:pPr>
            <w:r>
              <w:rPr>
                <w:sz w:val="18"/>
                <w:szCs w:val="18"/>
              </w:rPr>
              <w:t>5</w:t>
            </w:r>
            <w:r>
              <w:rPr>
                <w:rFonts w:hint="eastAsia"/>
                <w:sz w:val="18"/>
                <w:szCs w:val="18"/>
              </w:rPr>
              <w:t>、综合检索方法及报告写作</w:t>
            </w:r>
          </w:p>
        </w:tc>
        <w:tc>
          <w:tcPr>
            <w:tcW w:w="914" w:type="pct"/>
            <w:vAlign w:val="center"/>
          </w:tcPr>
          <w:p>
            <w:pPr>
              <w:jc w:val="center"/>
              <w:rPr>
                <w:sz w:val="18"/>
                <w:szCs w:val="18"/>
              </w:rPr>
            </w:pPr>
            <w:r>
              <w:rPr>
                <w:rFonts w:hint="eastAsia"/>
                <w:sz w:val="18"/>
                <w:szCs w:val="18"/>
              </w:rPr>
              <w:t>0.3</w:t>
            </w:r>
          </w:p>
        </w:tc>
        <w:tc>
          <w:tcPr>
            <w:tcW w:w="1845" w:type="pct"/>
            <w:vAlign w:val="center"/>
          </w:tcPr>
          <w:p>
            <w:pPr>
              <w:jc w:val="center"/>
              <w:rPr>
                <w:bCs/>
                <w:sz w:val="18"/>
                <w:szCs w:val="18"/>
              </w:rPr>
            </w:pPr>
            <w:r>
              <w:rPr>
                <w:bCs/>
                <w:sz w:val="18"/>
                <w:szCs w:val="18"/>
              </w:rPr>
              <w:t>3</w:t>
            </w:r>
          </w:p>
        </w:tc>
      </w:tr>
    </w:tbl>
    <w:p>
      <w:pPr>
        <w:spacing w:before="120" w:beforeLines="50" w:line="360" w:lineRule="auto"/>
        <w:ind w:firstLine="630" w:firstLineChars="300"/>
        <w:rPr>
          <w:color w:val="000000"/>
          <w:sz w:val="24"/>
          <w:szCs w:val="24"/>
        </w:rPr>
        <w:sectPr>
          <w:headerReference r:id="rId77" w:type="first"/>
          <w:footerReference r:id="rId80" w:type="first"/>
          <w:headerReference r:id="rId75" w:type="default"/>
          <w:footerReference r:id="rId78" w:type="default"/>
          <w:headerReference r:id="rId76" w:type="even"/>
          <w:footerReference r:id="rId79" w:type="even"/>
          <w:pgSz w:w="11906" w:h="16838"/>
          <w:pgMar w:top="1440" w:right="1797" w:bottom="1440" w:left="1797" w:header="851" w:footer="992" w:gutter="0"/>
          <w:pgNumType w:fmt="decimal"/>
          <w:cols w:space="425" w:num="1"/>
          <w:docGrid w:linePitch="312" w:charSpace="0"/>
        </w:sectPr>
      </w:pPr>
      <w:r>
        <w:rPr>
          <w:rFonts w:hint="eastAsia" w:ascii="宋体" w:hAnsi="宋体" w:cs="宋体"/>
          <w:szCs w:val="21"/>
        </w:rPr>
        <w:t>本课程不可以申请免修。</w:t>
      </w:r>
    </w:p>
    <w:p>
      <w:pPr>
        <w:tabs>
          <w:tab w:val="left" w:pos="420"/>
        </w:tabs>
        <w:adjustRightInd w:val="0"/>
        <w:snapToGrid w:val="0"/>
        <w:spacing w:line="360" w:lineRule="auto"/>
        <w:ind w:left="420" w:hanging="420"/>
        <w:rPr>
          <w:rFonts w:eastAsia="黑体"/>
          <w:szCs w:val="24"/>
        </w:rPr>
      </w:pPr>
      <w:r>
        <w:rPr>
          <w:rFonts w:hint="eastAsia" w:eastAsia="黑体"/>
          <w:szCs w:val="24"/>
        </w:rPr>
        <w:t>十、课程目标达成评价</w:t>
      </w:r>
    </w:p>
    <w:p>
      <w:pPr>
        <w:spacing w:line="360" w:lineRule="auto"/>
        <w:ind w:firstLine="420" w:firstLineChars="200"/>
        <w:jc w:val="center"/>
      </w:pPr>
      <w:r>
        <w:rPr>
          <w:rFonts w:hint="eastAsia"/>
        </w:rPr>
        <w:t>各环节对课程目标达成评价所使用到的权重占比分配及考核权重分配</w:t>
      </w:r>
    </w:p>
    <w:tbl>
      <w:tblPr>
        <w:tblStyle w:val="19"/>
        <w:tblW w:w="5000" w:type="pct"/>
        <w:jc w:val="center"/>
        <w:tblLayout w:type="autofit"/>
        <w:tblCellMar>
          <w:top w:w="0" w:type="dxa"/>
          <w:left w:w="108" w:type="dxa"/>
          <w:bottom w:w="0" w:type="dxa"/>
          <w:right w:w="108" w:type="dxa"/>
        </w:tblCellMar>
      </w:tblPr>
      <w:tblGrid>
        <w:gridCol w:w="798"/>
        <w:gridCol w:w="1134"/>
        <w:gridCol w:w="967"/>
        <w:gridCol w:w="967"/>
        <w:gridCol w:w="1128"/>
        <w:gridCol w:w="1128"/>
        <w:gridCol w:w="1128"/>
        <w:gridCol w:w="967"/>
        <w:gridCol w:w="967"/>
        <w:gridCol w:w="1128"/>
        <w:gridCol w:w="967"/>
        <w:gridCol w:w="967"/>
        <w:gridCol w:w="967"/>
        <w:gridCol w:w="961"/>
      </w:tblGrid>
      <w:tr>
        <w:tblPrEx>
          <w:tblCellMar>
            <w:top w:w="0" w:type="dxa"/>
            <w:left w:w="108" w:type="dxa"/>
            <w:bottom w:w="0" w:type="dxa"/>
            <w:right w:w="108" w:type="dxa"/>
          </w:tblCellMar>
        </w:tblPrEx>
        <w:trPr>
          <w:trHeight w:val="1015" w:hRule="atLeast"/>
          <w:jc w:val="center"/>
        </w:trPr>
        <w:tc>
          <w:tcPr>
            <w:tcW w:w="282"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课程目标</w:t>
            </w:r>
          </w:p>
        </w:tc>
        <w:tc>
          <w:tcPr>
            <w:tcW w:w="400"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知识面比例</w:t>
            </w:r>
          </w:p>
          <w:p>
            <w:pPr>
              <w:widowControl/>
              <w:jc w:val="center"/>
              <w:rPr>
                <w:rFonts w:ascii="宋体" w:hAnsi="宋体" w:cs="宋体"/>
                <w:kern w:val="0"/>
                <w:sz w:val="18"/>
                <w:szCs w:val="18"/>
              </w:rPr>
            </w:pPr>
            <w:r>
              <w:rPr>
                <w:rFonts w:hint="eastAsia" w:ascii="宋体" w:hAnsi="宋体" w:cs="宋体"/>
                <w:kern w:val="0"/>
                <w:sz w:val="18"/>
                <w:szCs w:val="18"/>
              </w:rPr>
              <w:t>（本列总和为1）</w:t>
            </w:r>
          </w:p>
          <w:p>
            <w:pPr>
              <w:widowControl/>
              <w:jc w:val="center"/>
              <w:rPr>
                <w:rFonts w:ascii="宋体" w:hAnsi="宋体" w:cs="宋体"/>
                <w:i/>
                <w:kern w:val="0"/>
                <w:sz w:val="18"/>
                <w:szCs w:val="18"/>
              </w:rPr>
            </w:pPr>
            <w:r>
              <w:rPr>
                <w:rFonts w:hint="eastAsia" w:ascii="宋体" w:hAnsi="宋体" w:cs="宋体"/>
                <w:i/>
                <w:kern w:val="0"/>
                <w:sz w:val="18"/>
                <w:szCs w:val="18"/>
              </w:rPr>
              <w:t>P</w:t>
            </w:r>
            <w:r>
              <w:rPr>
                <w:rFonts w:hint="eastAsia" w:ascii="宋体" w:hAnsi="宋体" w:cs="宋体"/>
                <w:i/>
                <w:kern w:val="0"/>
                <w:sz w:val="18"/>
                <w:szCs w:val="18"/>
                <w:vertAlign w:val="subscript"/>
              </w:rPr>
              <w:t>i</w:t>
            </w:r>
          </w:p>
        </w:tc>
        <w:tc>
          <w:tcPr>
            <w:tcW w:w="1477" w:type="pct"/>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sz w:val="18"/>
                <w:szCs w:val="18"/>
              </w:rPr>
              <w:t>各环节评价比例分配</w:t>
            </w:r>
            <w:r>
              <w:rPr>
                <w:rFonts w:hint="eastAsia" w:ascii="宋体" w:hAnsi="宋体"/>
                <w:sz w:val="18"/>
                <w:szCs w:val="18"/>
              </w:rPr>
              <w:br w:type="textWrapping"/>
            </w:r>
            <w:r>
              <w:rPr>
                <w:rFonts w:hint="eastAsia" w:ascii="宋体" w:hAnsi="宋体"/>
                <w:sz w:val="18"/>
                <w:szCs w:val="18"/>
              </w:rPr>
              <w:t>（每行总和为1）</w:t>
            </w:r>
            <w:r>
              <w:rPr>
                <w:rFonts w:hint="eastAsia" w:ascii="宋体" w:hAnsi="宋体"/>
                <w:sz w:val="18"/>
                <w:szCs w:val="18"/>
              </w:rPr>
              <w:br w:type="textWrapping"/>
            </w:r>
            <w:r>
              <w:rPr>
                <w:rFonts w:hint="eastAsia" w:ascii="宋体" w:hAnsi="宋体"/>
                <w:i/>
                <w:sz w:val="18"/>
                <w:szCs w:val="18"/>
              </w:rPr>
              <w:t>W</w:t>
            </w:r>
            <w:r>
              <w:rPr>
                <w:rFonts w:hint="eastAsia" w:ascii="宋体" w:hAnsi="宋体"/>
                <w:i/>
                <w:sz w:val="18"/>
                <w:szCs w:val="18"/>
                <w:vertAlign w:val="subscript"/>
              </w:rPr>
              <w:t>ik</w:t>
            </w:r>
          </w:p>
        </w:tc>
        <w:tc>
          <w:tcPr>
            <w:tcW w:w="1477" w:type="pct"/>
            <w:gridSpan w:val="4"/>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各环节在课程达成中的占比</w:t>
            </w:r>
            <w:r>
              <w:rPr>
                <w:rFonts w:hint="eastAsia" w:ascii="宋体" w:hAnsi="宋体"/>
                <w:sz w:val="18"/>
                <w:szCs w:val="18"/>
              </w:rPr>
              <w:br w:type="textWrapping"/>
            </w:r>
            <w:r>
              <w:rPr>
                <w:rFonts w:hint="eastAsia" w:ascii="宋体" w:hAnsi="宋体"/>
                <w:sz w:val="18"/>
                <w:szCs w:val="18"/>
              </w:rPr>
              <w:t>（所有行列总和为1）</w:t>
            </w:r>
            <w:r>
              <w:rPr>
                <w:rFonts w:hint="eastAsia" w:ascii="宋体" w:hAnsi="宋体"/>
                <w:sz w:val="18"/>
                <w:szCs w:val="18"/>
              </w:rPr>
              <w:br w:type="textWrapping"/>
            </w:r>
            <w:r>
              <w:rPr>
                <w:rFonts w:hint="eastAsia" w:ascii="宋体" w:hAnsi="宋体"/>
                <w:i/>
                <w:sz w:val="18"/>
                <w:szCs w:val="18"/>
              </w:rPr>
              <w:t>S</w:t>
            </w:r>
            <w:r>
              <w:rPr>
                <w:rFonts w:hint="eastAsia" w:ascii="宋体" w:hAnsi="宋体"/>
                <w:i/>
                <w:sz w:val="18"/>
                <w:szCs w:val="18"/>
                <w:vertAlign w:val="subscript"/>
              </w:rPr>
              <w:t>ik</w:t>
            </w:r>
            <w:r>
              <w:rPr>
                <w:rFonts w:hint="eastAsia" w:ascii="宋体" w:hAnsi="宋体"/>
                <w:i/>
                <w:sz w:val="18"/>
                <w:szCs w:val="18"/>
              </w:rPr>
              <w:t>=P</w:t>
            </w:r>
            <w:r>
              <w:rPr>
                <w:rFonts w:hint="eastAsia" w:ascii="宋体" w:hAnsi="宋体"/>
                <w:i/>
                <w:sz w:val="18"/>
                <w:szCs w:val="18"/>
                <w:vertAlign w:val="subscript"/>
              </w:rPr>
              <w:t>i</w:t>
            </w:r>
            <w:r>
              <w:rPr>
                <w:rFonts w:hint="eastAsia" w:ascii="宋体" w:hAnsi="宋体"/>
                <w:i/>
                <w:sz w:val="18"/>
                <w:szCs w:val="18"/>
              </w:rPr>
              <w:t>*W</w:t>
            </w:r>
            <w:r>
              <w:rPr>
                <w:rFonts w:hint="eastAsia" w:ascii="宋体" w:hAnsi="宋体"/>
                <w:i/>
                <w:sz w:val="18"/>
                <w:szCs w:val="18"/>
                <w:vertAlign w:val="subscript"/>
              </w:rPr>
              <w:t>ik</w:t>
            </w:r>
          </w:p>
        </w:tc>
        <w:tc>
          <w:tcPr>
            <w:tcW w:w="1364" w:type="pct"/>
            <w:gridSpan w:val="4"/>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各环节课程目标考核权重分布</w:t>
            </w:r>
          </w:p>
          <w:p>
            <w:pPr>
              <w:jc w:val="center"/>
              <w:rPr>
                <w:rFonts w:ascii="宋体" w:hAnsi="宋体"/>
                <w:sz w:val="18"/>
                <w:szCs w:val="18"/>
              </w:rPr>
            </w:pPr>
            <w:r>
              <w:rPr>
                <w:rFonts w:ascii="宋体" w:hAnsi="宋体"/>
                <w:sz w:val="18"/>
                <w:szCs w:val="18"/>
              </w:rPr>
              <w:t>（每一列总和为</w:t>
            </w:r>
            <w:r>
              <w:rPr>
                <w:rFonts w:hint="eastAsia" w:ascii="宋体" w:hAnsi="宋体"/>
                <w:sz w:val="18"/>
                <w:szCs w:val="18"/>
              </w:rPr>
              <w:t>1</w:t>
            </w:r>
            <w:r>
              <w:rPr>
                <w:rFonts w:ascii="宋体" w:hAnsi="宋体"/>
                <w:sz w:val="18"/>
                <w:szCs w:val="18"/>
              </w:rPr>
              <w:t>）</w:t>
            </w:r>
          </w:p>
          <w:p>
            <w:pPr>
              <w:jc w:val="center"/>
              <w:rPr>
                <w:rFonts w:ascii="宋体" w:hAnsi="宋体"/>
                <w:sz w:val="18"/>
                <w:szCs w:val="18"/>
              </w:rPr>
            </w:pPr>
            <w:r>
              <w:rPr>
                <w:rFonts w:hint="eastAsia" w:ascii="宋体" w:hAnsi="宋体"/>
                <w:i/>
                <w:sz w:val="18"/>
                <w:szCs w:val="18"/>
              </w:rPr>
              <w:t>E</w:t>
            </w:r>
            <w:r>
              <w:rPr>
                <w:rFonts w:hint="eastAsia" w:ascii="宋体" w:hAnsi="宋体"/>
                <w:i/>
                <w:sz w:val="18"/>
                <w:szCs w:val="18"/>
                <w:vertAlign w:val="subscript"/>
              </w:rPr>
              <w:t>ik</w:t>
            </w:r>
            <w:r>
              <w:rPr>
                <w:rFonts w:hint="eastAsia" w:ascii="宋体" w:hAnsi="宋体"/>
                <w:i/>
                <w:sz w:val="18"/>
                <w:szCs w:val="18"/>
              </w:rPr>
              <w:t>=</w:t>
            </w:r>
            <w:r>
              <w:rPr>
                <w:rFonts w:ascii="宋体" w:hAnsi="宋体"/>
                <w:i/>
                <w:sz w:val="18"/>
                <w:szCs w:val="18"/>
              </w:rPr>
              <w:t>S</w:t>
            </w:r>
            <w:r>
              <w:rPr>
                <w:rFonts w:ascii="宋体" w:hAnsi="宋体"/>
                <w:i/>
                <w:sz w:val="18"/>
                <w:szCs w:val="18"/>
                <w:vertAlign w:val="subscript"/>
              </w:rPr>
              <w:t>ik</w:t>
            </w:r>
            <w:r>
              <w:rPr>
                <w:rFonts w:ascii="宋体" w:hAnsi="宋体"/>
                <w:i/>
                <w:sz w:val="18"/>
                <w:szCs w:val="18"/>
              </w:rPr>
              <w:t>/M</w:t>
            </w:r>
            <w:r>
              <w:rPr>
                <w:rFonts w:ascii="宋体" w:hAnsi="宋体"/>
                <w:i/>
                <w:sz w:val="18"/>
                <w:szCs w:val="18"/>
                <w:vertAlign w:val="subscript"/>
              </w:rPr>
              <w:t>ik</w:t>
            </w:r>
          </w:p>
        </w:tc>
      </w:tr>
      <w:tr>
        <w:tblPrEx>
          <w:tblCellMar>
            <w:top w:w="0" w:type="dxa"/>
            <w:left w:w="108" w:type="dxa"/>
            <w:bottom w:w="0" w:type="dxa"/>
            <w:right w:w="108" w:type="dxa"/>
          </w:tblCellMar>
        </w:tblPrEx>
        <w:trPr>
          <w:trHeight w:val="986" w:hRule="atLeast"/>
          <w:jc w:val="center"/>
        </w:trPr>
        <w:tc>
          <w:tcPr>
            <w:tcW w:w="282"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c>
          <w:tcPr>
            <w:tcW w:w="40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i/>
                <w:kern w:val="0"/>
                <w:sz w:val="18"/>
                <w:szCs w:val="18"/>
              </w:rPr>
            </w:pPr>
          </w:p>
        </w:tc>
        <w:tc>
          <w:tcPr>
            <w:tcW w:w="341"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kern w:val="0"/>
                <w:sz w:val="18"/>
                <w:szCs w:val="18"/>
              </w:rPr>
              <w:t>课堂</w:t>
            </w:r>
          </w:p>
        </w:tc>
        <w:tc>
          <w:tcPr>
            <w:tcW w:w="341"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kern w:val="0"/>
                <w:sz w:val="18"/>
                <w:szCs w:val="18"/>
              </w:rPr>
              <w:t>作业</w:t>
            </w:r>
          </w:p>
        </w:tc>
        <w:tc>
          <w:tcPr>
            <w:tcW w:w="398"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kern w:val="0"/>
                <w:sz w:val="18"/>
                <w:szCs w:val="18"/>
              </w:rPr>
              <w:t>检索实验</w:t>
            </w:r>
          </w:p>
        </w:tc>
        <w:tc>
          <w:tcPr>
            <w:tcW w:w="398"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kern w:val="0"/>
                <w:sz w:val="18"/>
                <w:szCs w:val="18"/>
              </w:rPr>
              <w:t>综合性报告</w:t>
            </w:r>
          </w:p>
        </w:tc>
        <w:tc>
          <w:tcPr>
            <w:tcW w:w="398"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kern w:val="0"/>
                <w:sz w:val="18"/>
                <w:szCs w:val="18"/>
              </w:rPr>
              <w:t>课堂</w:t>
            </w:r>
          </w:p>
        </w:tc>
        <w:tc>
          <w:tcPr>
            <w:tcW w:w="341"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kern w:val="0"/>
                <w:sz w:val="18"/>
                <w:szCs w:val="18"/>
              </w:rPr>
              <w:t>作业</w:t>
            </w:r>
          </w:p>
        </w:tc>
        <w:tc>
          <w:tcPr>
            <w:tcW w:w="341"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kern w:val="0"/>
                <w:sz w:val="18"/>
                <w:szCs w:val="18"/>
              </w:rPr>
              <w:t>检索实验</w:t>
            </w:r>
          </w:p>
        </w:tc>
        <w:tc>
          <w:tcPr>
            <w:tcW w:w="398"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kern w:val="0"/>
                <w:sz w:val="18"/>
                <w:szCs w:val="18"/>
              </w:rPr>
              <w:t>综合性报告</w:t>
            </w:r>
          </w:p>
        </w:tc>
        <w:tc>
          <w:tcPr>
            <w:tcW w:w="341"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kern w:val="0"/>
                <w:sz w:val="18"/>
                <w:szCs w:val="18"/>
              </w:rPr>
              <w:t>课堂</w:t>
            </w:r>
          </w:p>
        </w:tc>
        <w:tc>
          <w:tcPr>
            <w:tcW w:w="341"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kern w:val="0"/>
                <w:sz w:val="18"/>
                <w:szCs w:val="18"/>
              </w:rPr>
              <w:t>作业</w:t>
            </w:r>
          </w:p>
        </w:tc>
        <w:tc>
          <w:tcPr>
            <w:tcW w:w="341"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kern w:val="0"/>
                <w:sz w:val="18"/>
                <w:szCs w:val="18"/>
              </w:rPr>
              <w:t>检索实验</w:t>
            </w:r>
          </w:p>
        </w:tc>
        <w:tc>
          <w:tcPr>
            <w:tcW w:w="341"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kern w:val="0"/>
                <w:sz w:val="18"/>
                <w:szCs w:val="18"/>
              </w:rPr>
              <w:t>综合性报告</w:t>
            </w:r>
          </w:p>
        </w:tc>
      </w:tr>
      <w:tr>
        <w:tblPrEx>
          <w:tblCellMar>
            <w:top w:w="0" w:type="dxa"/>
            <w:left w:w="108" w:type="dxa"/>
            <w:bottom w:w="0" w:type="dxa"/>
            <w:right w:w="108" w:type="dxa"/>
          </w:tblCellMar>
        </w:tblPrEx>
        <w:trPr>
          <w:trHeight w:val="913" w:hRule="atLeast"/>
          <w:jc w:val="center"/>
        </w:trPr>
        <w:tc>
          <w:tcPr>
            <w:tcW w:w="282" w:type="pct"/>
            <w:tcBorders>
              <w:top w:val="nil"/>
              <w:left w:val="single" w:color="auto" w:sz="4" w:space="0"/>
              <w:bottom w:val="single" w:color="auto" w:sz="4" w:space="0"/>
              <w:right w:val="single" w:color="auto" w:sz="4" w:space="0"/>
            </w:tcBorders>
            <w:vAlign w:val="center"/>
          </w:tcPr>
          <w:p>
            <w:pPr>
              <w:widowControl/>
              <w:adjustRightInd w:val="0"/>
              <w:jc w:val="center"/>
              <w:rPr>
                <w:rFonts w:ascii="宋体" w:hAnsi="宋体"/>
                <w:kern w:val="0"/>
                <w:sz w:val="18"/>
                <w:szCs w:val="18"/>
              </w:rPr>
            </w:pPr>
            <w:r>
              <w:rPr>
                <w:rFonts w:hint="eastAsia"/>
                <w:kern w:val="0"/>
                <w:sz w:val="18"/>
                <w:szCs w:val="18"/>
              </w:rPr>
              <w:t>1</w:t>
            </w:r>
          </w:p>
        </w:tc>
        <w:tc>
          <w:tcPr>
            <w:tcW w:w="400"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sz w:val="18"/>
                <w:szCs w:val="18"/>
              </w:rPr>
              <w:t>0.</w:t>
            </w:r>
            <w:r>
              <w:rPr>
                <w:rFonts w:hint="eastAsia"/>
                <w:sz w:val="18"/>
                <w:szCs w:val="18"/>
              </w:rPr>
              <w:t>1</w:t>
            </w:r>
          </w:p>
        </w:tc>
        <w:tc>
          <w:tcPr>
            <w:tcW w:w="341"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sz w:val="18"/>
                <w:szCs w:val="18"/>
              </w:rPr>
              <w:t>0.</w:t>
            </w:r>
            <w:r>
              <w:rPr>
                <w:rFonts w:hint="eastAsia"/>
                <w:sz w:val="18"/>
                <w:szCs w:val="18"/>
              </w:rPr>
              <w:t>4</w:t>
            </w:r>
            <w:r>
              <w:rPr>
                <w:sz w:val="18"/>
                <w:szCs w:val="18"/>
              </w:rPr>
              <w:t>0</w:t>
            </w:r>
          </w:p>
        </w:tc>
        <w:tc>
          <w:tcPr>
            <w:tcW w:w="341"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sz w:val="18"/>
                <w:szCs w:val="18"/>
              </w:rPr>
              <w:t>0.</w:t>
            </w:r>
            <w:r>
              <w:rPr>
                <w:rFonts w:hint="eastAsia"/>
                <w:sz w:val="18"/>
                <w:szCs w:val="18"/>
              </w:rPr>
              <w:t>1</w:t>
            </w:r>
            <w:r>
              <w:rPr>
                <w:sz w:val="18"/>
                <w:szCs w:val="18"/>
              </w:rPr>
              <w:t>0</w:t>
            </w:r>
          </w:p>
        </w:tc>
        <w:tc>
          <w:tcPr>
            <w:tcW w:w="398"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sz w:val="18"/>
                <w:szCs w:val="18"/>
              </w:rPr>
              <w:t>0.</w:t>
            </w:r>
            <w:r>
              <w:rPr>
                <w:rFonts w:hint="eastAsia"/>
                <w:sz w:val="18"/>
                <w:szCs w:val="18"/>
              </w:rPr>
              <w:t>10</w:t>
            </w:r>
          </w:p>
        </w:tc>
        <w:tc>
          <w:tcPr>
            <w:tcW w:w="398"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sz w:val="18"/>
                <w:szCs w:val="18"/>
              </w:rPr>
              <w:t>0.40</w:t>
            </w:r>
          </w:p>
        </w:tc>
        <w:tc>
          <w:tcPr>
            <w:tcW w:w="398"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sz w:val="18"/>
                <w:szCs w:val="18"/>
              </w:rPr>
              <w:t>0.0</w:t>
            </w:r>
            <w:r>
              <w:rPr>
                <w:rFonts w:hint="eastAsia"/>
                <w:sz w:val="18"/>
                <w:szCs w:val="18"/>
              </w:rPr>
              <w:t>4</w:t>
            </w:r>
          </w:p>
        </w:tc>
        <w:tc>
          <w:tcPr>
            <w:tcW w:w="341"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sz w:val="18"/>
                <w:szCs w:val="18"/>
              </w:rPr>
              <w:t>0.0</w:t>
            </w:r>
            <w:r>
              <w:rPr>
                <w:rFonts w:hint="eastAsia"/>
                <w:sz w:val="18"/>
                <w:szCs w:val="18"/>
              </w:rPr>
              <w:t>1</w:t>
            </w:r>
          </w:p>
        </w:tc>
        <w:tc>
          <w:tcPr>
            <w:tcW w:w="341"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sz w:val="18"/>
                <w:szCs w:val="18"/>
              </w:rPr>
              <w:t>0.0</w:t>
            </w:r>
            <w:r>
              <w:rPr>
                <w:rFonts w:hint="eastAsia"/>
                <w:sz w:val="18"/>
                <w:szCs w:val="18"/>
              </w:rPr>
              <w:t>1</w:t>
            </w:r>
          </w:p>
        </w:tc>
        <w:tc>
          <w:tcPr>
            <w:tcW w:w="398"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sz w:val="18"/>
                <w:szCs w:val="18"/>
              </w:rPr>
              <w:t>0.0</w:t>
            </w:r>
            <w:r>
              <w:rPr>
                <w:rFonts w:hint="eastAsia"/>
                <w:sz w:val="18"/>
                <w:szCs w:val="18"/>
              </w:rPr>
              <w:t>4</w:t>
            </w:r>
          </w:p>
        </w:tc>
        <w:tc>
          <w:tcPr>
            <w:tcW w:w="341"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0.25</w:t>
            </w:r>
          </w:p>
        </w:tc>
        <w:tc>
          <w:tcPr>
            <w:tcW w:w="341"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0.06</w:t>
            </w:r>
          </w:p>
        </w:tc>
        <w:tc>
          <w:tcPr>
            <w:tcW w:w="341"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0.0</w:t>
            </w:r>
            <w:r>
              <w:rPr>
                <w:rFonts w:ascii="宋体" w:hAnsi="宋体" w:cs="宋体"/>
                <w:kern w:val="0"/>
                <w:sz w:val="18"/>
                <w:szCs w:val="18"/>
              </w:rPr>
              <w:t>5</w:t>
            </w:r>
          </w:p>
        </w:tc>
        <w:tc>
          <w:tcPr>
            <w:tcW w:w="341"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0.0</w:t>
            </w:r>
            <w:r>
              <w:rPr>
                <w:rFonts w:ascii="宋体" w:hAnsi="宋体" w:cs="宋体"/>
                <w:kern w:val="0"/>
                <w:sz w:val="18"/>
                <w:szCs w:val="18"/>
              </w:rPr>
              <w:t>9</w:t>
            </w:r>
          </w:p>
        </w:tc>
      </w:tr>
      <w:tr>
        <w:tblPrEx>
          <w:tblCellMar>
            <w:top w:w="0" w:type="dxa"/>
            <w:left w:w="108" w:type="dxa"/>
            <w:bottom w:w="0" w:type="dxa"/>
            <w:right w:w="108" w:type="dxa"/>
          </w:tblCellMar>
        </w:tblPrEx>
        <w:trPr>
          <w:trHeight w:val="920" w:hRule="atLeast"/>
          <w:jc w:val="center"/>
        </w:trPr>
        <w:tc>
          <w:tcPr>
            <w:tcW w:w="282" w:type="pct"/>
            <w:tcBorders>
              <w:top w:val="nil"/>
              <w:left w:val="single" w:color="auto" w:sz="4" w:space="0"/>
              <w:bottom w:val="single" w:color="auto" w:sz="4" w:space="0"/>
              <w:right w:val="single" w:color="auto" w:sz="4" w:space="0"/>
            </w:tcBorders>
            <w:vAlign w:val="center"/>
          </w:tcPr>
          <w:p>
            <w:pPr>
              <w:widowControl/>
              <w:jc w:val="center"/>
              <w:rPr>
                <w:rFonts w:ascii="宋体" w:hAnsi="宋体"/>
                <w:kern w:val="0"/>
                <w:sz w:val="18"/>
                <w:szCs w:val="18"/>
              </w:rPr>
            </w:pPr>
            <w:r>
              <w:rPr>
                <w:rFonts w:hint="eastAsia"/>
                <w:kern w:val="0"/>
                <w:sz w:val="18"/>
                <w:szCs w:val="18"/>
              </w:rPr>
              <w:t>2</w:t>
            </w:r>
          </w:p>
        </w:tc>
        <w:tc>
          <w:tcPr>
            <w:tcW w:w="400"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sz w:val="18"/>
                <w:szCs w:val="18"/>
              </w:rPr>
              <w:t>0.</w:t>
            </w:r>
            <w:r>
              <w:rPr>
                <w:rFonts w:hint="eastAsia"/>
                <w:sz w:val="18"/>
                <w:szCs w:val="18"/>
              </w:rPr>
              <w:t>3</w:t>
            </w:r>
          </w:p>
        </w:tc>
        <w:tc>
          <w:tcPr>
            <w:tcW w:w="341"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sz w:val="18"/>
                <w:szCs w:val="18"/>
              </w:rPr>
              <w:t>0.</w:t>
            </w:r>
            <w:r>
              <w:rPr>
                <w:rFonts w:hint="eastAsia"/>
                <w:sz w:val="18"/>
                <w:szCs w:val="18"/>
              </w:rPr>
              <w:t>20</w:t>
            </w:r>
          </w:p>
        </w:tc>
        <w:tc>
          <w:tcPr>
            <w:tcW w:w="341"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sz w:val="18"/>
                <w:szCs w:val="18"/>
              </w:rPr>
              <w:t>0.0</w:t>
            </w:r>
            <w:r>
              <w:rPr>
                <w:rFonts w:hint="eastAsia"/>
                <w:sz w:val="18"/>
                <w:szCs w:val="18"/>
              </w:rPr>
              <w:t>1</w:t>
            </w:r>
          </w:p>
        </w:tc>
        <w:tc>
          <w:tcPr>
            <w:tcW w:w="398"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sz w:val="18"/>
                <w:szCs w:val="18"/>
              </w:rPr>
              <w:t>0.</w:t>
            </w:r>
            <w:r>
              <w:rPr>
                <w:rFonts w:hint="eastAsia"/>
                <w:sz w:val="18"/>
                <w:szCs w:val="18"/>
              </w:rPr>
              <w:t>3</w:t>
            </w:r>
            <w:r>
              <w:rPr>
                <w:sz w:val="18"/>
                <w:szCs w:val="18"/>
              </w:rPr>
              <w:t>0</w:t>
            </w:r>
          </w:p>
        </w:tc>
        <w:tc>
          <w:tcPr>
            <w:tcW w:w="398"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sz w:val="18"/>
                <w:szCs w:val="18"/>
              </w:rPr>
              <w:t>0.40</w:t>
            </w:r>
          </w:p>
        </w:tc>
        <w:tc>
          <w:tcPr>
            <w:tcW w:w="398"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sz w:val="18"/>
                <w:szCs w:val="18"/>
              </w:rPr>
              <w:t>0.0</w:t>
            </w:r>
            <w:r>
              <w:rPr>
                <w:rFonts w:hint="eastAsia"/>
                <w:sz w:val="18"/>
                <w:szCs w:val="18"/>
              </w:rPr>
              <w:t>6</w:t>
            </w:r>
          </w:p>
        </w:tc>
        <w:tc>
          <w:tcPr>
            <w:tcW w:w="341"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sz w:val="18"/>
                <w:szCs w:val="18"/>
              </w:rPr>
              <w:t>0.</w:t>
            </w:r>
            <w:r>
              <w:rPr>
                <w:rFonts w:hint="eastAsia"/>
                <w:sz w:val="18"/>
                <w:szCs w:val="18"/>
              </w:rPr>
              <w:t>03</w:t>
            </w:r>
          </w:p>
        </w:tc>
        <w:tc>
          <w:tcPr>
            <w:tcW w:w="341"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sz w:val="18"/>
                <w:szCs w:val="18"/>
              </w:rPr>
              <w:t>0.</w:t>
            </w:r>
            <w:r>
              <w:rPr>
                <w:rFonts w:hint="eastAsia"/>
                <w:sz w:val="18"/>
                <w:szCs w:val="18"/>
              </w:rPr>
              <w:t>09</w:t>
            </w:r>
          </w:p>
        </w:tc>
        <w:tc>
          <w:tcPr>
            <w:tcW w:w="398"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sz w:val="18"/>
                <w:szCs w:val="18"/>
              </w:rPr>
              <w:t>0.</w:t>
            </w:r>
            <w:r>
              <w:rPr>
                <w:rFonts w:hint="eastAsia"/>
                <w:sz w:val="18"/>
                <w:szCs w:val="18"/>
              </w:rPr>
              <w:t>12</w:t>
            </w:r>
          </w:p>
        </w:tc>
        <w:tc>
          <w:tcPr>
            <w:tcW w:w="341"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0.3</w:t>
            </w:r>
            <w:r>
              <w:rPr>
                <w:rFonts w:ascii="宋体" w:hAnsi="宋体" w:cs="宋体"/>
                <w:kern w:val="0"/>
                <w:sz w:val="18"/>
                <w:szCs w:val="18"/>
              </w:rPr>
              <w:t>8</w:t>
            </w:r>
          </w:p>
        </w:tc>
        <w:tc>
          <w:tcPr>
            <w:tcW w:w="341"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0</w:t>
            </w:r>
            <w:r>
              <w:rPr>
                <w:rFonts w:hint="eastAsia" w:ascii="宋体" w:hAnsi="宋体" w:cs="宋体"/>
                <w:kern w:val="0"/>
                <w:sz w:val="18"/>
                <w:szCs w:val="18"/>
              </w:rPr>
              <w:t>.1</w:t>
            </w:r>
            <w:r>
              <w:rPr>
                <w:rFonts w:ascii="宋体" w:hAnsi="宋体" w:cs="宋体"/>
                <w:kern w:val="0"/>
                <w:sz w:val="18"/>
                <w:szCs w:val="18"/>
              </w:rPr>
              <w:t>9</w:t>
            </w:r>
          </w:p>
        </w:tc>
        <w:tc>
          <w:tcPr>
            <w:tcW w:w="341"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w:t>
            </w:r>
            <w:r>
              <w:rPr>
                <w:rFonts w:ascii="宋体" w:hAnsi="宋体" w:cs="宋体"/>
                <w:kern w:val="0"/>
                <w:sz w:val="18"/>
                <w:szCs w:val="18"/>
              </w:rPr>
              <w:t>.</w:t>
            </w:r>
            <w:r>
              <w:rPr>
                <w:rFonts w:hint="eastAsia" w:ascii="宋体" w:hAnsi="宋体" w:cs="宋体"/>
                <w:kern w:val="0"/>
                <w:sz w:val="18"/>
                <w:szCs w:val="18"/>
              </w:rPr>
              <w:t>4</w:t>
            </w:r>
            <w:r>
              <w:rPr>
                <w:rFonts w:ascii="宋体" w:hAnsi="宋体" w:cs="宋体"/>
                <w:kern w:val="0"/>
                <w:sz w:val="18"/>
                <w:szCs w:val="18"/>
              </w:rPr>
              <w:t>1</w:t>
            </w:r>
          </w:p>
        </w:tc>
        <w:tc>
          <w:tcPr>
            <w:tcW w:w="341"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0.26</w:t>
            </w:r>
          </w:p>
        </w:tc>
      </w:tr>
      <w:tr>
        <w:tblPrEx>
          <w:tblCellMar>
            <w:top w:w="0" w:type="dxa"/>
            <w:left w:w="108" w:type="dxa"/>
            <w:bottom w:w="0" w:type="dxa"/>
            <w:right w:w="108" w:type="dxa"/>
          </w:tblCellMar>
        </w:tblPrEx>
        <w:trPr>
          <w:trHeight w:val="919" w:hRule="atLeast"/>
          <w:jc w:val="center"/>
        </w:trPr>
        <w:tc>
          <w:tcPr>
            <w:tcW w:w="282" w:type="pct"/>
            <w:tcBorders>
              <w:top w:val="nil"/>
              <w:left w:val="single" w:color="auto" w:sz="4" w:space="0"/>
              <w:bottom w:val="single" w:color="auto" w:sz="4" w:space="0"/>
              <w:right w:val="single" w:color="auto" w:sz="4" w:space="0"/>
            </w:tcBorders>
            <w:vAlign w:val="center"/>
          </w:tcPr>
          <w:p>
            <w:pPr>
              <w:widowControl/>
              <w:jc w:val="center"/>
              <w:rPr>
                <w:rFonts w:ascii="宋体" w:hAnsi="宋体"/>
                <w:kern w:val="0"/>
                <w:sz w:val="18"/>
                <w:szCs w:val="18"/>
              </w:rPr>
            </w:pPr>
            <w:r>
              <w:rPr>
                <w:rFonts w:hint="eastAsia"/>
                <w:kern w:val="0"/>
                <w:sz w:val="18"/>
                <w:szCs w:val="18"/>
              </w:rPr>
              <w:t>3</w:t>
            </w:r>
          </w:p>
        </w:tc>
        <w:tc>
          <w:tcPr>
            <w:tcW w:w="400"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sz w:val="18"/>
                <w:szCs w:val="18"/>
              </w:rPr>
              <w:t>0.</w:t>
            </w:r>
            <w:r>
              <w:rPr>
                <w:rFonts w:hint="eastAsia"/>
                <w:sz w:val="18"/>
                <w:szCs w:val="18"/>
              </w:rPr>
              <w:t>6</w:t>
            </w:r>
          </w:p>
        </w:tc>
        <w:tc>
          <w:tcPr>
            <w:tcW w:w="341"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sz w:val="18"/>
                <w:szCs w:val="18"/>
              </w:rPr>
              <w:t>0.</w:t>
            </w:r>
            <w:r>
              <w:rPr>
                <w:rFonts w:hint="eastAsia"/>
                <w:sz w:val="18"/>
                <w:szCs w:val="18"/>
              </w:rPr>
              <w:t>1</w:t>
            </w:r>
            <w:r>
              <w:rPr>
                <w:sz w:val="18"/>
                <w:szCs w:val="18"/>
              </w:rPr>
              <w:t>0</w:t>
            </w:r>
          </w:p>
        </w:tc>
        <w:tc>
          <w:tcPr>
            <w:tcW w:w="341"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sz w:val="18"/>
                <w:szCs w:val="18"/>
              </w:rPr>
              <w:t>0.20</w:t>
            </w:r>
          </w:p>
        </w:tc>
        <w:tc>
          <w:tcPr>
            <w:tcW w:w="398"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sz w:val="18"/>
                <w:szCs w:val="18"/>
              </w:rPr>
              <w:t>0.</w:t>
            </w:r>
            <w:r>
              <w:rPr>
                <w:rFonts w:hint="eastAsia"/>
                <w:sz w:val="18"/>
                <w:szCs w:val="18"/>
              </w:rPr>
              <w:t>2</w:t>
            </w:r>
            <w:r>
              <w:rPr>
                <w:sz w:val="18"/>
                <w:szCs w:val="18"/>
              </w:rPr>
              <w:t>0</w:t>
            </w:r>
          </w:p>
        </w:tc>
        <w:tc>
          <w:tcPr>
            <w:tcW w:w="398"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sz w:val="18"/>
                <w:szCs w:val="18"/>
              </w:rPr>
              <w:t>0.50</w:t>
            </w:r>
          </w:p>
        </w:tc>
        <w:tc>
          <w:tcPr>
            <w:tcW w:w="398"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sz w:val="18"/>
                <w:szCs w:val="18"/>
              </w:rPr>
              <w:t>0.0</w:t>
            </w:r>
            <w:r>
              <w:rPr>
                <w:rFonts w:hint="eastAsia"/>
                <w:sz w:val="18"/>
                <w:szCs w:val="18"/>
              </w:rPr>
              <w:t>6</w:t>
            </w:r>
          </w:p>
        </w:tc>
        <w:tc>
          <w:tcPr>
            <w:tcW w:w="341"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sz w:val="18"/>
                <w:szCs w:val="18"/>
              </w:rPr>
              <w:t>0.</w:t>
            </w:r>
            <w:r>
              <w:rPr>
                <w:rFonts w:hint="eastAsia"/>
                <w:sz w:val="18"/>
                <w:szCs w:val="18"/>
              </w:rPr>
              <w:t>12</w:t>
            </w:r>
          </w:p>
        </w:tc>
        <w:tc>
          <w:tcPr>
            <w:tcW w:w="341"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sz w:val="18"/>
                <w:szCs w:val="18"/>
              </w:rPr>
              <w:t>0.</w:t>
            </w:r>
            <w:r>
              <w:rPr>
                <w:rFonts w:hint="eastAsia"/>
                <w:sz w:val="18"/>
                <w:szCs w:val="18"/>
              </w:rPr>
              <w:t>12</w:t>
            </w:r>
          </w:p>
        </w:tc>
        <w:tc>
          <w:tcPr>
            <w:tcW w:w="398"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sz w:val="18"/>
                <w:szCs w:val="18"/>
              </w:rPr>
              <w:t>0.</w:t>
            </w:r>
            <w:r>
              <w:rPr>
                <w:rFonts w:hint="eastAsia"/>
                <w:sz w:val="18"/>
                <w:szCs w:val="18"/>
              </w:rPr>
              <w:t>3</w:t>
            </w:r>
          </w:p>
        </w:tc>
        <w:tc>
          <w:tcPr>
            <w:tcW w:w="341"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0.37</w:t>
            </w:r>
          </w:p>
        </w:tc>
        <w:tc>
          <w:tcPr>
            <w:tcW w:w="341"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0.75</w:t>
            </w:r>
          </w:p>
        </w:tc>
        <w:tc>
          <w:tcPr>
            <w:tcW w:w="341"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0.54</w:t>
            </w:r>
          </w:p>
        </w:tc>
        <w:tc>
          <w:tcPr>
            <w:tcW w:w="341"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0.65</w:t>
            </w:r>
          </w:p>
        </w:tc>
      </w:tr>
      <w:tr>
        <w:tblPrEx>
          <w:tblCellMar>
            <w:top w:w="0" w:type="dxa"/>
            <w:left w:w="108" w:type="dxa"/>
            <w:bottom w:w="0" w:type="dxa"/>
            <w:right w:w="108" w:type="dxa"/>
          </w:tblCellMar>
        </w:tblPrEx>
        <w:trPr>
          <w:trHeight w:val="1012" w:hRule="atLeast"/>
          <w:jc w:val="center"/>
        </w:trPr>
        <w:tc>
          <w:tcPr>
            <w:tcW w:w="2159" w:type="pct"/>
            <w:gridSpan w:val="6"/>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各环节对课程目标达成的贡献率（</w:t>
            </w:r>
            <w:r>
              <w:rPr>
                <w:rFonts w:hint="eastAsia" w:ascii="宋体" w:hAnsi="宋体" w:cs="宋体"/>
                <w:i/>
                <w:kern w:val="0"/>
                <w:sz w:val="18"/>
                <w:szCs w:val="18"/>
              </w:rPr>
              <w:t>M</w:t>
            </w:r>
            <w:r>
              <w:rPr>
                <w:rFonts w:hint="eastAsia" w:ascii="宋体" w:hAnsi="宋体" w:cs="宋体"/>
                <w:i/>
                <w:kern w:val="0"/>
                <w:sz w:val="18"/>
                <w:szCs w:val="18"/>
                <w:vertAlign w:val="subscript"/>
              </w:rPr>
              <w:t>k</w:t>
            </w:r>
            <w:r>
              <w:rPr>
                <w:rFonts w:hint="eastAsia" w:ascii="宋体" w:hAnsi="宋体" w:cs="宋体"/>
                <w:kern w:val="0"/>
                <w:sz w:val="18"/>
                <w:szCs w:val="18"/>
              </w:rPr>
              <w:t>）</w:t>
            </w:r>
          </w:p>
        </w:tc>
        <w:tc>
          <w:tcPr>
            <w:tcW w:w="398"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sz w:val="18"/>
                <w:szCs w:val="18"/>
              </w:rPr>
              <w:t>0.1</w:t>
            </w:r>
            <w:r>
              <w:rPr>
                <w:rFonts w:hint="eastAsia"/>
                <w:sz w:val="18"/>
                <w:szCs w:val="18"/>
              </w:rPr>
              <w:t>6</w:t>
            </w:r>
          </w:p>
        </w:tc>
        <w:tc>
          <w:tcPr>
            <w:tcW w:w="341"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sz w:val="18"/>
                <w:szCs w:val="18"/>
              </w:rPr>
              <w:t>0.</w:t>
            </w:r>
            <w:r>
              <w:rPr>
                <w:rFonts w:hint="eastAsia"/>
                <w:sz w:val="18"/>
                <w:szCs w:val="18"/>
              </w:rPr>
              <w:t>1</w:t>
            </w:r>
            <w:r>
              <w:rPr>
                <w:sz w:val="18"/>
                <w:szCs w:val="18"/>
              </w:rPr>
              <w:t>6</w:t>
            </w:r>
          </w:p>
        </w:tc>
        <w:tc>
          <w:tcPr>
            <w:tcW w:w="341"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sz w:val="18"/>
                <w:szCs w:val="18"/>
              </w:rPr>
              <w:t>0.</w:t>
            </w:r>
            <w:r>
              <w:rPr>
                <w:rFonts w:hint="eastAsia"/>
                <w:sz w:val="18"/>
                <w:szCs w:val="18"/>
              </w:rPr>
              <w:t>22</w:t>
            </w:r>
          </w:p>
        </w:tc>
        <w:tc>
          <w:tcPr>
            <w:tcW w:w="398"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sz w:val="18"/>
                <w:szCs w:val="18"/>
              </w:rPr>
              <w:t>0.4</w:t>
            </w:r>
            <w:r>
              <w:rPr>
                <w:rFonts w:hint="eastAsia"/>
                <w:sz w:val="18"/>
                <w:szCs w:val="18"/>
              </w:rPr>
              <w:t>6</w:t>
            </w:r>
          </w:p>
        </w:tc>
        <w:tc>
          <w:tcPr>
            <w:tcW w:w="1364" w:type="pct"/>
            <w:gridSpan w:val="4"/>
            <w:tcBorders>
              <w:top w:val="nil"/>
              <w:left w:val="nil"/>
              <w:bottom w:val="single" w:color="auto" w:sz="4" w:space="0"/>
              <w:right w:val="single" w:color="auto" w:sz="4" w:space="0"/>
            </w:tcBorders>
            <w:vAlign w:val="center"/>
          </w:tcPr>
          <w:p>
            <w:pPr>
              <w:jc w:val="center"/>
              <w:rPr>
                <w:sz w:val="18"/>
                <w:szCs w:val="18"/>
              </w:rPr>
            </w:pPr>
            <w:r>
              <w:rPr>
                <w:sz w:val="18"/>
                <w:szCs w:val="18"/>
              </w:rPr>
              <w:t>教师出题或布置作业时</w:t>
            </w:r>
          </w:p>
          <w:p>
            <w:pPr>
              <w:widowControl/>
              <w:jc w:val="center"/>
              <w:rPr>
                <w:rFonts w:ascii="宋体" w:hAnsi="宋体" w:cs="宋体"/>
                <w:kern w:val="0"/>
                <w:sz w:val="18"/>
                <w:szCs w:val="18"/>
              </w:rPr>
            </w:pPr>
            <w:r>
              <w:rPr>
                <w:sz w:val="18"/>
                <w:szCs w:val="18"/>
              </w:rPr>
              <w:t>要尽量做到按照以上比例布局</w:t>
            </w:r>
          </w:p>
        </w:tc>
      </w:tr>
    </w:tbl>
    <w:p>
      <w:pPr>
        <w:spacing w:line="360" w:lineRule="auto"/>
      </w:pPr>
    </w:p>
    <w:p>
      <w:pPr>
        <w:spacing w:line="360" w:lineRule="auto"/>
        <w:jc w:val="left"/>
      </w:pPr>
    </w:p>
    <w:p>
      <w:pPr>
        <w:spacing w:line="360" w:lineRule="auto"/>
        <w:sectPr>
          <w:pgSz w:w="16838" w:h="11906" w:orient="landscape"/>
          <w:pgMar w:top="1797" w:right="1440" w:bottom="1797" w:left="1440" w:header="851" w:footer="992" w:gutter="0"/>
          <w:pgNumType w:fmt="decimal"/>
          <w:cols w:space="425" w:num="1"/>
          <w:docGrid w:linePitch="312" w:charSpace="0"/>
        </w:sectPr>
      </w:pPr>
    </w:p>
    <w:p>
      <w:pPr>
        <w:spacing w:line="360" w:lineRule="auto"/>
        <w:ind w:firstLine="420" w:firstLineChars="200"/>
        <w:rPr>
          <w:szCs w:val="21"/>
        </w:rPr>
      </w:pPr>
      <w:r>
        <w:rPr>
          <w:rFonts w:hint="eastAsia"/>
          <w:szCs w:val="21"/>
        </w:rPr>
        <w:t>采用达成值计算法，辅以对学生的问卷调查法。</w:t>
      </w:r>
    </w:p>
    <w:p>
      <w:pPr>
        <w:spacing w:line="360" w:lineRule="auto"/>
        <w:ind w:firstLine="422" w:firstLineChars="200"/>
        <w:rPr>
          <w:b/>
          <w:bCs/>
          <w:szCs w:val="21"/>
        </w:rPr>
      </w:pPr>
      <w:r>
        <w:rPr>
          <w:rFonts w:hint="eastAsia"/>
          <w:b/>
          <w:bCs/>
          <w:szCs w:val="21"/>
        </w:rPr>
        <w:t>课程目标定量评价：</w:t>
      </w:r>
    </w:p>
    <w:p>
      <w:pPr>
        <w:spacing w:line="360" w:lineRule="auto"/>
        <w:ind w:firstLine="420" w:firstLineChars="200"/>
        <w:rPr>
          <w:szCs w:val="21"/>
        </w:rPr>
      </w:pPr>
      <w:r>
        <w:rPr>
          <w:szCs w:val="21"/>
        </w:rPr>
        <w:t>达成值计算法结合上表权重分配，采用</w:t>
      </w:r>
      <w:r>
        <w:rPr>
          <w:rFonts w:hint="eastAsia"/>
          <w:szCs w:val="21"/>
        </w:rPr>
        <w:t>下表进行计算。</w:t>
      </w:r>
    </w:p>
    <w:p>
      <w:pPr>
        <w:spacing w:line="360" w:lineRule="auto"/>
        <w:ind w:firstLine="420" w:firstLineChars="200"/>
        <w:rPr>
          <w:szCs w:val="21"/>
        </w:rPr>
      </w:pPr>
      <w:r>
        <w:rPr>
          <w:szCs w:val="21"/>
        </w:rPr>
        <w:t>单一课程目标达成度评价采用下式：</w:t>
      </w:r>
    </w:p>
    <w:p>
      <w:pPr>
        <w:spacing w:line="360" w:lineRule="auto"/>
        <w:ind w:firstLine="420" w:firstLineChars="200"/>
        <w:rPr>
          <w:szCs w:val="21"/>
        </w:rPr>
      </w:pPr>
      <w:r>
        <w:rPr>
          <w:position w:val="-30"/>
          <w:szCs w:val="21"/>
        </w:rPr>
        <w:object>
          <v:shape id="_x0000_i1109" o:spt="75" type="#_x0000_t75" style="height:36pt;width:165.5pt;" o:ole="t" filled="f" o:preferrelative="t" stroked="f" coordsize="21600,21600">
            <v:path/>
            <v:fill on="f" focussize="0,0"/>
            <v:stroke on="f" joinstyle="miter"/>
            <v:imagedata r:id="rId145" o:title=""/>
            <o:lock v:ext="edit" aspectratio="t"/>
            <w10:wrap type="none"/>
            <w10:anchorlock/>
          </v:shape>
          <o:OLEObject Type="Embed" ProgID="Equation.3" ShapeID="_x0000_i1109" DrawAspect="Content" ObjectID="_1468075809" r:id="rId246">
            <o:LockedField>false</o:LockedField>
          </o:OLEObject>
        </w:object>
      </w:r>
    </w:p>
    <w:p>
      <w:pPr>
        <w:spacing w:line="360" w:lineRule="auto"/>
        <w:ind w:firstLine="420" w:firstLineChars="200"/>
        <w:rPr>
          <w:szCs w:val="21"/>
        </w:rPr>
      </w:pPr>
      <w:r>
        <w:rPr>
          <w:szCs w:val="21"/>
        </w:rPr>
        <w:t>总的课程目标达成度评价采用下式：</w:t>
      </w:r>
    </w:p>
    <w:p>
      <w:pPr>
        <w:spacing w:line="360" w:lineRule="auto"/>
        <w:ind w:firstLine="420" w:firstLineChars="200"/>
        <w:rPr>
          <w:szCs w:val="21"/>
        </w:rPr>
      </w:pPr>
      <w:r>
        <w:rPr>
          <w:position w:val="-30"/>
          <w:szCs w:val="21"/>
        </w:rPr>
        <w:object>
          <v:shape id="_x0000_i1110" o:spt="75" type="#_x0000_t75" style="height:36pt;width:151pt;" o:ole="t" filled="f" o:preferrelative="t" stroked="f" coordsize="21600,21600">
            <v:path/>
            <v:fill on="f" focussize="0,0"/>
            <v:stroke on="f" joinstyle="miter"/>
            <v:imagedata r:id="rId147" o:title=""/>
            <o:lock v:ext="edit" aspectratio="t"/>
            <w10:wrap type="none"/>
            <w10:anchorlock/>
          </v:shape>
          <o:OLEObject Type="Embed" ProgID="Equation.3" ShapeID="_x0000_i1110" DrawAspect="Content" ObjectID="_1468075810" r:id="rId247">
            <o:LockedField>false</o:LockedField>
          </o:OLEObject>
        </w:object>
      </w:r>
    </w:p>
    <w:p>
      <w:pPr>
        <w:spacing w:line="360" w:lineRule="auto"/>
        <w:ind w:firstLine="420" w:firstLineChars="200"/>
        <w:rPr>
          <w:szCs w:val="21"/>
        </w:rPr>
      </w:pPr>
      <w:r>
        <w:rPr>
          <w:szCs w:val="21"/>
        </w:rPr>
        <w:t>以上公式中：</w:t>
      </w:r>
    </w:p>
    <w:p>
      <w:pPr>
        <w:spacing w:line="360" w:lineRule="auto"/>
        <w:ind w:firstLine="420" w:firstLineChars="200"/>
        <w:rPr>
          <w:szCs w:val="21"/>
        </w:rPr>
      </w:pPr>
      <w:r>
        <w:rPr>
          <w:i/>
          <w:szCs w:val="21"/>
        </w:rPr>
        <w:t>k</w:t>
      </w:r>
      <w:r>
        <w:rPr>
          <w:szCs w:val="21"/>
        </w:rPr>
        <w:t>表示不同的评价方式，</w:t>
      </w:r>
      <w:r>
        <w:rPr>
          <w:i/>
          <w:szCs w:val="21"/>
        </w:rPr>
        <w:t>i</w:t>
      </w:r>
      <w:r>
        <w:rPr>
          <w:szCs w:val="21"/>
        </w:rPr>
        <w:t>表示不同的课程目标。</w:t>
      </w:r>
    </w:p>
    <w:p>
      <w:pPr>
        <w:spacing w:line="360" w:lineRule="auto"/>
        <w:ind w:firstLine="420" w:firstLineChars="200"/>
      </w:pPr>
      <w:r>
        <w:rPr>
          <w:position w:val="-10"/>
        </w:rPr>
        <w:object>
          <v:shape id="_x0000_i1111" o:spt="75" type="#_x0000_t75" style="height:14.5pt;width:14.5pt;" o:ole="t" filled="f" o:preferrelative="t" stroked="f" coordsize="21600,21600">
            <v:path/>
            <v:fill on="f" focussize="0,0"/>
            <v:stroke on="f" joinstyle="miter"/>
            <v:imagedata r:id="rId149" o:title=""/>
            <o:lock v:ext="edit" aspectratio="t"/>
            <w10:wrap type="none"/>
            <w10:anchorlock/>
          </v:shape>
          <o:OLEObject Type="Embed" ProgID="Equation.3" ShapeID="_x0000_i1111" DrawAspect="Content" ObjectID="_1468075811" r:id="rId248">
            <o:LockedField>false</o:LockedField>
          </o:OLEObject>
        </w:object>
      </w:r>
      <w:r>
        <w:t>表示第</w:t>
      </w:r>
      <w:r>
        <w:rPr>
          <w:i/>
        </w:rPr>
        <w:t>k</w:t>
      </w:r>
      <w:r>
        <w:t>种评价方式期末评价成绩平均分，均为百分制；</w:t>
      </w:r>
    </w:p>
    <w:p>
      <w:pPr>
        <w:spacing w:line="360" w:lineRule="auto"/>
        <w:ind w:firstLine="420" w:firstLineChars="200"/>
      </w:pPr>
      <w:r>
        <w:rPr>
          <w:position w:val="-10"/>
        </w:rPr>
        <w:object>
          <v:shape id="_x0000_i1112" o:spt="75" type="#_x0000_t75" style="height:14.5pt;width:72pt;" o:ole="t" filled="f" o:preferrelative="t" stroked="f" coordsize="21600,21600">
            <v:path/>
            <v:fill on="f" focussize="0,0"/>
            <v:stroke on="f" joinstyle="miter"/>
            <v:imagedata r:id="rId151" o:title=""/>
            <o:lock v:ext="edit" aspectratio="t"/>
            <w10:wrap type="none"/>
            <w10:anchorlock/>
          </v:shape>
          <o:OLEObject Type="Embed" ProgID="Equation.3" ShapeID="_x0000_i1112" DrawAspect="Content" ObjectID="_1468075812" r:id="rId249">
            <o:LockedField>false</o:LockedField>
          </o:OLEObject>
        </w:object>
      </w:r>
      <w:r>
        <w:t>是第</w:t>
      </w:r>
      <w:r>
        <w:rPr>
          <w:i/>
        </w:rPr>
        <w:t>k</w:t>
      </w:r>
      <w:r>
        <w:t>种评价方式通过第</w:t>
      </w:r>
      <w:r>
        <w:rPr>
          <w:i/>
        </w:rPr>
        <w:t>i</w:t>
      </w:r>
      <w:r>
        <w:t>个课程目标反映在总的课程目标评分占比；</w:t>
      </w:r>
    </w:p>
    <w:p>
      <w:pPr>
        <w:spacing w:line="360" w:lineRule="auto"/>
        <w:ind w:firstLine="420" w:firstLineChars="200"/>
        <w:rPr>
          <w:szCs w:val="21"/>
        </w:rPr>
      </w:pPr>
      <w:r>
        <w:rPr>
          <w:position w:val="-10"/>
        </w:rPr>
        <w:object>
          <v:shape id="_x0000_i1113" o:spt="75" type="#_x0000_t75" style="height:14.5pt;width:14.5pt;" o:ole="t" filled="f" o:preferrelative="t" stroked="f" coordsize="21600,21600">
            <v:path/>
            <v:fill on="f" focussize="0,0"/>
            <v:stroke on="f" joinstyle="miter"/>
            <v:imagedata r:id="rId153" o:title=""/>
            <o:lock v:ext="edit" aspectratio="t"/>
            <w10:wrap type="none"/>
            <w10:anchorlock/>
          </v:shape>
          <o:OLEObject Type="Embed" ProgID="Equation.3" ShapeID="_x0000_i1113" DrawAspect="Content" ObjectID="_1468075813" r:id="rId250">
            <o:LockedField>false</o:LockedField>
          </o:OLEObject>
        </w:object>
      </w:r>
      <w:r>
        <w:t>表示第</w:t>
      </w:r>
      <w:r>
        <w:rPr>
          <w:i/>
        </w:rPr>
        <w:t>k</w:t>
      </w:r>
      <w:r>
        <w:t>种评价方式对第</w:t>
      </w:r>
      <w:r>
        <w:rPr>
          <w:i/>
        </w:rPr>
        <w:t>i</w:t>
      </w:r>
      <w:r>
        <w:t>个课程目标百分占比；</w:t>
      </w:r>
    </w:p>
    <w:p>
      <w:pPr>
        <w:spacing w:line="360" w:lineRule="auto"/>
        <w:ind w:firstLine="420" w:firstLineChars="200"/>
      </w:pPr>
      <w:r>
        <w:rPr>
          <w:position w:val="-10"/>
        </w:rPr>
        <w:object>
          <v:shape id="_x0000_i1114" o:spt="75" type="#_x0000_t75" style="height:14.5pt;width:14.5pt;" o:ole="t" filled="f" o:preferrelative="t" stroked="f" coordsize="21600,21600">
            <v:path/>
            <v:fill on="f" focussize="0,0"/>
            <v:stroke on="f" joinstyle="miter"/>
            <v:imagedata r:id="rId155" o:title=""/>
            <o:lock v:ext="edit" aspectratio="t"/>
            <w10:wrap type="none"/>
            <w10:anchorlock/>
          </v:shape>
          <o:OLEObject Type="Embed" ProgID="Equation.3" ShapeID="_x0000_i1114" DrawAspect="Content" ObjectID="_1468075814" r:id="rId251">
            <o:LockedField>false</o:LockedField>
          </o:OLEObject>
        </w:object>
      </w:r>
      <w:r>
        <w:t>表示第</w:t>
      </w:r>
      <w:r>
        <w:rPr>
          <w:i/>
        </w:rPr>
        <w:t>i</w:t>
      </w:r>
      <w:r>
        <w:t>个课程目标在课程总评价中的占比；</w:t>
      </w:r>
    </w:p>
    <w:p>
      <w:pPr>
        <w:spacing w:line="360" w:lineRule="auto"/>
        <w:ind w:firstLine="422" w:firstLineChars="200"/>
        <w:rPr>
          <w:b/>
          <w:bCs/>
          <w:position w:val="-10"/>
          <w:szCs w:val="22"/>
        </w:rPr>
      </w:pPr>
      <w:r>
        <w:rPr>
          <w:rFonts w:hint="eastAsia"/>
          <w:b/>
          <w:bCs/>
          <w:position w:val="-10"/>
          <w:szCs w:val="22"/>
        </w:rPr>
        <w:t>课程目标定性评价：</w:t>
      </w:r>
    </w:p>
    <w:p>
      <w:pPr>
        <w:spacing w:line="360" w:lineRule="auto"/>
        <w:ind w:firstLine="420" w:firstLineChars="200"/>
        <w:rPr>
          <w:rFonts w:ascii="宋体" w:hAnsi="宋体" w:cs="宋体"/>
          <w:szCs w:val="21"/>
        </w:rPr>
      </w:pPr>
      <w:r>
        <w:rPr>
          <w:rFonts w:hint="eastAsia" w:ascii="宋体" w:hAnsi="宋体" w:cs="宋体"/>
          <w:szCs w:val="21"/>
        </w:rPr>
        <w:t>针对每门课的课程目标，直接设计问题，并要求学生明确给出目标能力达到的程度“很好（0.95）、较好（0.75）、中（0.60）、较差（0.45）、很差（0.25）”，根据各区段统计比例与括号中的目标分值加权后求和得出定性评价的结果。</w:t>
      </w:r>
    </w:p>
    <w:p>
      <w:pPr>
        <w:spacing w:line="360" w:lineRule="auto"/>
        <w:ind w:firstLine="422" w:firstLineChars="200"/>
        <w:rPr>
          <w:b/>
          <w:bCs/>
          <w:position w:val="-10"/>
          <w:szCs w:val="22"/>
        </w:rPr>
      </w:pPr>
      <w:r>
        <w:rPr>
          <w:rFonts w:hint="eastAsia"/>
          <w:b/>
          <w:bCs/>
          <w:position w:val="-10"/>
          <w:szCs w:val="22"/>
        </w:rPr>
        <w:t>课程目标达成结果：</w:t>
      </w:r>
    </w:p>
    <w:p>
      <w:pPr>
        <w:spacing w:line="360" w:lineRule="auto"/>
        <w:ind w:firstLine="420" w:firstLineChars="200"/>
        <w:rPr>
          <w:rFonts w:ascii="宋体" w:hAnsi="宋体" w:cs="宋体"/>
          <w:szCs w:val="21"/>
        </w:rPr>
      </w:pPr>
      <w:r>
        <w:rPr>
          <w:rFonts w:hint="eastAsia" w:ascii="宋体" w:hAnsi="宋体" w:cs="宋体"/>
          <w:szCs w:val="21"/>
        </w:rPr>
        <w:t>同一课程目标的评价，取定性评价和定量评价的平均值，作为最终评价结果。</w:t>
      </w:r>
    </w:p>
    <w:p>
      <w:pPr>
        <w:spacing w:line="360" w:lineRule="auto"/>
        <w:ind w:firstLine="420" w:firstLineChars="200"/>
        <w:rPr>
          <w:position w:val="-10"/>
          <w:szCs w:val="22"/>
        </w:rPr>
      </w:pPr>
      <w:r>
        <w:rPr>
          <w:rFonts w:hint="eastAsia"/>
          <w:position w:val="-10"/>
          <w:szCs w:val="22"/>
        </w:rPr>
        <w:t>课程目标达成度大于等于0.71为一级达成，大于等于0.65为二级达成。</w:t>
      </w:r>
    </w:p>
    <w:p>
      <w:pPr>
        <w:widowControl/>
        <w:jc w:val="left"/>
        <w:rPr>
          <w:rFonts w:eastAsia="黑体"/>
          <w:szCs w:val="24"/>
        </w:rPr>
      </w:pPr>
    </w:p>
    <w:p>
      <w:pPr>
        <w:tabs>
          <w:tab w:val="left" w:pos="420"/>
        </w:tabs>
        <w:adjustRightInd w:val="0"/>
        <w:snapToGrid w:val="0"/>
        <w:spacing w:line="360" w:lineRule="auto"/>
        <w:ind w:left="420" w:hanging="420"/>
        <w:rPr>
          <w:rFonts w:eastAsia="黑体"/>
          <w:szCs w:val="24"/>
        </w:rPr>
      </w:pPr>
      <w:r>
        <w:rPr>
          <w:rFonts w:hint="eastAsia" w:eastAsia="黑体"/>
          <w:szCs w:val="24"/>
        </w:rPr>
        <w:t>十一、各环节评价标准</w:t>
      </w:r>
    </w:p>
    <w:p>
      <w:pPr>
        <w:spacing w:line="360" w:lineRule="auto"/>
        <w:ind w:firstLine="420" w:firstLineChars="200"/>
        <w:rPr>
          <w:szCs w:val="21"/>
        </w:rPr>
      </w:pPr>
      <w:r>
        <w:rPr>
          <w:rFonts w:hint="eastAsia"/>
          <w:szCs w:val="21"/>
        </w:rPr>
        <w:t>本课程允许教师在各评价环节根据具体情况采取多样化、个性化的考核手段，其评价标准应当在《</w:t>
      </w:r>
      <w:r>
        <w:rPr>
          <w:rFonts w:hint="eastAsia" w:ascii="宋体" w:hAnsi="宋体"/>
          <w:szCs w:val="21"/>
        </w:rPr>
        <w:t>SIE-CT-01：</w:t>
      </w:r>
      <w:r>
        <w:rPr>
          <w:rFonts w:hint="eastAsia"/>
          <w:szCs w:val="21"/>
        </w:rPr>
        <w:t>授课计划》中明确并向学生公布，教学过程中的考核评价应当严格按照标准完成。</w:t>
      </w:r>
    </w:p>
    <w:p>
      <w:pPr>
        <w:tabs>
          <w:tab w:val="left" w:pos="420"/>
        </w:tabs>
        <w:adjustRightInd w:val="0"/>
        <w:snapToGrid w:val="0"/>
        <w:spacing w:line="360" w:lineRule="auto"/>
        <w:ind w:left="420" w:hanging="420"/>
        <w:rPr>
          <w:color w:val="0000FF"/>
        </w:rPr>
      </w:pPr>
    </w:p>
    <w:p>
      <w:pPr>
        <w:tabs>
          <w:tab w:val="left" w:pos="420"/>
        </w:tabs>
        <w:adjustRightInd w:val="0"/>
        <w:snapToGrid w:val="0"/>
        <w:spacing w:line="360" w:lineRule="auto"/>
        <w:ind w:left="420" w:hanging="420"/>
        <w:rPr>
          <w:rFonts w:eastAsia="黑体"/>
          <w:szCs w:val="24"/>
        </w:rPr>
      </w:pPr>
      <w:r>
        <w:rPr>
          <w:rFonts w:hint="eastAsia" w:eastAsia="黑体"/>
          <w:szCs w:val="24"/>
        </w:rPr>
        <w:t>十二、课程目标达成评价结果用于持续改进</w:t>
      </w:r>
    </w:p>
    <w:p>
      <w:pPr>
        <w:spacing w:line="360" w:lineRule="auto"/>
        <w:ind w:firstLine="420" w:firstLineChars="200"/>
        <w:rPr>
          <w:szCs w:val="21"/>
        </w:rPr>
      </w:pPr>
      <w:r>
        <w:rPr>
          <w:rFonts w:hint="eastAsia"/>
          <w:szCs w:val="21"/>
        </w:rPr>
        <w:t>课程目标达成评价结果将用于后续教学过程的持续改进。</w:t>
      </w:r>
    </w:p>
    <w:p>
      <w:pPr>
        <w:spacing w:line="360" w:lineRule="auto"/>
        <w:ind w:firstLine="420" w:firstLineChars="200"/>
        <w:rPr>
          <w:szCs w:val="21"/>
        </w:rPr>
      </w:pPr>
      <w:r>
        <w:rPr>
          <w:rFonts w:hint="eastAsia"/>
          <w:szCs w:val="21"/>
        </w:rPr>
        <w:t>针对课程目标达成评价中发现的问题与不足，重点是达成值相对较低的项，在本次授课总结中应由授课教师分析具体原因，并给出改进建议。后续任课教师应当针对以前的问题和建议，在授课计划中做好落实改进计划，并在授课过程中予以落实。</w:t>
      </w:r>
    </w:p>
    <w:p>
      <w:pPr>
        <w:pStyle w:val="18"/>
        <w:spacing w:before="240" w:after="360"/>
      </w:pPr>
      <w:bookmarkStart w:id="27" w:name="_Toc5274"/>
      <w:r>
        <w:rPr>
          <w:rFonts w:hint="eastAsia"/>
        </w:rPr>
        <w:t>《毕业设计专题》教学大纲</w:t>
      </w:r>
      <w:bookmarkEnd w:id="27"/>
    </w:p>
    <w:p>
      <w:pPr>
        <w:adjustRightInd w:val="0"/>
        <w:snapToGrid w:val="0"/>
        <w:spacing w:line="360" w:lineRule="auto"/>
        <w:rPr>
          <w:bCs/>
          <w:kern w:val="0"/>
        </w:rPr>
      </w:pPr>
      <w:r>
        <w:rPr>
          <w:rFonts w:hint="eastAsia" w:eastAsia="黑体"/>
          <w:szCs w:val="21"/>
        </w:rPr>
        <w:t>课程编号：</w:t>
      </w:r>
      <w:r>
        <w:rPr>
          <w:bCs/>
          <w:kern w:val="0"/>
        </w:rPr>
        <w:t>Y07060006</w:t>
      </w:r>
    </w:p>
    <w:p>
      <w:pPr>
        <w:adjustRightInd w:val="0"/>
        <w:snapToGrid w:val="0"/>
        <w:spacing w:line="360" w:lineRule="auto"/>
        <w:rPr>
          <w:snapToGrid w:val="0"/>
          <w:kern w:val="0"/>
          <w:szCs w:val="21"/>
        </w:rPr>
      </w:pPr>
      <w:r>
        <w:rPr>
          <w:rFonts w:hint="eastAsia" w:eastAsia="黑体"/>
          <w:szCs w:val="21"/>
        </w:rPr>
        <w:t>课程名称：</w:t>
      </w:r>
      <w:r>
        <w:rPr>
          <w:rFonts w:hint="eastAsia"/>
          <w:szCs w:val="21"/>
        </w:rPr>
        <w:t>毕业设计专题</w:t>
      </w:r>
      <w:r>
        <w:rPr>
          <w:szCs w:val="21"/>
        </w:rPr>
        <w:tab/>
      </w:r>
      <w:r>
        <w:rPr>
          <w:szCs w:val="21"/>
        </w:rPr>
        <w:tab/>
      </w:r>
      <w:r>
        <w:rPr>
          <w:szCs w:val="21"/>
        </w:rPr>
        <w:tab/>
      </w:r>
      <w:r>
        <w:rPr>
          <w:szCs w:val="21"/>
        </w:rPr>
        <w:tab/>
      </w:r>
      <w:r>
        <w:rPr>
          <w:szCs w:val="21"/>
        </w:rPr>
        <w:tab/>
      </w:r>
      <w:r>
        <w:rPr>
          <w:rFonts w:hint="eastAsia" w:eastAsia="黑体"/>
          <w:szCs w:val="21"/>
        </w:rPr>
        <w:t>开课单位：</w:t>
      </w:r>
      <w:r>
        <w:rPr>
          <w:rFonts w:hint="eastAsia"/>
          <w:szCs w:val="21"/>
        </w:rPr>
        <w:t>仪器与电子学院</w:t>
      </w:r>
      <w:r>
        <w:rPr>
          <w:rFonts w:eastAsia="黑体"/>
          <w:szCs w:val="21"/>
        </w:rPr>
        <w:tab/>
      </w:r>
    </w:p>
    <w:p>
      <w:pPr>
        <w:adjustRightInd w:val="0"/>
        <w:snapToGrid w:val="0"/>
        <w:spacing w:line="360" w:lineRule="auto"/>
        <w:rPr>
          <w:rFonts w:eastAsia="黑体"/>
          <w:szCs w:val="21"/>
        </w:rPr>
      </w:pPr>
      <w:r>
        <w:rPr>
          <w:rFonts w:hint="eastAsia" w:eastAsia="黑体"/>
          <w:szCs w:val="21"/>
        </w:rPr>
        <w:t>总学时：</w:t>
      </w:r>
      <w:r>
        <w:rPr>
          <w:rFonts w:hint="eastAsia"/>
          <w:szCs w:val="21"/>
        </w:rPr>
        <w:t xml:space="preserve">8              </w:t>
      </w:r>
      <w:r>
        <w:rPr>
          <w:rFonts w:eastAsia="黑体"/>
          <w:szCs w:val="21"/>
        </w:rPr>
        <w:tab/>
      </w:r>
      <w:r>
        <w:rPr>
          <w:rFonts w:eastAsia="黑体"/>
          <w:szCs w:val="21"/>
        </w:rPr>
        <w:tab/>
      </w:r>
      <w:r>
        <w:rPr>
          <w:rFonts w:eastAsia="黑体"/>
          <w:szCs w:val="21"/>
        </w:rPr>
        <w:tab/>
      </w:r>
      <w:r>
        <w:rPr>
          <w:rFonts w:eastAsia="黑体"/>
          <w:szCs w:val="21"/>
        </w:rPr>
        <w:tab/>
      </w:r>
      <w:r>
        <w:rPr>
          <w:rFonts w:hint="eastAsia" w:eastAsia="黑体"/>
          <w:szCs w:val="21"/>
        </w:rPr>
        <w:t>学分：0.5</w:t>
      </w:r>
    </w:p>
    <w:p>
      <w:pPr>
        <w:adjustRightInd w:val="0"/>
        <w:snapToGrid w:val="0"/>
        <w:spacing w:line="360" w:lineRule="auto"/>
        <w:rPr>
          <w:rFonts w:eastAsia="黑体"/>
          <w:szCs w:val="21"/>
        </w:rPr>
      </w:pPr>
      <w:r>
        <w:rPr>
          <w:rFonts w:hint="eastAsia" w:eastAsia="黑体"/>
          <w:szCs w:val="21"/>
        </w:rPr>
        <w:t>适用专业：</w:t>
      </w:r>
      <w:r>
        <w:rPr>
          <w:rFonts w:hint="eastAsia"/>
          <w:szCs w:val="21"/>
        </w:rPr>
        <w:t>测控技术与仪器专业、电子科学与技术专业、</w:t>
      </w:r>
      <w:r>
        <w:rPr>
          <w:rFonts w:hint="eastAsia"/>
          <w:szCs w:val="21"/>
          <w:lang w:eastAsia="zh-CN"/>
        </w:rPr>
        <w:t>智能感知工程</w:t>
      </w:r>
      <w:r>
        <w:rPr>
          <w:rFonts w:hint="eastAsia"/>
          <w:szCs w:val="21"/>
        </w:rPr>
        <w:t>专业</w:t>
      </w:r>
    </w:p>
    <w:p>
      <w:pPr>
        <w:adjustRightInd w:val="0"/>
        <w:snapToGrid w:val="0"/>
        <w:spacing w:line="360" w:lineRule="auto"/>
        <w:rPr>
          <w:szCs w:val="21"/>
        </w:rPr>
      </w:pPr>
      <w:r>
        <w:rPr>
          <w:rFonts w:hint="eastAsia" w:eastAsia="黑体"/>
          <w:szCs w:val="21"/>
        </w:rPr>
        <w:t>先修课程：</w:t>
      </w:r>
      <w:r>
        <w:rPr>
          <w:rFonts w:hint="eastAsia"/>
          <w:szCs w:val="21"/>
        </w:rPr>
        <w:t>无</w:t>
      </w:r>
    </w:p>
    <w:p>
      <w:pPr>
        <w:adjustRightInd w:val="0"/>
        <w:snapToGrid w:val="0"/>
        <w:spacing w:line="360" w:lineRule="auto"/>
        <w:rPr>
          <w:szCs w:val="21"/>
        </w:rPr>
      </w:pPr>
      <w:r>
        <w:rPr>
          <w:rFonts w:hint="eastAsia" w:eastAsia="黑体"/>
          <w:szCs w:val="21"/>
        </w:rPr>
        <w:t>大纲撰写人：</w:t>
      </w:r>
      <w:r>
        <w:rPr>
          <w:rFonts w:hint="eastAsia"/>
          <w:szCs w:val="21"/>
        </w:rPr>
        <w:t>甄国涌</w:t>
      </w:r>
    </w:p>
    <w:p>
      <w:pPr>
        <w:adjustRightInd w:val="0"/>
        <w:snapToGrid w:val="0"/>
        <w:spacing w:line="360" w:lineRule="auto"/>
        <w:rPr>
          <w:rFonts w:ascii="宋体" w:hAnsi="宋体"/>
          <w:szCs w:val="21"/>
        </w:rPr>
      </w:pPr>
      <w:r>
        <w:rPr>
          <w:rFonts w:hint="eastAsia" w:eastAsia="黑体"/>
          <w:szCs w:val="21"/>
        </w:rPr>
        <w:t>大纲编写（修订）时间：</w:t>
      </w:r>
      <w:r>
        <w:rPr>
          <w:szCs w:val="21"/>
        </w:rPr>
        <w:t>2019年5月</w:t>
      </w:r>
    </w:p>
    <w:p>
      <w:pPr>
        <w:adjustRightInd w:val="0"/>
        <w:snapToGrid w:val="0"/>
        <w:spacing w:line="360" w:lineRule="auto"/>
        <w:rPr>
          <w:szCs w:val="21"/>
        </w:rPr>
      </w:pPr>
    </w:p>
    <w:p>
      <w:pPr>
        <w:tabs>
          <w:tab w:val="left" w:pos="420"/>
        </w:tabs>
        <w:adjustRightInd w:val="0"/>
        <w:snapToGrid w:val="0"/>
        <w:spacing w:line="360" w:lineRule="auto"/>
        <w:rPr>
          <w:rFonts w:eastAsia="黑体"/>
          <w:szCs w:val="21"/>
        </w:rPr>
      </w:pPr>
      <w:r>
        <w:rPr>
          <w:rFonts w:hint="eastAsia" w:eastAsia="黑体"/>
          <w:szCs w:val="21"/>
        </w:rPr>
        <w:t>一、课程在教学计划中的地位、作用</w:t>
      </w:r>
    </w:p>
    <w:p>
      <w:pPr>
        <w:adjustRightInd w:val="0"/>
        <w:snapToGrid w:val="0"/>
        <w:spacing w:line="360" w:lineRule="auto"/>
        <w:ind w:firstLine="420" w:firstLineChars="200"/>
        <w:rPr>
          <w:szCs w:val="21"/>
        </w:rPr>
      </w:pPr>
      <w:r>
        <w:rPr>
          <w:szCs w:val="21"/>
        </w:rPr>
        <w:t>《毕业设计专题》是对毕业设计过程进行指导的选修课程。该课程主要说明毕业设计过程、各过程中要完成的工作及如何做好每个过程。通过该课程的学习，可以使学生对毕业设计过程有较全面的认识，更好的完成毕业设计教学环节。</w:t>
      </w:r>
    </w:p>
    <w:p>
      <w:pPr>
        <w:spacing w:line="360" w:lineRule="auto"/>
        <w:ind w:firstLine="420" w:firstLineChars="200"/>
        <w:rPr>
          <w:szCs w:val="21"/>
        </w:rPr>
      </w:pPr>
    </w:p>
    <w:p>
      <w:pPr>
        <w:tabs>
          <w:tab w:val="left" w:pos="420"/>
        </w:tabs>
        <w:adjustRightInd w:val="0"/>
        <w:snapToGrid w:val="0"/>
        <w:spacing w:line="360" w:lineRule="auto"/>
        <w:ind w:left="420" w:hanging="420"/>
        <w:rPr>
          <w:rFonts w:eastAsia="黑体"/>
          <w:szCs w:val="21"/>
        </w:rPr>
      </w:pPr>
      <w:r>
        <w:rPr>
          <w:rFonts w:hint="eastAsia" w:eastAsia="黑体"/>
          <w:szCs w:val="21"/>
        </w:rPr>
        <w:t>二、课程目标</w:t>
      </w:r>
    </w:p>
    <w:p>
      <w:pPr>
        <w:tabs>
          <w:tab w:val="left" w:pos="420"/>
        </w:tabs>
        <w:adjustRightInd w:val="0"/>
        <w:snapToGrid w:val="0"/>
        <w:spacing w:line="360" w:lineRule="auto"/>
        <w:ind w:left="420" w:hanging="420"/>
        <w:rPr>
          <w:rFonts w:ascii="宋体" w:hAnsi="宋体"/>
          <w:szCs w:val="21"/>
        </w:rPr>
      </w:pPr>
      <w:r>
        <w:rPr>
          <w:rFonts w:hint="eastAsia" w:ascii="宋体" w:hAnsi="宋体"/>
          <w:szCs w:val="21"/>
        </w:rPr>
        <w:t>测控技术与仪器专业：</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2574"/>
        <w:gridCol w:w="532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sz w:val="18"/>
                <w:szCs w:val="18"/>
              </w:rPr>
              <w:t>序号</w:t>
            </w:r>
          </w:p>
        </w:tc>
        <w:tc>
          <w:tcPr>
            <w:tcW w:w="1509" w:type="pct"/>
            <w:vAlign w:val="center"/>
          </w:tcPr>
          <w:p>
            <w:pPr>
              <w:spacing w:line="360" w:lineRule="auto"/>
              <w:jc w:val="center"/>
              <w:rPr>
                <w:sz w:val="18"/>
                <w:szCs w:val="18"/>
              </w:rPr>
            </w:pPr>
            <w:r>
              <w:rPr>
                <w:sz w:val="18"/>
                <w:szCs w:val="18"/>
              </w:rPr>
              <w:t>课程目标</w:t>
            </w:r>
          </w:p>
        </w:tc>
        <w:tc>
          <w:tcPr>
            <w:tcW w:w="3124" w:type="pct"/>
            <w:vAlign w:val="center"/>
          </w:tcPr>
          <w:p>
            <w:pPr>
              <w:spacing w:line="360" w:lineRule="auto"/>
              <w:jc w:val="center"/>
              <w:rPr>
                <w:sz w:val="18"/>
                <w:szCs w:val="18"/>
              </w:rPr>
            </w:pPr>
            <w:r>
              <w:rPr>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1</w:t>
            </w:r>
          </w:p>
        </w:tc>
        <w:tc>
          <w:tcPr>
            <w:tcW w:w="1509" w:type="pct"/>
          </w:tcPr>
          <w:p>
            <w:pPr>
              <w:spacing w:line="360" w:lineRule="auto"/>
              <w:rPr>
                <w:sz w:val="18"/>
                <w:szCs w:val="18"/>
              </w:rPr>
            </w:pPr>
            <w:r>
              <w:rPr>
                <w:rFonts w:hint="eastAsia"/>
                <w:sz w:val="18"/>
                <w:szCs w:val="18"/>
              </w:rPr>
              <w:t>能够确定毕业设计任务书中任务涉及的知识点及相关的表征参数。</w:t>
            </w:r>
          </w:p>
        </w:tc>
        <w:tc>
          <w:tcPr>
            <w:tcW w:w="3124" w:type="pct"/>
          </w:tcPr>
          <w:p>
            <w:pPr>
              <w:spacing w:line="360" w:lineRule="auto"/>
              <w:rPr>
                <w:sz w:val="18"/>
                <w:szCs w:val="18"/>
              </w:rPr>
            </w:pPr>
            <w:r>
              <w:rPr>
                <w:rFonts w:hint="eastAsia"/>
                <w:b/>
                <w:sz w:val="18"/>
                <w:szCs w:val="18"/>
              </w:rPr>
              <w:t>指标点2-1 问题识别：</w:t>
            </w:r>
            <w:r>
              <w:rPr>
                <w:rFonts w:hint="eastAsia"/>
                <w:sz w:val="18"/>
                <w:szCs w:val="18"/>
              </w:rPr>
              <w:t>能应用科学原理对测控技术与仪器专业复杂工程问题进行分解，并识别其中的关键特征和参数。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2</w:t>
            </w:r>
          </w:p>
        </w:tc>
        <w:tc>
          <w:tcPr>
            <w:tcW w:w="1509" w:type="pct"/>
          </w:tcPr>
          <w:p>
            <w:pPr>
              <w:spacing w:line="360" w:lineRule="auto"/>
              <w:rPr>
                <w:sz w:val="18"/>
                <w:szCs w:val="18"/>
              </w:rPr>
            </w:pPr>
            <w:r>
              <w:rPr>
                <w:rFonts w:hint="eastAsia"/>
                <w:sz w:val="18"/>
                <w:szCs w:val="18"/>
              </w:rPr>
              <w:t>能够通过调研、资料及实验界定任务要求并确定自己的实现方案。</w:t>
            </w:r>
          </w:p>
        </w:tc>
        <w:tc>
          <w:tcPr>
            <w:tcW w:w="3124" w:type="pct"/>
          </w:tcPr>
          <w:p>
            <w:pPr>
              <w:spacing w:line="360" w:lineRule="auto"/>
              <w:rPr>
                <w:b/>
                <w:sz w:val="18"/>
                <w:szCs w:val="18"/>
              </w:rPr>
            </w:pPr>
            <w:r>
              <w:rPr>
                <w:rFonts w:hint="eastAsia"/>
                <w:b/>
                <w:sz w:val="18"/>
                <w:szCs w:val="18"/>
              </w:rPr>
              <w:t>指标点2-4 信息获取能力：</w:t>
            </w:r>
            <w:r>
              <w:rPr>
                <w:rFonts w:hint="eastAsia"/>
                <w:sz w:val="18"/>
                <w:szCs w:val="18"/>
              </w:rPr>
              <w:t>掌握文献检索、资料查询及运用现代技术获取信息的方法，能通过该手段获取行业内解决同类问题的方法与效果，支撑自己的方案，并理解其差距与优势。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3</w:t>
            </w:r>
          </w:p>
        </w:tc>
        <w:tc>
          <w:tcPr>
            <w:tcW w:w="1509" w:type="pct"/>
          </w:tcPr>
          <w:p>
            <w:pPr>
              <w:spacing w:line="360" w:lineRule="auto"/>
              <w:rPr>
                <w:sz w:val="18"/>
                <w:szCs w:val="18"/>
              </w:rPr>
            </w:pPr>
            <w:r>
              <w:rPr>
                <w:sz w:val="18"/>
                <w:szCs w:val="18"/>
              </w:rPr>
              <w:t>能够</w:t>
            </w:r>
            <w:r>
              <w:rPr>
                <w:rFonts w:hint="eastAsia"/>
                <w:sz w:val="18"/>
                <w:szCs w:val="18"/>
              </w:rPr>
              <w:t>识别毕业设计过程中包括流程、文档、管理等应遵循的规范。</w:t>
            </w:r>
          </w:p>
        </w:tc>
        <w:tc>
          <w:tcPr>
            <w:tcW w:w="3124" w:type="pct"/>
          </w:tcPr>
          <w:p>
            <w:pPr>
              <w:spacing w:line="360" w:lineRule="auto"/>
              <w:rPr>
                <w:sz w:val="18"/>
                <w:szCs w:val="18"/>
              </w:rPr>
            </w:pPr>
            <w:r>
              <w:rPr>
                <w:rFonts w:hint="eastAsia"/>
                <w:b/>
                <w:sz w:val="18"/>
                <w:szCs w:val="18"/>
              </w:rPr>
              <w:t>指标点3-2 非技术因素：</w:t>
            </w:r>
            <w:r>
              <w:rPr>
                <w:rFonts w:hint="eastAsia"/>
                <w:sz w:val="18"/>
                <w:szCs w:val="18"/>
              </w:rPr>
              <w:t>在方案设计的过程中，能够考虑并分析社会、健康、安全、法律、文化以及环境等因素的影响。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4</w:t>
            </w:r>
          </w:p>
        </w:tc>
        <w:tc>
          <w:tcPr>
            <w:tcW w:w="1509" w:type="pct"/>
          </w:tcPr>
          <w:p>
            <w:pPr>
              <w:spacing w:line="360" w:lineRule="auto"/>
              <w:rPr>
                <w:sz w:val="18"/>
                <w:szCs w:val="18"/>
              </w:rPr>
            </w:pPr>
            <w:r>
              <w:rPr>
                <w:rFonts w:hint="eastAsia"/>
                <w:sz w:val="18"/>
                <w:szCs w:val="18"/>
              </w:rPr>
              <w:t>通过典型案例的学习，能够分析和优化在毕业设计中体现低功耗</w:t>
            </w:r>
            <w:r>
              <w:rPr>
                <w:sz w:val="18"/>
                <w:szCs w:val="18"/>
              </w:rPr>
              <w:t>、</w:t>
            </w:r>
            <w:r>
              <w:rPr>
                <w:rFonts w:hint="eastAsia"/>
                <w:sz w:val="18"/>
                <w:szCs w:val="18"/>
              </w:rPr>
              <w:t>电磁辐射及相关行业标准的实现方案。</w:t>
            </w:r>
          </w:p>
        </w:tc>
        <w:tc>
          <w:tcPr>
            <w:tcW w:w="3124" w:type="pct"/>
          </w:tcPr>
          <w:p>
            <w:pPr>
              <w:spacing w:line="360" w:lineRule="auto"/>
              <w:rPr>
                <w:b/>
                <w:sz w:val="18"/>
                <w:szCs w:val="18"/>
              </w:rPr>
            </w:pPr>
            <w:r>
              <w:rPr>
                <w:rFonts w:hint="eastAsia"/>
                <w:b/>
                <w:sz w:val="18"/>
                <w:szCs w:val="18"/>
              </w:rPr>
              <w:t>指标点7-1 环境影响评价：</w:t>
            </w:r>
            <w:r>
              <w:rPr>
                <w:rFonts w:hint="eastAsia"/>
                <w:sz w:val="18"/>
                <w:szCs w:val="18"/>
              </w:rPr>
              <w:t>充分了解本专业工程实践所使用的原材料、工艺、生产过程对各类资源的消耗情况，能合理评价生产试验和产品运行过程中可能产生的功耗、噪声、辐射、废料对环境的影响。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5</w:t>
            </w:r>
          </w:p>
        </w:tc>
        <w:tc>
          <w:tcPr>
            <w:tcW w:w="1509" w:type="pct"/>
          </w:tcPr>
          <w:p>
            <w:pPr>
              <w:spacing w:line="360" w:lineRule="auto"/>
              <w:rPr>
                <w:sz w:val="18"/>
                <w:szCs w:val="18"/>
              </w:rPr>
            </w:pPr>
            <w:r>
              <w:rPr>
                <w:rFonts w:hint="eastAsia"/>
                <w:sz w:val="18"/>
                <w:szCs w:val="18"/>
              </w:rPr>
              <w:t>通过典型案例的学习，能够分析和优化在毕业设计开题及方案设计中实现环境友好的设计路线及方案。</w:t>
            </w:r>
          </w:p>
        </w:tc>
        <w:tc>
          <w:tcPr>
            <w:tcW w:w="3124" w:type="pct"/>
          </w:tcPr>
          <w:p>
            <w:pPr>
              <w:spacing w:line="360" w:lineRule="auto"/>
              <w:rPr>
                <w:b/>
                <w:sz w:val="18"/>
                <w:szCs w:val="18"/>
              </w:rPr>
            </w:pPr>
            <w:r>
              <w:rPr>
                <w:rFonts w:hint="eastAsia"/>
                <w:b/>
                <w:sz w:val="18"/>
                <w:szCs w:val="18"/>
              </w:rPr>
              <w:t>指标点7-2 环保设计与环保意识：</w:t>
            </w:r>
            <w:r>
              <w:rPr>
                <w:rFonts w:hint="eastAsia"/>
                <w:sz w:val="18"/>
                <w:szCs w:val="18"/>
              </w:rPr>
              <w:t>接受过相关的环保教育及环保案例教育，了解国家可持续发展的理念，在工程设计中体现保护环境、维持社会可持续发展的意识。</w:t>
            </w:r>
          </w:p>
        </w:tc>
      </w:tr>
    </w:tbl>
    <w:p>
      <w:pPr>
        <w:tabs>
          <w:tab w:val="left" w:pos="420"/>
        </w:tabs>
        <w:adjustRightInd w:val="0"/>
        <w:snapToGrid w:val="0"/>
        <w:spacing w:line="360" w:lineRule="auto"/>
        <w:ind w:left="420" w:hanging="420"/>
        <w:rPr>
          <w:rFonts w:asciiTheme="minorEastAsia" w:hAnsiTheme="minorEastAsia" w:eastAsiaTheme="minorEastAsia"/>
          <w:szCs w:val="21"/>
        </w:rPr>
      </w:pPr>
    </w:p>
    <w:p>
      <w:pPr>
        <w:tabs>
          <w:tab w:val="left" w:pos="420"/>
        </w:tabs>
        <w:adjustRightInd w:val="0"/>
        <w:snapToGrid w:val="0"/>
        <w:spacing w:line="360" w:lineRule="auto"/>
        <w:ind w:left="420" w:hanging="420"/>
        <w:rPr>
          <w:rFonts w:ascii="宋体" w:hAnsi="宋体"/>
          <w:szCs w:val="21"/>
        </w:rPr>
      </w:pPr>
      <w:r>
        <w:rPr>
          <w:rFonts w:hint="eastAsia" w:ascii="宋体" w:hAnsi="宋体"/>
          <w:szCs w:val="21"/>
        </w:rPr>
        <w:t>电子科学与技术专业：</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2574"/>
        <w:gridCol w:w="532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sz w:val="18"/>
                <w:szCs w:val="18"/>
              </w:rPr>
              <w:t>序号</w:t>
            </w:r>
          </w:p>
        </w:tc>
        <w:tc>
          <w:tcPr>
            <w:tcW w:w="1509" w:type="pct"/>
            <w:vAlign w:val="center"/>
          </w:tcPr>
          <w:p>
            <w:pPr>
              <w:spacing w:line="360" w:lineRule="auto"/>
              <w:jc w:val="center"/>
              <w:rPr>
                <w:sz w:val="18"/>
                <w:szCs w:val="18"/>
              </w:rPr>
            </w:pPr>
            <w:r>
              <w:rPr>
                <w:sz w:val="18"/>
                <w:szCs w:val="18"/>
              </w:rPr>
              <w:t>课程目标</w:t>
            </w:r>
          </w:p>
        </w:tc>
        <w:tc>
          <w:tcPr>
            <w:tcW w:w="3124" w:type="pct"/>
            <w:vAlign w:val="center"/>
          </w:tcPr>
          <w:p>
            <w:pPr>
              <w:spacing w:line="360" w:lineRule="auto"/>
              <w:jc w:val="center"/>
              <w:rPr>
                <w:sz w:val="18"/>
                <w:szCs w:val="18"/>
              </w:rPr>
            </w:pPr>
            <w:r>
              <w:rPr>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1</w:t>
            </w:r>
          </w:p>
        </w:tc>
        <w:tc>
          <w:tcPr>
            <w:tcW w:w="1509" w:type="pct"/>
          </w:tcPr>
          <w:p>
            <w:pPr>
              <w:spacing w:line="360" w:lineRule="auto"/>
              <w:rPr>
                <w:sz w:val="18"/>
                <w:szCs w:val="18"/>
              </w:rPr>
            </w:pPr>
            <w:r>
              <w:rPr>
                <w:rFonts w:hint="eastAsia"/>
                <w:sz w:val="18"/>
                <w:szCs w:val="18"/>
              </w:rPr>
              <w:t>能够确定毕业设计任务书中任务涉及的知识点及相关的表征参数。</w:t>
            </w:r>
          </w:p>
        </w:tc>
        <w:tc>
          <w:tcPr>
            <w:tcW w:w="3124" w:type="pct"/>
          </w:tcPr>
          <w:p>
            <w:pPr>
              <w:spacing w:line="360" w:lineRule="auto"/>
              <w:rPr>
                <w:sz w:val="18"/>
                <w:szCs w:val="18"/>
              </w:rPr>
            </w:pPr>
            <w:r>
              <w:rPr>
                <w:rFonts w:hint="eastAsia"/>
                <w:b/>
                <w:sz w:val="18"/>
                <w:szCs w:val="18"/>
              </w:rPr>
              <w:t>指标点2-1 问题识别：</w:t>
            </w:r>
            <w:r>
              <w:rPr>
                <w:rFonts w:hint="eastAsia"/>
                <w:sz w:val="18"/>
                <w:szCs w:val="18"/>
              </w:rPr>
              <w:t>能应用科学原理对电路系统、物联网及现场总线等领域专业复杂工程问题进行分解，并识别其中的关键特征和参数。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2</w:t>
            </w:r>
          </w:p>
        </w:tc>
        <w:tc>
          <w:tcPr>
            <w:tcW w:w="1509" w:type="pct"/>
          </w:tcPr>
          <w:p>
            <w:pPr>
              <w:spacing w:line="360" w:lineRule="auto"/>
              <w:rPr>
                <w:sz w:val="18"/>
                <w:szCs w:val="18"/>
              </w:rPr>
            </w:pPr>
            <w:r>
              <w:rPr>
                <w:rFonts w:hint="eastAsia"/>
                <w:sz w:val="18"/>
                <w:szCs w:val="18"/>
              </w:rPr>
              <w:t>能够通过调研、资料及实验界定任务要求并确定自己的实现方案。</w:t>
            </w:r>
          </w:p>
        </w:tc>
        <w:tc>
          <w:tcPr>
            <w:tcW w:w="3124" w:type="pct"/>
          </w:tcPr>
          <w:p>
            <w:pPr>
              <w:spacing w:line="360" w:lineRule="auto"/>
              <w:rPr>
                <w:b/>
                <w:sz w:val="18"/>
                <w:szCs w:val="18"/>
              </w:rPr>
            </w:pPr>
            <w:r>
              <w:rPr>
                <w:rFonts w:hint="eastAsia"/>
                <w:b/>
                <w:sz w:val="18"/>
                <w:szCs w:val="18"/>
              </w:rPr>
              <w:t>指标点2-4 信息获取能力：</w:t>
            </w:r>
            <w:r>
              <w:rPr>
                <w:rFonts w:hint="eastAsia"/>
                <w:sz w:val="18"/>
                <w:szCs w:val="18"/>
              </w:rPr>
              <w:t>掌握文献检索、资料查询及运用现代技术获取信息的方法，能通过该手段获取行业内解决同类问题的方法与效果，支撑自己的方案，并理解其差距与优势。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3</w:t>
            </w:r>
          </w:p>
        </w:tc>
        <w:tc>
          <w:tcPr>
            <w:tcW w:w="1509" w:type="pct"/>
          </w:tcPr>
          <w:p>
            <w:pPr>
              <w:spacing w:line="360" w:lineRule="auto"/>
              <w:rPr>
                <w:sz w:val="18"/>
                <w:szCs w:val="18"/>
              </w:rPr>
            </w:pPr>
            <w:r>
              <w:rPr>
                <w:sz w:val="18"/>
                <w:szCs w:val="18"/>
              </w:rPr>
              <w:t>能够</w:t>
            </w:r>
            <w:r>
              <w:rPr>
                <w:rFonts w:hint="eastAsia"/>
                <w:sz w:val="18"/>
                <w:szCs w:val="18"/>
              </w:rPr>
              <w:t>识别毕业设计过程中包括流程、文档、管理等应遵循的规范。</w:t>
            </w:r>
          </w:p>
        </w:tc>
        <w:tc>
          <w:tcPr>
            <w:tcW w:w="3124" w:type="pct"/>
          </w:tcPr>
          <w:p>
            <w:pPr>
              <w:spacing w:line="360" w:lineRule="auto"/>
              <w:rPr>
                <w:sz w:val="18"/>
                <w:szCs w:val="18"/>
              </w:rPr>
            </w:pPr>
            <w:r>
              <w:rPr>
                <w:rFonts w:hint="eastAsia"/>
                <w:b/>
                <w:sz w:val="18"/>
                <w:szCs w:val="18"/>
              </w:rPr>
              <w:t>指标点3-2 非技术因素：</w:t>
            </w:r>
            <w:r>
              <w:rPr>
                <w:rFonts w:hint="eastAsia"/>
                <w:sz w:val="18"/>
                <w:szCs w:val="18"/>
              </w:rPr>
              <w:t>设计方案的过程中，能够考虑并分析社会、健康、安全、法律、文化以及环境等因素的影响。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4</w:t>
            </w:r>
          </w:p>
        </w:tc>
        <w:tc>
          <w:tcPr>
            <w:tcW w:w="1509" w:type="pct"/>
          </w:tcPr>
          <w:p>
            <w:pPr>
              <w:spacing w:line="360" w:lineRule="auto"/>
              <w:rPr>
                <w:sz w:val="18"/>
                <w:szCs w:val="18"/>
              </w:rPr>
            </w:pPr>
            <w:r>
              <w:rPr>
                <w:rFonts w:hint="eastAsia"/>
                <w:sz w:val="18"/>
                <w:szCs w:val="18"/>
              </w:rPr>
              <w:t>通过典型案例的学习，能够分析和优化在毕业设计中体现低功耗</w:t>
            </w:r>
            <w:r>
              <w:rPr>
                <w:sz w:val="18"/>
                <w:szCs w:val="18"/>
              </w:rPr>
              <w:t>、</w:t>
            </w:r>
            <w:r>
              <w:rPr>
                <w:rFonts w:hint="eastAsia"/>
                <w:sz w:val="18"/>
                <w:szCs w:val="18"/>
              </w:rPr>
              <w:t>电磁辐射及相关行业标准的实现方案。</w:t>
            </w:r>
          </w:p>
        </w:tc>
        <w:tc>
          <w:tcPr>
            <w:tcW w:w="3124" w:type="pct"/>
          </w:tcPr>
          <w:p>
            <w:pPr>
              <w:spacing w:line="360" w:lineRule="auto"/>
              <w:rPr>
                <w:b/>
                <w:sz w:val="18"/>
                <w:szCs w:val="18"/>
              </w:rPr>
            </w:pPr>
            <w:r>
              <w:rPr>
                <w:rFonts w:hint="eastAsia"/>
                <w:b/>
                <w:sz w:val="18"/>
                <w:szCs w:val="18"/>
              </w:rPr>
              <w:t>指标点7-1 环境影响评价：</w:t>
            </w:r>
            <w:r>
              <w:rPr>
                <w:rFonts w:hint="eastAsia"/>
                <w:sz w:val="18"/>
                <w:szCs w:val="18"/>
              </w:rPr>
              <w:t>充分了解本专业工程实践所使用的原材料、工艺、生产过程对各类资源的消耗情况，能合理评价生产试验和产品运行过程中可能产生的功耗、噪声、辐射、废料对环境的影响。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5</w:t>
            </w:r>
          </w:p>
        </w:tc>
        <w:tc>
          <w:tcPr>
            <w:tcW w:w="1509" w:type="pct"/>
          </w:tcPr>
          <w:p>
            <w:pPr>
              <w:spacing w:line="360" w:lineRule="auto"/>
              <w:rPr>
                <w:sz w:val="18"/>
                <w:szCs w:val="18"/>
              </w:rPr>
            </w:pPr>
            <w:r>
              <w:rPr>
                <w:rFonts w:hint="eastAsia"/>
                <w:sz w:val="18"/>
                <w:szCs w:val="18"/>
              </w:rPr>
              <w:t>通过典型案例的学习，能够分析和优化在毕业设计开题及方案设计中实现环境友好的设计路线及方案。</w:t>
            </w:r>
          </w:p>
        </w:tc>
        <w:tc>
          <w:tcPr>
            <w:tcW w:w="3124" w:type="pct"/>
          </w:tcPr>
          <w:p>
            <w:pPr>
              <w:spacing w:line="360" w:lineRule="auto"/>
              <w:rPr>
                <w:b/>
                <w:sz w:val="18"/>
                <w:szCs w:val="18"/>
              </w:rPr>
            </w:pPr>
            <w:r>
              <w:rPr>
                <w:rFonts w:hint="eastAsia"/>
                <w:b/>
                <w:sz w:val="18"/>
                <w:szCs w:val="18"/>
              </w:rPr>
              <w:t>指标点7-2 环保设计与环保意识：</w:t>
            </w:r>
            <w:r>
              <w:rPr>
                <w:rFonts w:hint="eastAsia"/>
                <w:sz w:val="18"/>
                <w:szCs w:val="18"/>
              </w:rPr>
              <w:t>接受过相关的环保教育及环保案例教育，了解国家可持续发展的理念，在工程设计中体现保护环境、维持社会可持续发展的意识。</w:t>
            </w:r>
          </w:p>
        </w:tc>
      </w:tr>
    </w:tbl>
    <w:p>
      <w:pPr>
        <w:tabs>
          <w:tab w:val="left" w:pos="420"/>
        </w:tabs>
        <w:adjustRightInd w:val="0"/>
        <w:snapToGrid w:val="0"/>
        <w:spacing w:line="360" w:lineRule="auto"/>
        <w:ind w:left="420" w:hanging="420"/>
        <w:rPr>
          <w:rFonts w:asciiTheme="minorEastAsia" w:hAnsiTheme="minorEastAsia" w:eastAsiaTheme="minorEastAsia"/>
          <w:szCs w:val="21"/>
        </w:rPr>
      </w:pPr>
    </w:p>
    <w:p>
      <w:pPr>
        <w:tabs>
          <w:tab w:val="left" w:pos="420"/>
        </w:tabs>
        <w:adjustRightInd w:val="0"/>
        <w:snapToGrid w:val="0"/>
        <w:spacing w:line="360" w:lineRule="auto"/>
        <w:ind w:left="420" w:hanging="420"/>
        <w:rPr>
          <w:rFonts w:hint="eastAsia" w:ascii="宋体" w:hAnsi="宋体" w:eastAsia="宋体"/>
          <w:szCs w:val="21"/>
          <w:lang w:eastAsia="zh-CN"/>
        </w:rPr>
      </w:pPr>
      <w:r>
        <w:rPr>
          <w:rFonts w:hint="eastAsia" w:ascii="宋体" w:hAnsi="宋体"/>
          <w:szCs w:val="21"/>
          <w:lang w:eastAsia="zh-CN"/>
        </w:rPr>
        <w:t>智能感知工程</w:t>
      </w:r>
      <w:r>
        <w:rPr>
          <w:rFonts w:hint="eastAsia" w:ascii="宋体" w:hAnsi="宋体"/>
          <w:szCs w:val="21"/>
        </w:rPr>
        <w:t>专业</w:t>
      </w:r>
      <w:r>
        <w:rPr>
          <w:rFonts w:hint="eastAsia" w:ascii="宋体" w:hAnsi="宋体"/>
          <w:szCs w:val="21"/>
          <w:lang w:eastAsia="zh-CN"/>
        </w:rPr>
        <w:t>：</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2574"/>
        <w:gridCol w:w="532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sz w:val="18"/>
                <w:szCs w:val="18"/>
              </w:rPr>
              <w:t>序号</w:t>
            </w:r>
          </w:p>
        </w:tc>
        <w:tc>
          <w:tcPr>
            <w:tcW w:w="1509" w:type="pct"/>
            <w:vAlign w:val="center"/>
          </w:tcPr>
          <w:p>
            <w:pPr>
              <w:spacing w:line="360" w:lineRule="auto"/>
              <w:jc w:val="center"/>
              <w:rPr>
                <w:sz w:val="18"/>
                <w:szCs w:val="18"/>
              </w:rPr>
            </w:pPr>
            <w:r>
              <w:rPr>
                <w:sz w:val="18"/>
                <w:szCs w:val="18"/>
              </w:rPr>
              <w:t>课程目标</w:t>
            </w:r>
          </w:p>
        </w:tc>
        <w:tc>
          <w:tcPr>
            <w:tcW w:w="3124" w:type="pct"/>
            <w:vAlign w:val="center"/>
          </w:tcPr>
          <w:p>
            <w:pPr>
              <w:spacing w:line="360" w:lineRule="auto"/>
              <w:jc w:val="center"/>
              <w:rPr>
                <w:sz w:val="18"/>
                <w:szCs w:val="18"/>
              </w:rPr>
            </w:pPr>
            <w:r>
              <w:rPr>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1</w:t>
            </w:r>
          </w:p>
        </w:tc>
        <w:tc>
          <w:tcPr>
            <w:tcW w:w="1509" w:type="pct"/>
          </w:tcPr>
          <w:p>
            <w:pPr>
              <w:spacing w:line="360" w:lineRule="auto"/>
              <w:rPr>
                <w:sz w:val="18"/>
                <w:szCs w:val="18"/>
              </w:rPr>
            </w:pPr>
            <w:r>
              <w:rPr>
                <w:rFonts w:hint="eastAsia"/>
                <w:sz w:val="18"/>
                <w:szCs w:val="18"/>
              </w:rPr>
              <w:t>能够确定毕业设计任务书中任务涉及的知识点及相关的表征参数。</w:t>
            </w:r>
          </w:p>
        </w:tc>
        <w:tc>
          <w:tcPr>
            <w:tcW w:w="3124" w:type="pct"/>
          </w:tcPr>
          <w:p>
            <w:pPr>
              <w:spacing w:line="360" w:lineRule="auto"/>
              <w:rPr>
                <w:sz w:val="18"/>
                <w:szCs w:val="18"/>
              </w:rPr>
            </w:pPr>
            <w:r>
              <w:rPr>
                <w:rFonts w:hint="eastAsia"/>
                <w:b/>
                <w:sz w:val="18"/>
                <w:szCs w:val="18"/>
              </w:rPr>
              <w:t>指标点2-1 问题识别：</w:t>
            </w:r>
            <w:r>
              <w:rPr>
                <w:bCs/>
                <w:sz w:val="18"/>
                <w:szCs w:val="18"/>
              </w:rPr>
              <w:t>能应用科学原理对智能感知工程专业复杂工程问题进行分解，并识别其中的关键特征和参数。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2</w:t>
            </w:r>
          </w:p>
        </w:tc>
        <w:tc>
          <w:tcPr>
            <w:tcW w:w="1509" w:type="pct"/>
          </w:tcPr>
          <w:p>
            <w:pPr>
              <w:spacing w:line="360" w:lineRule="auto"/>
              <w:rPr>
                <w:sz w:val="18"/>
                <w:szCs w:val="18"/>
              </w:rPr>
            </w:pPr>
            <w:r>
              <w:rPr>
                <w:rFonts w:hint="eastAsia"/>
                <w:sz w:val="18"/>
                <w:szCs w:val="18"/>
              </w:rPr>
              <w:t>能够通过调研、资料及实验界定任务要求并确定自己的实现方案。</w:t>
            </w:r>
          </w:p>
        </w:tc>
        <w:tc>
          <w:tcPr>
            <w:tcW w:w="3124" w:type="pct"/>
          </w:tcPr>
          <w:p>
            <w:pPr>
              <w:spacing w:line="360" w:lineRule="auto"/>
              <w:rPr>
                <w:b/>
                <w:sz w:val="18"/>
                <w:szCs w:val="18"/>
              </w:rPr>
            </w:pPr>
            <w:r>
              <w:rPr>
                <w:rFonts w:hint="eastAsia"/>
                <w:b/>
                <w:sz w:val="18"/>
                <w:szCs w:val="18"/>
              </w:rPr>
              <w:t>指标点2-4 信息获取能力：</w:t>
            </w:r>
            <w:r>
              <w:rPr>
                <w:bCs/>
                <w:sz w:val="18"/>
                <w:szCs w:val="18"/>
              </w:rPr>
              <w:t>掌握文献检索、资料查询及运用现代技术获取信息的方法，能通过该手段获取行业内解决同类问题的方法与效果，支撑自己的方案，并理解其差距与优势。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3</w:t>
            </w:r>
          </w:p>
        </w:tc>
        <w:tc>
          <w:tcPr>
            <w:tcW w:w="1509" w:type="pct"/>
          </w:tcPr>
          <w:p>
            <w:pPr>
              <w:spacing w:line="360" w:lineRule="auto"/>
              <w:rPr>
                <w:sz w:val="18"/>
                <w:szCs w:val="18"/>
              </w:rPr>
            </w:pPr>
            <w:r>
              <w:rPr>
                <w:sz w:val="18"/>
                <w:szCs w:val="18"/>
              </w:rPr>
              <w:t>能够</w:t>
            </w:r>
            <w:r>
              <w:rPr>
                <w:rFonts w:hint="eastAsia"/>
                <w:sz w:val="18"/>
                <w:szCs w:val="18"/>
              </w:rPr>
              <w:t>识别毕业设计过程中包括流程、文档、管理等应遵循的规范。</w:t>
            </w:r>
          </w:p>
        </w:tc>
        <w:tc>
          <w:tcPr>
            <w:tcW w:w="3124" w:type="pct"/>
          </w:tcPr>
          <w:p>
            <w:pPr>
              <w:spacing w:line="360" w:lineRule="auto"/>
              <w:rPr>
                <w:sz w:val="18"/>
                <w:szCs w:val="18"/>
              </w:rPr>
            </w:pPr>
            <w:r>
              <w:rPr>
                <w:rFonts w:hint="eastAsia"/>
                <w:b/>
                <w:sz w:val="18"/>
                <w:szCs w:val="18"/>
              </w:rPr>
              <w:t>指标点3-2 非技术因素：</w:t>
            </w:r>
            <w:r>
              <w:rPr>
                <w:bCs/>
                <w:sz w:val="18"/>
                <w:szCs w:val="18"/>
              </w:rPr>
              <w:t>在方案设计的过程中，能够考虑并分析社会、健康、安全、法律、文化以及环境等因素的影响。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4</w:t>
            </w:r>
          </w:p>
        </w:tc>
        <w:tc>
          <w:tcPr>
            <w:tcW w:w="1509" w:type="pct"/>
          </w:tcPr>
          <w:p>
            <w:pPr>
              <w:spacing w:line="360" w:lineRule="auto"/>
              <w:rPr>
                <w:sz w:val="18"/>
                <w:szCs w:val="18"/>
              </w:rPr>
            </w:pPr>
            <w:r>
              <w:rPr>
                <w:rFonts w:hint="eastAsia"/>
                <w:sz w:val="18"/>
                <w:szCs w:val="18"/>
              </w:rPr>
              <w:t>通过典型案例的学习，能够分析和优化在毕业设计中体现低功耗</w:t>
            </w:r>
            <w:r>
              <w:rPr>
                <w:sz w:val="18"/>
                <w:szCs w:val="18"/>
              </w:rPr>
              <w:t>、</w:t>
            </w:r>
            <w:r>
              <w:rPr>
                <w:rFonts w:hint="eastAsia"/>
                <w:sz w:val="18"/>
                <w:szCs w:val="18"/>
              </w:rPr>
              <w:t>电磁辐射及相关行业标准的实现方案。</w:t>
            </w:r>
          </w:p>
        </w:tc>
        <w:tc>
          <w:tcPr>
            <w:tcW w:w="3124" w:type="pct"/>
          </w:tcPr>
          <w:p>
            <w:pPr>
              <w:spacing w:line="360" w:lineRule="auto"/>
              <w:rPr>
                <w:b/>
                <w:sz w:val="18"/>
                <w:szCs w:val="18"/>
              </w:rPr>
            </w:pPr>
            <w:r>
              <w:rPr>
                <w:rFonts w:hint="eastAsia"/>
                <w:b/>
                <w:sz w:val="18"/>
                <w:szCs w:val="18"/>
              </w:rPr>
              <w:t>指标点7-1 环境影响评价：</w:t>
            </w:r>
            <w:r>
              <w:rPr>
                <w:bCs/>
                <w:sz w:val="18"/>
                <w:szCs w:val="18"/>
              </w:rPr>
              <w:t>充分了解本专业工程实践所使用的原材料、工艺、生产过程对各类资源的消耗情况，能合理评价生产试验和产品运行过程中可能产生的功耗、噪声、辐射、废料对环境的影响。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5</w:t>
            </w:r>
          </w:p>
        </w:tc>
        <w:tc>
          <w:tcPr>
            <w:tcW w:w="1509" w:type="pct"/>
          </w:tcPr>
          <w:p>
            <w:pPr>
              <w:spacing w:line="360" w:lineRule="auto"/>
              <w:rPr>
                <w:sz w:val="18"/>
                <w:szCs w:val="18"/>
              </w:rPr>
            </w:pPr>
            <w:r>
              <w:rPr>
                <w:rFonts w:hint="eastAsia"/>
                <w:sz w:val="18"/>
                <w:szCs w:val="18"/>
              </w:rPr>
              <w:t>通过典型案例的学习，能够分析和优化在毕业设计开题及方案设计中实现环境友好的设计路线及方案。</w:t>
            </w:r>
          </w:p>
        </w:tc>
        <w:tc>
          <w:tcPr>
            <w:tcW w:w="3124" w:type="pct"/>
          </w:tcPr>
          <w:p>
            <w:pPr>
              <w:spacing w:line="360" w:lineRule="auto"/>
              <w:rPr>
                <w:b/>
                <w:sz w:val="18"/>
                <w:szCs w:val="18"/>
              </w:rPr>
            </w:pPr>
            <w:r>
              <w:rPr>
                <w:rFonts w:hint="eastAsia"/>
                <w:b/>
                <w:sz w:val="18"/>
                <w:szCs w:val="18"/>
              </w:rPr>
              <w:t>指标点7-2 环保设计与环保意识：</w:t>
            </w:r>
            <w:r>
              <w:rPr>
                <w:bCs/>
                <w:sz w:val="18"/>
                <w:szCs w:val="18"/>
              </w:rPr>
              <w:t>接受过相关的环保教育及环保案例教育，了解国家可持续发展的理念，在工程设计中体现保护环境、维持社会可持续发展的意识。</w:t>
            </w:r>
          </w:p>
        </w:tc>
      </w:tr>
    </w:tbl>
    <w:p>
      <w:pPr>
        <w:spacing w:line="360" w:lineRule="auto"/>
        <w:ind w:firstLine="420" w:firstLineChars="200"/>
        <w:rPr>
          <w:szCs w:val="21"/>
        </w:rPr>
      </w:pPr>
    </w:p>
    <w:p>
      <w:pPr>
        <w:tabs>
          <w:tab w:val="left" w:pos="420"/>
        </w:tabs>
        <w:adjustRightInd w:val="0"/>
        <w:snapToGrid w:val="0"/>
        <w:spacing w:line="360" w:lineRule="auto"/>
        <w:ind w:left="420" w:hanging="420"/>
        <w:rPr>
          <w:rFonts w:eastAsia="黑体"/>
          <w:szCs w:val="21"/>
        </w:rPr>
      </w:pPr>
      <w:r>
        <w:rPr>
          <w:rFonts w:hint="eastAsia" w:eastAsia="黑体"/>
          <w:szCs w:val="21"/>
        </w:rPr>
        <w:t>三、基本要求</w:t>
      </w:r>
      <w:r>
        <w:drawing>
          <wp:anchor distT="0" distB="0" distL="114300" distR="114300" simplePos="0" relativeHeight="251692032" behindDoc="0" locked="0" layoutInCell="1" allowOverlap="1">
            <wp:simplePos x="0" y="0"/>
            <wp:positionH relativeFrom="character">
              <wp:posOffset>4479290</wp:posOffset>
            </wp:positionH>
            <wp:positionV relativeFrom="line">
              <wp:posOffset>419735</wp:posOffset>
            </wp:positionV>
            <wp:extent cx="13970" cy="10795"/>
            <wp:effectExtent l="19050" t="19050" r="24130" b="27305"/>
            <wp:wrapNone/>
            <wp:docPr id="267" name="图片 267"/>
            <wp:cNvGraphicFramePr/>
            <a:graphic xmlns:a="http://schemas.openxmlformats.org/drawingml/2006/main">
              <a:graphicData uri="http://schemas.openxmlformats.org/drawingml/2006/picture">
                <pic:pic xmlns:pic="http://schemas.openxmlformats.org/drawingml/2006/picture">
                  <pic:nvPicPr>
                    <pic:cNvPr id="267" name="图片 267"/>
                    <pic:cNvPicPr preferRelativeResize="0">
                      <a:picLocks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a:xfrm>
                      <a:off x="0" y="0"/>
                      <a:ext cx="13970" cy="10795"/>
                    </a:xfrm>
                    <a:prstGeom prst="rect">
                      <a:avLst/>
                    </a:prstGeom>
                    <a:solidFill>
                      <a:srgbClr val="FFFFFF"/>
                    </a:solidFill>
                    <a:ln w="9525">
                      <a:solidFill>
                        <a:srgbClr val="000000"/>
                      </a:solidFill>
                      <a:round/>
                    </a:ln>
                  </pic:spPr>
                </pic:pic>
              </a:graphicData>
            </a:graphic>
          </wp:anchor>
        </w:drawing>
      </w:r>
    </w:p>
    <w:p>
      <w:pPr>
        <w:adjustRightInd w:val="0"/>
        <w:snapToGrid w:val="0"/>
        <w:spacing w:line="360" w:lineRule="auto"/>
        <w:ind w:firstLine="420" w:firstLineChars="200"/>
        <w:rPr>
          <w:szCs w:val="21"/>
        </w:rPr>
      </w:pPr>
      <w:r>
        <w:rPr>
          <w:szCs w:val="21"/>
        </w:rPr>
        <w:t>1、本课程在毕业设计开始前安排。</w:t>
      </w:r>
    </w:p>
    <w:p>
      <w:pPr>
        <w:adjustRightInd w:val="0"/>
        <w:snapToGrid w:val="0"/>
        <w:spacing w:line="360" w:lineRule="auto"/>
        <w:ind w:firstLine="420" w:firstLineChars="200"/>
        <w:rPr>
          <w:szCs w:val="21"/>
        </w:rPr>
      </w:pPr>
      <w:r>
        <w:rPr>
          <w:szCs w:val="21"/>
        </w:rPr>
        <w:t>2、教师要多组织互动讨论，提高学生参与度，使学生了解如何做好毕业设计。</w:t>
      </w:r>
    </w:p>
    <w:p>
      <w:pPr>
        <w:spacing w:line="360" w:lineRule="auto"/>
        <w:ind w:firstLine="420" w:firstLineChars="200"/>
        <w:rPr>
          <w:szCs w:val="21"/>
        </w:rPr>
      </w:pPr>
      <w:r>
        <w:rPr>
          <w:rFonts w:hint="eastAsia"/>
          <w:szCs w:val="21"/>
        </w:rPr>
        <w:t>3、深度和广度说明：</w:t>
      </w:r>
      <w:r>
        <w:rPr>
          <w:szCs w:val="21"/>
        </w:rPr>
        <w:t>对毕业设计过程中涉及的工作内容要深入讲解，对于毕业设计所涉及的软硬件的基础工作只做简单介绍，对毕业设计如何安排、验证等尽可能做拓展讲解；毕业设计开题报告和说明书撰写要重点讲解。</w:t>
      </w:r>
    </w:p>
    <w:p>
      <w:pPr>
        <w:spacing w:line="360" w:lineRule="auto"/>
        <w:ind w:firstLine="420" w:firstLineChars="200"/>
        <w:rPr>
          <w:szCs w:val="21"/>
        </w:rPr>
      </w:pPr>
      <w:r>
        <w:rPr>
          <w:rFonts w:hint="eastAsia"/>
          <w:szCs w:val="21"/>
        </w:rPr>
        <w:t>4</w:t>
      </w:r>
      <w:r>
        <w:rPr>
          <w:szCs w:val="21"/>
        </w:rPr>
        <w:t>、偏差说明：为了鼓励教师引入个人授课风格或者适应技术发展的紧迫性，本课程允许教师授课内容做适当调整，最大正偏差为</w:t>
      </w:r>
      <w:r>
        <w:rPr>
          <w:rFonts w:hint="eastAsia"/>
          <w:szCs w:val="21"/>
        </w:rPr>
        <w:t>10%，不允许负偏差。正偏差通过压缩同等内容的学时数来完成。特殊情况，最大正偏差和置换偏差累计可达到20%，但在开课前要申请专业责任人批准。（正偏差指大纲知识点不变，新增知识点；负偏差是大纲知识点减少；置换偏差是指大纲中部分知识点被其它类似知识点替换）。</w:t>
      </w:r>
    </w:p>
    <w:p>
      <w:pPr>
        <w:spacing w:line="360" w:lineRule="auto"/>
        <w:ind w:firstLine="420" w:firstLineChars="200"/>
        <w:rPr>
          <w:szCs w:val="21"/>
        </w:rPr>
      </w:pPr>
    </w:p>
    <w:p>
      <w:pPr>
        <w:tabs>
          <w:tab w:val="left" w:pos="420"/>
        </w:tabs>
        <w:spacing w:line="360" w:lineRule="auto"/>
        <w:ind w:left="420" w:hanging="420"/>
        <w:rPr>
          <w:rFonts w:eastAsia="黑体"/>
          <w:szCs w:val="21"/>
        </w:rPr>
      </w:pPr>
      <w:r>
        <w:rPr>
          <w:rFonts w:hint="eastAsia" w:eastAsia="黑体"/>
          <w:szCs w:val="21"/>
        </w:rPr>
        <w:t>四、教学内容和教学方法</w:t>
      </w:r>
    </w:p>
    <w:p>
      <w:pPr>
        <w:adjustRightInd w:val="0"/>
        <w:snapToGrid w:val="0"/>
        <w:spacing w:line="360" w:lineRule="auto"/>
        <w:ind w:firstLine="420" w:firstLineChars="200"/>
        <w:rPr>
          <w:szCs w:val="21"/>
        </w:rPr>
      </w:pPr>
      <w:r>
        <w:rPr>
          <w:szCs w:val="21"/>
        </w:rPr>
        <w:t>本课程重点讲授的内容包括：毕业设计的目的和意义、毕业设计过程及包含的文档及要做的工作、毕业设计选题以及任务书的构成、对于毕业设计题目进行总体设计，并学会运用先修课程中的基础理论对总体设计进行初步验证及毕业答辩组织等。</w:t>
      </w:r>
    </w:p>
    <w:p>
      <w:pPr>
        <w:widowControl/>
        <w:adjustRightInd w:val="0"/>
        <w:snapToGrid w:val="0"/>
        <w:spacing w:line="360" w:lineRule="auto"/>
        <w:ind w:firstLine="420" w:firstLineChars="200"/>
        <w:rPr>
          <w:rFonts w:eastAsia="黑体"/>
          <w:kern w:val="0"/>
          <w:szCs w:val="21"/>
        </w:rPr>
      </w:pPr>
      <w:r>
        <w:rPr>
          <w:rFonts w:eastAsia="黑体"/>
          <w:snapToGrid w:val="0"/>
          <w:kern w:val="0"/>
          <w:szCs w:val="21"/>
        </w:rPr>
        <w:t>1概述（2学时）</w:t>
      </w:r>
    </w:p>
    <w:p>
      <w:pPr>
        <w:widowControl/>
        <w:adjustRightInd w:val="0"/>
        <w:snapToGrid w:val="0"/>
        <w:spacing w:line="360" w:lineRule="auto"/>
        <w:ind w:firstLine="420" w:firstLineChars="200"/>
        <w:rPr>
          <w:snapToGrid w:val="0"/>
          <w:kern w:val="0"/>
          <w:szCs w:val="21"/>
        </w:rPr>
      </w:pPr>
      <w:r>
        <w:rPr>
          <w:snapToGrid w:val="0"/>
          <w:kern w:val="0"/>
          <w:szCs w:val="21"/>
        </w:rPr>
        <w:t>1.1、</w:t>
      </w:r>
      <w:r>
        <w:rPr>
          <w:rFonts w:hint="eastAsia"/>
          <w:snapToGrid w:val="0"/>
          <w:kern w:val="0"/>
          <w:szCs w:val="21"/>
        </w:rPr>
        <w:t>了解</w:t>
      </w:r>
      <w:r>
        <w:rPr>
          <w:snapToGrid w:val="0"/>
          <w:kern w:val="0"/>
          <w:szCs w:val="21"/>
        </w:rPr>
        <w:t>毕业设计的目的及意义；</w:t>
      </w:r>
    </w:p>
    <w:p>
      <w:pPr>
        <w:widowControl/>
        <w:adjustRightInd w:val="0"/>
        <w:snapToGrid w:val="0"/>
        <w:spacing w:line="360" w:lineRule="auto"/>
        <w:ind w:firstLine="420" w:firstLineChars="200"/>
        <w:rPr>
          <w:snapToGrid w:val="0"/>
          <w:kern w:val="0"/>
          <w:szCs w:val="21"/>
        </w:rPr>
      </w:pPr>
      <w:r>
        <w:rPr>
          <w:snapToGrid w:val="0"/>
          <w:kern w:val="0"/>
          <w:szCs w:val="21"/>
        </w:rPr>
        <w:t>1.2、</w:t>
      </w:r>
      <w:r>
        <w:rPr>
          <w:rFonts w:hint="eastAsia"/>
          <w:snapToGrid w:val="0"/>
          <w:kern w:val="0"/>
          <w:szCs w:val="21"/>
        </w:rPr>
        <w:t>了解</w:t>
      </w:r>
      <w:r>
        <w:rPr>
          <w:snapToGrid w:val="0"/>
          <w:kern w:val="0"/>
          <w:szCs w:val="21"/>
        </w:rPr>
        <w:t>毕业设计过程；</w:t>
      </w:r>
    </w:p>
    <w:p>
      <w:pPr>
        <w:widowControl/>
        <w:adjustRightInd w:val="0"/>
        <w:snapToGrid w:val="0"/>
        <w:spacing w:line="360" w:lineRule="auto"/>
        <w:ind w:firstLine="420" w:firstLineChars="200"/>
        <w:rPr>
          <w:snapToGrid w:val="0"/>
          <w:kern w:val="0"/>
          <w:szCs w:val="21"/>
        </w:rPr>
      </w:pPr>
      <w:r>
        <w:rPr>
          <w:snapToGrid w:val="0"/>
          <w:kern w:val="0"/>
          <w:szCs w:val="21"/>
        </w:rPr>
        <w:t>1.3、</w:t>
      </w:r>
      <w:r>
        <w:rPr>
          <w:rFonts w:hint="eastAsia"/>
          <w:snapToGrid w:val="0"/>
          <w:kern w:val="0"/>
          <w:szCs w:val="21"/>
        </w:rPr>
        <w:t>掌握</w:t>
      </w:r>
      <w:r>
        <w:rPr>
          <w:snapToGrid w:val="0"/>
          <w:kern w:val="0"/>
          <w:szCs w:val="21"/>
        </w:rPr>
        <w:t>毕业设计过程包含的文档及要做的工作。</w:t>
      </w:r>
    </w:p>
    <w:p>
      <w:pPr>
        <w:widowControl/>
        <w:adjustRightInd w:val="0"/>
        <w:snapToGrid w:val="0"/>
        <w:spacing w:line="360" w:lineRule="auto"/>
        <w:ind w:firstLine="420" w:firstLineChars="200"/>
        <w:rPr>
          <w:snapToGrid w:val="0"/>
          <w:kern w:val="0"/>
          <w:szCs w:val="21"/>
        </w:rPr>
      </w:pPr>
      <w:r>
        <w:rPr>
          <w:snapToGrid w:val="0"/>
          <w:kern w:val="0"/>
          <w:szCs w:val="21"/>
        </w:rPr>
        <w:t>重点：毕业设计中包含的文档。</w:t>
      </w:r>
    </w:p>
    <w:p>
      <w:pPr>
        <w:adjustRightInd w:val="0"/>
        <w:snapToGrid w:val="0"/>
        <w:spacing w:line="360" w:lineRule="auto"/>
        <w:ind w:firstLine="454"/>
        <w:rPr>
          <w:szCs w:val="21"/>
        </w:rPr>
      </w:pPr>
      <w:r>
        <w:rPr>
          <w:rFonts w:hint="eastAsia"/>
          <w:szCs w:val="21"/>
        </w:rPr>
        <w:t>本章内容支撑课程目标3</w:t>
      </w:r>
    </w:p>
    <w:p>
      <w:pPr>
        <w:widowControl/>
        <w:adjustRightInd w:val="0"/>
        <w:snapToGrid w:val="0"/>
        <w:spacing w:line="360" w:lineRule="auto"/>
        <w:ind w:firstLine="420" w:firstLineChars="200"/>
        <w:rPr>
          <w:rFonts w:eastAsia="黑体"/>
          <w:kern w:val="0"/>
          <w:szCs w:val="21"/>
        </w:rPr>
      </w:pPr>
      <w:r>
        <w:rPr>
          <w:rFonts w:eastAsia="黑体"/>
          <w:snapToGrid w:val="0"/>
          <w:kern w:val="0"/>
          <w:szCs w:val="21"/>
        </w:rPr>
        <w:t>2 </w:t>
      </w:r>
      <w:r>
        <w:rPr>
          <w:rFonts w:eastAsia="黑体"/>
          <w:bCs/>
          <w:snapToGrid w:val="0"/>
          <w:kern w:val="0"/>
          <w:szCs w:val="21"/>
        </w:rPr>
        <w:t>选题及任务书</w:t>
      </w:r>
      <w:r>
        <w:rPr>
          <w:rFonts w:eastAsia="黑体"/>
          <w:snapToGrid w:val="0"/>
          <w:kern w:val="0"/>
          <w:szCs w:val="21"/>
        </w:rPr>
        <w:t>（2学时）</w:t>
      </w:r>
    </w:p>
    <w:p>
      <w:pPr>
        <w:widowControl/>
        <w:adjustRightInd w:val="0"/>
        <w:snapToGrid w:val="0"/>
        <w:spacing w:line="360" w:lineRule="auto"/>
        <w:ind w:firstLine="420" w:firstLineChars="200"/>
        <w:rPr>
          <w:snapToGrid w:val="0"/>
          <w:kern w:val="0"/>
          <w:szCs w:val="21"/>
        </w:rPr>
      </w:pPr>
      <w:r>
        <w:rPr>
          <w:snapToGrid w:val="0"/>
          <w:kern w:val="0"/>
          <w:szCs w:val="21"/>
        </w:rPr>
        <w:t>2.1、</w:t>
      </w:r>
      <w:r>
        <w:rPr>
          <w:rFonts w:hint="eastAsia"/>
          <w:snapToGrid w:val="0"/>
          <w:kern w:val="0"/>
          <w:szCs w:val="21"/>
        </w:rPr>
        <w:t>了解</w:t>
      </w:r>
      <w:r>
        <w:rPr>
          <w:snapToGrid w:val="0"/>
          <w:kern w:val="0"/>
          <w:szCs w:val="21"/>
        </w:rPr>
        <w:t>选题的内涵，选题原则；</w:t>
      </w:r>
    </w:p>
    <w:p>
      <w:pPr>
        <w:widowControl/>
        <w:adjustRightInd w:val="0"/>
        <w:snapToGrid w:val="0"/>
        <w:spacing w:line="360" w:lineRule="auto"/>
        <w:ind w:firstLine="420" w:firstLineChars="200"/>
        <w:rPr>
          <w:snapToGrid w:val="0"/>
          <w:kern w:val="0"/>
          <w:szCs w:val="21"/>
        </w:rPr>
      </w:pPr>
      <w:r>
        <w:rPr>
          <w:snapToGrid w:val="0"/>
          <w:kern w:val="0"/>
          <w:szCs w:val="21"/>
        </w:rPr>
        <w:t>2.2、</w:t>
      </w:r>
      <w:r>
        <w:rPr>
          <w:rFonts w:hint="eastAsia"/>
          <w:snapToGrid w:val="0"/>
          <w:kern w:val="0"/>
          <w:szCs w:val="21"/>
        </w:rPr>
        <w:t>掌握</w:t>
      </w:r>
      <w:r>
        <w:rPr>
          <w:snapToGrid w:val="0"/>
          <w:kern w:val="0"/>
          <w:szCs w:val="21"/>
        </w:rPr>
        <w:t>沟通内容，</w:t>
      </w:r>
      <w:r>
        <w:rPr>
          <w:rFonts w:hint="eastAsia"/>
          <w:snapToGrid w:val="0"/>
          <w:kern w:val="0"/>
          <w:szCs w:val="21"/>
        </w:rPr>
        <w:t>分析</w:t>
      </w:r>
      <w:r>
        <w:rPr>
          <w:snapToGrid w:val="0"/>
          <w:kern w:val="0"/>
          <w:szCs w:val="21"/>
        </w:rPr>
        <w:t>设计题目合理性；</w:t>
      </w:r>
    </w:p>
    <w:p>
      <w:pPr>
        <w:widowControl/>
        <w:adjustRightInd w:val="0"/>
        <w:snapToGrid w:val="0"/>
        <w:spacing w:line="360" w:lineRule="auto"/>
        <w:ind w:firstLine="420" w:firstLineChars="200"/>
        <w:rPr>
          <w:snapToGrid w:val="0"/>
          <w:kern w:val="0"/>
          <w:szCs w:val="21"/>
        </w:rPr>
      </w:pPr>
      <w:r>
        <w:rPr>
          <w:snapToGrid w:val="0"/>
          <w:kern w:val="0"/>
          <w:szCs w:val="21"/>
        </w:rPr>
        <w:t>2.3、</w:t>
      </w:r>
      <w:r>
        <w:rPr>
          <w:rFonts w:hint="eastAsia"/>
          <w:snapToGrid w:val="0"/>
          <w:kern w:val="0"/>
          <w:szCs w:val="21"/>
        </w:rPr>
        <w:t>掌握</w:t>
      </w:r>
      <w:r>
        <w:rPr>
          <w:snapToGrid w:val="0"/>
          <w:kern w:val="0"/>
          <w:szCs w:val="21"/>
        </w:rPr>
        <w:t>任务书构成。</w:t>
      </w:r>
    </w:p>
    <w:p>
      <w:pPr>
        <w:widowControl/>
        <w:adjustRightInd w:val="0"/>
        <w:snapToGrid w:val="0"/>
        <w:spacing w:line="360" w:lineRule="auto"/>
        <w:ind w:firstLine="420" w:firstLineChars="200"/>
        <w:rPr>
          <w:snapToGrid w:val="0"/>
          <w:kern w:val="0"/>
          <w:szCs w:val="21"/>
        </w:rPr>
      </w:pPr>
      <w:r>
        <w:rPr>
          <w:snapToGrid w:val="0"/>
          <w:kern w:val="0"/>
          <w:szCs w:val="21"/>
        </w:rPr>
        <w:t>重点：明确选题合理性</w:t>
      </w:r>
    </w:p>
    <w:p>
      <w:pPr>
        <w:adjustRightInd w:val="0"/>
        <w:snapToGrid w:val="0"/>
        <w:spacing w:line="360" w:lineRule="auto"/>
        <w:ind w:firstLine="454"/>
        <w:rPr>
          <w:szCs w:val="21"/>
        </w:rPr>
      </w:pPr>
      <w:r>
        <w:rPr>
          <w:rFonts w:hint="eastAsia"/>
          <w:szCs w:val="21"/>
        </w:rPr>
        <w:t>本章内容支撑课程目标1</w:t>
      </w:r>
    </w:p>
    <w:p>
      <w:pPr>
        <w:widowControl/>
        <w:adjustRightInd w:val="0"/>
        <w:snapToGrid w:val="0"/>
        <w:spacing w:line="360" w:lineRule="auto"/>
        <w:ind w:firstLine="420" w:firstLineChars="200"/>
        <w:rPr>
          <w:rFonts w:eastAsia="黑体"/>
          <w:bCs/>
          <w:snapToGrid w:val="0"/>
          <w:kern w:val="0"/>
          <w:szCs w:val="21"/>
        </w:rPr>
      </w:pPr>
      <w:r>
        <w:rPr>
          <w:rFonts w:eastAsia="黑体"/>
          <w:bCs/>
          <w:snapToGrid w:val="0"/>
          <w:kern w:val="0"/>
          <w:szCs w:val="21"/>
        </w:rPr>
        <w:t>3毕业设计开题</w:t>
      </w:r>
      <w:r>
        <w:rPr>
          <w:rFonts w:eastAsia="黑体"/>
          <w:snapToGrid w:val="0"/>
          <w:kern w:val="0"/>
          <w:szCs w:val="21"/>
        </w:rPr>
        <w:t>（2学时）</w:t>
      </w:r>
    </w:p>
    <w:p>
      <w:pPr>
        <w:adjustRightInd w:val="0"/>
        <w:snapToGrid w:val="0"/>
        <w:spacing w:line="360" w:lineRule="auto"/>
        <w:ind w:firstLine="420" w:firstLineChars="200"/>
      </w:pPr>
      <w:r>
        <w:t>3.1、</w:t>
      </w:r>
      <w:r>
        <w:rPr>
          <w:rFonts w:hint="eastAsia"/>
        </w:rPr>
        <w:t>掌握</w:t>
      </w:r>
      <w:r>
        <w:t>撰写开题依据原则、方法；</w:t>
      </w:r>
    </w:p>
    <w:p>
      <w:pPr>
        <w:adjustRightInd w:val="0"/>
        <w:snapToGrid w:val="0"/>
        <w:spacing w:line="360" w:lineRule="auto"/>
        <w:ind w:firstLine="420" w:firstLineChars="200"/>
      </w:pPr>
      <w:r>
        <w:t>3.2、</w:t>
      </w:r>
      <w:r>
        <w:rPr>
          <w:rFonts w:hint="eastAsia"/>
        </w:rPr>
        <w:t>掌握</w:t>
      </w:r>
      <w:r>
        <w:t>设计方案编制应包含的内容；</w:t>
      </w:r>
    </w:p>
    <w:p>
      <w:pPr>
        <w:adjustRightInd w:val="0"/>
        <w:snapToGrid w:val="0"/>
        <w:spacing w:line="360" w:lineRule="auto"/>
        <w:ind w:firstLine="420" w:firstLineChars="200"/>
        <w:rPr>
          <w:snapToGrid w:val="0"/>
          <w:kern w:val="0"/>
          <w:szCs w:val="21"/>
        </w:rPr>
      </w:pPr>
      <w:r>
        <w:t>3.3、</w:t>
      </w:r>
      <w:r>
        <w:rPr>
          <w:rFonts w:hint="eastAsia"/>
        </w:rPr>
        <w:t>掌握</w:t>
      </w:r>
      <w:r>
        <w:t>关键实验、仿真等工作的开展目的和设计方法</w:t>
      </w:r>
      <w:r>
        <w:rPr>
          <w:snapToGrid w:val="0"/>
          <w:kern w:val="0"/>
          <w:szCs w:val="21"/>
        </w:rPr>
        <w:t>；</w:t>
      </w:r>
    </w:p>
    <w:p>
      <w:pPr>
        <w:adjustRightInd w:val="0"/>
        <w:snapToGrid w:val="0"/>
        <w:spacing w:line="360" w:lineRule="auto"/>
        <w:ind w:firstLine="420" w:firstLineChars="200"/>
        <w:rPr>
          <w:snapToGrid w:val="0"/>
          <w:kern w:val="0"/>
          <w:szCs w:val="21"/>
        </w:rPr>
      </w:pPr>
      <w:r>
        <w:rPr>
          <w:snapToGrid w:val="0"/>
          <w:kern w:val="0"/>
          <w:szCs w:val="21"/>
        </w:rPr>
        <w:t>3.4、</w:t>
      </w:r>
      <w:r>
        <w:rPr>
          <w:rFonts w:hint="eastAsia"/>
          <w:snapToGrid w:val="0"/>
          <w:kern w:val="0"/>
          <w:szCs w:val="21"/>
        </w:rPr>
        <w:t>掌握电路或系统在低功耗设计、电磁兼容设计及相关设计标准的实现方法。</w:t>
      </w:r>
    </w:p>
    <w:p>
      <w:pPr>
        <w:adjustRightInd w:val="0"/>
        <w:snapToGrid w:val="0"/>
        <w:spacing w:line="360" w:lineRule="auto"/>
        <w:ind w:firstLine="420" w:firstLineChars="200"/>
        <w:rPr>
          <w:snapToGrid w:val="0"/>
          <w:kern w:val="0"/>
          <w:szCs w:val="21"/>
        </w:rPr>
      </w:pPr>
      <w:r>
        <w:rPr>
          <w:snapToGrid w:val="0"/>
          <w:kern w:val="0"/>
          <w:szCs w:val="21"/>
        </w:rPr>
        <w:t>重点：设计方案编制方法</w:t>
      </w:r>
    </w:p>
    <w:p>
      <w:pPr>
        <w:adjustRightInd w:val="0"/>
        <w:snapToGrid w:val="0"/>
        <w:spacing w:line="360" w:lineRule="auto"/>
        <w:ind w:firstLine="420" w:firstLineChars="200"/>
        <w:rPr>
          <w:snapToGrid w:val="0"/>
          <w:kern w:val="0"/>
          <w:szCs w:val="21"/>
        </w:rPr>
      </w:pPr>
      <w:r>
        <w:rPr>
          <w:snapToGrid w:val="0"/>
          <w:kern w:val="0"/>
          <w:szCs w:val="21"/>
        </w:rPr>
        <w:t>难点：设计方案中技术途径</w:t>
      </w:r>
    </w:p>
    <w:p>
      <w:pPr>
        <w:adjustRightInd w:val="0"/>
        <w:snapToGrid w:val="0"/>
        <w:spacing w:line="360" w:lineRule="auto"/>
        <w:ind w:firstLine="454"/>
        <w:rPr>
          <w:szCs w:val="21"/>
        </w:rPr>
      </w:pPr>
      <w:r>
        <w:rPr>
          <w:rFonts w:hint="eastAsia"/>
          <w:szCs w:val="21"/>
        </w:rPr>
        <w:t>本章内容支撑课程目标2、4</w:t>
      </w:r>
    </w:p>
    <w:p>
      <w:pPr>
        <w:tabs>
          <w:tab w:val="left" w:pos="1260"/>
        </w:tabs>
        <w:adjustRightInd w:val="0"/>
        <w:snapToGrid w:val="0"/>
        <w:spacing w:line="360" w:lineRule="auto"/>
        <w:ind w:firstLine="420" w:firstLineChars="200"/>
      </w:pPr>
      <w:r>
        <w:rPr>
          <w:rFonts w:eastAsia="黑体"/>
        </w:rPr>
        <w:t>4</w:t>
      </w:r>
      <w:r>
        <w:rPr>
          <w:rFonts w:eastAsia="黑体"/>
          <w:snapToGrid w:val="0"/>
          <w:kern w:val="0"/>
          <w:szCs w:val="21"/>
        </w:rPr>
        <w:t>毕业设计及说明书撰写、答辩（2学时）</w:t>
      </w:r>
    </w:p>
    <w:p>
      <w:pPr>
        <w:widowControl/>
        <w:tabs>
          <w:tab w:val="left" w:pos="900"/>
        </w:tabs>
        <w:adjustRightInd w:val="0"/>
        <w:snapToGrid w:val="0"/>
        <w:spacing w:line="360" w:lineRule="auto"/>
        <w:ind w:firstLine="420" w:firstLineChars="200"/>
        <w:rPr>
          <w:bCs/>
          <w:snapToGrid w:val="0"/>
          <w:kern w:val="0"/>
          <w:szCs w:val="21"/>
        </w:rPr>
      </w:pPr>
      <w:r>
        <w:rPr>
          <w:bCs/>
          <w:snapToGrid w:val="0"/>
          <w:kern w:val="0"/>
          <w:szCs w:val="21"/>
        </w:rPr>
        <w:t>4.1、</w:t>
      </w:r>
      <w:r>
        <w:rPr>
          <w:rFonts w:hint="eastAsia"/>
          <w:bCs/>
          <w:snapToGrid w:val="0"/>
          <w:kern w:val="0"/>
          <w:szCs w:val="21"/>
        </w:rPr>
        <w:t>了解</w:t>
      </w:r>
      <w:r>
        <w:rPr>
          <w:bCs/>
          <w:snapToGrid w:val="0"/>
          <w:kern w:val="0"/>
          <w:szCs w:val="21"/>
        </w:rPr>
        <w:t>设计</w:t>
      </w:r>
      <w:r>
        <w:rPr>
          <w:snapToGrid w:val="0"/>
          <w:kern w:val="0"/>
          <w:szCs w:val="21"/>
        </w:rPr>
        <w:t>工作安排</w:t>
      </w:r>
      <w:r>
        <w:rPr>
          <w:bCs/>
          <w:snapToGrid w:val="0"/>
          <w:kern w:val="0"/>
          <w:szCs w:val="21"/>
        </w:rPr>
        <w:t>；</w:t>
      </w:r>
    </w:p>
    <w:p>
      <w:pPr>
        <w:widowControl/>
        <w:tabs>
          <w:tab w:val="left" w:pos="900"/>
        </w:tabs>
        <w:adjustRightInd w:val="0"/>
        <w:snapToGrid w:val="0"/>
        <w:spacing w:line="360" w:lineRule="auto"/>
        <w:ind w:firstLine="420" w:firstLineChars="200"/>
        <w:rPr>
          <w:bCs/>
          <w:snapToGrid w:val="0"/>
          <w:kern w:val="0"/>
          <w:szCs w:val="21"/>
        </w:rPr>
      </w:pPr>
      <w:r>
        <w:rPr>
          <w:bCs/>
          <w:snapToGrid w:val="0"/>
          <w:kern w:val="0"/>
          <w:szCs w:val="21"/>
        </w:rPr>
        <w:t>4.2、</w:t>
      </w:r>
      <w:r>
        <w:rPr>
          <w:rFonts w:hint="eastAsia"/>
          <w:bCs/>
          <w:snapToGrid w:val="0"/>
          <w:kern w:val="0"/>
          <w:szCs w:val="21"/>
        </w:rPr>
        <w:t>掌握毕业设计中电路或系统对环境的影响；</w:t>
      </w:r>
    </w:p>
    <w:p>
      <w:pPr>
        <w:widowControl/>
        <w:tabs>
          <w:tab w:val="left" w:pos="900"/>
        </w:tabs>
        <w:adjustRightInd w:val="0"/>
        <w:snapToGrid w:val="0"/>
        <w:spacing w:line="360" w:lineRule="auto"/>
        <w:ind w:firstLine="420" w:firstLineChars="200"/>
        <w:rPr>
          <w:bCs/>
          <w:snapToGrid w:val="0"/>
          <w:kern w:val="0"/>
          <w:szCs w:val="21"/>
        </w:rPr>
      </w:pPr>
      <w:r>
        <w:rPr>
          <w:bCs/>
          <w:snapToGrid w:val="0"/>
          <w:kern w:val="0"/>
          <w:szCs w:val="21"/>
        </w:rPr>
        <w:t>4.3、</w:t>
      </w:r>
      <w:r>
        <w:rPr>
          <w:rFonts w:hint="eastAsia"/>
          <w:bCs/>
          <w:snapToGrid w:val="0"/>
          <w:kern w:val="0"/>
          <w:szCs w:val="21"/>
        </w:rPr>
        <w:t>掌握</w:t>
      </w:r>
      <w:r>
        <w:rPr>
          <w:bCs/>
          <w:snapToGrid w:val="0"/>
          <w:kern w:val="0"/>
          <w:szCs w:val="21"/>
        </w:rPr>
        <w:t>毕业设计说明书构成及撰写原则；</w:t>
      </w:r>
    </w:p>
    <w:p>
      <w:pPr>
        <w:widowControl/>
        <w:tabs>
          <w:tab w:val="left" w:pos="900"/>
        </w:tabs>
        <w:adjustRightInd w:val="0"/>
        <w:snapToGrid w:val="0"/>
        <w:spacing w:line="360" w:lineRule="auto"/>
        <w:ind w:firstLine="420" w:firstLineChars="200"/>
        <w:rPr>
          <w:bCs/>
          <w:snapToGrid w:val="0"/>
          <w:kern w:val="0"/>
          <w:szCs w:val="21"/>
        </w:rPr>
      </w:pPr>
      <w:r>
        <w:rPr>
          <w:bCs/>
          <w:snapToGrid w:val="0"/>
          <w:kern w:val="0"/>
          <w:szCs w:val="21"/>
        </w:rPr>
        <w:t>4.4、</w:t>
      </w:r>
      <w:r>
        <w:rPr>
          <w:rFonts w:hint="eastAsia"/>
          <w:bCs/>
          <w:snapToGrid w:val="0"/>
          <w:kern w:val="0"/>
          <w:szCs w:val="21"/>
        </w:rPr>
        <w:t>了解</w:t>
      </w:r>
      <w:r>
        <w:rPr>
          <w:bCs/>
          <w:snapToGrid w:val="0"/>
          <w:kern w:val="0"/>
          <w:szCs w:val="21"/>
        </w:rPr>
        <w:t>毕业答辩材料的组织及答辩规则。</w:t>
      </w:r>
    </w:p>
    <w:p>
      <w:pPr>
        <w:widowControl/>
        <w:tabs>
          <w:tab w:val="left" w:pos="900"/>
        </w:tabs>
        <w:adjustRightInd w:val="0"/>
        <w:snapToGrid w:val="0"/>
        <w:spacing w:line="360" w:lineRule="auto"/>
        <w:ind w:firstLine="420" w:firstLineChars="200"/>
        <w:rPr>
          <w:bCs/>
          <w:snapToGrid w:val="0"/>
          <w:kern w:val="0"/>
          <w:szCs w:val="21"/>
        </w:rPr>
      </w:pPr>
      <w:r>
        <w:rPr>
          <w:bCs/>
          <w:snapToGrid w:val="0"/>
          <w:kern w:val="0"/>
          <w:szCs w:val="21"/>
        </w:rPr>
        <w:t>重点：设计说明书内容及答辩</w:t>
      </w:r>
    </w:p>
    <w:p>
      <w:pPr>
        <w:adjustRightInd w:val="0"/>
        <w:snapToGrid w:val="0"/>
        <w:spacing w:line="360" w:lineRule="auto"/>
        <w:ind w:firstLine="454"/>
        <w:rPr>
          <w:szCs w:val="21"/>
        </w:rPr>
      </w:pPr>
      <w:r>
        <w:rPr>
          <w:rFonts w:hint="eastAsia"/>
          <w:szCs w:val="21"/>
        </w:rPr>
        <w:t>本章内容支撑课程目标3、5</w:t>
      </w:r>
    </w:p>
    <w:p>
      <w:pPr>
        <w:tabs>
          <w:tab w:val="left" w:pos="420"/>
        </w:tabs>
        <w:adjustRightInd w:val="0"/>
        <w:snapToGrid w:val="0"/>
        <w:spacing w:line="360" w:lineRule="auto"/>
        <w:ind w:left="420" w:hanging="420"/>
        <w:rPr>
          <w:rFonts w:eastAsia="黑体"/>
          <w:szCs w:val="24"/>
        </w:rPr>
      </w:pPr>
      <w:r>
        <w:rPr>
          <w:rFonts w:hint="eastAsia" w:eastAsia="黑体"/>
          <w:szCs w:val="24"/>
        </w:rPr>
        <w:t>五、实验内容</w:t>
      </w:r>
    </w:p>
    <w:p>
      <w:pPr>
        <w:spacing w:line="360" w:lineRule="auto"/>
        <w:ind w:firstLine="435"/>
        <w:rPr>
          <w:szCs w:val="21"/>
        </w:rPr>
      </w:pPr>
      <w:r>
        <w:rPr>
          <w:rFonts w:hint="eastAsia"/>
          <w:szCs w:val="21"/>
        </w:rPr>
        <w:t>无。</w:t>
      </w:r>
    </w:p>
    <w:p>
      <w:pPr>
        <w:spacing w:line="360" w:lineRule="auto"/>
        <w:ind w:firstLine="435"/>
        <w:rPr>
          <w:szCs w:val="21"/>
        </w:rPr>
      </w:pPr>
    </w:p>
    <w:p>
      <w:pPr>
        <w:widowControl/>
        <w:spacing w:line="360" w:lineRule="auto"/>
        <w:jc w:val="left"/>
        <w:rPr>
          <w:rFonts w:ascii="黑体" w:hAnsi="宋体" w:eastAsia="黑体" w:cs="宋体"/>
          <w:kern w:val="0"/>
          <w:szCs w:val="21"/>
        </w:rPr>
      </w:pPr>
      <w:r>
        <w:rPr>
          <w:rFonts w:hint="eastAsia" w:ascii="黑体" w:hAnsi="宋体" w:eastAsia="黑体" w:cs="宋体"/>
          <w:kern w:val="0"/>
          <w:szCs w:val="21"/>
        </w:rPr>
        <w:t>六、学时分配</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822"/>
        <w:gridCol w:w="1658"/>
        <w:gridCol w:w="1677"/>
        <w:gridCol w:w="137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41" w:type="pct"/>
            <w:shd w:val="clear" w:color="auto" w:fill="auto"/>
            <w:vAlign w:val="center"/>
          </w:tcPr>
          <w:p>
            <w:pPr>
              <w:adjustRightInd w:val="0"/>
              <w:snapToGrid w:val="0"/>
              <w:jc w:val="center"/>
              <w:rPr>
                <w:sz w:val="18"/>
                <w:szCs w:val="18"/>
              </w:rPr>
            </w:pPr>
            <w:r>
              <w:rPr>
                <w:sz w:val="18"/>
                <w:szCs w:val="18"/>
              </w:rPr>
              <w:t>知识点及内容</w:t>
            </w:r>
          </w:p>
        </w:tc>
        <w:tc>
          <w:tcPr>
            <w:tcW w:w="972" w:type="pct"/>
            <w:shd w:val="clear" w:color="auto" w:fill="auto"/>
            <w:vAlign w:val="center"/>
          </w:tcPr>
          <w:p>
            <w:pPr>
              <w:adjustRightInd w:val="0"/>
              <w:snapToGrid w:val="0"/>
              <w:jc w:val="center"/>
              <w:rPr>
                <w:sz w:val="18"/>
                <w:szCs w:val="18"/>
              </w:rPr>
            </w:pPr>
            <w:r>
              <w:rPr>
                <w:sz w:val="18"/>
                <w:szCs w:val="18"/>
              </w:rPr>
              <w:t>讲授（学时）</w:t>
            </w:r>
          </w:p>
        </w:tc>
        <w:tc>
          <w:tcPr>
            <w:tcW w:w="983" w:type="pct"/>
            <w:shd w:val="clear" w:color="auto" w:fill="auto"/>
            <w:vAlign w:val="center"/>
          </w:tcPr>
          <w:p>
            <w:pPr>
              <w:adjustRightInd w:val="0"/>
              <w:snapToGrid w:val="0"/>
              <w:jc w:val="center"/>
              <w:rPr>
                <w:sz w:val="18"/>
                <w:szCs w:val="18"/>
              </w:rPr>
            </w:pPr>
            <w:r>
              <w:rPr>
                <w:sz w:val="18"/>
                <w:szCs w:val="18"/>
              </w:rPr>
              <w:t>实验（学时）</w:t>
            </w:r>
          </w:p>
        </w:tc>
        <w:tc>
          <w:tcPr>
            <w:tcW w:w="804" w:type="pct"/>
            <w:shd w:val="clear" w:color="auto" w:fill="auto"/>
            <w:vAlign w:val="center"/>
          </w:tcPr>
          <w:p>
            <w:pPr>
              <w:adjustRightInd w:val="0"/>
              <w:snapToGrid w:val="0"/>
              <w:jc w:val="center"/>
              <w:rPr>
                <w:sz w:val="18"/>
                <w:szCs w:val="18"/>
              </w:rPr>
            </w:pPr>
            <w:r>
              <w:rPr>
                <w:sz w:val="18"/>
                <w:szCs w:val="18"/>
              </w:rPr>
              <w:t>小计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41" w:type="pct"/>
            <w:shd w:val="clear" w:color="auto" w:fill="auto"/>
            <w:vAlign w:val="center"/>
          </w:tcPr>
          <w:p>
            <w:pPr>
              <w:adjustRightInd w:val="0"/>
              <w:snapToGrid w:val="0"/>
              <w:jc w:val="center"/>
              <w:rPr>
                <w:sz w:val="18"/>
                <w:szCs w:val="18"/>
              </w:rPr>
            </w:pPr>
            <w:r>
              <w:rPr>
                <w:sz w:val="18"/>
                <w:szCs w:val="18"/>
              </w:rPr>
              <w:t>1概述</w:t>
            </w:r>
          </w:p>
        </w:tc>
        <w:tc>
          <w:tcPr>
            <w:tcW w:w="972" w:type="pct"/>
            <w:shd w:val="clear" w:color="auto" w:fill="auto"/>
            <w:vAlign w:val="center"/>
          </w:tcPr>
          <w:p>
            <w:pPr>
              <w:adjustRightInd w:val="0"/>
              <w:snapToGrid w:val="0"/>
              <w:jc w:val="center"/>
              <w:rPr>
                <w:sz w:val="18"/>
                <w:szCs w:val="18"/>
              </w:rPr>
            </w:pPr>
            <w:r>
              <w:rPr>
                <w:sz w:val="18"/>
                <w:szCs w:val="18"/>
              </w:rPr>
              <w:t>2</w:t>
            </w:r>
          </w:p>
        </w:tc>
        <w:tc>
          <w:tcPr>
            <w:tcW w:w="983" w:type="pct"/>
            <w:shd w:val="clear" w:color="auto" w:fill="auto"/>
            <w:vAlign w:val="center"/>
          </w:tcPr>
          <w:p>
            <w:pPr>
              <w:adjustRightInd w:val="0"/>
              <w:snapToGrid w:val="0"/>
              <w:jc w:val="center"/>
              <w:rPr>
                <w:sz w:val="18"/>
                <w:szCs w:val="18"/>
              </w:rPr>
            </w:pPr>
            <w:r>
              <w:rPr>
                <w:sz w:val="18"/>
                <w:szCs w:val="18"/>
              </w:rPr>
              <w:t>0</w:t>
            </w:r>
          </w:p>
        </w:tc>
        <w:tc>
          <w:tcPr>
            <w:tcW w:w="804" w:type="pct"/>
            <w:shd w:val="clear" w:color="auto" w:fill="auto"/>
            <w:vAlign w:val="center"/>
          </w:tcPr>
          <w:p>
            <w:pPr>
              <w:adjustRightInd w:val="0"/>
              <w:snapToGrid w:val="0"/>
              <w:jc w:val="center"/>
              <w:rPr>
                <w:sz w:val="18"/>
                <w:szCs w:val="18"/>
              </w:rPr>
            </w:pPr>
            <w:r>
              <w:rPr>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41" w:type="pct"/>
            <w:shd w:val="clear" w:color="auto" w:fill="auto"/>
            <w:vAlign w:val="center"/>
          </w:tcPr>
          <w:p>
            <w:pPr>
              <w:adjustRightInd w:val="0"/>
              <w:snapToGrid w:val="0"/>
              <w:jc w:val="center"/>
              <w:rPr>
                <w:sz w:val="18"/>
                <w:szCs w:val="18"/>
              </w:rPr>
            </w:pPr>
            <w:r>
              <w:rPr>
                <w:sz w:val="18"/>
                <w:szCs w:val="18"/>
              </w:rPr>
              <w:t>2选题及任务书</w:t>
            </w:r>
          </w:p>
        </w:tc>
        <w:tc>
          <w:tcPr>
            <w:tcW w:w="972" w:type="pct"/>
            <w:shd w:val="clear" w:color="auto" w:fill="auto"/>
            <w:vAlign w:val="center"/>
          </w:tcPr>
          <w:p>
            <w:pPr>
              <w:adjustRightInd w:val="0"/>
              <w:snapToGrid w:val="0"/>
              <w:jc w:val="center"/>
              <w:rPr>
                <w:sz w:val="18"/>
                <w:szCs w:val="18"/>
              </w:rPr>
            </w:pPr>
            <w:r>
              <w:rPr>
                <w:sz w:val="18"/>
                <w:szCs w:val="18"/>
              </w:rPr>
              <w:t>2</w:t>
            </w:r>
          </w:p>
        </w:tc>
        <w:tc>
          <w:tcPr>
            <w:tcW w:w="983" w:type="pct"/>
            <w:shd w:val="clear" w:color="auto" w:fill="auto"/>
            <w:vAlign w:val="center"/>
          </w:tcPr>
          <w:p>
            <w:pPr>
              <w:adjustRightInd w:val="0"/>
              <w:snapToGrid w:val="0"/>
              <w:jc w:val="center"/>
              <w:rPr>
                <w:sz w:val="18"/>
                <w:szCs w:val="18"/>
              </w:rPr>
            </w:pPr>
            <w:r>
              <w:rPr>
                <w:rFonts w:hint="eastAsia"/>
                <w:sz w:val="18"/>
                <w:szCs w:val="18"/>
              </w:rPr>
              <w:t>0</w:t>
            </w:r>
          </w:p>
        </w:tc>
        <w:tc>
          <w:tcPr>
            <w:tcW w:w="804" w:type="pct"/>
            <w:shd w:val="clear" w:color="auto" w:fill="auto"/>
            <w:vAlign w:val="center"/>
          </w:tcPr>
          <w:p>
            <w:pPr>
              <w:adjustRightInd w:val="0"/>
              <w:snapToGrid w:val="0"/>
              <w:jc w:val="center"/>
              <w:rPr>
                <w:sz w:val="18"/>
                <w:szCs w:val="18"/>
              </w:rPr>
            </w:pPr>
            <w:r>
              <w:rPr>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41" w:type="pct"/>
            <w:shd w:val="clear" w:color="auto" w:fill="auto"/>
            <w:vAlign w:val="center"/>
          </w:tcPr>
          <w:p>
            <w:pPr>
              <w:adjustRightInd w:val="0"/>
              <w:snapToGrid w:val="0"/>
              <w:jc w:val="center"/>
              <w:rPr>
                <w:sz w:val="18"/>
                <w:szCs w:val="18"/>
              </w:rPr>
            </w:pPr>
            <w:r>
              <w:rPr>
                <w:sz w:val="18"/>
                <w:szCs w:val="18"/>
              </w:rPr>
              <w:t>3毕业设计开题</w:t>
            </w:r>
          </w:p>
        </w:tc>
        <w:tc>
          <w:tcPr>
            <w:tcW w:w="972" w:type="pct"/>
            <w:shd w:val="clear" w:color="auto" w:fill="auto"/>
            <w:vAlign w:val="center"/>
          </w:tcPr>
          <w:p>
            <w:pPr>
              <w:adjustRightInd w:val="0"/>
              <w:snapToGrid w:val="0"/>
              <w:jc w:val="center"/>
              <w:rPr>
                <w:sz w:val="18"/>
                <w:szCs w:val="18"/>
              </w:rPr>
            </w:pPr>
            <w:r>
              <w:rPr>
                <w:sz w:val="18"/>
                <w:szCs w:val="18"/>
              </w:rPr>
              <w:t>2</w:t>
            </w:r>
          </w:p>
        </w:tc>
        <w:tc>
          <w:tcPr>
            <w:tcW w:w="983" w:type="pct"/>
            <w:shd w:val="clear" w:color="auto" w:fill="auto"/>
            <w:vAlign w:val="center"/>
          </w:tcPr>
          <w:p>
            <w:pPr>
              <w:adjustRightInd w:val="0"/>
              <w:snapToGrid w:val="0"/>
              <w:jc w:val="center"/>
              <w:rPr>
                <w:sz w:val="18"/>
                <w:szCs w:val="18"/>
              </w:rPr>
            </w:pPr>
            <w:r>
              <w:rPr>
                <w:rFonts w:hint="eastAsia"/>
                <w:sz w:val="18"/>
                <w:szCs w:val="18"/>
              </w:rPr>
              <w:t>0</w:t>
            </w:r>
          </w:p>
        </w:tc>
        <w:tc>
          <w:tcPr>
            <w:tcW w:w="804" w:type="pct"/>
            <w:shd w:val="clear" w:color="auto" w:fill="auto"/>
            <w:vAlign w:val="center"/>
          </w:tcPr>
          <w:p>
            <w:pPr>
              <w:adjustRightInd w:val="0"/>
              <w:snapToGrid w:val="0"/>
              <w:jc w:val="center"/>
              <w:rPr>
                <w:sz w:val="18"/>
                <w:szCs w:val="18"/>
              </w:rPr>
            </w:pPr>
            <w:r>
              <w:rPr>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41" w:type="pct"/>
            <w:shd w:val="clear" w:color="auto" w:fill="auto"/>
            <w:vAlign w:val="center"/>
          </w:tcPr>
          <w:p>
            <w:pPr>
              <w:adjustRightInd w:val="0"/>
              <w:snapToGrid w:val="0"/>
              <w:jc w:val="center"/>
              <w:rPr>
                <w:sz w:val="18"/>
                <w:szCs w:val="18"/>
              </w:rPr>
            </w:pPr>
            <w:r>
              <w:rPr>
                <w:sz w:val="18"/>
                <w:szCs w:val="18"/>
              </w:rPr>
              <w:t>4毕业设计及说明书撰写、答辩</w:t>
            </w:r>
          </w:p>
        </w:tc>
        <w:tc>
          <w:tcPr>
            <w:tcW w:w="972" w:type="pct"/>
            <w:shd w:val="clear" w:color="auto" w:fill="auto"/>
            <w:vAlign w:val="center"/>
          </w:tcPr>
          <w:p>
            <w:pPr>
              <w:adjustRightInd w:val="0"/>
              <w:snapToGrid w:val="0"/>
              <w:jc w:val="center"/>
              <w:rPr>
                <w:sz w:val="18"/>
                <w:szCs w:val="18"/>
              </w:rPr>
            </w:pPr>
            <w:r>
              <w:rPr>
                <w:sz w:val="18"/>
                <w:szCs w:val="18"/>
              </w:rPr>
              <w:t>2</w:t>
            </w:r>
          </w:p>
        </w:tc>
        <w:tc>
          <w:tcPr>
            <w:tcW w:w="983" w:type="pct"/>
            <w:shd w:val="clear" w:color="auto" w:fill="auto"/>
            <w:vAlign w:val="center"/>
          </w:tcPr>
          <w:p>
            <w:pPr>
              <w:adjustRightInd w:val="0"/>
              <w:snapToGrid w:val="0"/>
              <w:jc w:val="center"/>
              <w:rPr>
                <w:sz w:val="18"/>
                <w:szCs w:val="18"/>
              </w:rPr>
            </w:pPr>
            <w:r>
              <w:rPr>
                <w:sz w:val="18"/>
                <w:szCs w:val="18"/>
              </w:rPr>
              <w:t>0</w:t>
            </w:r>
          </w:p>
        </w:tc>
        <w:tc>
          <w:tcPr>
            <w:tcW w:w="804" w:type="pct"/>
            <w:shd w:val="clear" w:color="auto" w:fill="auto"/>
            <w:vAlign w:val="center"/>
          </w:tcPr>
          <w:p>
            <w:pPr>
              <w:adjustRightInd w:val="0"/>
              <w:snapToGrid w:val="0"/>
              <w:jc w:val="center"/>
              <w:rPr>
                <w:sz w:val="18"/>
                <w:szCs w:val="18"/>
              </w:rPr>
            </w:pPr>
            <w:r>
              <w:rPr>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41" w:type="pct"/>
            <w:shd w:val="clear" w:color="auto" w:fill="auto"/>
            <w:vAlign w:val="center"/>
          </w:tcPr>
          <w:p>
            <w:pPr>
              <w:adjustRightInd w:val="0"/>
              <w:snapToGrid w:val="0"/>
              <w:jc w:val="center"/>
              <w:rPr>
                <w:sz w:val="18"/>
                <w:szCs w:val="18"/>
              </w:rPr>
            </w:pPr>
            <w:r>
              <w:rPr>
                <w:rFonts w:hint="eastAsia"/>
                <w:sz w:val="18"/>
                <w:szCs w:val="18"/>
              </w:rPr>
              <w:t>合计：</w:t>
            </w:r>
          </w:p>
        </w:tc>
        <w:tc>
          <w:tcPr>
            <w:tcW w:w="972" w:type="pct"/>
            <w:shd w:val="clear" w:color="auto" w:fill="auto"/>
            <w:vAlign w:val="center"/>
          </w:tcPr>
          <w:p>
            <w:pPr>
              <w:adjustRightInd w:val="0"/>
              <w:snapToGrid w:val="0"/>
              <w:jc w:val="center"/>
              <w:rPr>
                <w:sz w:val="18"/>
                <w:szCs w:val="18"/>
              </w:rPr>
            </w:pPr>
            <w:r>
              <w:rPr>
                <w:sz w:val="18"/>
                <w:szCs w:val="18"/>
              </w:rPr>
              <w:t>8</w:t>
            </w:r>
          </w:p>
        </w:tc>
        <w:tc>
          <w:tcPr>
            <w:tcW w:w="983" w:type="pct"/>
            <w:shd w:val="clear" w:color="auto" w:fill="auto"/>
            <w:vAlign w:val="center"/>
          </w:tcPr>
          <w:p>
            <w:pPr>
              <w:adjustRightInd w:val="0"/>
              <w:snapToGrid w:val="0"/>
              <w:jc w:val="center"/>
              <w:rPr>
                <w:sz w:val="18"/>
                <w:szCs w:val="18"/>
              </w:rPr>
            </w:pPr>
            <w:r>
              <w:rPr>
                <w:rFonts w:hint="eastAsia"/>
                <w:sz w:val="18"/>
                <w:szCs w:val="18"/>
              </w:rPr>
              <w:t>0</w:t>
            </w:r>
          </w:p>
        </w:tc>
        <w:tc>
          <w:tcPr>
            <w:tcW w:w="804" w:type="pct"/>
            <w:shd w:val="clear" w:color="auto" w:fill="auto"/>
            <w:vAlign w:val="center"/>
          </w:tcPr>
          <w:p>
            <w:pPr>
              <w:adjustRightInd w:val="0"/>
              <w:snapToGrid w:val="0"/>
              <w:jc w:val="center"/>
              <w:rPr>
                <w:sz w:val="18"/>
                <w:szCs w:val="18"/>
              </w:rPr>
            </w:pPr>
            <w:r>
              <w:rPr>
                <w:sz w:val="18"/>
                <w:szCs w:val="18"/>
              </w:rPr>
              <w:t>8</w:t>
            </w:r>
          </w:p>
        </w:tc>
      </w:tr>
    </w:tbl>
    <w:p>
      <w:pPr>
        <w:spacing w:line="360" w:lineRule="auto"/>
        <w:rPr>
          <w:b/>
          <w:sz w:val="24"/>
          <w:szCs w:val="24"/>
        </w:rPr>
      </w:pPr>
    </w:p>
    <w:p>
      <w:pPr>
        <w:tabs>
          <w:tab w:val="left" w:pos="420"/>
        </w:tabs>
        <w:spacing w:line="360" w:lineRule="auto"/>
        <w:ind w:left="420" w:hanging="420"/>
        <w:rPr>
          <w:rFonts w:eastAsia="黑体"/>
          <w:szCs w:val="24"/>
        </w:rPr>
      </w:pPr>
      <w:r>
        <w:rPr>
          <w:rFonts w:hint="eastAsia" w:eastAsia="黑体"/>
          <w:szCs w:val="24"/>
        </w:rPr>
        <w:t>七、教材、补充教材及参考资料</w:t>
      </w:r>
    </w:p>
    <w:p>
      <w:pPr>
        <w:widowControl/>
        <w:tabs>
          <w:tab w:val="left" w:pos="900"/>
        </w:tabs>
        <w:adjustRightInd w:val="0"/>
        <w:snapToGrid w:val="0"/>
        <w:spacing w:line="360" w:lineRule="auto"/>
        <w:ind w:firstLine="420" w:firstLineChars="200"/>
        <w:rPr>
          <w:bCs/>
          <w:snapToGrid w:val="0"/>
          <w:kern w:val="0"/>
          <w:szCs w:val="21"/>
        </w:rPr>
      </w:pPr>
      <w:r>
        <w:rPr>
          <w:bCs/>
          <w:snapToGrid w:val="0"/>
          <w:kern w:val="0"/>
          <w:szCs w:val="21"/>
        </w:rPr>
        <w:t>1、郑霞忠，黄正伟，《科技论文写作与文献检索》，ISBN978-7-3-7-10025-1，武汉大学出版社 2012.09。</w:t>
      </w:r>
    </w:p>
    <w:p>
      <w:pPr>
        <w:widowControl/>
        <w:tabs>
          <w:tab w:val="left" w:pos="900"/>
        </w:tabs>
        <w:adjustRightInd w:val="0"/>
        <w:snapToGrid w:val="0"/>
        <w:spacing w:line="360" w:lineRule="auto"/>
        <w:ind w:firstLine="420" w:firstLineChars="200"/>
        <w:rPr>
          <w:bCs/>
          <w:snapToGrid w:val="0"/>
          <w:kern w:val="0"/>
          <w:szCs w:val="21"/>
        </w:rPr>
      </w:pPr>
      <w:r>
        <w:rPr>
          <w:bCs/>
          <w:snapToGrid w:val="0"/>
          <w:kern w:val="0"/>
          <w:szCs w:val="21"/>
        </w:rPr>
        <w:t>2、怎样做文献综述六步走向成功</w:t>
      </w:r>
      <w:r>
        <w:fldChar w:fldCharType="begin"/>
      </w:r>
      <w:r>
        <w:instrText xml:space="preserve"> HYPERLINK "http://vdisk.weibo.com/s/ualzvM5m6bHqn" </w:instrText>
      </w:r>
      <w:r>
        <w:fldChar w:fldCharType="separate"/>
      </w:r>
      <w:r>
        <w:rPr>
          <w:bCs/>
          <w:snapToGrid w:val="0"/>
          <w:kern w:val="0"/>
          <w:szCs w:val="21"/>
        </w:rPr>
        <w:t>http://vdisk.weibo.com/s/ualzvM5m6bHqn</w:t>
      </w:r>
      <w:r>
        <w:rPr>
          <w:bCs/>
          <w:snapToGrid w:val="0"/>
          <w:kern w:val="0"/>
          <w:szCs w:val="21"/>
        </w:rPr>
        <w:fldChar w:fldCharType="end"/>
      </w:r>
      <w:r>
        <w:rPr>
          <w:bCs/>
          <w:snapToGrid w:val="0"/>
          <w:kern w:val="0"/>
          <w:szCs w:val="21"/>
        </w:rPr>
        <w:t>。</w:t>
      </w:r>
    </w:p>
    <w:p>
      <w:pPr>
        <w:widowControl/>
        <w:tabs>
          <w:tab w:val="left" w:pos="900"/>
        </w:tabs>
        <w:adjustRightInd w:val="0"/>
        <w:snapToGrid w:val="0"/>
        <w:spacing w:line="360" w:lineRule="auto"/>
        <w:ind w:firstLine="420" w:firstLineChars="200"/>
        <w:rPr>
          <w:bCs/>
          <w:snapToGrid w:val="0"/>
          <w:kern w:val="0"/>
          <w:szCs w:val="21"/>
        </w:rPr>
      </w:pPr>
      <w:r>
        <w:rPr>
          <w:bCs/>
          <w:snapToGrid w:val="0"/>
          <w:kern w:val="0"/>
          <w:szCs w:val="21"/>
        </w:rPr>
        <w:t>3、华莹，董婷，《高校学校毕业设计（论文）指导教程电气工程类专业》，ISBN978-7-5170-3083-6 ，中国水利水电出版社 2015.05。</w:t>
      </w:r>
    </w:p>
    <w:p>
      <w:pPr>
        <w:widowControl/>
        <w:tabs>
          <w:tab w:val="left" w:pos="900"/>
        </w:tabs>
        <w:adjustRightInd w:val="0"/>
        <w:snapToGrid w:val="0"/>
        <w:spacing w:line="360" w:lineRule="auto"/>
        <w:ind w:firstLine="420" w:firstLineChars="200"/>
        <w:rPr>
          <w:bCs/>
          <w:snapToGrid w:val="0"/>
          <w:kern w:val="0"/>
          <w:szCs w:val="21"/>
        </w:rPr>
      </w:pPr>
      <w:r>
        <w:rPr>
          <w:bCs/>
          <w:snapToGrid w:val="0"/>
          <w:kern w:val="0"/>
          <w:szCs w:val="21"/>
        </w:rPr>
        <w:t>4、董锦凤，《毕业设计指导电类》，ISBN7-5606-1480-9，西安电子科技大学出版社 2005.02。</w:t>
      </w:r>
    </w:p>
    <w:p>
      <w:pPr>
        <w:widowControl/>
        <w:tabs>
          <w:tab w:val="left" w:pos="900"/>
        </w:tabs>
        <w:adjustRightInd w:val="0"/>
        <w:snapToGrid w:val="0"/>
        <w:spacing w:line="360" w:lineRule="auto"/>
        <w:ind w:firstLine="420" w:firstLineChars="200"/>
        <w:rPr>
          <w:bCs/>
          <w:snapToGrid w:val="0"/>
          <w:kern w:val="0"/>
          <w:szCs w:val="21"/>
        </w:rPr>
      </w:pPr>
      <w:r>
        <w:rPr>
          <w:rFonts w:hint="eastAsia" w:eastAsia="黑体"/>
          <w:szCs w:val="24"/>
        </w:rPr>
        <w:t>5、</w:t>
      </w:r>
      <w:r>
        <w:rPr>
          <w:rFonts w:hint="eastAsia"/>
          <w:bCs/>
          <w:snapToGrid w:val="0"/>
          <w:kern w:val="0"/>
          <w:szCs w:val="21"/>
        </w:rPr>
        <w:t>吴振谦《工科学生如何做毕业设计》资料链接：</w:t>
      </w:r>
    </w:p>
    <w:p>
      <w:pPr>
        <w:widowControl/>
        <w:tabs>
          <w:tab w:val="left" w:pos="900"/>
        </w:tabs>
        <w:adjustRightInd w:val="0"/>
        <w:snapToGrid w:val="0"/>
        <w:spacing w:line="360" w:lineRule="auto"/>
        <w:ind w:firstLine="420" w:firstLineChars="200"/>
        <w:rPr>
          <w:rFonts w:eastAsia="黑体"/>
          <w:szCs w:val="24"/>
        </w:rPr>
      </w:pPr>
      <w:r>
        <w:rPr>
          <w:bCs/>
          <w:snapToGrid w:val="0"/>
          <w:kern w:val="0"/>
          <w:szCs w:val="21"/>
        </w:rPr>
        <w:t>https://video.tudou.com/v/XMTM4Njk3MzE5Ng==.html?spm=a2hzp.8253876.0.0&amp;f=26244724</w:t>
      </w:r>
    </w:p>
    <w:p>
      <w:pPr>
        <w:tabs>
          <w:tab w:val="left" w:pos="420"/>
        </w:tabs>
        <w:spacing w:line="360" w:lineRule="auto"/>
        <w:ind w:left="420" w:hanging="420"/>
        <w:rPr>
          <w:rFonts w:eastAsia="黑体"/>
          <w:szCs w:val="24"/>
        </w:rPr>
      </w:pPr>
    </w:p>
    <w:p>
      <w:pPr>
        <w:tabs>
          <w:tab w:val="left" w:pos="420"/>
        </w:tabs>
        <w:spacing w:line="360" w:lineRule="auto"/>
        <w:ind w:left="420" w:hanging="420"/>
        <w:rPr>
          <w:rFonts w:eastAsia="黑体"/>
          <w:szCs w:val="24"/>
        </w:rPr>
      </w:pPr>
      <w:r>
        <w:rPr>
          <w:rFonts w:hint="eastAsia" w:eastAsia="黑体"/>
          <w:szCs w:val="24"/>
        </w:rPr>
        <w:t>八、课程目标达成的途径和措施</w:t>
      </w:r>
    </w:p>
    <w:p>
      <w:pPr>
        <w:spacing w:line="360" w:lineRule="auto"/>
        <w:ind w:firstLine="420" w:firstLineChars="200"/>
        <w:rPr>
          <w:szCs w:val="21"/>
        </w:rPr>
      </w:pPr>
      <w:r>
        <w:rPr>
          <w:szCs w:val="21"/>
        </w:rPr>
        <w:t>1</w:t>
      </w:r>
      <w:r>
        <w:rPr>
          <w:rFonts w:hint="eastAsia"/>
          <w:szCs w:val="21"/>
        </w:rPr>
        <w:t>、考核目标：</w:t>
      </w:r>
      <w:r>
        <w:rPr>
          <w:bCs/>
          <w:snapToGrid w:val="0"/>
          <w:kern w:val="0"/>
          <w:szCs w:val="21"/>
        </w:rPr>
        <w:t>学生对毕业设计规范、过程、开题报告撰写、设计说明书撰写及毕业答辩组织的认识及相关工作开展方法的掌握情况。</w:t>
      </w:r>
    </w:p>
    <w:p>
      <w:pPr>
        <w:spacing w:line="360" w:lineRule="auto"/>
        <w:ind w:firstLine="420" w:firstLineChars="200"/>
        <w:rPr>
          <w:szCs w:val="21"/>
        </w:rPr>
      </w:pPr>
      <w:r>
        <w:rPr>
          <w:szCs w:val="21"/>
        </w:rPr>
        <w:t>2</w:t>
      </w:r>
      <w:r>
        <w:rPr>
          <w:rFonts w:hint="eastAsia"/>
          <w:szCs w:val="21"/>
        </w:rPr>
        <w:t>、考核方式：</w:t>
      </w:r>
      <w:r>
        <w:rPr>
          <w:rFonts w:hint="eastAsia"/>
          <w:bCs/>
          <w:snapToGrid w:val="0"/>
          <w:kern w:val="0"/>
          <w:szCs w:val="21"/>
        </w:rPr>
        <w:t>作业</w:t>
      </w:r>
      <w:r>
        <w:rPr>
          <w:bCs/>
          <w:snapToGrid w:val="0"/>
          <w:kern w:val="0"/>
          <w:szCs w:val="21"/>
        </w:rPr>
        <w:t>、报告。</w:t>
      </w:r>
    </w:p>
    <w:p>
      <w:pPr>
        <w:spacing w:line="360" w:lineRule="auto"/>
        <w:ind w:firstLine="420" w:firstLineChars="200"/>
        <w:rPr>
          <w:color w:val="0000FF"/>
        </w:rPr>
      </w:pPr>
      <w:r>
        <w:rPr>
          <w:szCs w:val="21"/>
        </w:rPr>
        <w:t>3、</w:t>
      </w:r>
      <w:r>
        <w:rPr>
          <w:rFonts w:hint="eastAsia"/>
          <w:szCs w:val="21"/>
        </w:rPr>
        <w:t>评价环节对课程目标达成贡献率及支撑材料：</w:t>
      </w:r>
    </w:p>
    <w:tbl>
      <w:tblPr>
        <w:tblStyle w:val="19"/>
        <w:tblW w:w="5000" w:type="pct"/>
        <w:jc w:val="center"/>
        <w:tblLayout w:type="autofit"/>
        <w:tblCellMar>
          <w:top w:w="0" w:type="dxa"/>
          <w:left w:w="108" w:type="dxa"/>
          <w:bottom w:w="0" w:type="dxa"/>
          <w:right w:w="108" w:type="dxa"/>
        </w:tblCellMar>
      </w:tblPr>
      <w:tblGrid>
        <w:gridCol w:w="1616"/>
        <w:gridCol w:w="3456"/>
        <w:gridCol w:w="3456"/>
      </w:tblGrid>
      <w:tr>
        <w:tblPrEx>
          <w:tblCellMar>
            <w:top w:w="0" w:type="dxa"/>
            <w:left w:w="108" w:type="dxa"/>
            <w:bottom w:w="0" w:type="dxa"/>
            <w:right w:w="108" w:type="dxa"/>
          </w:tblCellMar>
        </w:tblPrEx>
        <w:trPr>
          <w:trHeight w:val="691" w:hRule="atLeast"/>
          <w:jc w:val="center"/>
        </w:trPr>
        <w:tc>
          <w:tcPr>
            <w:tcW w:w="1782" w:type="pct"/>
            <w:tcBorders>
              <w:top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rPr>
            </w:pPr>
            <w:r>
              <w:rPr>
                <w:rFonts w:hint="eastAsia" w:ascii="宋体" w:hAnsi="宋体" w:cs="宋体"/>
                <w:color w:val="000000"/>
                <w:kern w:val="0"/>
                <w:sz w:val="18"/>
              </w:rPr>
              <w:t>考察环节</w:t>
            </w:r>
          </w:p>
        </w:tc>
        <w:tc>
          <w:tcPr>
            <w:tcW w:w="170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rPr>
            </w:pPr>
            <w:r>
              <w:rPr>
                <w:rFonts w:hint="eastAsia" w:ascii="宋体" w:hAnsi="宋体" w:cs="宋体"/>
                <w:color w:val="000000"/>
                <w:kern w:val="0"/>
                <w:sz w:val="18"/>
              </w:rPr>
              <w:t>作业</w:t>
            </w:r>
          </w:p>
        </w:tc>
        <w:tc>
          <w:tcPr>
            <w:tcW w:w="1515" w:type="pct"/>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cs="宋体"/>
                <w:color w:val="000000"/>
                <w:kern w:val="0"/>
                <w:sz w:val="18"/>
              </w:rPr>
            </w:pPr>
            <w:r>
              <w:rPr>
                <w:rFonts w:hint="eastAsia" w:ascii="宋体" w:hAnsi="宋体" w:cs="宋体"/>
                <w:color w:val="000000"/>
                <w:kern w:val="0"/>
                <w:sz w:val="18"/>
              </w:rPr>
              <w:t>报告</w:t>
            </w:r>
          </w:p>
        </w:tc>
      </w:tr>
      <w:tr>
        <w:tblPrEx>
          <w:tblCellMar>
            <w:top w:w="0" w:type="dxa"/>
            <w:left w:w="108" w:type="dxa"/>
            <w:bottom w:w="0" w:type="dxa"/>
            <w:right w:w="108" w:type="dxa"/>
          </w:tblCellMar>
        </w:tblPrEx>
        <w:trPr>
          <w:trHeight w:val="567" w:hRule="atLeast"/>
          <w:jc w:val="center"/>
        </w:trPr>
        <w:tc>
          <w:tcPr>
            <w:tcW w:w="1782" w:type="pct"/>
            <w:tcBorders>
              <w:top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rPr>
            </w:pPr>
            <w:r>
              <w:rPr>
                <w:rFonts w:hint="eastAsia" w:ascii="宋体" w:hAnsi="宋体" w:cs="宋体"/>
                <w:color w:val="000000"/>
                <w:kern w:val="0"/>
                <w:sz w:val="18"/>
              </w:rPr>
              <w:t>课程目标达成</w:t>
            </w:r>
          </w:p>
          <w:p>
            <w:pPr>
              <w:widowControl/>
              <w:jc w:val="center"/>
              <w:rPr>
                <w:rFonts w:ascii="宋体" w:hAnsi="宋体" w:cs="宋体"/>
                <w:color w:val="000000"/>
                <w:kern w:val="0"/>
                <w:sz w:val="18"/>
              </w:rPr>
            </w:pPr>
            <w:r>
              <w:rPr>
                <w:rFonts w:hint="eastAsia" w:ascii="宋体" w:hAnsi="宋体" w:cs="宋体"/>
                <w:color w:val="000000"/>
                <w:kern w:val="0"/>
                <w:sz w:val="18"/>
              </w:rPr>
              <w:t>的贡献率</w:t>
            </w:r>
          </w:p>
        </w:tc>
        <w:tc>
          <w:tcPr>
            <w:tcW w:w="170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0.</w:t>
            </w:r>
            <w:r>
              <w:rPr>
                <w:rFonts w:hint="eastAsia"/>
              </w:rPr>
              <w:t>55</w:t>
            </w:r>
          </w:p>
        </w:tc>
        <w:tc>
          <w:tcPr>
            <w:tcW w:w="1515" w:type="pct"/>
            <w:tcBorders>
              <w:top w:val="single" w:color="auto" w:sz="4" w:space="0"/>
              <w:left w:val="single" w:color="auto" w:sz="4" w:space="0"/>
              <w:bottom w:val="single" w:color="auto" w:sz="4" w:space="0"/>
            </w:tcBorders>
            <w:shd w:val="clear" w:color="auto" w:fill="auto"/>
            <w:noWrap/>
            <w:vAlign w:val="center"/>
          </w:tcPr>
          <w:p>
            <w:pPr>
              <w:jc w:val="center"/>
            </w:pPr>
            <w:r>
              <w:t>0.</w:t>
            </w:r>
            <w:r>
              <w:rPr>
                <w:rFonts w:hint="eastAsia"/>
              </w:rPr>
              <w:t>45</w:t>
            </w:r>
          </w:p>
        </w:tc>
      </w:tr>
      <w:tr>
        <w:tblPrEx>
          <w:tblCellMar>
            <w:top w:w="0" w:type="dxa"/>
            <w:left w:w="108" w:type="dxa"/>
            <w:bottom w:w="0" w:type="dxa"/>
            <w:right w:w="108" w:type="dxa"/>
          </w:tblCellMar>
        </w:tblPrEx>
        <w:trPr>
          <w:trHeight w:val="561" w:hRule="atLeast"/>
          <w:jc w:val="center"/>
        </w:trPr>
        <w:tc>
          <w:tcPr>
            <w:tcW w:w="1782" w:type="pct"/>
            <w:tcBorders>
              <w:top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rPr>
            </w:pPr>
            <w:r>
              <w:rPr>
                <w:rFonts w:hint="eastAsia" w:ascii="宋体" w:hAnsi="宋体" w:cs="宋体"/>
                <w:color w:val="000000"/>
                <w:kern w:val="0"/>
                <w:sz w:val="18"/>
              </w:rPr>
              <w:t>支撑材料</w:t>
            </w:r>
          </w:p>
        </w:tc>
        <w:tc>
          <w:tcPr>
            <w:tcW w:w="170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rPr>
            </w:pPr>
            <w:r>
              <w:rPr>
                <w:rFonts w:ascii="宋体" w:hAnsi="宋体" w:cs="宋体"/>
                <w:color w:val="000000"/>
                <w:kern w:val="0"/>
                <w:sz w:val="18"/>
              </w:rPr>
              <w:t>作业评价标准，</w:t>
            </w:r>
            <w:r>
              <w:rPr>
                <w:rFonts w:hint="eastAsia" w:ascii="宋体" w:hAnsi="宋体" w:cs="宋体"/>
                <w:color w:val="000000"/>
                <w:kern w:val="0"/>
                <w:sz w:val="18"/>
              </w:rPr>
              <w:t>典型作业</w:t>
            </w:r>
            <w:r>
              <w:rPr>
                <w:rFonts w:ascii="宋体" w:hAnsi="宋体" w:cs="宋体"/>
                <w:color w:val="000000"/>
                <w:kern w:val="0"/>
                <w:sz w:val="18"/>
              </w:rPr>
              <w:t>拍照，或电子版</w:t>
            </w:r>
          </w:p>
        </w:tc>
        <w:tc>
          <w:tcPr>
            <w:tcW w:w="1515" w:type="pct"/>
            <w:tcBorders>
              <w:top w:val="single" w:color="auto" w:sz="4" w:space="0"/>
              <w:left w:val="single" w:color="auto" w:sz="4" w:space="0"/>
              <w:bottom w:val="single" w:color="auto" w:sz="4" w:space="0"/>
            </w:tcBorders>
            <w:shd w:val="clear" w:color="auto" w:fill="auto"/>
            <w:noWrap/>
            <w:vAlign w:val="center"/>
          </w:tcPr>
          <w:p>
            <w:pPr>
              <w:widowControl/>
              <w:jc w:val="center"/>
              <w:rPr>
                <w:rFonts w:ascii="宋体" w:hAnsi="宋体" w:cs="宋体"/>
                <w:color w:val="000000"/>
                <w:kern w:val="0"/>
                <w:sz w:val="18"/>
              </w:rPr>
            </w:pPr>
            <w:r>
              <w:rPr>
                <w:rFonts w:hint="eastAsia" w:ascii="宋体" w:hAnsi="宋体" w:cs="宋体"/>
                <w:color w:val="000000"/>
                <w:kern w:val="0"/>
                <w:sz w:val="18"/>
              </w:rPr>
              <w:t>报告评价标准，典型报告拍照，或电子版</w:t>
            </w:r>
          </w:p>
        </w:tc>
      </w:tr>
    </w:tbl>
    <w:p>
      <w:pPr>
        <w:pStyle w:val="26"/>
        <w:widowControl/>
        <w:spacing w:line="360" w:lineRule="auto"/>
        <w:ind w:left="360" w:firstLine="0" w:firstLineChars="0"/>
        <w:jc w:val="left"/>
        <w:rPr>
          <w:rFonts w:eastAsia="黑体"/>
          <w:szCs w:val="24"/>
        </w:rPr>
      </w:pPr>
    </w:p>
    <w:p>
      <w:pPr>
        <w:tabs>
          <w:tab w:val="left" w:pos="420"/>
        </w:tabs>
        <w:adjustRightInd w:val="0"/>
        <w:snapToGrid w:val="0"/>
        <w:spacing w:line="360" w:lineRule="auto"/>
        <w:ind w:left="420" w:hanging="420"/>
        <w:rPr>
          <w:rFonts w:ascii="宋体" w:hAnsi="宋体"/>
          <w:sz w:val="18"/>
          <w:szCs w:val="18"/>
        </w:rPr>
      </w:pPr>
      <w:r>
        <w:rPr>
          <w:rFonts w:eastAsia="黑体"/>
          <w:szCs w:val="24"/>
        </w:rPr>
        <w:t>九</w:t>
      </w:r>
      <w:r>
        <w:rPr>
          <w:rFonts w:hint="eastAsia" w:eastAsia="黑体"/>
          <w:szCs w:val="24"/>
        </w:rPr>
        <w:t>、覆盖课程目标达成评价的知识点及权重</w:t>
      </w:r>
    </w:p>
    <w:tbl>
      <w:tblPr>
        <w:tblStyle w:val="20"/>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562"/>
        <w:gridCol w:w="1179"/>
        <w:gridCol w:w="178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3261" w:type="pct"/>
            <w:vAlign w:val="center"/>
          </w:tcPr>
          <w:p>
            <w:pPr>
              <w:jc w:val="center"/>
              <w:rPr>
                <w:sz w:val="18"/>
                <w:szCs w:val="18"/>
              </w:rPr>
            </w:pPr>
            <w:r>
              <w:rPr>
                <w:sz w:val="18"/>
                <w:szCs w:val="18"/>
              </w:rPr>
              <w:t>知识点</w:t>
            </w:r>
          </w:p>
        </w:tc>
        <w:tc>
          <w:tcPr>
            <w:tcW w:w="691" w:type="pct"/>
            <w:vAlign w:val="center"/>
          </w:tcPr>
          <w:p>
            <w:pPr>
              <w:jc w:val="center"/>
              <w:rPr>
                <w:sz w:val="18"/>
                <w:szCs w:val="18"/>
              </w:rPr>
            </w:pPr>
            <w:r>
              <w:rPr>
                <w:sz w:val="18"/>
                <w:szCs w:val="18"/>
              </w:rPr>
              <w:t>权重</w:t>
            </w:r>
          </w:p>
        </w:tc>
        <w:tc>
          <w:tcPr>
            <w:tcW w:w="1048" w:type="pct"/>
            <w:vAlign w:val="center"/>
          </w:tcPr>
          <w:p>
            <w:pPr>
              <w:jc w:val="center"/>
              <w:rPr>
                <w:sz w:val="18"/>
                <w:szCs w:val="18"/>
              </w:rPr>
            </w:pPr>
            <w:r>
              <w:rPr>
                <w:sz w:val="18"/>
                <w:szCs w:val="18"/>
              </w:rPr>
              <w:t>支撑课程目标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261" w:type="pct"/>
            <w:vAlign w:val="center"/>
          </w:tcPr>
          <w:p>
            <w:pPr>
              <w:spacing w:before="156"/>
              <w:rPr>
                <w:sz w:val="18"/>
                <w:szCs w:val="18"/>
              </w:rPr>
            </w:pPr>
            <w:r>
              <w:rPr>
                <w:sz w:val="18"/>
                <w:szCs w:val="18"/>
              </w:rPr>
              <w:t>1概述</w:t>
            </w:r>
          </w:p>
        </w:tc>
        <w:tc>
          <w:tcPr>
            <w:tcW w:w="691" w:type="pct"/>
            <w:vAlign w:val="center"/>
          </w:tcPr>
          <w:p>
            <w:pPr>
              <w:jc w:val="center"/>
              <w:rPr>
                <w:sz w:val="18"/>
                <w:szCs w:val="18"/>
              </w:rPr>
            </w:pPr>
            <w:r>
              <w:rPr>
                <w:sz w:val="18"/>
                <w:szCs w:val="18"/>
              </w:rPr>
              <w:t>0.25</w:t>
            </w:r>
          </w:p>
        </w:tc>
        <w:tc>
          <w:tcPr>
            <w:tcW w:w="1048" w:type="pct"/>
            <w:vAlign w:val="center"/>
          </w:tcPr>
          <w:p>
            <w:pPr>
              <w:jc w:val="center"/>
              <w:rPr>
                <w:sz w:val="18"/>
                <w:szCs w:val="18"/>
              </w:rPr>
            </w:pPr>
            <w:r>
              <w:rPr>
                <w:rFonts w:hint="eastAsia"/>
                <w:sz w:val="18"/>
                <w:szCs w:val="18"/>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261" w:type="pct"/>
            <w:vAlign w:val="center"/>
          </w:tcPr>
          <w:p>
            <w:pPr>
              <w:spacing w:before="156"/>
              <w:rPr>
                <w:sz w:val="18"/>
                <w:szCs w:val="18"/>
              </w:rPr>
            </w:pPr>
            <w:r>
              <w:rPr>
                <w:sz w:val="18"/>
                <w:szCs w:val="18"/>
              </w:rPr>
              <w:t>2选题及任务书</w:t>
            </w:r>
          </w:p>
        </w:tc>
        <w:tc>
          <w:tcPr>
            <w:tcW w:w="691" w:type="pct"/>
            <w:vAlign w:val="center"/>
          </w:tcPr>
          <w:p>
            <w:pPr>
              <w:jc w:val="center"/>
              <w:rPr>
                <w:sz w:val="18"/>
                <w:szCs w:val="18"/>
              </w:rPr>
            </w:pPr>
            <w:r>
              <w:rPr>
                <w:sz w:val="18"/>
                <w:szCs w:val="18"/>
              </w:rPr>
              <w:t>0.25</w:t>
            </w:r>
          </w:p>
        </w:tc>
        <w:tc>
          <w:tcPr>
            <w:tcW w:w="1048" w:type="pct"/>
            <w:vAlign w:val="center"/>
          </w:tcPr>
          <w:p>
            <w:pPr>
              <w:jc w:val="center"/>
              <w:rPr>
                <w:sz w:val="18"/>
                <w:szCs w:val="18"/>
              </w:rPr>
            </w:pPr>
            <w:r>
              <w:rPr>
                <w:rFonts w:hint="eastAsia"/>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261" w:type="pct"/>
            <w:vAlign w:val="center"/>
          </w:tcPr>
          <w:p>
            <w:pPr>
              <w:spacing w:before="156"/>
              <w:rPr>
                <w:sz w:val="18"/>
                <w:szCs w:val="18"/>
              </w:rPr>
            </w:pPr>
            <w:r>
              <w:rPr>
                <w:sz w:val="18"/>
                <w:szCs w:val="18"/>
              </w:rPr>
              <w:t>3毕业设计开题</w:t>
            </w:r>
          </w:p>
        </w:tc>
        <w:tc>
          <w:tcPr>
            <w:tcW w:w="691" w:type="pct"/>
            <w:vAlign w:val="center"/>
          </w:tcPr>
          <w:p>
            <w:pPr>
              <w:jc w:val="center"/>
              <w:rPr>
                <w:sz w:val="18"/>
                <w:szCs w:val="18"/>
              </w:rPr>
            </w:pPr>
            <w:r>
              <w:rPr>
                <w:sz w:val="18"/>
                <w:szCs w:val="18"/>
              </w:rPr>
              <w:t>0.25</w:t>
            </w:r>
          </w:p>
        </w:tc>
        <w:tc>
          <w:tcPr>
            <w:tcW w:w="1048" w:type="pct"/>
            <w:vAlign w:val="center"/>
          </w:tcPr>
          <w:p>
            <w:pPr>
              <w:jc w:val="center"/>
              <w:rPr>
                <w:sz w:val="18"/>
                <w:szCs w:val="18"/>
              </w:rPr>
            </w:pPr>
            <w:r>
              <w:rPr>
                <w:rFonts w:hint="eastAsia"/>
                <w:sz w:val="18"/>
                <w:szCs w:val="18"/>
              </w:rPr>
              <w:t>2、4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261" w:type="pct"/>
            <w:vAlign w:val="center"/>
          </w:tcPr>
          <w:p>
            <w:pPr>
              <w:spacing w:before="156"/>
              <w:rPr>
                <w:sz w:val="18"/>
                <w:szCs w:val="18"/>
              </w:rPr>
            </w:pPr>
            <w:r>
              <w:rPr>
                <w:sz w:val="18"/>
                <w:szCs w:val="18"/>
              </w:rPr>
              <w:t>4毕业设计及说明书撰写、答辩</w:t>
            </w:r>
          </w:p>
        </w:tc>
        <w:tc>
          <w:tcPr>
            <w:tcW w:w="691" w:type="pct"/>
            <w:vAlign w:val="center"/>
          </w:tcPr>
          <w:p>
            <w:pPr>
              <w:jc w:val="center"/>
              <w:rPr>
                <w:sz w:val="18"/>
                <w:szCs w:val="18"/>
              </w:rPr>
            </w:pPr>
            <w:r>
              <w:rPr>
                <w:sz w:val="18"/>
                <w:szCs w:val="18"/>
              </w:rPr>
              <w:t>0.25</w:t>
            </w:r>
          </w:p>
        </w:tc>
        <w:tc>
          <w:tcPr>
            <w:tcW w:w="1048" w:type="pct"/>
            <w:vAlign w:val="center"/>
          </w:tcPr>
          <w:p>
            <w:pPr>
              <w:jc w:val="center"/>
              <w:rPr>
                <w:sz w:val="18"/>
                <w:szCs w:val="18"/>
              </w:rPr>
            </w:pPr>
            <w:r>
              <w:rPr>
                <w:rFonts w:hint="eastAsia"/>
                <w:sz w:val="18"/>
                <w:szCs w:val="18"/>
              </w:rPr>
              <w:t>3、5</w:t>
            </w:r>
          </w:p>
        </w:tc>
      </w:tr>
    </w:tbl>
    <w:p>
      <w:pPr>
        <w:spacing w:before="120" w:beforeLines="50" w:line="360" w:lineRule="auto"/>
        <w:ind w:firstLine="420" w:firstLineChars="200"/>
        <w:rPr>
          <w:color w:val="000000"/>
          <w:sz w:val="24"/>
          <w:szCs w:val="24"/>
        </w:rPr>
        <w:sectPr>
          <w:footerReference r:id="rId81" w:type="default"/>
          <w:pgSz w:w="11906" w:h="16838"/>
          <w:pgMar w:top="1440" w:right="1797" w:bottom="1440" w:left="1797" w:header="851" w:footer="992" w:gutter="0"/>
          <w:pgNumType w:fmt="decimal"/>
          <w:cols w:space="425" w:num="1"/>
          <w:docGrid w:linePitch="312" w:charSpace="0"/>
        </w:sectPr>
      </w:pPr>
      <w:r>
        <w:rPr>
          <w:rFonts w:hint="eastAsia" w:ascii="宋体" w:hAnsi="宋体" w:cs="宋体"/>
          <w:szCs w:val="21"/>
        </w:rPr>
        <w:t>本课程不可以申请免修。</w:t>
      </w:r>
    </w:p>
    <w:p>
      <w:pPr>
        <w:tabs>
          <w:tab w:val="left" w:pos="420"/>
        </w:tabs>
        <w:adjustRightInd w:val="0"/>
        <w:snapToGrid w:val="0"/>
        <w:spacing w:line="360" w:lineRule="auto"/>
        <w:ind w:left="420" w:hanging="420"/>
        <w:rPr>
          <w:rFonts w:eastAsia="黑体"/>
          <w:szCs w:val="24"/>
        </w:rPr>
      </w:pPr>
      <w:r>
        <w:rPr>
          <w:rFonts w:hint="eastAsia" w:eastAsia="黑体"/>
          <w:szCs w:val="24"/>
        </w:rPr>
        <w:t>十、课程目标达成评价</w:t>
      </w:r>
    </w:p>
    <w:p>
      <w:pPr>
        <w:spacing w:line="360" w:lineRule="auto"/>
        <w:ind w:firstLine="420" w:firstLineChars="200"/>
        <w:jc w:val="center"/>
      </w:pPr>
      <w:r>
        <w:rPr>
          <w:rFonts w:hint="eastAsia"/>
        </w:rPr>
        <w:t>各环节对课程目标达成评价所使用到的权重占比分配及考核权重分配</w:t>
      </w:r>
    </w:p>
    <w:tbl>
      <w:tblPr>
        <w:tblStyle w:val="19"/>
        <w:tblW w:w="5000" w:type="pct"/>
        <w:jc w:val="center"/>
        <w:tblLayout w:type="autofit"/>
        <w:tblCellMar>
          <w:top w:w="0" w:type="dxa"/>
          <w:left w:w="108" w:type="dxa"/>
          <w:bottom w:w="0" w:type="dxa"/>
          <w:right w:w="108" w:type="dxa"/>
        </w:tblCellMar>
      </w:tblPr>
      <w:tblGrid>
        <w:gridCol w:w="583"/>
        <w:gridCol w:w="958"/>
        <w:gridCol w:w="2132"/>
        <w:gridCol w:w="2135"/>
        <w:gridCol w:w="2217"/>
        <w:gridCol w:w="2217"/>
        <w:gridCol w:w="1965"/>
        <w:gridCol w:w="1967"/>
      </w:tblGrid>
      <w:tr>
        <w:tblPrEx>
          <w:tblCellMar>
            <w:top w:w="0" w:type="dxa"/>
            <w:left w:w="108" w:type="dxa"/>
            <w:bottom w:w="0" w:type="dxa"/>
            <w:right w:w="108" w:type="dxa"/>
          </w:tblCellMar>
        </w:tblPrEx>
        <w:trPr>
          <w:trHeight w:val="1015" w:hRule="atLeast"/>
          <w:jc w:val="center"/>
        </w:trPr>
        <w:tc>
          <w:tcPr>
            <w:tcW w:w="2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课程目标</w:t>
            </w:r>
          </w:p>
        </w:tc>
        <w:tc>
          <w:tcPr>
            <w:tcW w:w="3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知识面比例</w:t>
            </w:r>
          </w:p>
          <w:p>
            <w:pPr>
              <w:widowControl/>
              <w:jc w:val="center"/>
              <w:rPr>
                <w:rFonts w:ascii="宋体" w:hAnsi="宋体" w:cs="宋体"/>
                <w:kern w:val="0"/>
                <w:sz w:val="18"/>
                <w:szCs w:val="18"/>
              </w:rPr>
            </w:pPr>
            <w:r>
              <w:rPr>
                <w:rFonts w:hint="eastAsia" w:ascii="宋体" w:hAnsi="宋体" w:cs="宋体"/>
                <w:kern w:val="0"/>
                <w:sz w:val="18"/>
                <w:szCs w:val="18"/>
              </w:rPr>
              <w:t>（本列总和为1）</w:t>
            </w:r>
          </w:p>
          <w:p>
            <w:pPr>
              <w:widowControl/>
              <w:jc w:val="center"/>
              <w:rPr>
                <w:rFonts w:ascii="宋体" w:hAnsi="宋体" w:cs="宋体"/>
                <w:i/>
                <w:kern w:val="0"/>
                <w:sz w:val="18"/>
                <w:szCs w:val="18"/>
              </w:rPr>
            </w:pPr>
            <w:r>
              <w:rPr>
                <w:rFonts w:ascii="宋体" w:hAnsi="宋体" w:cs="宋体"/>
                <w:i/>
                <w:kern w:val="0"/>
                <w:sz w:val="18"/>
                <w:szCs w:val="18"/>
              </w:rPr>
              <w:t>P</w:t>
            </w:r>
            <w:r>
              <w:rPr>
                <w:rFonts w:ascii="宋体" w:hAnsi="宋体" w:cs="宋体"/>
                <w:i/>
                <w:kern w:val="0"/>
                <w:sz w:val="18"/>
                <w:szCs w:val="18"/>
                <w:vertAlign w:val="subscript"/>
              </w:rPr>
              <w:t>i</w:t>
            </w:r>
          </w:p>
        </w:tc>
        <w:tc>
          <w:tcPr>
            <w:tcW w:w="150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18"/>
                <w:szCs w:val="18"/>
              </w:rPr>
            </w:pPr>
            <w:r>
              <w:rPr>
                <w:rFonts w:hint="eastAsia" w:ascii="宋体" w:hAnsi="宋体"/>
                <w:sz w:val="18"/>
                <w:szCs w:val="18"/>
              </w:rPr>
              <w:t>各环节评价比例分配</w:t>
            </w:r>
            <w:r>
              <w:rPr>
                <w:rFonts w:hint="eastAsia" w:ascii="宋体" w:hAnsi="宋体"/>
                <w:sz w:val="18"/>
                <w:szCs w:val="18"/>
              </w:rPr>
              <w:br w:type="textWrapping"/>
            </w:r>
            <w:r>
              <w:rPr>
                <w:rFonts w:hint="eastAsia" w:ascii="宋体" w:hAnsi="宋体"/>
                <w:sz w:val="18"/>
                <w:szCs w:val="18"/>
              </w:rPr>
              <w:t>（每行总和为1）</w:t>
            </w:r>
            <w:r>
              <w:rPr>
                <w:rFonts w:hint="eastAsia" w:ascii="宋体" w:hAnsi="宋体"/>
                <w:sz w:val="18"/>
                <w:szCs w:val="18"/>
              </w:rPr>
              <w:br w:type="textWrapping"/>
            </w:r>
            <w:r>
              <w:rPr>
                <w:rFonts w:hint="eastAsia" w:ascii="宋体" w:hAnsi="宋体"/>
                <w:i/>
                <w:sz w:val="18"/>
                <w:szCs w:val="18"/>
              </w:rPr>
              <w:t>W</w:t>
            </w:r>
            <w:r>
              <w:rPr>
                <w:rFonts w:hint="eastAsia" w:ascii="宋体" w:hAnsi="宋体"/>
                <w:i/>
                <w:sz w:val="18"/>
                <w:szCs w:val="18"/>
                <w:vertAlign w:val="subscript"/>
              </w:rPr>
              <w:t>ik</w:t>
            </w:r>
          </w:p>
        </w:tc>
        <w:tc>
          <w:tcPr>
            <w:tcW w:w="1564" w:type="pct"/>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各环节在课程达成中的占比</w:t>
            </w:r>
            <w:r>
              <w:rPr>
                <w:rFonts w:hint="eastAsia" w:ascii="宋体" w:hAnsi="宋体"/>
                <w:sz w:val="18"/>
                <w:szCs w:val="18"/>
              </w:rPr>
              <w:br w:type="textWrapping"/>
            </w:r>
            <w:r>
              <w:rPr>
                <w:rFonts w:hint="eastAsia" w:ascii="宋体" w:hAnsi="宋体"/>
                <w:sz w:val="18"/>
                <w:szCs w:val="18"/>
              </w:rPr>
              <w:t>（所有行列总和为1）</w:t>
            </w:r>
            <w:r>
              <w:rPr>
                <w:rFonts w:hint="eastAsia" w:ascii="宋体" w:hAnsi="宋体"/>
                <w:sz w:val="18"/>
                <w:szCs w:val="18"/>
              </w:rPr>
              <w:br w:type="textWrapping"/>
            </w:r>
            <w:r>
              <w:rPr>
                <w:rFonts w:hint="eastAsia" w:ascii="宋体" w:hAnsi="宋体"/>
                <w:i/>
                <w:sz w:val="18"/>
                <w:szCs w:val="18"/>
              </w:rPr>
              <w:t>S</w:t>
            </w:r>
            <w:r>
              <w:rPr>
                <w:rFonts w:hint="eastAsia" w:ascii="宋体" w:hAnsi="宋体"/>
                <w:i/>
                <w:sz w:val="18"/>
                <w:szCs w:val="18"/>
                <w:vertAlign w:val="subscript"/>
              </w:rPr>
              <w:t>ik</w:t>
            </w:r>
            <w:r>
              <w:rPr>
                <w:rFonts w:hint="eastAsia" w:ascii="宋体" w:hAnsi="宋体"/>
                <w:i/>
                <w:sz w:val="18"/>
                <w:szCs w:val="18"/>
              </w:rPr>
              <w:t>=P</w:t>
            </w:r>
            <w:r>
              <w:rPr>
                <w:rFonts w:hint="eastAsia" w:ascii="宋体" w:hAnsi="宋体"/>
                <w:i/>
                <w:sz w:val="18"/>
                <w:szCs w:val="18"/>
                <w:vertAlign w:val="subscript"/>
              </w:rPr>
              <w:t>i</w:t>
            </w:r>
            <w:r>
              <w:rPr>
                <w:rFonts w:hint="eastAsia" w:ascii="宋体" w:hAnsi="宋体"/>
                <w:i/>
                <w:sz w:val="18"/>
                <w:szCs w:val="18"/>
              </w:rPr>
              <w:t>*W</w:t>
            </w:r>
            <w:r>
              <w:rPr>
                <w:rFonts w:hint="eastAsia" w:ascii="宋体" w:hAnsi="宋体"/>
                <w:i/>
                <w:sz w:val="18"/>
                <w:szCs w:val="18"/>
                <w:vertAlign w:val="subscript"/>
              </w:rPr>
              <w:t>ik</w:t>
            </w:r>
          </w:p>
        </w:tc>
        <w:tc>
          <w:tcPr>
            <w:tcW w:w="138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各环节课程目标考核权重分布</w:t>
            </w:r>
          </w:p>
          <w:p>
            <w:pPr>
              <w:jc w:val="center"/>
              <w:rPr>
                <w:rFonts w:ascii="宋体" w:hAnsi="宋体"/>
                <w:sz w:val="18"/>
                <w:szCs w:val="18"/>
              </w:rPr>
            </w:pPr>
            <w:r>
              <w:rPr>
                <w:rFonts w:ascii="宋体" w:hAnsi="宋体"/>
                <w:sz w:val="18"/>
                <w:szCs w:val="18"/>
              </w:rPr>
              <w:t>（每一列总和为</w:t>
            </w:r>
            <w:r>
              <w:rPr>
                <w:rFonts w:hint="eastAsia" w:ascii="宋体" w:hAnsi="宋体"/>
                <w:sz w:val="18"/>
                <w:szCs w:val="18"/>
              </w:rPr>
              <w:t>1</w:t>
            </w:r>
            <w:r>
              <w:rPr>
                <w:rFonts w:ascii="宋体" w:hAnsi="宋体"/>
                <w:sz w:val="18"/>
                <w:szCs w:val="18"/>
              </w:rPr>
              <w:t>）</w:t>
            </w:r>
          </w:p>
          <w:p>
            <w:pPr>
              <w:jc w:val="center"/>
              <w:rPr>
                <w:rFonts w:ascii="宋体" w:hAnsi="宋体"/>
                <w:i/>
                <w:sz w:val="18"/>
                <w:szCs w:val="18"/>
              </w:rPr>
            </w:pPr>
            <w:r>
              <w:rPr>
                <w:rFonts w:hint="eastAsia" w:ascii="宋体" w:hAnsi="宋体"/>
                <w:i/>
                <w:sz w:val="18"/>
                <w:szCs w:val="18"/>
              </w:rPr>
              <w:t>E</w:t>
            </w:r>
            <w:r>
              <w:rPr>
                <w:rFonts w:hint="eastAsia" w:ascii="宋体" w:hAnsi="宋体"/>
                <w:i/>
                <w:sz w:val="18"/>
                <w:szCs w:val="18"/>
                <w:vertAlign w:val="subscript"/>
              </w:rPr>
              <w:t>ik</w:t>
            </w:r>
            <w:r>
              <w:rPr>
                <w:rFonts w:hint="eastAsia" w:ascii="宋体" w:hAnsi="宋体"/>
                <w:i/>
                <w:sz w:val="18"/>
                <w:szCs w:val="18"/>
              </w:rPr>
              <w:t>=</w:t>
            </w:r>
            <w:r>
              <w:rPr>
                <w:rFonts w:ascii="宋体" w:hAnsi="宋体"/>
                <w:i/>
                <w:sz w:val="18"/>
                <w:szCs w:val="18"/>
              </w:rPr>
              <w:t>S</w:t>
            </w:r>
            <w:r>
              <w:rPr>
                <w:rFonts w:ascii="宋体" w:hAnsi="宋体"/>
                <w:i/>
                <w:sz w:val="18"/>
                <w:szCs w:val="18"/>
                <w:vertAlign w:val="subscript"/>
              </w:rPr>
              <w:t>ik</w:t>
            </w:r>
            <w:r>
              <w:rPr>
                <w:rFonts w:ascii="宋体" w:hAnsi="宋体"/>
                <w:i/>
                <w:sz w:val="18"/>
                <w:szCs w:val="18"/>
              </w:rPr>
              <w:t>/M</w:t>
            </w:r>
            <w:r>
              <w:rPr>
                <w:rFonts w:ascii="宋体" w:hAnsi="宋体"/>
                <w:i/>
                <w:sz w:val="18"/>
                <w:szCs w:val="18"/>
                <w:vertAlign w:val="subscript"/>
              </w:rPr>
              <w:t>ik</w:t>
            </w:r>
          </w:p>
        </w:tc>
      </w:tr>
      <w:tr>
        <w:tblPrEx>
          <w:tblCellMar>
            <w:top w:w="0" w:type="dxa"/>
            <w:left w:w="108" w:type="dxa"/>
            <w:bottom w:w="0" w:type="dxa"/>
            <w:right w:w="108" w:type="dxa"/>
          </w:tblCellMar>
        </w:tblPrEx>
        <w:trPr>
          <w:trHeight w:val="986" w:hRule="atLeast"/>
          <w:jc w:val="center"/>
        </w:trPr>
        <w:tc>
          <w:tcPr>
            <w:tcW w:w="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3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7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作业</w:t>
            </w:r>
          </w:p>
        </w:tc>
        <w:tc>
          <w:tcPr>
            <w:tcW w:w="7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报告</w:t>
            </w:r>
          </w:p>
        </w:tc>
        <w:tc>
          <w:tcPr>
            <w:tcW w:w="7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作业</w:t>
            </w:r>
          </w:p>
        </w:tc>
        <w:tc>
          <w:tcPr>
            <w:tcW w:w="7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报告</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作业</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报告</w:t>
            </w:r>
          </w:p>
        </w:tc>
      </w:tr>
      <w:tr>
        <w:tblPrEx>
          <w:tblCellMar>
            <w:top w:w="0" w:type="dxa"/>
            <w:left w:w="108" w:type="dxa"/>
            <w:bottom w:w="0" w:type="dxa"/>
            <w:right w:w="108" w:type="dxa"/>
          </w:tblCellMar>
        </w:tblPrEx>
        <w:trPr>
          <w:trHeight w:val="702" w:hRule="atLeast"/>
          <w:jc w:val="center"/>
        </w:trPr>
        <w:tc>
          <w:tcPr>
            <w:tcW w:w="206" w:type="pct"/>
            <w:tcBorders>
              <w:top w:val="nil"/>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1</w:t>
            </w:r>
          </w:p>
        </w:tc>
        <w:tc>
          <w:tcPr>
            <w:tcW w:w="338"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Cs/>
                <w:sz w:val="18"/>
                <w:szCs w:val="18"/>
              </w:rPr>
            </w:pPr>
            <w:r>
              <w:rPr>
                <w:bCs/>
                <w:sz w:val="18"/>
                <w:szCs w:val="18"/>
              </w:rPr>
              <w:t>0.</w:t>
            </w:r>
            <w:r>
              <w:rPr>
                <w:rFonts w:hint="eastAsia"/>
                <w:bCs/>
                <w:sz w:val="18"/>
                <w:szCs w:val="18"/>
              </w:rPr>
              <w:t>20</w:t>
            </w:r>
          </w:p>
        </w:tc>
        <w:tc>
          <w:tcPr>
            <w:tcW w:w="752"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rFonts w:hint="eastAsia"/>
                <w:bCs/>
                <w:sz w:val="18"/>
                <w:szCs w:val="18"/>
              </w:rPr>
              <w:t>0.8</w:t>
            </w:r>
          </w:p>
        </w:tc>
        <w:tc>
          <w:tcPr>
            <w:tcW w:w="752"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rFonts w:hint="eastAsia"/>
                <w:bCs/>
                <w:sz w:val="18"/>
                <w:szCs w:val="18"/>
              </w:rPr>
              <w:t>0.2</w:t>
            </w:r>
          </w:p>
        </w:tc>
        <w:tc>
          <w:tcPr>
            <w:tcW w:w="782"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0.16</w:t>
            </w:r>
          </w:p>
        </w:tc>
        <w:tc>
          <w:tcPr>
            <w:tcW w:w="782"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0.04</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0.31</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0.08</w:t>
            </w:r>
          </w:p>
        </w:tc>
      </w:tr>
      <w:tr>
        <w:tblPrEx>
          <w:tblCellMar>
            <w:top w:w="0" w:type="dxa"/>
            <w:left w:w="108" w:type="dxa"/>
            <w:bottom w:w="0" w:type="dxa"/>
            <w:right w:w="108" w:type="dxa"/>
          </w:tblCellMar>
        </w:tblPrEx>
        <w:trPr>
          <w:trHeight w:val="694" w:hRule="atLeast"/>
          <w:jc w:val="center"/>
        </w:trPr>
        <w:tc>
          <w:tcPr>
            <w:tcW w:w="206" w:type="pct"/>
            <w:tcBorders>
              <w:top w:val="nil"/>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2</w:t>
            </w:r>
          </w:p>
        </w:tc>
        <w:tc>
          <w:tcPr>
            <w:tcW w:w="338" w:type="pct"/>
            <w:tcBorders>
              <w:top w:val="nil"/>
              <w:left w:val="single" w:color="auto" w:sz="4" w:space="0"/>
              <w:bottom w:val="single" w:color="auto" w:sz="4" w:space="0"/>
              <w:right w:val="single" w:color="auto" w:sz="4" w:space="0"/>
            </w:tcBorders>
            <w:shd w:val="clear" w:color="auto" w:fill="auto"/>
            <w:noWrap/>
            <w:vAlign w:val="center"/>
          </w:tcPr>
          <w:p>
            <w:pPr>
              <w:jc w:val="center"/>
              <w:rPr>
                <w:bCs/>
                <w:sz w:val="18"/>
                <w:szCs w:val="18"/>
              </w:rPr>
            </w:pPr>
            <w:r>
              <w:rPr>
                <w:bCs/>
                <w:sz w:val="18"/>
                <w:szCs w:val="18"/>
              </w:rPr>
              <w:t>0.</w:t>
            </w:r>
            <w:r>
              <w:rPr>
                <w:rFonts w:hint="eastAsia"/>
                <w:bCs/>
                <w:sz w:val="18"/>
                <w:szCs w:val="18"/>
              </w:rPr>
              <w:t>20</w:t>
            </w:r>
          </w:p>
        </w:tc>
        <w:tc>
          <w:tcPr>
            <w:tcW w:w="752"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rFonts w:hint="eastAsia"/>
                <w:bCs/>
                <w:sz w:val="18"/>
                <w:szCs w:val="18"/>
              </w:rPr>
              <w:t>0.4</w:t>
            </w:r>
          </w:p>
        </w:tc>
        <w:tc>
          <w:tcPr>
            <w:tcW w:w="752"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rFonts w:hint="eastAsia"/>
                <w:bCs/>
                <w:sz w:val="18"/>
                <w:szCs w:val="18"/>
              </w:rPr>
              <w:t>0.6</w:t>
            </w:r>
          </w:p>
        </w:tc>
        <w:tc>
          <w:tcPr>
            <w:tcW w:w="782"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0.08</w:t>
            </w:r>
          </w:p>
        </w:tc>
        <w:tc>
          <w:tcPr>
            <w:tcW w:w="782"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0.12</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0.16</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0.25</w:t>
            </w:r>
          </w:p>
        </w:tc>
      </w:tr>
      <w:tr>
        <w:tblPrEx>
          <w:tblCellMar>
            <w:top w:w="0" w:type="dxa"/>
            <w:left w:w="108" w:type="dxa"/>
            <w:bottom w:w="0" w:type="dxa"/>
            <w:right w:w="108" w:type="dxa"/>
          </w:tblCellMar>
        </w:tblPrEx>
        <w:trPr>
          <w:trHeight w:val="694" w:hRule="atLeast"/>
          <w:jc w:val="center"/>
        </w:trPr>
        <w:tc>
          <w:tcPr>
            <w:tcW w:w="206" w:type="pct"/>
            <w:tcBorders>
              <w:top w:val="nil"/>
              <w:left w:val="single" w:color="auto" w:sz="4" w:space="0"/>
              <w:bottom w:val="single" w:color="auto" w:sz="4" w:space="0"/>
              <w:right w:val="single" w:color="auto" w:sz="4" w:space="0"/>
            </w:tcBorders>
            <w:shd w:val="clear" w:color="auto" w:fill="auto"/>
            <w:vAlign w:val="center"/>
          </w:tcPr>
          <w:p>
            <w:pPr>
              <w:jc w:val="center"/>
              <w:rPr>
                <w:bCs/>
                <w:sz w:val="18"/>
                <w:szCs w:val="18"/>
              </w:rPr>
            </w:pPr>
            <w:r>
              <w:rPr>
                <w:rFonts w:hint="eastAsia"/>
                <w:bCs/>
                <w:sz w:val="18"/>
                <w:szCs w:val="18"/>
              </w:rPr>
              <w:t>3</w:t>
            </w:r>
          </w:p>
        </w:tc>
        <w:tc>
          <w:tcPr>
            <w:tcW w:w="338" w:type="pct"/>
            <w:tcBorders>
              <w:top w:val="nil"/>
              <w:left w:val="single" w:color="auto" w:sz="4" w:space="0"/>
              <w:bottom w:val="single" w:color="auto" w:sz="4" w:space="0"/>
              <w:right w:val="single" w:color="auto" w:sz="4" w:space="0"/>
            </w:tcBorders>
            <w:shd w:val="clear" w:color="auto" w:fill="auto"/>
            <w:noWrap/>
            <w:vAlign w:val="center"/>
          </w:tcPr>
          <w:p>
            <w:pPr>
              <w:jc w:val="center"/>
              <w:rPr>
                <w:bCs/>
                <w:sz w:val="18"/>
                <w:szCs w:val="18"/>
              </w:rPr>
            </w:pPr>
            <w:r>
              <w:rPr>
                <w:rFonts w:hint="eastAsia"/>
                <w:bCs/>
                <w:sz w:val="18"/>
                <w:szCs w:val="18"/>
              </w:rPr>
              <w:t>0.30</w:t>
            </w:r>
          </w:p>
        </w:tc>
        <w:tc>
          <w:tcPr>
            <w:tcW w:w="752"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rFonts w:hint="eastAsia"/>
                <w:bCs/>
                <w:sz w:val="18"/>
                <w:szCs w:val="18"/>
              </w:rPr>
              <w:t>0.5</w:t>
            </w:r>
          </w:p>
        </w:tc>
        <w:tc>
          <w:tcPr>
            <w:tcW w:w="752"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rFonts w:hint="eastAsia"/>
                <w:bCs/>
                <w:sz w:val="18"/>
                <w:szCs w:val="18"/>
              </w:rPr>
              <w:t>0.5</w:t>
            </w:r>
          </w:p>
        </w:tc>
        <w:tc>
          <w:tcPr>
            <w:tcW w:w="782"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0.15</w:t>
            </w:r>
          </w:p>
        </w:tc>
        <w:tc>
          <w:tcPr>
            <w:tcW w:w="782"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0.15</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0.29</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0.31</w:t>
            </w:r>
          </w:p>
        </w:tc>
      </w:tr>
      <w:tr>
        <w:tblPrEx>
          <w:tblCellMar>
            <w:top w:w="0" w:type="dxa"/>
            <w:left w:w="108" w:type="dxa"/>
            <w:bottom w:w="0" w:type="dxa"/>
            <w:right w:w="108" w:type="dxa"/>
          </w:tblCellMar>
        </w:tblPrEx>
        <w:trPr>
          <w:trHeight w:val="694" w:hRule="atLeast"/>
          <w:jc w:val="center"/>
        </w:trPr>
        <w:tc>
          <w:tcPr>
            <w:tcW w:w="206" w:type="pct"/>
            <w:tcBorders>
              <w:top w:val="nil"/>
              <w:left w:val="single" w:color="auto" w:sz="4" w:space="0"/>
              <w:bottom w:val="single" w:color="auto" w:sz="4" w:space="0"/>
              <w:right w:val="single" w:color="auto" w:sz="4" w:space="0"/>
            </w:tcBorders>
            <w:shd w:val="clear" w:color="auto" w:fill="auto"/>
            <w:vAlign w:val="center"/>
          </w:tcPr>
          <w:p>
            <w:pPr>
              <w:jc w:val="center"/>
              <w:rPr>
                <w:bCs/>
                <w:sz w:val="18"/>
                <w:szCs w:val="18"/>
              </w:rPr>
            </w:pPr>
            <w:r>
              <w:rPr>
                <w:rFonts w:hint="eastAsia"/>
                <w:bCs/>
                <w:sz w:val="18"/>
                <w:szCs w:val="18"/>
              </w:rPr>
              <w:t>4</w:t>
            </w:r>
          </w:p>
        </w:tc>
        <w:tc>
          <w:tcPr>
            <w:tcW w:w="338" w:type="pct"/>
            <w:tcBorders>
              <w:top w:val="nil"/>
              <w:left w:val="single" w:color="auto" w:sz="4" w:space="0"/>
              <w:bottom w:val="single" w:color="auto" w:sz="4" w:space="0"/>
              <w:right w:val="single" w:color="auto" w:sz="4" w:space="0"/>
            </w:tcBorders>
            <w:shd w:val="clear" w:color="auto" w:fill="auto"/>
            <w:noWrap/>
            <w:vAlign w:val="center"/>
          </w:tcPr>
          <w:p>
            <w:pPr>
              <w:jc w:val="center"/>
              <w:rPr>
                <w:bCs/>
                <w:sz w:val="18"/>
                <w:szCs w:val="18"/>
              </w:rPr>
            </w:pPr>
            <w:r>
              <w:rPr>
                <w:rFonts w:hint="eastAsia"/>
                <w:bCs/>
                <w:sz w:val="18"/>
                <w:szCs w:val="18"/>
              </w:rPr>
              <w:t>0.15</w:t>
            </w:r>
          </w:p>
        </w:tc>
        <w:tc>
          <w:tcPr>
            <w:tcW w:w="752"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rFonts w:hint="eastAsia"/>
                <w:bCs/>
                <w:sz w:val="18"/>
                <w:szCs w:val="18"/>
              </w:rPr>
              <w:t>0.4</w:t>
            </w:r>
          </w:p>
        </w:tc>
        <w:tc>
          <w:tcPr>
            <w:tcW w:w="752"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rFonts w:hint="eastAsia"/>
                <w:bCs/>
                <w:sz w:val="18"/>
                <w:szCs w:val="18"/>
              </w:rPr>
              <w:t>0.6</w:t>
            </w:r>
          </w:p>
        </w:tc>
        <w:tc>
          <w:tcPr>
            <w:tcW w:w="782"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rFonts w:hint="eastAsia"/>
                <w:bCs/>
                <w:sz w:val="18"/>
                <w:szCs w:val="18"/>
              </w:rPr>
              <w:t>0.06</w:t>
            </w:r>
          </w:p>
        </w:tc>
        <w:tc>
          <w:tcPr>
            <w:tcW w:w="782"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rFonts w:hint="eastAsia"/>
                <w:bCs/>
                <w:sz w:val="18"/>
                <w:szCs w:val="18"/>
              </w:rPr>
              <w:t>0.09</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rFonts w:hint="eastAsia"/>
                <w:bCs/>
                <w:sz w:val="18"/>
                <w:szCs w:val="18"/>
              </w:rPr>
              <w:t>0.12</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rFonts w:hint="eastAsia"/>
                <w:bCs/>
                <w:sz w:val="18"/>
                <w:szCs w:val="18"/>
              </w:rPr>
              <w:t>0.18</w:t>
            </w:r>
          </w:p>
        </w:tc>
      </w:tr>
      <w:tr>
        <w:tblPrEx>
          <w:tblCellMar>
            <w:top w:w="0" w:type="dxa"/>
            <w:left w:w="108" w:type="dxa"/>
            <w:bottom w:w="0" w:type="dxa"/>
            <w:right w:w="108" w:type="dxa"/>
          </w:tblCellMar>
        </w:tblPrEx>
        <w:trPr>
          <w:trHeight w:val="694" w:hRule="atLeast"/>
          <w:jc w:val="center"/>
        </w:trPr>
        <w:tc>
          <w:tcPr>
            <w:tcW w:w="206" w:type="pct"/>
            <w:tcBorders>
              <w:top w:val="nil"/>
              <w:left w:val="single" w:color="auto" w:sz="4" w:space="0"/>
              <w:bottom w:val="single" w:color="auto" w:sz="4" w:space="0"/>
              <w:right w:val="single" w:color="auto" w:sz="4" w:space="0"/>
            </w:tcBorders>
            <w:shd w:val="clear" w:color="auto" w:fill="auto"/>
            <w:vAlign w:val="center"/>
          </w:tcPr>
          <w:p>
            <w:pPr>
              <w:jc w:val="center"/>
              <w:rPr>
                <w:bCs/>
                <w:sz w:val="18"/>
                <w:szCs w:val="18"/>
              </w:rPr>
            </w:pPr>
            <w:r>
              <w:rPr>
                <w:rFonts w:hint="eastAsia"/>
                <w:bCs/>
                <w:sz w:val="18"/>
                <w:szCs w:val="18"/>
              </w:rPr>
              <w:t>5</w:t>
            </w:r>
          </w:p>
        </w:tc>
        <w:tc>
          <w:tcPr>
            <w:tcW w:w="338" w:type="pct"/>
            <w:tcBorders>
              <w:top w:val="nil"/>
              <w:left w:val="single" w:color="auto" w:sz="4" w:space="0"/>
              <w:bottom w:val="single" w:color="auto" w:sz="4" w:space="0"/>
              <w:right w:val="single" w:color="auto" w:sz="4" w:space="0"/>
            </w:tcBorders>
            <w:shd w:val="clear" w:color="auto" w:fill="auto"/>
            <w:noWrap/>
            <w:vAlign w:val="center"/>
          </w:tcPr>
          <w:p>
            <w:pPr>
              <w:jc w:val="center"/>
              <w:rPr>
                <w:bCs/>
                <w:sz w:val="18"/>
                <w:szCs w:val="18"/>
              </w:rPr>
            </w:pPr>
            <w:r>
              <w:rPr>
                <w:rFonts w:hint="eastAsia"/>
                <w:bCs/>
                <w:sz w:val="18"/>
                <w:szCs w:val="18"/>
              </w:rPr>
              <w:t>0.15</w:t>
            </w:r>
          </w:p>
        </w:tc>
        <w:tc>
          <w:tcPr>
            <w:tcW w:w="752"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rFonts w:hint="eastAsia"/>
                <w:bCs/>
                <w:sz w:val="18"/>
                <w:szCs w:val="18"/>
              </w:rPr>
              <w:t>0.4</w:t>
            </w:r>
          </w:p>
        </w:tc>
        <w:tc>
          <w:tcPr>
            <w:tcW w:w="752"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rFonts w:hint="eastAsia"/>
                <w:bCs/>
                <w:sz w:val="18"/>
                <w:szCs w:val="18"/>
              </w:rPr>
              <w:t>0.6</w:t>
            </w:r>
          </w:p>
        </w:tc>
        <w:tc>
          <w:tcPr>
            <w:tcW w:w="782"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rFonts w:hint="eastAsia"/>
                <w:bCs/>
                <w:sz w:val="18"/>
                <w:szCs w:val="18"/>
              </w:rPr>
              <w:t>0.06</w:t>
            </w:r>
          </w:p>
        </w:tc>
        <w:tc>
          <w:tcPr>
            <w:tcW w:w="782"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rFonts w:hint="eastAsia"/>
                <w:bCs/>
                <w:sz w:val="18"/>
                <w:szCs w:val="18"/>
              </w:rPr>
              <w:t>0.09</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rFonts w:hint="eastAsia"/>
                <w:bCs/>
                <w:sz w:val="18"/>
                <w:szCs w:val="18"/>
              </w:rPr>
              <w:t>0.12</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rFonts w:hint="eastAsia"/>
                <w:bCs/>
                <w:sz w:val="18"/>
                <w:szCs w:val="18"/>
              </w:rPr>
              <w:t>0.18</w:t>
            </w:r>
          </w:p>
        </w:tc>
      </w:tr>
      <w:tr>
        <w:tblPrEx>
          <w:tblCellMar>
            <w:top w:w="0" w:type="dxa"/>
            <w:left w:w="108" w:type="dxa"/>
            <w:bottom w:w="0" w:type="dxa"/>
            <w:right w:w="108" w:type="dxa"/>
          </w:tblCellMar>
        </w:tblPrEx>
        <w:trPr>
          <w:trHeight w:val="1026" w:hRule="atLeast"/>
          <w:jc w:val="center"/>
        </w:trPr>
        <w:tc>
          <w:tcPr>
            <w:tcW w:w="2049" w:type="pct"/>
            <w:gridSpan w:val="4"/>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bCs/>
                <w:kern w:val="0"/>
                <w:sz w:val="18"/>
                <w:szCs w:val="18"/>
              </w:rPr>
            </w:pPr>
            <w:r>
              <w:rPr>
                <w:rFonts w:hint="eastAsia" w:ascii="宋体" w:hAnsi="宋体" w:cs="宋体"/>
                <w:bCs/>
                <w:kern w:val="0"/>
                <w:sz w:val="18"/>
                <w:szCs w:val="18"/>
              </w:rPr>
              <w:t>环节对课程目标达成的贡献率（</w:t>
            </w:r>
            <w:r>
              <w:rPr>
                <w:rFonts w:hint="eastAsia" w:ascii="宋体" w:hAnsi="宋体" w:cs="宋体"/>
                <w:bCs/>
                <w:i/>
                <w:kern w:val="0"/>
                <w:sz w:val="18"/>
                <w:szCs w:val="18"/>
              </w:rPr>
              <w:t>M</w:t>
            </w:r>
            <w:r>
              <w:rPr>
                <w:rFonts w:hint="eastAsia" w:ascii="宋体" w:hAnsi="宋体" w:cs="宋体"/>
                <w:bCs/>
                <w:i/>
                <w:kern w:val="0"/>
                <w:sz w:val="18"/>
                <w:szCs w:val="18"/>
                <w:vertAlign w:val="subscript"/>
              </w:rPr>
              <w:t>k</w:t>
            </w:r>
            <w:r>
              <w:rPr>
                <w:rFonts w:hint="eastAsia" w:ascii="宋体" w:hAnsi="宋体" w:cs="宋体"/>
                <w:bCs/>
                <w:kern w:val="0"/>
                <w:sz w:val="18"/>
                <w:szCs w:val="18"/>
              </w:rPr>
              <w:t>）</w:t>
            </w:r>
          </w:p>
        </w:tc>
        <w:tc>
          <w:tcPr>
            <w:tcW w:w="78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Cs/>
                <w:sz w:val="18"/>
                <w:szCs w:val="18"/>
              </w:rPr>
            </w:pPr>
            <w:r>
              <w:rPr>
                <w:rFonts w:hint="eastAsia"/>
                <w:bCs/>
                <w:sz w:val="18"/>
                <w:szCs w:val="18"/>
              </w:rPr>
              <w:t>0.51</w:t>
            </w:r>
          </w:p>
        </w:tc>
        <w:tc>
          <w:tcPr>
            <w:tcW w:w="782"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rFonts w:hint="eastAsia"/>
                <w:bCs/>
                <w:sz w:val="18"/>
                <w:szCs w:val="18"/>
              </w:rPr>
              <w:t>0.49</w:t>
            </w:r>
          </w:p>
        </w:tc>
        <w:tc>
          <w:tcPr>
            <w:tcW w:w="138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教师出题或布置作业时</w:t>
            </w:r>
          </w:p>
          <w:p>
            <w:pPr>
              <w:jc w:val="center"/>
              <w:rPr>
                <w:bCs/>
                <w:sz w:val="18"/>
                <w:szCs w:val="18"/>
              </w:rPr>
            </w:pPr>
            <w:r>
              <w:rPr>
                <w:bCs/>
                <w:sz w:val="18"/>
                <w:szCs w:val="18"/>
              </w:rPr>
              <w:t>要尽量做到按照以上比例布局</w:t>
            </w:r>
          </w:p>
        </w:tc>
      </w:tr>
    </w:tbl>
    <w:p>
      <w:pPr>
        <w:spacing w:line="360" w:lineRule="auto"/>
        <w:jc w:val="left"/>
      </w:pPr>
    </w:p>
    <w:p>
      <w:pPr>
        <w:spacing w:line="360" w:lineRule="auto"/>
        <w:jc w:val="left"/>
      </w:pPr>
    </w:p>
    <w:p>
      <w:pPr>
        <w:spacing w:line="360" w:lineRule="auto"/>
        <w:sectPr>
          <w:pgSz w:w="16838" w:h="11906" w:orient="landscape"/>
          <w:pgMar w:top="1797" w:right="1440" w:bottom="1797" w:left="1440" w:header="851" w:footer="992" w:gutter="0"/>
          <w:pgNumType w:fmt="decimal"/>
          <w:cols w:space="425" w:num="1"/>
          <w:docGrid w:linePitch="312" w:charSpace="0"/>
        </w:sectPr>
      </w:pPr>
    </w:p>
    <w:p>
      <w:pPr>
        <w:adjustRightInd w:val="0"/>
        <w:snapToGrid w:val="0"/>
        <w:spacing w:line="360" w:lineRule="auto"/>
        <w:ind w:firstLine="420" w:firstLineChars="200"/>
        <w:rPr>
          <w:szCs w:val="21"/>
        </w:rPr>
      </w:pPr>
      <w:bookmarkStart w:id="28" w:name="_Toc498689406"/>
      <w:r>
        <w:rPr>
          <w:rFonts w:hint="eastAsia"/>
          <w:szCs w:val="21"/>
        </w:rPr>
        <w:t>采用达成值计算法，辅以对学生的问卷调查法。</w:t>
      </w:r>
    </w:p>
    <w:p>
      <w:pPr>
        <w:adjustRightInd w:val="0"/>
        <w:snapToGrid w:val="0"/>
        <w:spacing w:line="360" w:lineRule="auto"/>
        <w:ind w:firstLine="422" w:firstLineChars="200"/>
        <w:rPr>
          <w:b/>
          <w:bCs/>
          <w:szCs w:val="21"/>
        </w:rPr>
      </w:pPr>
      <w:r>
        <w:rPr>
          <w:rFonts w:hint="eastAsia"/>
          <w:b/>
          <w:bCs/>
          <w:szCs w:val="21"/>
        </w:rPr>
        <w:t>课程目标定量评价：</w:t>
      </w:r>
    </w:p>
    <w:p>
      <w:pPr>
        <w:adjustRightInd w:val="0"/>
        <w:snapToGrid w:val="0"/>
        <w:spacing w:line="360" w:lineRule="auto"/>
        <w:ind w:firstLine="420" w:firstLineChars="200"/>
        <w:rPr>
          <w:szCs w:val="21"/>
        </w:rPr>
      </w:pPr>
      <w:r>
        <w:rPr>
          <w:szCs w:val="21"/>
        </w:rPr>
        <w:t>达成值计算法结合上表权重分配，采用</w:t>
      </w:r>
      <w:r>
        <w:rPr>
          <w:rFonts w:hint="eastAsia"/>
          <w:szCs w:val="21"/>
        </w:rPr>
        <w:t>下表进行计算。</w:t>
      </w:r>
    </w:p>
    <w:p>
      <w:pPr>
        <w:adjustRightInd w:val="0"/>
        <w:snapToGrid w:val="0"/>
        <w:spacing w:line="360" w:lineRule="auto"/>
        <w:ind w:firstLine="420" w:firstLineChars="200"/>
        <w:rPr>
          <w:szCs w:val="21"/>
        </w:rPr>
      </w:pPr>
      <w:r>
        <w:rPr>
          <w:szCs w:val="21"/>
        </w:rPr>
        <w:t>单一课程目标达成度评价采用下式：</w:t>
      </w:r>
    </w:p>
    <w:p>
      <w:pPr>
        <w:adjustRightInd w:val="0"/>
        <w:snapToGrid w:val="0"/>
        <w:spacing w:line="360" w:lineRule="auto"/>
        <w:ind w:firstLine="420" w:firstLineChars="200"/>
        <w:rPr>
          <w:szCs w:val="21"/>
        </w:rPr>
      </w:pPr>
      <w:r>
        <w:rPr>
          <w:position w:val="-30"/>
          <w:szCs w:val="21"/>
        </w:rPr>
        <w:object>
          <v:shape id="_x0000_i1115" o:spt="75" type="#_x0000_t75" style="height:36pt;width:165.5pt;" o:ole="t" filled="f" o:preferrelative="t" stroked="f" coordsize="21600,21600">
            <v:path/>
            <v:fill on="f" focussize="0,0"/>
            <v:stroke on="f" joinstyle="miter"/>
            <v:imagedata r:id="rId145" o:title=""/>
            <o:lock v:ext="edit" aspectratio="t"/>
            <w10:wrap type="none"/>
            <w10:anchorlock/>
          </v:shape>
          <o:OLEObject Type="Embed" ProgID="Equation.3" ShapeID="_x0000_i1115" DrawAspect="Content" ObjectID="_1468075815" r:id="rId253">
            <o:LockedField>false</o:LockedField>
          </o:OLEObject>
        </w:object>
      </w:r>
    </w:p>
    <w:p>
      <w:pPr>
        <w:adjustRightInd w:val="0"/>
        <w:snapToGrid w:val="0"/>
        <w:spacing w:line="360" w:lineRule="auto"/>
        <w:ind w:firstLine="420" w:firstLineChars="200"/>
        <w:rPr>
          <w:szCs w:val="21"/>
        </w:rPr>
      </w:pPr>
      <w:r>
        <w:rPr>
          <w:szCs w:val="21"/>
        </w:rPr>
        <w:t>总的课程目标达成度评价采用下式：</w:t>
      </w:r>
    </w:p>
    <w:p>
      <w:pPr>
        <w:adjustRightInd w:val="0"/>
        <w:snapToGrid w:val="0"/>
        <w:spacing w:line="360" w:lineRule="auto"/>
        <w:ind w:firstLine="420" w:firstLineChars="200"/>
        <w:rPr>
          <w:szCs w:val="21"/>
        </w:rPr>
      </w:pPr>
      <w:r>
        <w:rPr>
          <w:position w:val="-30"/>
          <w:szCs w:val="21"/>
        </w:rPr>
        <w:object>
          <v:shape id="_x0000_i1116" o:spt="75" type="#_x0000_t75" style="height:36pt;width:151pt;" o:ole="t" filled="f" o:preferrelative="t" stroked="f" coordsize="21600,21600">
            <v:path/>
            <v:fill on="f" focussize="0,0"/>
            <v:stroke on="f" joinstyle="miter"/>
            <v:imagedata r:id="rId147" o:title=""/>
            <o:lock v:ext="edit" aspectratio="t"/>
            <w10:wrap type="none"/>
            <w10:anchorlock/>
          </v:shape>
          <o:OLEObject Type="Embed" ProgID="Equation.3" ShapeID="_x0000_i1116" DrawAspect="Content" ObjectID="_1468075816" r:id="rId254">
            <o:LockedField>false</o:LockedField>
          </o:OLEObject>
        </w:object>
      </w:r>
    </w:p>
    <w:p>
      <w:pPr>
        <w:adjustRightInd w:val="0"/>
        <w:snapToGrid w:val="0"/>
        <w:spacing w:line="360" w:lineRule="auto"/>
        <w:ind w:firstLine="420" w:firstLineChars="200"/>
        <w:rPr>
          <w:szCs w:val="21"/>
        </w:rPr>
      </w:pPr>
      <w:r>
        <w:rPr>
          <w:szCs w:val="21"/>
        </w:rPr>
        <w:t>以上公式中：</w:t>
      </w:r>
    </w:p>
    <w:p>
      <w:pPr>
        <w:adjustRightInd w:val="0"/>
        <w:snapToGrid w:val="0"/>
        <w:spacing w:line="360" w:lineRule="auto"/>
        <w:ind w:firstLine="420" w:firstLineChars="200"/>
        <w:rPr>
          <w:szCs w:val="21"/>
        </w:rPr>
      </w:pPr>
      <w:r>
        <w:rPr>
          <w:i/>
          <w:szCs w:val="21"/>
        </w:rPr>
        <w:t>k</w:t>
      </w:r>
      <w:r>
        <w:rPr>
          <w:szCs w:val="21"/>
        </w:rPr>
        <w:t>表示不同的评价方式，</w:t>
      </w:r>
      <w:r>
        <w:rPr>
          <w:i/>
          <w:szCs w:val="21"/>
        </w:rPr>
        <w:t>i</w:t>
      </w:r>
      <w:r>
        <w:rPr>
          <w:szCs w:val="21"/>
        </w:rPr>
        <w:t>表示不同的课程目标。</w:t>
      </w:r>
    </w:p>
    <w:p>
      <w:pPr>
        <w:adjustRightInd w:val="0"/>
        <w:snapToGrid w:val="0"/>
        <w:spacing w:line="360" w:lineRule="auto"/>
        <w:ind w:firstLine="420" w:firstLineChars="200"/>
      </w:pPr>
      <w:r>
        <w:rPr>
          <w:position w:val="-10"/>
        </w:rPr>
        <w:object>
          <v:shape id="_x0000_i1117" o:spt="75" type="#_x0000_t75" style="height:14.5pt;width:14.5pt;" o:ole="t" filled="f" o:preferrelative="t" stroked="f" coordsize="21600,21600">
            <v:path/>
            <v:fill on="f" focussize="0,0"/>
            <v:stroke on="f" joinstyle="miter"/>
            <v:imagedata r:id="rId149" o:title=""/>
            <o:lock v:ext="edit" aspectratio="t"/>
            <w10:wrap type="none"/>
            <w10:anchorlock/>
          </v:shape>
          <o:OLEObject Type="Embed" ProgID="Equation.3" ShapeID="_x0000_i1117" DrawAspect="Content" ObjectID="_1468075817" r:id="rId255">
            <o:LockedField>false</o:LockedField>
          </o:OLEObject>
        </w:object>
      </w:r>
      <w:r>
        <w:t>表示第</w:t>
      </w:r>
      <w:r>
        <w:rPr>
          <w:i/>
        </w:rPr>
        <w:t>k</w:t>
      </w:r>
      <w:r>
        <w:t>种评价方式期末评价成绩平均分，均为百分制；</w:t>
      </w:r>
    </w:p>
    <w:p>
      <w:pPr>
        <w:adjustRightInd w:val="0"/>
        <w:snapToGrid w:val="0"/>
        <w:spacing w:line="360" w:lineRule="auto"/>
        <w:ind w:firstLine="420" w:firstLineChars="200"/>
      </w:pPr>
      <w:r>
        <w:rPr>
          <w:position w:val="-10"/>
        </w:rPr>
        <w:object>
          <v:shape id="_x0000_i1118" o:spt="75" type="#_x0000_t75" style="height:14.5pt;width:72pt;" o:ole="t" filled="f" o:preferrelative="t" stroked="f" coordsize="21600,21600">
            <v:path/>
            <v:fill on="f" focussize="0,0"/>
            <v:stroke on="f" joinstyle="miter"/>
            <v:imagedata r:id="rId151" o:title=""/>
            <o:lock v:ext="edit" aspectratio="t"/>
            <w10:wrap type="none"/>
            <w10:anchorlock/>
          </v:shape>
          <o:OLEObject Type="Embed" ProgID="Equation.3" ShapeID="_x0000_i1118" DrawAspect="Content" ObjectID="_1468075818" r:id="rId256">
            <o:LockedField>false</o:LockedField>
          </o:OLEObject>
        </w:object>
      </w:r>
      <w:r>
        <w:t>是第</w:t>
      </w:r>
      <w:r>
        <w:rPr>
          <w:i/>
        </w:rPr>
        <w:t>k</w:t>
      </w:r>
      <w:r>
        <w:t>种评价方式通过第</w:t>
      </w:r>
      <w:r>
        <w:rPr>
          <w:i/>
        </w:rPr>
        <w:t>i</w:t>
      </w:r>
      <w:r>
        <w:t>个课程目标反映在总的课程目标评分占比；</w:t>
      </w:r>
    </w:p>
    <w:p>
      <w:pPr>
        <w:adjustRightInd w:val="0"/>
        <w:snapToGrid w:val="0"/>
        <w:spacing w:line="360" w:lineRule="auto"/>
        <w:ind w:firstLine="420" w:firstLineChars="200"/>
        <w:rPr>
          <w:szCs w:val="21"/>
        </w:rPr>
      </w:pPr>
      <w:r>
        <w:rPr>
          <w:position w:val="-10"/>
        </w:rPr>
        <w:object>
          <v:shape id="_x0000_i1119" o:spt="75" type="#_x0000_t75" style="height:14.5pt;width:14.5pt;" o:ole="t" filled="f" o:preferrelative="t" stroked="f" coordsize="21600,21600">
            <v:path/>
            <v:fill on="f" focussize="0,0"/>
            <v:stroke on="f" joinstyle="miter"/>
            <v:imagedata r:id="rId153" o:title=""/>
            <o:lock v:ext="edit" aspectratio="t"/>
            <w10:wrap type="none"/>
            <w10:anchorlock/>
          </v:shape>
          <o:OLEObject Type="Embed" ProgID="Equation.3" ShapeID="_x0000_i1119" DrawAspect="Content" ObjectID="_1468075819" r:id="rId257">
            <o:LockedField>false</o:LockedField>
          </o:OLEObject>
        </w:object>
      </w:r>
      <w:r>
        <w:t>表示第</w:t>
      </w:r>
      <w:r>
        <w:rPr>
          <w:i/>
        </w:rPr>
        <w:t>k</w:t>
      </w:r>
      <w:r>
        <w:t>种评价方式对第</w:t>
      </w:r>
      <w:r>
        <w:rPr>
          <w:i/>
        </w:rPr>
        <w:t>i</w:t>
      </w:r>
      <w:r>
        <w:t>个课程目标百分占比；</w:t>
      </w:r>
    </w:p>
    <w:p>
      <w:pPr>
        <w:adjustRightInd w:val="0"/>
        <w:snapToGrid w:val="0"/>
        <w:spacing w:line="360" w:lineRule="auto"/>
        <w:ind w:firstLine="420" w:firstLineChars="200"/>
      </w:pPr>
      <w:r>
        <w:rPr>
          <w:position w:val="-10"/>
        </w:rPr>
        <w:object>
          <v:shape id="_x0000_i1120" o:spt="75" type="#_x0000_t75" style="height:14.5pt;width:14.5pt;" o:ole="t" filled="f" o:preferrelative="t" stroked="f" coordsize="21600,21600">
            <v:path/>
            <v:fill on="f" focussize="0,0"/>
            <v:stroke on="f" joinstyle="miter"/>
            <v:imagedata r:id="rId155" o:title=""/>
            <o:lock v:ext="edit" aspectratio="t"/>
            <w10:wrap type="none"/>
            <w10:anchorlock/>
          </v:shape>
          <o:OLEObject Type="Embed" ProgID="Equation.3" ShapeID="_x0000_i1120" DrawAspect="Content" ObjectID="_1468075820" r:id="rId258">
            <o:LockedField>false</o:LockedField>
          </o:OLEObject>
        </w:object>
      </w:r>
      <w:r>
        <w:t>表示第</w:t>
      </w:r>
      <w:r>
        <w:rPr>
          <w:i/>
        </w:rPr>
        <w:t>i</w:t>
      </w:r>
      <w:r>
        <w:t>个课程目标在课程总评价中的占比；</w:t>
      </w:r>
    </w:p>
    <w:p>
      <w:pPr>
        <w:adjustRightInd w:val="0"/>
        <w:snapToGrid w:val="0"/>
        <w:spacing w:line="360" w:lineRule="auto"/>
        <w:ind w:firstLine="422" w:firstLineChars="200"/>
        <w:rPr>
          <w:b/>
          <w:bCs/>
          <w:position w:val="-10"/>
          <w:szCs w:val="22"/>
        </w:rPr>
      </w:pPr>
      <w:r>
        <w:rPr>
          <w:rFonts w:hint="eastAsia"/>
          <w:b/>
          <w:bCs/>
          <w:position w:val="-10"/>
          <w:szCs w:val="22"/>
        </w:rPr>
        <w:t>课程目标定性评价：</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针对每门课的课程目标，直接设计问题，并要求学生明确给出目标能力达到的程度“很好（0.95）、较好（0.75）、中（0.60）、较差（0.45）、很差（0.25）”，根据各区段统计比例与括号中的目标分值加权后求和得出定性评价的结果。</w:t>
      </w:r>
    </w:p>
    <w:p>
      <w:pPr>
        <w:adjustRightInd w:val="0"/>
        <w:snapToGrid w:val="0"/>
        <w:spacing w:line="360" w:lineRule="auto"/>
        <w:ind w:firstLine="422" w:firstLineChars="200"/>
        <w:rPr>
          <w:b/>
          <w:bCs/>
          <w:position w:val="-10"/>
          <w:szCs w:val="22"/>
        </w:rPr>
      </w:pPr>
      <w:r>
        <w:rPr>
          <w:rFonts w:hint="eastAsia"/>
          <w:b/>
          <w:bCs/>
          <w:position w:val="-10"/>
          <w:szCs w:val="22"/>
        </w:rPr>
        <w:t>课程目标达成结果：</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同一课程目标的评价，取定性评价和定量评价的平均值，作为最终评价结果。</w:t>
      </w:r>
    </w:p>
    <w:p>
      <w:pPr>
        <w:adjustRightInd w:val="0"/>
        <w:snapToGrid w:val="0"/>
        <w:spacing w:line="360" w:lineRule="auto"/>
        <w:ind w:firstLine="420" w:firstLineChars="200"/>
        <w:rPr>
          <w:position w:val="-10"/>
          <w:szCs w:val="22"/>
        </w:rPr>
      </w:pPr>
      <w:r>
        <w:rPr>
          <w:rFonts w:hint="eastAsia"/>
          <w:position w:val="-10"/>
          <w:szCs w:val="22"/>
        </w:rPr>
        <w:t>课程目标达成度大于等于0.71为一级达成，大于等于0.65为二级达成。</w:t>
      </w:r>
    </w:p>
    <w:p>
      <w:pPr>
        <w:widowControl/>
        <w:adjustRightInd w:val="0"/>
        <w:snapToGrid w:val="0"/>
        <w:jc w:val="left"/>
        <w:rPr>
          <w:rFonts w:eastAsia="黑体"/>
          <w:szCs w:val="24"/>
        </w:rPr>
      </w:pPr>
    </w:p>
    <w:p>
      <w:pPr>
        <w:tabs>
          <w:tab w:val="left" w:pos="420"/>
        </w:tabs>
        <w:adjustRightInd w:val="0"/>
        <w:snapToGrid w:val="0"/>
        <w:spacing w:line="360" w:lineRule="auto"/>
        <w:ind w:left="420" w:hanging="420"/>
        <w:rPr>
          <w:rFonts w:eastAsia="黑体"/>
          <w:szCs w:val="24"/>
        </w:rPr>
      </w:pPr>
      <w:r>
        <w:rPr>
          <w:rFonts w:hint="eastAsia" w:eastAsia="黑体"/>
          <w:szCs w:val="24"/>
        </w:rPr>
        <w:t>十一、各环节评价标准</w:t>
      </w:r>
    </w:p>
    <w:p>
      <w:pPr>
        <w:adjustRightInd w:val="0"/>
        <w:snapToGrid w:val="0"/>
        <w:spacing w:line="360" w:lineRule="auto"/>
        <w:ind w:firstLine="420" w:firstLineChars="200"/>
        <w:rPr>
          <w:szCs w:val="21"/>
        </w:rPr>
      </w:pPr>
      <w:r>
        <w:rPr>
          <w:rFonts w:hint="eastAsia"/>
          <w:szCs w:val="21"/>
        </w:rPr>
        <w:t>本课程允许教师在各评价环节根据具体情况采取多样化、个性化的考核手段，其评价标准应当在《</w:t>
      </w:r>
      <w:r>
        <w:rPr>
          <w:rFonts w:hint="eastAsia" w:ascii="宋体" w:hAnsi="宋体"/>
          <w:szCs w:val="21"/>
        </w:rPr>
        <w:t>SIE-CT-01：</w:t>
      </w:r>
      <w:r>
        <w:rPr>
          <w:rFonts w:hint="eastAsia"/>
          <w:szCs w:val="21"/>
        </w:rPr>
        <w:t>授课计划》中明确并向学生公布，教学过程中的考核评价应当严格按照标准完成。</w:t>
      </w:r>
    </w:p>
    <w:p>
      <w:pPr>
        <w:tabs>
          <w:tab w:val="left" w:pos="420"/>
        </w:tabs>
        <w:adjustRightInd w:val="0"/>
        <w:snapToGrid w:val="0"/>
        <w:spacing w:line="360" w:lineRule="auto"/>
        <w:ind w:left="420" w:hanging="420"/>
        <w:rPr>
          <w:color w:val="0000FF"/>
        </w:rPr>
      </w:pPr>
    </w:p>
    <w:p>
      <w:pPr>
        <w:tabs>
          <w:tab w:val="left" w:pos="420"/>
        </w:tabs>
        <w:adjustRightInd w:val="0"/>
        <w:snapToGrid w:val="0"/>
        <w:spacing w:line="360" w:lineRule="auto"/>
        <w:ind w:left="420" w:hanging="420"/>
        <w:rPr>
          <w:rFonts w:eastAsia="黑体"/>
          <w:szCs w:val="24"/>
        </w:rPr>
      </w:pPr>
      <w:r>
        <w:rPr>
          <w:rFonts w:hint="eastAsia" w:eastAsia="黑体"/>
          <w:szCs w:val="24"/>
        </w:rPr>
        <w:t>十二、课程目标达成评价结果用于持续改进</w:t>
      </w:r>
    </w:p>
    <w:p>
      <w:pPr>
        <w:adjustRightInd w:val="0"/>
        <w:snapToGrid w:val="0"/>
        <w:spacing w:line="360" w:lineRule="auto"/>
        <w:ind w:firstLine="420" w:firstLineChars="200"/>
        <w:rPr>
          <w:szCs w:val="21"/>
        </w:rPr>
      </w:pPr>
      <w:r>
        <w:rPr>
          <w:rFonts w:hint="eastAsia"/>
          <w:szCs w:val="21"/>
        </w:rPr>
        <w:t>课程目标达成评价结果将用于后续教学过程的持续改进。</w:t>
      </w:r>
    </w:p>
    <w:p>
      <w:pPr>
        <w:adjustRightInd w:val="0"/>
        <w:snapToGrid w:val="0"/>
        <w:spacing w:line="360" w:lineRule="auto"/>
        <w:ind w:firstLine="420" w:firstLineChars="200"/>
        <w:rPr>
          <w:szCs w:val="21"/>
        </w:rPr>
        <w:sectPr>
          <w:pgSz w:w="11906" w:h="16838"/>
          <w:pgMar w:top="1440" w:right="1800" w:bottom="1440" w:left="1800" w:header="851" w:footer="992" w:gutter="0"/>
          <w:pgNumType w:fmt="decimal"/>
          <w:cols w:space="720" w:num="1"/>
          <w:docGrid w:type="lines" w:linePitch="312" w:charSpace="0"/>
        </w:sectPr>
      </w:pPr>
      <w:r>
        <w:rPr>
          <w:rFonts w:hint="eastAsia"/>
          <w:szCs w:val="21"/>
        </w:rPr>
        <w:t>针对课程目标达成评价中发现的问题与不足，重点是达成值相对较低的项，在本次授课总结中应由授课教师分析具体原因，并给出改进建议。后续任课教师应当针对以前的问题和建议，在授课计划中做好落实改进计划，并在授课过程中予以落实。</w:t>
      </w:r>
    </w:p>
    <w:bookmarkEnd w:id="28"/>
    <w:p>
      <w:pPr>
        <w:spacing w:line="360" w:lineRule="auto"/>
        <w:rPr>
          <w:szCs w:val="21"/>
        </w:rPr>
      </w:pPr>
    </w:p>
    <w:p>
      <w:pPr>
        <w:pStyle w:val="18"/>
        <w:spacing w:before="240" w:after="360"/>
        <w:rPr>
          <w:szCs w:val="24"/>
        </w:rPr>
      </w:pPr>
      <w:bookmarkStart w:id="29" w:name="_Toc23213"/>
      <w:r>
        <w:rPr>
          <w:rFonts w:hint="eastAsia"/>
          <w:szCs w:val="24"/>
        </w:rPr>
        <w:t>《</w:t>
      </w:r>
      <w:bookmarkStart w:id="30" w:name="_Hlk10036396"/>
      <w:r>
        <w:rPr>
          <w:rFonts w:hint="eastAsia"/>
        </w:rPr>
        <w:t>误差理论与数据处理</w:t>
      </w:r>
      <w:bookmarkEnd w:id="30"/>
      <w:r>
        <w:rPr>
          <w:rFonts w:hint="eastAsia"/>
          <w:szCs w:val="24"/>
        </w:rPr>
        <w:t>》教学大纲</w:t>
      </w:r>
      <w:bookmarkEnd w:id="29"/>
    </w:p>
    <w:p>
      <w:pPr>
        <w:adjustRightInd w:val="0"/>
        <w:snapToGrid w:val="0"/>
        <w:spacing w:line="360" w:lineRule="auto"/>
        <w:rPr>
          <w:bCs/>
          <w:kern w:val="0"/>
        </w:rPr>
      </w:pPr>
      <w:r>
        <w:rPr>
          <w:rFonts w:hint="eastAsia" w:eastAsia="黑体"/>
          <w:szCs w:val="21"/>
        </w:rPr>
        <w:t>课程编号：</w:t>
      </w:r>
      <w:r>
        <w:t>Z03060102</w:t>
      </w:r>
    </w:p>
    <w:p>
      <w:pPr>
        <w:adjustRightInd w:val="0"/>
        <w:snapToGrid w:val="0"/>
        <w:spacing w:line="360" w:lineRule="auto"/>
        <w:rPr>
          <w:snapToGrid w:val="0"/>
          <w:kern w:val="0"/>
          <w:szCs w:val="21"/>
        </w:rPr>
      </w:pPr>
      <w:r>
        <w:rPr>
          <w:rFonts w:hint="eastAsia" w:eastAsia="黑体"/>
          <w:szCs w:val="21"/>
        </w:rPr>
        <w:t>课程名称：</w:t>
      </w:r>
      <w:r>
        <w:rPr>
          <w:rFonts w:hint="eastAsia"/>
          <w:szCs w:val="21"/>
        </w:rPr>
        <w:t>误差理论与数据处理</w:t>
      </w:r>
      <w:r>
        <w:rPr>
          <w:szCs w:val="21"/>
        </w:rPr>
        <w:tab/>
      </w:r>
      <w:r>
        <w:rPr>
          <w:szCs w:val="21"/>
        </w:rPr>
        <w:tab/>
      </w:r>
      <w:r>
        <w:rPr>
          <w:szCs w:val="21"/>
        </w:rPr>
        <w:tab/>
      </w:r>
      <w:r>
        <w:rPr>
          <w:szCs w:val="21"/>
        </w:rPr>
        <w:tab/>
      </w:r>
      <w:r>
        <w:rPr>
          <w:szCs w:val="21"/>
        </w:rPr>
        <w:tab/>
      </w:r>
      <w:r>
        <w:rPr>
          <w:rFonts w:hint="eastAsia" w:eastAsia="黑体"/>
          <w:szCs w:val="21"/>
        </w:rPr>
        <w:t>开课单位：</w:t>
      </w:r>
      <w:r>
        <w:rPr>
          <w:rFonts w:hint="eastAsia"/>
          <w:szCs w:val="21"/>
        </w:rPr>
        <w:t>仪器与电子学院</w:t>
      </w:r>
      <w:r>
        <w:rPr>
          <w:rFonts w:eastAsia="黑体"/>
          <w:szCs w:val="21"/>
        </w:rPr>
        <w:tab/>
      </w:r>
    </w:p>
    <w:p>
      <w:pPr>
        <w:adjustRightInd w:val="0"/>
        <w:snapToGrid w:val="0"/>
        <w:spacing w:line="360" w:lineRule="auto"/>
        <w:rPr>
          <w:rFonts w:eastAsia="黑体"/>
          <w:szCs w:val="21"/>
        </w:rPr>
      </w:pPr>
      <w:r>
        <w:rPr>
          <w:rFonts w:hint="eastAsia" w:eastAsia="黑体"/>
          <w:szCs w:val="21"/>
        </w:rPr>
        <w:t>总学时：</w:t>
      </w:r>
      <w:r>
        <w:rPr>
          <w:szCs w:val="21"/>
        </w:rPr>
        <w:t>40</w:t>
      </w:r>
      <w:r>
        <w:rPr>
          <w:szCs w:val="21"/>
        </w:rPr>
        <w:tab/>
      </w:r>
      <w:r>
        <w:rPr>
          <w:szCs w:val="21"/>
        </w:rPr>
        <w:tab/>
      </w:r>
      <w:r>
        <w:rPr>
          <w:szCs w:val="21"/>
        </w:rPr>
        <w:tab/>
      </w:r>
      <w:r>
        <w:rPr>
          <w:rFonts w:eastAsia="黑体"/>
          <w:szCs w:val="21"/>
        </w:rPr>
        <w:tab/>
      </w:r>
      <w:r>
        <w:rPr>
          <w:rFonts w:eastAsia="黑体"/>
          <w:szCs w:val="21"/>
        </w:rPr>
        <w:tab/>
      </w:r>
      <w:r>
        <w:rPr>
          <w:rFonts w:eastAsia="黑体"/>
          <w:szCs w:val="21"/>
        </w:rPr>
        <w:tab/>
      </w:r>
      <w:r>
        <w:rPr>
          <w:rFonts w:eastAsia="黑体"/>
          <w:szCs w:val="21"/>
        </w:rPr>
        <w:tab/>
      </w:r>
      <w:r>
        <w:rPr>
          <w:rFonts w:eastAsia="黑体"/>
          <w:szCs w:val="21"/>
        </w:rPr>
        <w:tab/>
      </w:r>
      <w:r>
        <w:rPr>
          <w:rFonts w:eastAsia="黑体"/>
          <w:szCs w:val="21"/>
        </w:rPr>
        <w:tab/>
      </w:r>
      <w:r>
        <w:rPr>
          <w:rFonts w:hint="eastAsia" w:eastAsia="黑体"/>
          <w:szCs w:val="21"/>
        </w:rPr>
        <w:t>学分：</w:t>
      </w:r>
      <w:r>
        <w:rPr>
          <w:rFonts w:eastAsia="黑体"/>
          <w:szCs w:val="21"/>
        </w:rPr>
        <w:t>2.5</w:t>
      </w:r>
    </w:p>
    <w:p>
      <w:pPr>
        <w:adjustRightInd w:val="0"/>
        <w:snapToGrid w:val="0"/>
        <w:spacing w:line="360" w:lineRule="auto"/>
        <w:rPr>
          <w:rFonts w:hint="eastAsia" w:eastAsia="宋体"/>
          <w:szCs w:val="21"/>
          <w:lang w:eastAsia="zh-CN"/>
        </w:rPr>
      </w:pPr>
      <w:r>
        <w:rPr>
          <w:rFonts w:hint="eastAsia" w:eastAsia="黑体"/>
          <w:szCs w:val="21"/>
        </w:rPr>
        <w:t>适用专业：</w:t>
      </w:r>
      <w:r>
        <w:rPr>
          <w:rFonts w:hint="eastAsia"/>
          <w:szCs w:val="21"/>
        </w:rPr>
        <w:t>测控技术与仪器专业</w:t>
      </w:r>
      <w:r>
        <w:rPr>
          <w:rFonts w:hint="eastAsia"/>
          <w:szCs w:val="21"/>
          <w:lang w:eastAsia="zh-CN"/>
        </w:rPr>
        <w:t>、智能感知工程</w:t>
      </w:r>
    </w:p>
    <w:p>
      <w:pPr>
        <w:adjustRightInd w:val="0"/>
        <w:snapToGrid w:val="0"/>
        <w:spacing w:line="360" w:lineRule="auto"/>
        <w:rPr>
          <w:szCs w:val="21"/>
        </w:rPr>
      </w:pPr>
      <w:r>
        <w:rPr>
          <w:rFonts w:hint="eastAsia" w:eastAsia="黑体"/>
          <w:szCs w:val="21"/>
        </w:rPr>
        <w:t>先修课程：</w:t>
      </w:r>
      <w:r>
        <w:rPr>
          <w:rFonts w:hint="eastAsia" w:ascii="宋体" w:hAnsi="宋体"/>
        </w:rPr>
        <w:t>高等数学、概率与数理统计、线性代数</w:t>
      </w:r>
    </w:p>
    <w:p>
      <w:pPr>
        <w:adjustRightInd w:val="0"/>
        <w:snapToGrid w:val="0"/>
        <w:spacing w:line="360" w:lineRule="auto"/>
        <w:rPr>
          <w:rFonts w:eastAsia="黑体"/>
          <w:szCs w:val="21"/>
        </w:rPr>
      </w:pPr>
      <w:r>
        <w:rPr>
          <w:rFonts w:hint="eastAsia" w:eastAsia="黑体"/>
          <w:szCs w:val="21"/>
        </w:rPr>
        <w:t>大纲撰写人：</w:t>
      </w:r>
      <w:r>
        <w:rPr>
          <w:rFonts w:hint="eastAsia" w:asciiTheme="minorEastAsia" w:hAnsiTheme="minorEastAsia" w:eastAsiaTheme="minorEastAsia" w:cstheme="minorEastAsia"/>
          <w:szCs w:val="21"/>
        </w:rPr>
        <w:t>王文廉</w:t>
      </w:r>
    </w:p>
    <w:p>
      <w:pPr>
        <w:adjustRightInd w:val="0"/>
        <w:snapToGrid w:val="0"/>
        <w:spacing w:line="360" w:lineRule="auto"/>
        <w:rPr>
          <w:color w:val="0000FF"/>
          <w:szCs w:val="21"/>
        </w:rPr>
      </w:pPr>
      <w:r>
        <w:rPr>
          <w:rFonts w:hint="eastAsia" w:eastAsia="黑体"/>
          <w:szCs w:val="21"/>
        </w:rPr>
        <w:t>大纲编写（修订）时间：</w:t>
      </w:r>
      <w:r>
        <w:rPr>
          <w:szCs w:val="21"/>
        </w:rPr>
        <w:t>2019年5月</w:t>
      </w:r>
    </w:p>
    <w:p>
      <w:pPr>
        <w:adjustRightInd w:val="0"/>
        <w:snapToGrid w:val="0"/>
        <w:spacing w:line="360" w:lineRule="auto"/>
        <w:rPr>
          <w:szCs w:val="21"/>
        </w:rPr>
      </w:pPr>
    </w:p>
    <w:p>
      <w:pPr>
        <w:tabs>
          <w:tab w:val="left" w:pos="420"/>
        </w:tabs>
        <w:adjustRightInd w:val="0"/>
        <w:snapToGrid w:val="0"/>
        <w:spacing w:line="360" w:lineRule="auto"/>
        <w:rPr>
          <w:rFonts w:eastAsia="黑体"/>
          <w:szCs w:val="21"/>
        </w:rPr>
      </w:pPr>
      <w:r>
        <w:rPr>
          <w:rFonts w:hint="eastAsia" w:eastAsia="黑体"/>
          <w:szCs w:val="21"/>
        </w:rPr>
        <w:t>一、课程在教学计划中的地位、作用</w:t>
      </w:r>
    </w:p>
    <w:p>
      <w:pPr>
        <w:spacing w:line="360" w:lineRule="auto"/>
        <w:ind w:firstLine="420" w:firstLineChars="200"/>
        <w:rPr>
          <w:szCs w:val="21"/>
        </w:rPr>
      </w:pPr>
      <w:r>
        <w:rPr>
          <w:szCs w:val="21"/>
        </w:rPr>
        <w:t>本课程是一门属于</w:t>
      </w:r>
      <w:r>
        <w:rPr>
          <w:rFonts w:hint="eastAsia"/>
          <w:szCs w:val="21"/>
        </w:rPr>
        <w:t>数据分析</w:t>
      </w:r>
      <w:r>
        <w:rPr>
          <w:szCs w:val="21"/>
        </w:rPr>
        <w:t>类的专业课程，是</w:t>
      </w:r>
      <w:r>
        <w:rPr>
          <w:rFonts w:hint="eastAsia"/>
          <w:szCs w:val="21"/>
        </w:rPr>
        <w:t>测控技术与仪器</w:t>
      </w:r>
      <w:r>
        <w:rPr>
          <w:rFonts w:hint="eastAsia"/>
          <w:szCs w:val="21"/>
          <w:lang w:eastAsia="zh-CN"/>
        </w:rPr>
        <w:t>、智能感知工程</w:t>
      </w:r>
      <w:r>
        <w:rPr>
          <w:szCs w:val="21"/>
        </w:rPr>
        <w:t>专业的</w:t>
      </w:r>
      <w:r>
        <w:rPr>
          <w:rFonts w:hint="eastAsia"/>
          <w:szCs w:val="21"/>
        </w:rPr>
        <w:t>必修</w:t>
      </w:r>
      <w:r>
        <w:rPr>
          <w:szCs w:val="21"/>
        </w:rPr>
        <w:t>课程。</w:t>
      </w:r>
      <w:r>
        <w:rPr>
          <w:rFonts w:hint="eastAsia"/>
          <w:szCs w:val="21"/>
        </w:rPr>
        <w:t>误差理论是对测量进行科学评价的理论，还能指导工程人员对测量过程做出最佳的方案。本课程为测控技术与仪器的专业基础课，是工程测试及系统设计、仪器设计、仪器应用类课程的重要基础和支撑课程。通过本课程使学生学会误差的处理方法、建立测量精度与不确定度的概念，在后续专业课的学习中能够有误差分析的意识。在以后的实际工作中能应用本课程的基本概念与方法，对测量结果做出正确分析处理，从而具备从事精确测试、测量的工作能力。</w:t>
      </w:r>
    </w:p>
    <w:p>
      <w:pPr>
        <w:spacing w:line="360" w:lineRule="auto"/>
        <w:ind w:firstLine="420" w:firstLineChars="200"/>
        <w:rPr>
          <w:szCs w:val="21"/>
        </w:rPr>
      </w:pPr>
    </w:p>
    <w:p>
      <w:pPr>
        <w:tabs>
          <w:tab w:val="left" w:pos="420"/>
        </w:tabs>
        <w:adjustRightInd w:val="0"/>
        <w:snapToGrid w:val="0"/>
        <w:spacing w:line="360" w:lineRule="auto"/>
        <w:rPr>
          <w:rFonts w:hint="eastAsia" w:eastAsia="黑体"/>
          <w:szCs w:val="21"/>
        </w:rPr>
      </w:pPr>
      <w:r>
        <w:rPr>
          <w:rFonts w:hint="eastAsia" w:eastAsia="黑体"/>
          <w:szCs w:val="21"/>
        </w:rPr>
        <w:t>二、课程目标</w:t>
      </w:r>
    </w:p>
    <w:p>
      <w:pPr>
        <w:tabs>
          <w:tab w:val="left" w:pos="420"/>
        </w:tabs>
        <w:adjustRightInd w:val="0"/>
        <w:snapToGrid w:val="0"/>
        <w:spacing w:line="360" w:lineRule="auto"/>
        <w:ind w:left="420" w:hanging="420"/>
        <w:rPr>
          <w:rFonts w:ascii="宋体" w:hAnsi="宋体"/>
          <w:szCs w:val="21"/>
        </w:rPr>
      </w:pPr>
      <w:r>
        <w:rPr>
          <w:rFonts w:hint="eastAsia" w:ascii="宋体" w:hAnsi="宋体"/>
          <w:szCs w:val="21"/>
        </w:rPr>
        <w:t>测控技术与仪器专业：</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08"/>
        <w:gridCol w:w="2842"/>
        <w:gridCol w:w="517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98" w:type="pct"/>
            <w:vAlign w:val="center"/>
          </w:tcPr>
          <w:p>
            <w:pPr>
              <w:spacing w:line="360" w:lineRule="auto"/>
              <w:jc w:val="center"/>
              <w:rPr>
                <w:rFonts w:ascii="宋体" w:hAnsi="宋体" w:cstheme="minorEastAsia"/>
                <w:sz w:val="18"/>
                <w:szCs w:val="18"/>
              </w:rPr>
            </w:pPr>
            <w:r>
              <w:rPr>
                <w:rFonts w:hint="eastAsia" w:ascii="宋体" w:hAnsi="宋体" w:cstheme="minorEastAsia"/>
                <w:sz w:val="18"/>
                <w:szCs w:val="18"/>
              </w:rPr>
              <w:t>序号</w:t>
            </w:r>
          </w:p>
        </w:tc>
        <w:tc>
          <w:tcPr>
            <w:tcW w:w="1666" w:type="pct"/>
            <w:vAlign w:val="center"/>
          </w:tcPr>
          <w:p>
            <w:pPr>
              <w:spacing w:line="360" w:lineRule="auto"/>
              <w:jc w:val="center"/>
              <w:rPr>
                <w:rFonts w:ascii="宋体" w:hAnsi="宋体" w:cstheme="minorEastAsia"/>
                <w:sz w:val="18"/>
                <w:szCs w:val="18"/>
              </w:rPr>
            </w:pPr>
            <w:r>
              <w:rPr>
                <w:rFonts w:hint="eastAsia" w:ascii="宋体" w:hAnsi="宋体" w:cstheme="minorEastAsia"/>
                <w:sz w:val="18"/>
                <w:szCs w:val="18"/>
              </w:rPr>
              <w:t>课程目标</w:t>
            </w:r>
          </w:p>
        </w:tc>
        <w:tc>
          <w:tcPr>
            <w:tcW w:w="3035" w:type="pct"/>
            <w:vAlign w:val="center"/>
          </w:tcPr>
          <w:p>
            <w:pPr>
              <w:spacing w:line="360" w:lineRule="auto"/>
              <w:jc w:val="center"/>
              <w:rPr>
                <w:rFonts w:ascii="宋体" w:hAnsi="宋体" w:cstheme="minorEastAsia"/>
                <w:sz w:val="18"/>
                <w:szCs w:val="18"/>
              </w:rPr>
            </w:pPr>
            <w:r>
              <w:rPr>
                <w:rFonts w:hint="eastAsia" w:ascii="宋体" w:hAnsi="宋体" w:cstheme="minorEastAsia"/>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53" w:hRule="atLeast"/>
        </w:trPr>
        <w:tc>
          <w:tcPr>
            <w:tcW w:w="298" w:type="pct"/>
            <w:vAlign w:val="center"/>
          </w:tcPr>
          <w:p>
            <w:pPr>
              <w:spacing w:line="360" w:lineRule="auto"/>
              <w:rPr>
                <w:rFonts w:ascii="宋体" w:hAnsi="宋体"/>
                <w:sz w:val="18"/>
                <w:szCs w:val="18"/>
              </w:rPr>
            </w:pPr>
            <w:r>
              <w:rPr>
                <w:rFonts w:hint="eastAsia" w:ascii="宋体" w:hAnsi="宋体"/>
                <w:sz w:val="18"/>
                <w:szCs w:val="18"/>
              </w:rPr>
              <w:t>1</w:t>
            </w:r>
          </w:p>
        </w:tc>
        <w:tc>
          <w:tcPr>
            <w:tcW w:w="1666" w:type="pct"/>
            <w:vAlign w:val="center"/>
          </w:tcPr>
          <w:p>
            <w:pPr>
              <w:spacing w:line="360" w:lineRule="auto"/>
              <w:rPr>
                <w:rFonts w:ascii="宋体" w:hAnsi="宋体"/>
                <w:sz w:val="18"/>
                <w:szCs w:val="18"/>
              </w:rPr>
            </w:pPr>
            <w:r>
              <w:rPr>
                <w:rFonts w:hint="eastAsia" w:ascii="宋体" w:hAnsi="宋体"/>
                <w:sz w:val="18"/>
                <w:szCs w:val="18"/>
              </w:rPr>
              <w:t>能够利用误差理论与处理方法对测量结果进行误差分析、不确定度和精度计算。</w:t>
            </w:r>
          </w:p>
        </w:tc>
        <w:tc>
          <w:tcPr>
            <w:tcW w:w="3035" w:type="pct"/>
            <w:vAlign w:val="center"/>
          </w:tcPr>
          <w:p>
            <w:pPr>
              <w:spacing w:line="360" w:lineRule="auto"/>
              <w:rPr>
                <w:rFonts w:ascii="宋体" w:hAnsi="宋体"/>
                <w:sz w:val="18"/>
                <w:szCs w:val="18"/>
              </w:rPr>
            </w:pPr>
            <w:r>
              <w:rPr>
                <w:rFonts w:hint="eastAsia" w:ascii="宋体" w:hAnsi="宋体"/>
                <w:b/>
                <w:sz w:val="18"/>
                <w:szCs w:val="18"/>
              </w:rPr>
              <w:t>指标点2-2问题表达：</w:t>
            </w:r>
            <w:r>
              <w:rPr>
                <w:rFonts w:hint="eastAsia" w:ascii="宋体" w:hAnsi="宋体"/>
                <w:sz w:val="18"/>
                <w:szCs w:val="18"/>
              </w:rPr>
              <w:t>能够应用科学原理对测控技术与仪器专业复杂工程问题的识别结果进行有效表达，对设计的多种方案进行选择与分析，验证其合理性。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298" w:type="pct"/>
            <w:vAlign w:val="center"/>
          </w:tcPr>
          <w:p>
            <w:pPr>
              <w:spacing w:line="360" w:lineRule="auto"/>
              <w:jc w:val="center"/>
              <w:rPr>
                <w:rFonts w:ascii="宋体" w:hAnsi="宋体"/>
                <w:sz w:val="18"/>
                <w:szCs w:val="18"/>
              </w:rPr>
            </w:pPr>
            <w:r>
              <w:rPr>
                <w:rFonts w:hint="eastAsia" w:ascii="宋体" w:hAnsi="宋体"/>
                <w:sz w:val="18"/>
                <w:szCs w:val="18"/>
              </w:rPr>
              <w:t>2</w:t>
            </w:r>
          </w:p>
        </w:tc>
        <w:tc>
          <w:tcPr>
            <w:tcW w:w="1666" w:type="pct"/>
            <w:vAlign w:val="center"/>
          </w:tcPr>
          <w:p>
            <w:pPr>
              <w:spacing w:line="360" w:lineRule="auto"/>
              <w:jc w:val="left"/>
              <w:rPr>
                <w:rFonts w:ascii="宋体" w:hAnsi="宋体"/>
                <w:sz w:val="18"/>
                <w:szCs w:val="18"/>
              </w:rPr>
            </w:pPr>
            <w:r>
              <w:rPr>
                <w:rFonts w:hint="eastAsia" w:ascii="宋体" w:hAnsi="宋体" w:cstheme="minorEastAsia"/>
                <w:sz w:val="18"/>
                <w:szCs w:val="18"/>
              </w:rPr>
              <w:t>能够运用误差特征分析和误差合成</w:t>
            </w:r>
            <w:r>
              <w:rPr>
                <w:rFonts w:hint="eastAsia" w:ascii="宋体" w:hAnsi="宋体"/>
                <w:sz w:val="18"/>
                <w:szCs w:val="18"/>
              </w:rPr>
              <w:t>、不确定度合成</w:t>
            </w:r>
            <w:r>
              <w:rPr>
                <w:rFonts w:hint="eastAsia" w:ascii="宋体" w:hAnsi="宋体" w:cstheme="minorEastAsia"/>
                <w:sz w:val="18"/>
                <w:szCs w:val="18"/>
              </w:rPr>
              <w:t>方法来分析测量仪器和测量过程中的误差源。</w:t>
            </w:r>
          </w:p>
        </w:tc>
        <w:tc>
          <w:tcPr>
            <w:tcW w:w="3035" w:type="pct"/>
            <w:vAlign w:val="center"/>
          </w:tcPr>
          <w:p>
            <w:pPr>
              <w:spacing w:line="360" w:lineRule="auto"/>
              <w:jc w:val="left"/>
              <w:rPr>
                <w:rFonts w:ascii="宋体" w:hAnsi="宋体" w:cstheme="minorEastAsia"/>
                <w:sz w:val="18"/>
                <w:szCs w:val="18"/>
              </w:rPr>
            </w:pPr>
            <w:r>
              <w:rPr>
                <w:rFonts w:hint="eastAsia" w:ascii="宋体" w:hAnsi="宋体" w:cstheme="minorEastAsia"/>
                <w:b/>
                <w:bCs/>
                <w:sz w:val="18"/>
                <w:szCs w:val="18"/>
              </w:rPr>
              <w:t>指标点</w:t>
            </w:r>
            <w:r>
              <w:rPr>
                <w:rFonts w:ascii="宋体" w:hAnsi="宋体"/>
                <w:b/>
                <w:bCs/>
                <w:sz w:val="18"/>
                <w:szCs w:val="18"/>
              </w:rPr>
              <w:t>4-3</w:t>
            </w:r>
            <w:r>
              <w:rPr>
                <w:rFonts w:hint="eastAsia" w:ascii="宋体" w:hAnsi="宋体" w:cstheme="minorEastAsia"/>
                <w:b/>
                <w:bCs/>
                <w:sz w:val="18"/>
                <w:szCs w:val="18"/>
              </w:rPr>
              <w:t>实验结果分析：</w:t>
            </w:r>
            <w:r>
              <w:rPr>
                <w:rFonts w:hint="eastAsia" w:ascii="宋体" w:hAnsi="宋体" w:cstheme="minorEastAsia"/>
                <w:sz w:val="18"/>
                <w:szCs w:val="18"/>
              </w:rPr>
              <w:t>能正确采集、整理、综合实验数据及相关信息，对多因素实验结果进行关联处理，并对误差来源和影响进行综合分析，得到有效结论。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298" w:type="pct"/>
            <w:vAlign w:val="center"/>
          </w:tcPr>
          <w:p>
            <w:pPr>
              <w:spacing w:line="360" w:lineRule="auto"/>
              <w:jc w:val="center"/>
              <w:rPr>
                <w:rFonts w:ascii="宋体" w:hAnsi="宋体"/>
                <w:sz w:val="18"/>
                <w:szCs w:val="18"/>
              </w:rPr>
            </w:pPr>
            <w:r>
              <w:rPr>
                <w:rFonts w:hint="eastAsia" w:ascii="宋体" w:hAnsi="宋体"/>
                <w:sz w:val="18"/>
                <w:szCs w:val="18"/>
              </w:rPr>
              <w:t>3</w:t>
            </w:r>
          </w:p>
        </w:tc>
        <w:tc>
          <w:tcPr>
            <w:tcW w:w="1666" w:type="pct"/>
            <w:vAlign w:val="center"/>
          </w:tcPr>
          <w:p>
            <w:pPr>
              <w:spacing w:line="360" w:lineRule="auto"/>
              <w:jc w:val="left"/>
              <w:rPr>
                <w:rFonts w:ascii="宋体" w:hAnsi="宋体" w:cstheme="minorEastAsia"/>
                <w:sz w:val="18"/>
                <w:szCs w:val="18"/>
              </w:rPr>
            </w:pPr>
            <w:r>
              <w:rPr>
                <w:rFonts w:hint="eastAsia" w:ascii="宋体" w:hAnsi="宋体" w:cstheme="minorEastAsia"/>
                <w:sz w:val="18"/>
                <w:szCs w:val="18"/>
              </w:rPr>
              <w:t>能够运用最小二乘法和回归分析方法建立测量仪器的工作模型。</w:t>
            </w:r>
          </w:p>
        </w:tc>
        <w:tc>
          <w:tcPr>
            <w:tcW w:w="3035" w:type="pct"/>
            <w:vAlign w:val="center"/>
          </w:tcPr>
          <w:p>
            <w:pPr>
              <w:spacing w:line="360" w:lineRule="auto"/>
              <w:jc w:val="left"/>
              <w:rPr>
                <w:rFonts w:ascii="宋体" w:hAnsi="宋体" w:cstheme="minorEastAsia"/>
                <w:b/>
                <w:bCs/>
                <w:sz w:val="18"/>
                <w:szCs w:val="18"/>
              </w:rPr>
            </w:pPr>
            <w:r>
              <w:rPr>
                <w:rFonts w:hint="eastAsia" w:ascii="宋体" w:hAnsi="宋体" w:cstheme="minorEastAsia"/>
                <w:b/>
                <w:bCs/>
                <w:sz w:val="18"/>
                <w:szCs w:val="18"/>
              </w:rPr>
              <w:t>指标点</w:t>
            </w:r>
            <w:r>
              <w:rPr>
                <w:rFonts w:ascii="宋体" w:hAnsi="宋体"/>
                <w:b/>
                <w:bCs/>
                <w:sz w:val="18"/>
                <w:szCs w:val="18"/>
              </w:rPr>
              <w:t>1-2</w:t>
            </w:r>
            <w:r>
              <w:rPr>
                <w:rFonts w:hint="eastAsia" w:ascii="宋体" w:hAnsi="宋体" w:cstheme="minorEastAsia"/>
                <w:b/>
                <w:bCs/>
                <w:sz w:val="18"/>
                <w:szCs w:val="18"/>
              </w:rPr>
              <w:t>知识运用能力：</w:t>
            </w:r>
            <w:r>
              <w:rPr>
                <w:rFonts w:hint="eastAsia" w:ascii="宋体" w:hAnsi="宋体" w:cstheme="minorEastAsia"/>
                <w:sz w:val="18"/>
                <w:szCs w:val="18"/>
              </w:rPr>
              <w:t>能将基础知识恰当地运用到测控技术与仪器专业复杂工程问题的解决中。</w:t>
            </w:r>
          </w:p>
          <w:p>
            <w:pPr>
              <w:spacing w:line="360" w:lineRule="auto"/>
              <w:jc w:val="left"/>
              <w:rPr>
                <w:rFonts w:ascii="宋体" w:hAnsi="宋体" w:cstheme="minorEastAsia"/>
                <w:b/>
                <w:bCs/>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88" w:hRule="atLeast"/>
        </w:trPr>
        <w:tc>
          <w:tcPr>
            <w:tcW w:w="298" w:type="pct"/>
            <w:vAlign w:val="center"/>
          </w:tcPr>
          <w:p>
            <w:pPr>
              <w:spacing w:line="360" w:lineRule="auto"/>
              <w:jc w:val="center"/>
              <w:rPr>
                <w:rFonts w:ascii="宋体" w:hAnsi="宋体"/>
                <w:sz w:val="18"/>
                <w:szCs w:val="18"/>
              </w:rPr>
            </w:pPr>
            <w:r>
              <w:rPr>
                <w:rFonts w:hint="eastAsia" w:ascii="宋体" w:hAnsi="宋体"/>
                <w:sz w:val="18"/>
                <w:szCs w:val="18"/>
              </w:rPr>
              <w:t>4</w:t>
            </w:r>
          </w:p>
        </w:tc>
        <w:tc>
          <w:tcPr>
            <w:tcW w:w="1666" w:type="pct"/>
            <w:vAlign w:val="center"/>
          </w:tcPr>
          <w:p>
            <w:pPr>
              <w:spacing w:line="360" w:lineRule="auto"/>
              <w:jc w:val="left"/>
              <w:rPr>
                <w:rFonts w:ascii="宋体" w:hAnsi="宋体" w:cstheme="minorEastAsia"/>
                <w:sz w:val="18"/>
                <w:szCs w:val="18"/>
              </w:rPr>
            </w:pPr>
            <w:r>
              <w:rPr>
                <w:rFonts w:hint="eastAsia" w:ascii="宋体" w:hAnsi="宋体" w:cstheme="minorEastAsia"/>
                <w:sz w:val="18"/>
                <w:szCs w:val="18"/>
              </w:rPr>
              <w:t>能够根据误差理论设计最佳的测量方案，对测量仪器和测量过程进行最优选择及设计。</w:t>
            </w:r>
          </w:p>
        </w:tc>
        <w:tc>
          <w:tcPr>
            <w:tcW w:w="3035" w:type="pct"/>
            <w:vAlign w:val="center"/>
          </w:tcPr>
          <w:p>
            <w:pPr>
              <w:spacing w:line="360" w:lineRule="auto"/>
              <w:jc w:val="left"/>
              <w:rPr>
                <w:rFonts w:ascii="宋体" w:hAnsi="宋体" w:cstheme="minorEastAsia"/>
                <w:b/>
                <w:bCs/>
                <w:sz w:val="18"/>
                <w:szCs w:val="18"/>
              </w:rPr>
            </w:pPr>
            <w:r>
              <w:rPr>
                <w:rFonts w:hint="eastAsia" w:ascii="宋体" w:hAnsi="宋体" w:cstheme="minorEastAsia"/>
                <w:b/>
                <w:bCs/>
                <w:sz w:val="18"/>
                <w:szCs w:val="18"/>
              </w:rPr>
              <w:t>指标点</w:t>
            </w:r>
            <w:r>
              <w:rPr>
                <w:rFonts w:ascii="宋体" w:hAnsi="宋体"/>
                <w:b/>
                <w:bCs/>
                <w:sz w:val="18"/>
                <w:szCs w:val="18"/>
              </w:rPr>
              <w:t>3-1</w:t>
            </w:r>
            <w:r>
              <w:rPr>
                <w:rFonts w:hint="eastAsia" w:ascii="宋体" w:hAnsi="宋体" w:cstheme="minorEastAsia"/>
                <w:b/>
                <w:bCs/>
                <w:sz w:val="18"/>
                <w:szCs w:val="18"/>
              </w:rPr>
              <w:t>按需设计：</w:t>
            </w:r>
            <w:r>
              <w:rPr>
                <w:rFonts w:hint="eastAsia" w:ascii="宋体" w:hAnsi="宋体" w:cstheme="minorEastAsia"/>
                <w:sz w:val="18"/>
                <w:szCs w:val="18"/>
              </w:rPr>
              <w:t>能够根据用户特定需求设计复杂工程问题的解决方案，设计能够设计满足特定需求的传感器、测控系统以及工艺流程。</w:t>
            </w:r>
          </w:p>
        </w:tc>
      </w:tr>
    </w:tbl>
    <w:p>
      <w:pPr>
        <w:tabs>
          <w:tab w:val="left" w:pos="420"/>
        </w:tabs>
        <w:adjustRightInd w:val="0"/>
        <w:snapToGrid w:val="0"/>
        <w:spacing w:line="360" w:lineRule="auto"/>
        <w:ind w:left="420" w:hanging="420"/>
        <w:rPr>
          <w:rFonts w:hint="eastAsia" w:ascii="宋体" w:hAnsi="宋体"/>
          <w:szCs w:val="21"/>
        </w:rPr>
      </w:pPr>
    </w:p>
    <w:p>
      <w:pPr>
        <w:tabs>
          <w:tab w:val="left" w:pos="420"/>
        </w:tabs>
        <w:adjustRightInd w:val="0"/>
        <w:snapToGrid w:val="0"/>
        <w:spacing w:line="360" w:lineRule="auto"/>
        <w:ind w:left="420" w:hanging="420"/>
        <w:rPr>
          <w:rFonts w:ascii="宋体" w:hAnsi="宋体"/>
          <w:szCs w:val="21"/>
        </w:rPr>
      </w:pPr>
      <w:r>
        <w:rPr>
          <w:rFonts w:hint="eastAsia" w:ascii="宋体" w:hAnsi="宋体"/>
          <w:szCs w:val="21"/>
          <w:lang w:eastAsia="zh-CN"/>
        </w:rPr>
        <w:t>智能感知工程</w:t>
      </w:r>
      <w:r>
        <w:rPr>
          <w:rFonts w:hint="eastAsia" w:ascii="宋体" w:hAnsi="宋体"/>
          <w:szCs w:val="21"/>
        </w:rPr>
        <w:t>专业：</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08"/>
        <w:gridCol w:w="2842"/>
        <w:gridCol w:w="517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98" w:type="pct"/>
            <w:vAlign w:val="center"/>
          </w:tcPr>
          <w:p>
            <w:pPr>
              <w:spacing w:line="360" w:lineRule="auto"/>
              <w:jc w:val="center"/>
              <w:rPr>
                <w:rFonts w:ascii="宋体" w:hAnsi="宋体" w:cstheme="minorEastAsia"/>
                <w:sz w:val="18"/>
                <w:szCs w:val="18"/>
              </w:rPr>
            </w:pPr>
            <w:r>
              <w:rPr>
                <w:rFonts w:hint="eastAsia" w:ascii="宋体" w:hAnsi="宋体" w:cstheme="minorEastAsia"/>
                <w:sz w:val="18"/>
                <w:szCs w:val="18"/>
              </w:rPr>
              <w:t>序号</w:t>
            </w:r>
          </w:p>
        </w:tc>
        <w:tc>
          <w:tcPr>
            <w:tcW w:w="1666" w:type="pct"/>
            <w:vAlign w:val="center"/>
          </w:tcPr>
          <w:p>
            <w:pPr>
              <w:spacing w:line="360" w:lineRule="auto"/>
              <w:jc w:val="center"/>
              <w:rPr>
                <w:rFonts w:ascii="宋体" w:hAnsi="宋体" w:cstheme="minorEastAsia"/>
                <w:sz w:val="18"/>
                <w:szCs w:val="18"/>
              </w:rPr>
            </w:pPr>
            <w:r>
              <w:rPr>
                <w:rFonts w:hint="eastAsia" w:ascii="宋体" w:hAnsi="宋体" w:cstheme="minorEastAsia"/>
                <w:sz w:val="18"/>
                <w:szCs w:val="18"/>
              </w:rPr>
              <w:t>课程目标</w:t>
            </w:r>
          </w:p>
        </w:tc>
        <w:tc>
          <w:tcPr>
            <w:tcW w:w="3035" w:type="pct"/>
            <w:vAlign w:val="center"/>
          </w:tcPr>
          <w:p>
            <w:pPr>
              <w:spacing w:line="360" w:lineRule="auto"/>
              <w:jc w:val="center"/>
              <w:rPr>
                <w:rFonts w:ascii="宋体" w:hAnsi="宋体" w:cstheme="minorEastAsia"/>
                <w:sz w:val="18"/>
                <w:szCs w:val="18"/>
              </w:rPr>
            </w:pPr>
            <w:r>
              <w:rPr>
                <w:rFonts w:hint="eastAsia" w:ascii="宋体" w:hAnsi="宋体" w:cstheme="minorEastAsia"/>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53" w:hRule="atLeast"/>
        </w:trPr>
        <w:tc>
          <w:tcPr>
            <w:tcW w:w="298" w:type="pct"/>
            <w:vAlign w:val="center"/>
          </w:tcPr>
          <w:p>
            <w:pPr>
              <w:spacing w:line="360" w:lineRule="auto"/>
              <w:rPr>
                <w:rFonts w:ascii="宋体" w:hAnsi="宋体"/>
                <w:sz w:val="18"/>
                <w:szCs w:val="18"/>
              </w:rPr>
            </w:pPr>
            <w:r>
              <w:rPr>
                <w:rFonts w:hint="eastAsia" w:ascii="宋体" w:hAnsi="宋体"/>
                <w:sz w:val="18"/>
                <w:szCs w:val="18"/>
              </w:rPr>
              <w:t>1</w:t>
            </w:r>
          </w:p>
        </w:tc>
        <w:tc>
          <w:tcPr>
            <w:tcW w:w="1666" w:type="pct"/>
            <w:vAlign w:val="center"/>
          </w:tcPr>
          <w:p>
            <w:pPr>
              <w:spacing w:line="360" w:lineRule="auto"/>
              <w:rPr>
                <w:rFonts w:ascii="宋体" w:hAnsi="宋体"/>
                <w:sz w:val="18"/>
                <w:szCs w:val="18"/>
              </w:rPr>
            </w:pPr>
            <w:r>
              <w:rPr>
                <w:rFonts w:hint="eastAsia" w:ascii="宋体" w:hAnsi="宋体"/>
                <w:sz w:val="18"/>
                <w:szCs w:val="18"/>
              </w:rPr>
              <w:t>能够利用误差理论与处理方法对测量结果进行误差分析、不确定度和精度计算。</w:t>
            </w:r>
          </w:p>
        </w:tc>
        <w:tc>
          <w:tcPr>
            <w:tcW w:w="3035" w:type="pct"/>
            <w:vAlign w:val="center"/>
          </w:tcPr>
          <w:p>
            <w:pPr>
              <w:spacing w:line="360" w:lineRule="auto"/>
              <w:rPr>
                <w:rFonts w:ascii="宋体" w:hAnsi="宋体"/>
                <w:sz w:val="18"/>
                <w:szCs w:val="18"/>
              </w:rPr>
            </w:pPr>
            <w:r>
              <w:rPr>
                <w:rFonts w:hint="eastAsia" w:ascii="宋体" w:hAnsi="宋体"/>
                <w:b/>
                <w:sz w:val="18"/>
                <w:szCs w:val="18"/>
              </w:rPr>
              <w:t>指标点2-2问题表达：</w:t>
            </w:r>
            <w:r>
              <w:rPr>
                <w:bCs/>
                <w:sz w:val="18"/>
                <w:szCs w:val="18"/>
              </w:rPr>
              <w:t>能够应用科学原理对本专业复杂工程问题的识别结果进行有效表达，将工程问题转化为技术问题。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298" w:type="pct"/>
            <w:vAlign w:val="center"/>
          </w:tcPr>
          <w:p>
            <w:pPr>
              <w:spacing w:line="360" w:lineRule="auto"/>
              <w:jc w:val="center"/>
              <w:rPr>
                <w:rFonts w:ascii="宋体" w:hAnsi="宋体"/>
                <w:sz w:val="18"/>
                <w:szCs w:val="18"/>
              </w:rPr>
            </w:pPr>
            <w:r>
              <w:rPr>
                <w:rFonts w:hint="eastAsia" w:ascii="宋体" w:hAnsi="宋体"/>
                <w:sz w:val="18"/>
                <w:szCs w:val="18"/>
              </w:rPr>
              <w:t>2</w:t>
            </w:r>
          </w:p>
        </w:tc>
        <w:tc>
          <w:tcPr>
            <w:tcW w:w="1666" w:type="pct"/>
            <w:vAlign w:val="center"/>
          </w:tcPr>
          <w:p>
            <w:pPr>
              <w:spacing w:line="360" w:lineRule="auto"/>
              <w:jc w:val="left"/>
              <w:rPr>
                <w:rFonts w:ascii="宋体" w:hAnsi="宋体"/>
                <w:sz w:val="18"/>
                <w:szCs w:val="18"/>
              </w:rPr>
            </w:pPr>
            <w:r>
              <w:rPr>
                <w:rFonts w:hint="eastAsia" w:ascii="宋体" w:hAnsi="宋体" w:cstheme="minorEastAsia"/>
                <w:sz w:val="18"/>
                <w:szCs w:val="18"/>
              </w:rPr>
              <w:t>能够运用误差特征分析和误差合成</w:t>
            </w:r>
            <w:r>
              <w:rPr>
                <w:rFonts w:hint="eastAsia" w:ascii="宋体" w:hAnsi="宋体"/>
                <w:sz w:val="18"/>
                <w:szCs w:val="18"/>
              </w:rPr>
              <w:t>、不确定度合成</w:t>
            </w:r>
            <w:r>
              <w:rPr>
                <w:rFonts w:hint="eastAsia" w:ascii="宋体" w:hAnsi="宋体" w:cstheme="minorEastAsia"/>
                <w:sz w:val="18"/>
                <w:szCs w:val="18"/>
              </w:rPr>
              <w:t>方法来分析测量仪器和测量过程中的误差源。</w:t>
            </w:r>
          </w:p>
        </w:tc>
        <w:tc>
          <w:tcPr>
            <w:tcW w:w="3035" w:type="pct"/>
            <w:vAlign w:val="center"/>
          </w:tcPr>
          <w:p>
            <w:pPr>
              <w:spacing w:line="360" w:lineRule="auto"/>
              <w:jc w:val="left"/>
              <w:rPr>
                <w:rFonts w:ascii="宋体" w:hAnsi="宋体" w:cstheme="minorEastAsia"/>
                <w:sz w:val="18"/>
                <w:szCs w:val="18"/>
              </w:rPr>
            </w:pPr>
            <w:r>
              <w:rPr>
                <w:rFonts w:hint="eastAsia" w:ascii="宋体" w:hAnsi="宋体" w:cstheme="minorEastAsia"/>
                <w:b/>
                <w:bCs/>
                <w:sz w:val="18"/>
                <w:szCs w:val="18"/>
              </w:rPr>
              <w:t>指标点</w:t>
            </w:r>
            <w:r>
              <w:rPr>
                <w:rFonts w:ascii="宋体" w:hAnsi="宋体"/>
                <w:b/>
                <w:bCs/>
                <w:sz w:val="18"/>
                <w:szCs w:val="18"/>
              </w:rPr>
              <w:t>4-3</w:t>
            </w:r>
            <w:r>
              <w:rPr>
                <w:rFonts w:hint="eastAsia" w:ascii="宋体" w:hAnsi="宋体" w:cstheme="minorEastAsia"/>
                <w:b/>
                <w:bCs/>
                <w:sz w:val="18"/>
                <w:szCs w:val="18"/>
              </w:rPr>
              <w:t>实验结果分析：</w:t>
            </w:r>
            <w:r>
              <w:rPr>
                <w:bCs/>
                <w:sz w:val="18"/>
                <w:szCs w:val="18"/>
              </w:rPr>
              <w:t>能正确采集、整理、综合实验数据及相关信息，对多因素实验结果进行关联处理，得到有效结论，提出优化方案。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298" w:type="pct"/>
            <w:vAlign w:val="center"/>
          </w:tcPr>
          <w:p>
            <w:pPr>
              <w:spacing w:line="360" w:lineRule="auto"/>
              <w:jc w:val="center"/>
              <w:rPr>
                <w:rFonts w:ascii="宋体" w:hAnsi="宋体"/>
                <w:sz w:val="18"/>
                <w:szCs w:val="18"/>
              </w:rPr>
            </w:pPr>
            <w:r>
              <w:rPr>
                <w:rFonts w:hint="eastAsia" w:ascii="宋体" w:hAnsi="宋体"/>
                <w:sz w:val="18"/>
                <w:szCs w:val="18"/>
              </w:rPr>
              <w:t>3</w:t>
            </w:r>
          </w:p>
        </w:tc>
        <w:tc>
          <w:tcPr>
            <w:tcW w:w="1666" w:type="pct"/>
            <w:vAlign w:val="center"/>
          </w:tcPr>
          <w:p>
            <w:pPr>
              <w:spacing w:line="360" w:lineRule="auto"/>
              <w:jc w:val="left"/>
              <w:rPr>
                <w:rFonts w:ascii="宋体" w:hAnsi="宋体" w:cstheme="minorEastAsia"/>
                <w:sz w:val="18"/>
                <w:szCs w:val="18"/>
              </w:rPr>
            </w:pPr>
            <w:r>
              <w:rPr>
                <w:rFonts w:hint="eastAsia" w:ascii="宋体" w:hAnsi="宋体" w:cstheme="minorEastAsia"/>
                <w:sz w:val="18"/>
                <w:szCs w:val="18"/>
              </w:rPr>
              <w:t>能够运用最小二乘法和回归分析方法建立测量仪器的工作模型。</w:t>
            </w:r>
          </w:p>
        </w:tc>
        <w:tc>
          <w:tcPr>
            <w:tcW w:w="3035" w:type="pct"/>
            <w:vAlign w:val="center"/>
          </w:tcPr>
          <w:p>
            <w:pPr>
              <w:spacing w:line="360" w:lineRule="auto"/>
              <w:jc w:val="left"/>
              <w:rPr>
                <w:rFonts w:ascii="宋体" w:hAnsi="宋体" w:cstheme="minorEastAsia"/>
                <w:b/>
                <w:bCs/>
                <w:sz w:val="18"/>
                <w:szCs w:val="18"/>
              </w:rPr>
            </w:pPr>
            <w:r>
              <w:rPr>
                <w:rFonts w:hint="eastAsia" w:ascii="宋体" w:hAnsi="宋体" w:cstheme="minorEastAsia"/>
                <w:b/>
                <w:bCs/>
                <w:sz w:val="18"/>
                <w:szCs w:val="18"/>
              </w:rPr>
              <w:t>指标点</w:t>
            </w:r>
            <w:r>
              <w:rPr>
                <w:rFonts w:ascii="宋体" w:hAnsi="宋体"/>
                <w:b/>
                <w:bCs/>
                <w:sz w:val="18"/>
                <w:szCs w:val="18"/>
              </w:rPr>
              <w:t>1-2</w:t>
            </w:r>
            <w:r>
              <w:rPr>
                <w:rFonts w:hint="eastAsia" w:ascii="宋体" w:hAnsi="宋体" w:cstheme="minorEastAsia"/>
                <w:b/>
                <w:bCs/>
                <w:sz w:val="18"/>
                <w:szCs w:val="18"/>
              </w:rPr>
              <w:t>知识运用能力：</w:t>
            </w:r>
            <w:r>
              <w:rPr>
                <w:bCs/>
                <w:sz w:val="18"/>
                <w:szCs w:val="18"/>
              </w:rPr>
              <w:t>能将基础知识恰当地应用到智能感知工程专业智能传感与控制等复杂工程问题的解决中。</w:t>
            </w:r>
          </w:p>
          <w:p>
            <w:pPr>
              <w:spacing w:line="360" w:lineRule="auto"/>
              <w:jc w:val="left"/>
              <w:rPr>
                <w:rFonts w:ascii="宋体" w:hAnsi="宋体" w:cstheme="minorEastAsia"/>
                <w:b/>
                <w:bCs/>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88" w:hRule="atLeast"/>
        </w:trPr>
        <w:tc>
          <w:tcPr>
            <w:tcW w:w="298" w:type="pct"/>
            <w:vAlign w:val="center"/>
          </w:tcPr>
          <w:p>
            <w:pPr>
              <w:spacing w:line="360" w:lineRule="auto"/>
              <w:jc w:val="center"/>
              <w:rPr>
                <w:rFonts w:ascii="宋体" w:hAnsi="宋体"/>
                <w:sz w:val="18"/>
                <w:szCs w:val="18"/>
              </w:rPr>
            </w:pPr>
            <w:r>
              <w:rPr>
                <w:rFonts w:hint="eastAsia" w:ascii="宋体" w:hAnsi="宋体"/>
                <w:sz w:val="18"/>
                <w:szCs w:val="18"/>
              </w:rPr>
              <w:t>4</w:t>
            </w:r>
          </w:p>
        </w:tc>
        <w:tc>
          <w:tcPr>
            <w:tcW w:w="1666" w:type="pct"/>
            <w:vAlign w:val="center"/>
          </w:tcPr>
          <w:p>
            <w:pPr>
              <w:spacing w:line="360" w:lineRule="auto"/>
              <w:jc w:val="left"/>
              <w:rPr>
                <w:rFonts w:ascii="宋体" w:hAnsi="宋体" w:cstheme="minorEastAsia"/>
                <w:sz w:val="18"/>
                <w:szCs w:val="18"/>
              </w:rPr>
            </w:pPr>
            <w:r>
              <w:rPr>
                <w:rFonts w:hint="eastAsia" w:ascii="宋体" w:hAnsi="宋体" w:cstheme="minorEastAsia"/>
                <w:sz w:val="18"/>
                <w:szCs w:val="18"/>
              </w:rPr>
              <w:t>能够根据误差理论设计最佳的测量方案，对测量仪器和测量过程进行最优选择及设计。</w:t>
            </w:r>
          </w:p>
        </w:tc>
        <w:tc>
          <w:tcPr>
            <w:tcW w:w="3035" w:type="pct"/>
            <w:vAlign w:val="center"/>
          </w:tcPr>
          <w:p>
            <w:pPr>
              <w:spacing w:line="360" w:lineRule="auto"/>
              <w:jc w:val="left"/>
              <w:rPr>
                <w:rFonts w:ascii="宋体" w:hAnsi="宋体" w:cstheme="minorEastAsia"/>
                <w:b/>
                <w:bCs/>
                <w:sz w:val="18"/>
                <w:szCs w:val="18"/>
              </w:rPr>
            </w:pPr>
            <w:r>
              <w:rPr>
                <w:rFonts w:hint="eastAsia" w:ascii="宋体" w:hAnsi="宋体" w:cstheme="minorEastAsia"/>
                <w:b/>
                <w:bCs/>
                <w:sz w:val="18"/>
                <w:szCs w:val="18"/>
              </w:rPr>
              <w:t>指标点</w:t>
            </w:r>
            <w:r>
              <w:rPr>
                <w:rFonts w:ascii="宋体" w:hAnsi="宋体"/>
                <w:b/>
                <w:bCs/>
                <w:sz w:val="18"/>
                <w:szCs w:val="18"/>
              </w:rPr>
              <w:t>3-1</w:t>
            </w:r>
            <w:r>
              <w:rPr>
                <w:rFonts w:hint="eastAsia" w:ascii="宋体" w:hAnsi="宋体" w:cstheme="minorEastAsia"/>
                <w:b/>
                <w:bCs/>
                <w:sz w:val="18"/>
                <w:szCs w:val="18"/>
              </w:rPr>
              <w:t>按需设计：</w:t>
            </w:r>
            <w:r>
              <w:rPr>
                <w:bCs/>
                <w:sz w:val="18"/>
                <w:szCs w:val="18"/>
              </w:rPr>
              <w:t>能够根据用户特定需求设计复杂工程问题的解决方案，设计相关的信息处理系统、智能控制系统以及工艺流程，并能够针对方案进行优化选择。</w:t>
            </w:r>
          </w:p>
        </w:tc>
      </w:tr>
    </w:tbl>
    <w:p>
      <w:pPr>
        <w:spacing w:line="360" w:lineRule="auto"/>
        <w:rPr>
          <w:szCs w:val="21"/>
        </w:rPr>
      </w:pPr>
    </w:p>
    <w:p>
      <w:pPr>
        <w:tabs>
          <w:tab w:val="left" w:pos="420"/>
        </w:tabs>
        <w:adjustRightInd w:val="0"/>
        <w:snapToGrid w:val="0"/>
        <w:spacing w:line="360" w:lineRule="auto"/>
        <w:ind w:left="420" w:hanging="420"/>
        <w:rPr>
          <w:rFonts w:eastAsia="黑体"/>
          <w:szCs w:val="21"/>
        </w:rPr>
      </w:pPr>
      <w:r>
        <w:rPr>
          <w:rFonts w:hint="eastAsia" w:eastAsia="黑体"/>
          <w:szCs w:val="21"/>
        </w:rPr>
        <w:t>三、基本要求</w:t>
      </w:r>
    </w:p>
    <w:p>
      <w:pPr>
        <w:spacing w:line="360" w:lineRule="auto"/>
        <w:ind w:firstLine="420" w:firstLineChars="200"/>
        <w:rPr>
          <w:szCs w:val="21"/>
        </w:rPr>
      </w:pPr>
      <w:r>
        <w:rPr>
          <w:rFonts w:hint="eastAsia"/>
          <w:szCs w:val="21"/>
        </w:rPr>
        <w:t>1、本课程为专业基础课，要求先修高等数学、概率与数理统计、线性代数课程，在教学中应注重将概率论的知识应用到误差分析与处理中，对概率论中的数学概念引申到误差理论中，使学生不仅具有数学的概念，也建立误差及工程应用的概念。</w:t>
      </w:r>
    </w:p>
    <w:p>
      <w:pPr>
        <w:spacing w:line="360" w:lineRule="auto"/>
        <w:ind w:firstLine="420" w:firstLineChars="200"/>
        <w:rPr>
          <w:szCs w:val="21"/>
        </w:rPr>
      </w:pPr>
      <w:r>
        <w:rPr>
          <w:rFonts w:hint="eastAsia"/>
          <w:szCs w:val="21"/>
        </w:rPr>
        <w:t>2、作为测控技术与仪器专业的专业基础课程，在讲授过程中应结合本课程的专业知识理解误差、精度等概念，为学生的综合应用提供帮助。</w:t>
      </w:r>
    </w:p>
    <w:p>
      <w:pPr>
        <w:spacing w:line="360" w:lineRule="auto"/>
        <w:ind w:firstLine="420" w:firstLineChars="200"/>
        <w:rPr>
          <w:szCs w:val="21"/>
        </w:rPr>
      </w:pPr>
      <w:r>
        <w:rPr>
          <w:rFonts w:hint="eastAsia"/>
          <w:szCs w:val="21"/>
        </w:rPr>
        <w:t>3、本课程具有严格的理论，也具有工程应用的特征。应要求学生对实际的测量过程和结果进行误差的分析，不能脱离实际的测量过程学习。</w:t>
      </w:r>
    </w:p>
    <w:p>
      <w:pPr>
        <w:spacing w:line="360" w:lineRule="auto"/>
        <w:ind w:firstLine="420" w:firstLineChars="200"/>
        <w:rPr>
          <w:szCs w:val="21"/>
        </w:rPr>
      </w:pPr>
      <w:r>
        <w:rPr>
          <w:szCs w:val="21"/>
        </w:rPr>
        <w:t>4</w:t>
      </w:r>
      <w:r>
        <w:rPr>
          <w:rFonts w:hint="eastAsia"/>
          <w:szCs w:val="21"/>
        </w:rPr>
        <w:t>、深度和广度说明：对误差的基本性质与处理方法的使用要深入讲解，对多元线性回归和方法只做简单介绍；非线性回归的原理了解即可，误差分析和不确定计算、最小二乘法和一元线性回归的掌握和使用是重点。</w:t>
      </w:r>
    </w:p>
    <w:p>
      <w:pPr>
        <w:spacing w:line="360" w:lineRule="auto"/>
        <w:ind w:firstLine="420" w:firstLineChars="200"/>
        <w:rPr>
          <w:szCs w:val="21"/>
        </w:rPr>
      </w:pPr>
      <w:r>
        <w:rPr>
          <w:szCs w:val="21"/>
        </w:rPr>
        <w:t>5、偏差说明：为了鼓励教师引入个人授课风格或者适应技术发展的紧迫性，本课程允许教师授课内容做适当调整，最大正偏差为</w:t>
      </w:r>
      <w:r>
        <w:rPr>
          <w:rFonts w:hint="eastAsia"/>
          <w:szCs w:val="21"/>
        </w:rPr>
        <w:t>10%，不允许负偏差。正偏差通过压缩同等内容的学时数来完成。特殊情况，最大正偏差和置换偏差累计可达到20%，但在开课前要申请专业责任人批准。（正偏差指大纲知识点不变，新增知识点；负偏差是大纲知识点减少；置换偏差是指大纲中部分知识点被其它类似知识点替换）。</w:t>
      </w:r>
    </w:p>
    <w:p>
      <w:pPr>
        <w:spacing w:line="360" w:lineRule="auto"/>
        <w:ind w:firstLine="420" w:firstLineChars="200"/>
        <w:rPr>
          <w:szCs w:val="21"/>
        </w:rPr>
      </w:pPr>
    </w:p>
    <w:p>
      <w:pPr>
        <w:tabs>
          <w:tab w:val="left" w:pos="420"/>
        </w:tabs>
        <w:spacing w:line="360" w:lineRule="auto"/>
        <w:ind w:left="420" w:hanging="420"/>
        <w:rPr>
          <w:rFonts w:eastAsia="黑体"/>
          <w:szCs w:val="21"/>
        </w:rPr>
      </w:pPr>
      <w:r>
        <w:rPr>
          <w:rFonts w:hint="eastAsia" w:eastAsia="黑体"/>
          <w:szCs w:val="21"/>
        </w:rPr>
        <w:t>四、教学内容和教学方法</w:t>
      </w:r>
    </w:p>
    <w:p>
      <w:pPr>
        <w:widowControl/>
        <w:spacing w:line="360" w:lineRule="auto"/>
        <w:ind w:firstLine="420" w:firstLineChars="200"/>
        <w:jc w:val="left"/>
      </w:pPr>
      <w:r>
        <w:rPr>
          <w:rFonts w:hint="eastAsia"/>
        </w:rPr>
        <w:t>本课程重点讲授的内容包括：随机误差的处理方法、系统误差的发现、粗大误差的判断准则；误差的合成、不确定度的报告、最小二乘法处理及回归分析等。其中误差的基本性质与处理、误差的合成与分配和测量不确定度为误差理论及处理内容，而最小二乘法及回归分析是误差理论下的数据处理方法。</w:t>
      </w:r>
    </w:p>
    <w:p>
      <w:pPr>
        <w:widowControl/>
        <w:spacing w:line="360" w:lineRule="auto"/>
        <w:ind w:firstLine="420" w:firstLineChars="200"/>
        <w:jc w:val="left"/>
        <w:rPr>
          <w:szCs w:val="21"/>
        </w:rPr>
      </w:pPr>
      <w:r>
        <w:rPr>
          <w:szCs w:val="21"/>
        </w:rPr>
        <w:t>本课程在教学方法上，充分利用各种媒体教学手段，采取课堂教学、多媒体课件、</w:t>
      </w:r>
      <w:r>
        <w:rPr>
          <w:rFonts w:hint="eastAsia"/>
          <w:szCs w:val="21"/>
        </w:rPr>
        <w:t>例题分析</w:t>
      </w:r>
      <w:r>
        <w:rPr>
          <w:szCs w:val="21"/>
        </w:rPr>
        <w:t>、分组</w:t>
      </w:r>
      <w:r>
        <w:rPr>
          <w:rFonts w:hint="eastAsia"/>
          <w:szCs w:val="21"/>
        </w:rPr>
        <w:t>讨论</w:t>
      </w:r>
      <w:r>
        <w:rPr>
          <w:szCs w:val="21"/>
        </w:rPr>
        <w:t>方式有机结合，提高教学效率。</w:t>
      </w:r>
    </w:p>
    <w:p>
      <w:pPr>
        <w:spacing w:line="360" w:lineRule="auto"/>
        <w:ind w:firstLine="420" w:firstLineChars="200"/>
        <w:rPr>
          <w:rFonts w:ascii="黑体" w:hAnsi="宋体" w:eastAsia="黑体"/>
          <w:szCs w:val="21"/>
        </w:rPr>
      </w:pPr>
    </w:p>
    <w:p>
      <w:pPr>
        <w:spacing w:line="360" w:lineRule="auto"/>
        <w:ind w:firstLine="420" w:firstLineChars="200"/>
        <w:rPr>
          <w:rFonts w:eastAsia="黑体"/>
          <w:szCs w:val="21"/>
        </w:rPr>
      </w:pPr>
      <w:r>
        <w:rPr>
          <w:rFonts w:eastAsia="黑体"/>
          <w:szCs w:val="21"/>
        </w:rPr>
        <w:t>1 绪论（2学时）</w:t>
      </w:r>
    </w:p>
    <w:p>
      <w:pPr>
        <w:spacing w:line="360" w:lineRule="auto"/>
        <w:ind w:firstLine="420" w:firstLineChars="200"/>
        <w:rPr>
          <w:szCs w:val="21"/>
        </w:rPr>
      </w:pPr>
      <w:r>
        <w:rPr>
          <w:szCs w:val="21"/>
        </w:rPr>
        <w:t>1.1、测量概论。</w:t>
      </w:r>
    </w:p>
    <w:p>
      <w:pPr>
        <w:spacing w:line="360" w:lineRule="auto"/>
        <w:ind w:firstLine="420" w:firstLineChars="200"/>
        <w:rPr>
          <w:szCs w:val="21"/>
        </w:rPr>
      </w:pPr>
      <w:r>
        <w:rPr>
          <w:szCs w:val="21"/>
        </w:rPr>
        <w:t>1.2、误差的基本概念。</w:t>
      </w:r>
    </w:p>
    <w:p>
      <w:pPr>
        <w:spacing w:line="360" w:lineRule="auto"/>
        <w:ind w:firstLine="420" w:firstLineChars="200"/>
        <w:rPr>
          <w:szCs w:val="21"/>
        </w:rPr>
      </w:pPr>
      <w:r>
        <w:rPr>
          <w:szCs w:val="21"/>
        </w:rPr>
        <w:t>1.3、有效数字与近似计算。</w:t>
      </w:r>
    </w:p>
    <w:p>
      <w:pPr>
        <w:widowControl/>
        <w:spacing w:line="360" w:lineRule="auto"/>
        <w:ind w:left="426"/>
        <w:jc w:val="left"/>
        <w:rPr>
          <w:snapToGrid w:val="0"/>
          <w:kern w:val="0"/>
          <w:szCs w:val="21"/>
        </w:rPr>
      </w:pPr>
      <w:r>
        <w:rPr>
          <w:snapToGrid w:val="0"/>
          <w:kern w:val="0"/>
          <w:szCs w:val="21"/>
        </w:rPr>
        <w:t>难点：精度与误差的关系。</w:t>
      </w:r>
    </w:p>
    <w:p>
      <w:pPr>
        <w:widowControl/>
        <w:spacing w:line="360" w:lineRule="auto"/>
        <w:ind w:left="426"/>
        <w:jc w:val="left"/>
        <w:rPr>
          <w:snapToGrid w:val="0"/>
          <w:kern w:val="0"/>
          <w:szCs w:val="21"/>
        </w:rPr>
      </w:pPr>
      <w:r>
        <w:rPr>
          <w:snapToGrid w:val="0"/>
          <w:kern w:val="0"/>
          <w:szCs w:val="21"/>
        </w:rPr>
        <w:t>重点：误差的分类及特征，为后续学习建立概念基础。</w:t>
      </w:r>
    </w:p>
    <w:p>
      <w:pPr>
        <w:widowControl/>
        <w:spacing w:line="360" w:lineRule="auto"/>
        <w:ind w:left="426"/>
        <w:jc w:val="left"/>
        <w:rPr>
          <w:szCs w:val="21"/>
        </w:rPr>
      </w:pPr>
      <w:r>
        <w:rPr>
          <w:bCs/>
          <w:snapToGrid w:val="0"/>
          <w:kern w:val="0"/>
          <w:szCs w:val="21"/>
        </w:rPr>
        <w:t>本章内容支撑课程目标1。</w:t>
      </w:r>
    </w:p>
    <w:p>
      <w:pPr>
        <w:spacing w:line="360" w:lineRule="auto"/>
        <w:ind w:firstLine="420" w:firstLineChars="200"/>
        <w:rPr>
          <w:rFonts w:eastAsia="黑体"/>
          <w:szCs w:val="21"/>
        </w:rPr>
      </w:pPr>
      <w:r>
        <w:rPr>
          <w:rFonts w:eastAsia="黑体"/>
          <w:szCs w:val="21"/>
        </w:rPr>
        <w:t>2 误差的基本性质与处理（10学时）</w:t>
      </w:r>
    </w:p>
    <w:p>
      <w:pPr>
        <w:spacing w:line="360" w:lineRule="auto"/>
        <w:ind w:left="424" w:leftChars="202"/>
        <w:rPr>
          <w:szCs w:val="21"/>
        </w:rPr>
      </w:pPr>
      <w:r>
        <w:rPr>
          <w:szCs w:val="21"/>
        </w:rPr>
        <w:t>2.1、随机误差及其特征；算术平均值、标准差和极限误差的计算方法；理解算术平均值、标准差和极限误差在随机误差处理中的意义；理解不等精度测量，以及不等精度测量数据的处理方法。</w:t>
      </w:r>
    </w:p>
    <w:p>
      <w:pPr>
        <w:spacing w:line="360" w:lineRule="auto"/>
        <w:ind w:firstLine="420" w:firstLineChars="200"/>
        <w:rPr>
          <w:szCs w:val="21"/>
        </w:rPr>
      </w:pPr>
      <w:r>
        <w:rPr>
          <w:szCs w:val="21"/>
        </w:rPr>
        <w:t>2.2、系统误差及其特征；学会系统误差发现的方法；学习系统误差的减小和消除方法。</w:t>
      </w:r>
      <w:r>
        <w:rPr>
          <w:szCs w:val="21"/>
        </w:rPr>
        <w:tab/>
      </w:r>
      <w:r>
        <w:rPr>
          <w:szCs w:val="21"/>
        </w:rPr>
        <w:t>2.3、粗大误差的防止与消除方法；学会粗大误差的判别准则。</w:t>
      </w:r>
    </w:p>
    <w:p>
      <w:pPr>
        <w:spacing w:line="360" w:lineRule="auto"/>
        <w:ind w:firstLine="420" w:firstLineChars="200"/>
        <w:rPr>
          <w:szCs w:val="21"/>
        </w:rPr>
      </w:pPr>
      <w:r>
        <w:rPr>
          <w:szCs w:val="21"/>
        </w:rPr>
        <w:t>2.4、基于三类误差的测量结果数据处理方法。</w:t>
      </w:r>
    </w:p>
    <w:p>
      <w:pPr>
        <w:widowControl/>
        <w:spacing w:line="360" w:lineRule="auto"/>
        <w:ind w:left="426"/>
        <w:jc w:val="left"/>
        <w:rPr>
          <w:snapToGrid w:val="0"/>
          <w:kern w:val="0"/>
          <w:szCs w:val="21"/>
        </w:rPr>
      </w:pPr>
      <w:r>
        <w:rPr>
          <w:snapToGrid w:val="0"/>
          <w:kern w:val="0"/>
          <w:szCs w:val="21"/>
        </w:rPr>
        <w:t>难点：不等精度测量下的误差处理；系统误差的消除方法。</w:t>
      </w:r>
    </w:p>
    <w:p>
      <w:pPr>
        <w:widowControl/>
        <w:spacing w:line="360" w:lineRule="auto"/>
        <w:ind w:left="426"/>
        <w:jc w:val="left"/>
        <w:rPr>
          <w:snapToGrid w:val="0"/>
          <w:kern w:val="0"/>
          <w:szCs w:val="21"/>
        </w:rPr>
      </w:pPr>
      <w:r>
        <w:rPr>
          <w:snapToGrid w:val="0"/>
          <w:kern w:val="0"/>
          <w:szCs w:val="21"/>
        </w:rPr>
        <w:t>重点：随机误差的处理、系统误差的发现及粗大误差的判断。</w:t>
      </w:r>
    </w:p>
    <w:p>
      <w:pPr>
        <w:widowControl/>
        <w:spacing w:line="360" w:lineRule="auto"/>
        <w:ind w:left="426"/>
        <w:jc w:val="left"/>
        <w:rPr>
          <w:szCs w:val="21"/>
        </w:rPr>
      </w:pPr>
      <w:r>
        <w:rPr>
          <w:bCs/>
          <w:snapToGrid w:val="0"/>
          <w:kern w:val="0"/>
          <w:szCs w:val="21"/>
        </w:rPr>
        <w:t>本章内容支撑课程目标1、2。</w:t>
      </w:r>
    </w:p>
    <w:p>
      <w:pPr>
        <w:spacing w:line="360" w:lineRule="auto"/>
        <w:ind w:firstLine="420" w:firstLineChars="200"/>
        <w:rPr>
          <w:rFonts w:eastAsia="黑体"/>
          <w:szCs w:val="21"/>
        </w:rPr>
      </w:pPr>
      <w:r>
        <w:rPr>
          <w:rFonts w:eastAsia="黑体"/>
          <w:szCs w:val="21"/>
        </w:rPr>
        <w:t>3 误差的合成与分配（6学时）</w:t>
      </w:r>
    </w:p>
    <w:p>
      <w:pPr>
        <w:spacing w:line="360" w:lineRule="auto"/>
        <w:ind w:firstLine="420" w:firstLineChars="200"/>
        <w:jc w:val="left"/>
        <w:rPr>
          <w:szCs w:val="21"/>
        </w:rPr>
      </w:pPr>
      <w:r>
        <w:rPr>
          <w:szCs w:val="21"/>
        </w:rPr>
        <w:t>3.1、函数误差及误差间的相关关系；学会函数系统误差和函数随机误差的计算方法。</w:t>
      </w:r>
    </w:p>
    <w:p>
      <w:pPr>
        <w:spacing w:line="360" w:lineRule="auto"/>
        <w:ind w:firstLine="420" w:firstLineChars="200"/>
        <w:rPr>
          <w:szCs w:val="21"/>
        </w:rPr>
      </w:pPr>
      <w:r>
        <w:rPr>
          <w:szCs w:val="21"/>
        </w:rPr>
        <w:t>3.2、随机误差的合成方法；按标准差和极限误差合成随机误差的计算方法。</w:t>
      </w:r>
    </w:p>
    <w:p>
      <w:pPr>
        <w:spacing w:line="360" w:lineRule="auto"/>
        <w:ind w:firstLine="420" w:firstLineChars="200"/>
        <w:rPr>
          <w:szCs w:val="21"/>
        </w:rPr>
      </w:pPr>
      <w:r>
        <w:rPr>
          <w:szCs w:val="21"/>
        </w:rPr>
        <w:t>3.3、系统误差的合成方法；已定系统误差和未定系统误差合成的计算方法。</w:t>
      </w:r>
    </w:p>
    <w:p>
      <w:pPr>
        <w:spacing w:line="360" w:lineRule="auto"/>
        <w:ind w:firstLine="420" w:firstLineChars="200"/>
        <w:rPr>
          <w:szCs w:val="21"/>
        </w:rPr>
      </w:pPr>
      <w:r>
        <w:rPr>
          <w:szCs w:val="21"/>
        </w:rPr>
        <w:t>3.4、系统误差与随机误差的合成。</w:t>
      </w:r>
    </w:p>
    <w:p>
      <w:pPr>
        <w:spacing w:line="360" w:lineRule="auto"/>
        <w:ind w:firstLine="420" w:firstLineChars="200"/>
        <w:rPr>
          <w:szCs w:val="21"/>
        </w:rPr>
      </w:pPr>
      <w:r>
        <w:rPr>
          <w:szCs w:val="21"/>
        </w:rPr>
        <w:t>3.5、误差的分配概念；误差分配的原则和步骤。</w:t>
      </w:r>
    </w:p>
    <w:p>
      <w:pPr>
        <w:spacing w:line="360" w:lineRule="auto"/>
        <w:ind w:firstLine="420" w:firstLineChars="200"/>
        <w:rPr>
          <w:szCs w:val="21"/>
        </w:rPr>
      </w:pPr>
      <w:r>
        <w:rPr>
          <w:szCs w:val="21"/>
        </w:rPr>
        <w:t>3.6、微小误差的含义，微小误差的取舍准则。</w:t>
      </w:r>
    </w:p>
    <w:p>
      <w:pPr>
        <w:spacing w:line="360" w:lineRule="auto"/>
        <w:ind w:firstLine="420" w:firstLineChars="200"/>
        <w:rPr>
          <w:szCs w:val="21"/>
        </w:rPr>
      </w:pPr>
      <w:r>
        <w:rPr>
          <w:szCs w:val="21"/>
        </w:rPr>
        <w:t>3.7、最佳测量方案确定的方法。</w:t>
      </w:r>
    </w:p>
    <w:p>
      <w:pPr>
        <w:widowControl/>
        <w:spacing w:line="360" w:lineRule="auto"/>
        <w:ind w:left="426"/>
        <w:jc w:val="left"/>
        <w:rPr>
          <w:snapToGrid w:val="0"/>
          <w:kern w:val="0"/>
          <w:szCs w:val="21"/>
        </w:rPr>
      </w:pPr>
      <w:r>
        <w:rPr>
          <w:snapToGrid w:val="0"/>
          <w:kern w:val="0"/>
          <w:szCs w:val="21"/>
        </w:rPr>
        <w:t>难点：未定系统误差的合成方法。</w:t>
      </w:r>
    </w:p>
    <w:p>
      <w:pPr>
        <w:widowControl/>
        <w:spacing w:line="360" w:lineRule="auto"/>
        <w:ind w:left="426"/>
        <w:jc w:val="left"/>
        <w:rPr>
          <w:snapToGrid w:val="0"/>
          <w:kern w:val="0"/>
          <w:szCs w:val="21"/>
        </w:rPr>
      </w:pPr>
      <w:r>
        <w:rPr>
          <w:snapToGrid w:val="0"/>
          <w:kern w:val="0"/>
          <w:szCs w:val="21"/>
        </w:rPr>
        <w:t>重点：两类误差的合成公式及应用，误差分配的步骤。</w:t>
      </w:r>
    </w:p>
    <w:p>
      <w:pPr>
        <w:widowControl/>
        <w:spacing w:line="360" w:lineRule="auto"/>
        <w:ind w:left="426"/>
        <w:jc w:val="left"/>
        <w:rPr>
          <w:szCs w:val="21"/>
        </w:rPr>
      </w:pPr>
      <w:r>
        <w:rPr>
          <w:bCs/>
          <w:snapToGrid w:val="0"/>
          <w:kern w:val="0"/>
          <w:szCs w:val="21"/>
        </w:rPr>
        <w:t>本章内容支撑课程目标1、2、4</w:t>
      </w:r>
      <w:r>
        <w:rPr>
          <w:bCs/>
          <w:snapToGrid w:val="0"/>
          <w:color w:val="FF0000"/>
          <w:kern w:val="0"/>
          <w:szCs w:val="21"/>
        </w:rPr>
        <w:t>。</w:t>
      </w:r>
    </w:p>
    <w:p>
      <w:pPr>
        <w:spacing w:line="360" w:lineRule="auto"/>
        <w:ind w:left="447" w:leftChars="213"/>
        <w:rPr>
          <w:rFonts w:eastAsia="黑体"/>
          <w:szCs w:val="21"/>
        </w:rPr>
      </w:pPr>
      <w:r>
        <w:rPr>
          <w:rFonts w:eastAsia="黑体"/>
          <w:szCs w:val="21"/>
        </w:rPr>
        <w:t>4 测量不确定度（6学时）</w:t>
      </w:r>
    </w:p>
    <w:p>
      <w:pPr>
        <w:spacing w:line="360" w:lineRule="auto"/>
        <w:ind w:firstLine="420" w:firstLineChars="200"/>
        <w:rPr>
          <w:szCs w:val="21"/>
        </w:rPr>
      </w:pPr>
      <w:r>
        <w:rPr>
          <w:szCs w:val="21"/>
        </w:rPr>
        <w:t>4.1、测量不确定度的含义；测量不确定度与误差的区别。</w:t>
      </w:r>
    </w:p>
    <w:p>
      <w:pPr>
        <w:spacing w:line="360" w:lineRule="auto"/>
        <w:ind w:firstLine="420" w:firstLineChars="200"/>
        <w:rPr>
          <w:szCs w:val="21"/>
        </w:rPr>
      </w:pPr>
      <w:r>
        <w:rPr>
          <w:szCs w:val="21"/>
        </w:rPr>
        <w:t>4.2、标准不确定度的评定方法；自由度的计算方法。</w:t>
      </w:r>
    </w:p>
    <w:p>
      <w:pPr>
        <w:spacing w:line="360" w:lineRule="auto"/>
        <w:ind w:firstLine="420" w:firstLineChars="200"/>
        <w:rPr>
          <w:szCs w:val="21"/>
        </w:rPr>
      </w:pPr>
      <w:r>
        <w:rPr>
          <w:szCs w:val="21"/>
        </w:rPr>
        <w:t>4.3、测量不确定度的合成方法，展伸不确定度。</w:t>
      </w:r>
    </w:p>
    <w:p>
      <w:pPr>
        <w:spacing w:line="360" w:lineRule="auto"/>
        <w:ind w:firstLine="420" w:firstLineChars="200"/>
        <w:rPr>
          <w:szCs w:val="21"/>
        </w:rPr>
      </w:pPr>
      <w:r>
        <w:rPr>
          <w:szCs w:val="21"/>
        </w:rPr>
        <w:t>4.4、测量不确定度的计算方法；不同测量实例的处理方法。</w:t>
      </w:r>
    </w:p>
    <w:p>
      <w:pPr>
        <w:widowControl/>
        <w:spacing w:line="360" w:lineRule="auto"/>
        <w:ind w:left="426"/>
        <w:jc w:val="left"/>
        <w:rPr>
          <w:snapToGrid w:val="0"/>
          <w:kern w:val="0"/>
          <w:szCs w:val="21"/>
        </w:rPr>
      </w:pPr>
      <w:r>
        <w:rPr>
          <w:snapToGrid w:val="0"/>
          <w:kern w:val="0"/>
          <w:szCs w:val="21"/>
        </w:rPr>
        <w:t>难点：不确定度的来源分析。</w:t>
      </w:r>
    </w:p>
    <w:p>
      <w:pPr>
        <w:widowControl/>
        <w:spacing w:line="360" w:lineRule="auto"/>
        <w:ind w:left="426"/>
        <w:jc w:val="left"/>
        <w:rPr>
          <w:snapToGrid w:val="0"/>
          <w:kern w:val="0"/>
          <w:szCs w:val="21"/>
        </w:rPr>
      </w:pPr>
      <w:r>
        <w:rPr>
          <w:snapToGrid w:val="0"/>
          <w:kern w:val="0"/>
          <w:szCs w:val="21"/>
        </w:rPr>
        <w:t>重点：不确定度的评定方法，不确定度合成及自由度计算。</w:t>
      </w:r>
    </w:p>
    <w:p>
      <w:pPr>
        <w:widowControl/>
        <w:spacing w:line="360" w:lineRule="auto"/>
        <w:ind w:left="426"/>
        <w:jc w:val="left"/>
        <w:rPr>
          <w:szCs w:val="21"/>
        </w:rPr>
      </w:pPr>
      <w:r>
        <w:rPr>
          <w:bCs/>
          <w:snapToGrid w:val="0"/>
          <w:kern w:val="0"/>
          <w:szCs w:val="21"/>
        </w:rPr>
        <w:t>本章内容支撑课程目标1、2、4</w:t>
      </w:r>
      <w:r>
        <w:rPr>
          <w:bCs/>
          <w:snapToGrid w:val="0"/>
          <w:color w:val="FF0000"/>
          <w:kern w:val="0"/>
          <w:szCs w:val="21"/>
        </w:rPr>
        <w:t>。</w:t>
      </w:r>
    </w:p>
    <w:p>
      <w:pPr>
        <w:spacing w:line="360" w:lineRule="auto"/>
        <w:ind w:left="447" w:leftChars="213"/>
        <w:rPr>
          <w:rFonts w:eastAsia="黑体"/>
          <w:szCs w:val="21"/>
        </w:rPr>
      </w:pPr>
      <w:r>
        <w:rPr>
          <w:rFonts w:eastAsia="黑体"/>
          <w:szCs w:val="21"/>
        </w:rPr>
        <w:t>5 线性参数的最小二乘法处理（6学时）</w:t>
      </w:r>
    </w:p>
    <w:p>
      <w:pPr>
        <w:spacing w:line="360" w:lineRule="auto"/>
        <w:ind w:firstLine="420" w:firstLineChars="200"/>
        <w:rPr>
          <w:b/>
          <w:szCs w:val="21"/>
        </w:rPr>
      </w:pPr>
      <w:r>
        <w:rPr>
          <w:szCs w:val="21"/>
        </w:rPr>
        <w:t>5.1、最小二乘法原理；最小二乘法用到的矩阵知识。</w:t>
      </w:r>
    </w:p>
    <w:p>
      <w:pPr>
        <w:spacing w:line="360" w:lineRule="auto"/>
        <w:ind w:left="424" w:leftChars="202"/>
        <w:rPr>
          <w:szCs w:val="21"/>
        </w:rPr>
      </w:pPr>
      <w:r>
        <w:rPr>
          <w:szCs w:val="21"/>
        </w:rPr>
        <w:t>5.2、正规方程的含义；线性参数最小二乘法处理的正规方程计算；不等精度下的线性参数最小二乘法处理的正规方程计算方法。</w:t>
      </w:r>
    </w:p>
    <w:p>
      <w:pPr>
        <w:spacing w:line="360" w:lineRule="auto"/>
        <w:ind w:firstLine="420" w:firstLineChars="200"/>
        <w:rPr>
          <w:szCs w:val="21"/>
        </w:rPr>
      </w:pPr>
      <w:r>
        <w:rPr>
          <w:szCs w:val="21"/>
        </w:rPr>
        <w:t>5.3、最小二乘法估计量的精度估计。</w:t>
      </w:r>
    </w:p>
    <w:p>
      <w:pPr>
        <w:spacing w:line="360" w:lineRule="auto"/>
        <w:ind w:firstLine="420" w:firstLineChars="200"/>
        <w:rPr>
          <w:szCs w:val="21"/>
        </w:rPr>
      </w:pPr>
      <w:r>
        <w:rPr>
          <w:szCs w:val="21"/>
        </w:rPr>
        <w:t>5.4、组合测量的最小二乘法处理方法。</w:t>
      </w:r>
    </w:p>
    <w:p>
      <w:pPr>
        <w:widowControl/>
        <w:spacing w:line="360" w:lineRule="auto"/>
        <w:ind w:left="426"/>
        <w:jc w:val="left"/>
        <w:rPr>
          <w:snapToGrid w:val="0"/>
          <w:kern w:val="0"/>
          <w:szCs w:val="21"/>
        </w:rPr>
      </w:pPr>
      <w:r>
        <w:rPr>
          <w:snapToGrid w:val="0"/>
          <w:kern w:val="0"/>
          <w:szCs w:val="21"/>
        </w:rPr>
        <w:t>难点：最小二乘法估计值的精度估计。</w:t>
      </w:r>
    </w:p>
    <w:p>
      <w:pPr>
        <w:widowControl/>
        <w:spacing w:line="360" w:lineRule="auto"/>
        <w:ind w:left="426"/>
        <w:jc w:val="left"/>
        <w:rPr>
          <w:snapToGrid w:val="0"/>
          <w:kern w:val="0"/>
          <w:szCs w:val="21"/>
        </w:rPr>
      </w:pPr>
      <w:r>
        <w:rPr>
          <w:snapToGrid w:val="0"/>
          <w:kern w:val="0"/>
          <w:szCs w:val="21"/>
        </w:rPr>
        <w:t>重点：建立正规方程，计算最佳估计值的精度。</w:t>
      </w:r>
    </w:p>
    <w:p>
      <w:pPr>
        <w:widowControl/>
        <w:spacing w:line="360" w:lineRule="auto"/>
        <w:ind w:left="426"/>
        <w:jc w:val="left"/>
        <w:rPr>
          <w:szCs w:val="21"/>
        </w:rPr>
      </w:pPr>
      <w:r>
        <w:rPr>
          <w:bCs/>
          <w:snapToGrid w:val="0"/>
          <w:kern w:val="0"/>
          <w:szCs w:val="21"/>
        </w:rPr>
        <w:t>本章内容支撑课程目标3</w:t>
      </w:r>
      <w:r>
        <w:rPr>
          <w:bCs/>
          <w:snapToGrid w:val="0"/>
          <w:color w:val="FF0000"/>
          <w:kern w:val="0"/>
          <w:szCs w:val="21"/>
        </w:rPr>
        <w:t>。</w:t>
      </w:r>
    </w:p>
    <w:p>
      <w:pPr>
        <w:spacing w:line="360" w:lineRule="auto"/>
        <w:ind w:left="447" w:leftChars="213"/>
        <w:rPr>
          <w:rFonts w:eastAsia="黑体"/>
          <w:szCs w:val="21"/>
        </w:rPr>
      </w:pPr>
      <w:r>
        <w:rPr>
          <w:rFonts w:eastAsia="黑体"/>
          <w:szCs w:val="21"/>
        </w:rPr>
        <w:t>6 回归分析（6学时）</w:t>
      </w:r>
    </w:p>
    <w:p>
      <w:pPr>
        <w:spacing w:line="360" w:lineRule="auto"/>
        <w:ind w:firstLine="420" w:firstLineChars="200"/>
        <w:rPr>
          <w:szCs w:val="21"/>
        </w:rPr>
      </w:pPr>
      <w:r>
        <w:rPr>
          <w:szCs w:val="21"/>
        </w:rPr>
        <w:t>6.1、回归分析的基本概念；回归分析与最小二乘法的关系。</w:t>
      </w:r>
    </w:p>
    <w:p>
      <w:pPr>
        <w:spacing w:line="360" w:lineRule="auto"/>
        <w:ind w:left="424" w:leftChars="202"/>
        <w:rPr>
          <w:szCs w:val="21"/>
        </w:rPr>
      </w:pPr>
      <w:r>
        <w:rPr>
          <w:szCs w:val="21"/>
        </w:rPr>
        <w:t>6.2、一元线性回归；学会一元线性回归的方程的计算。学习回归方程的方差分析和显著性检验。</w:t>
      </w:r>
    </w:p>
    <w:p>
      <w:pPr>
        <w:widowControl/>
        <w:spacing w:line="360" w:lineRule="auto"/>
        <w:ind w:firstLine="420" w:firstLineChars="200"/>
        <w:jc w:val="left"/>
        <w:rPr>
          <w:szCs w:val="21"/>
        </w:rPr>
      </w:pPr>
      <w:r>
        <w:rPr>
          <w:szCs w:val="21"/>
        </w:rPr>
        <w:t>6.3、学习一元非线性回归，多元线性回归。</w:t>
      </w:r>
    </w:p>
    <w:p>
      <w:pPr>
        <w:widowControl/>
        <w:spacing w:line="360" w:lineRule="auto"/>
        <w:ind w:left="426"/>
        <w:jc w:val="left"/>
        <w:rPr>
          <w:snapToGrid w:val="0"/>
          <w:kern w:val="0"/>
          <w:szCs w:val="21"/>
        </w:rPr>
      </w:pPr>
      <w:r>
        <w:rPr>
          <w:snapToGrid w:val="0"/>
          <w:kern w:val="0"/>
          <w:szCs w:val="21"/>
        </w:rPr>
        <w:t>难点：回归方程的</w:t>
      </w:r>
      <w:r>
        <w:rPr>
          <w:szCs w:val="21"/>
        </w:rPr>
        <w:t>显著性检验</w:t>
      </w:r>
      <w:r>
        <w:rPr>
          <w:snapToGrid w:val="0"/>
          <w:kern w:val="0"/>
          <w:szCs w:val="21"/>
        </w:rPr>
        <w:t>。</w:t>
      </w:r>
    </w:p>
    <w:p>
      <w:pPr>
        <w:widowControl/>
        <w:spacing w:line="360" w:lineRule="auto"/>
        <w:ind w:left="426"/>
        <w:jc w:val="left"/>
        <w:rPr>
          <w:snapToGrid w:val="0"/>
          <w:kern w:val="0"/>
          <w:szCs w:val="21"/>
        </w:rPr>
      </w:pPr>
      <w:r>
        <w:rPr>
          <w:snapToGrid w:val="0"/>
          <w:kern w:val="0"/>
          <w:szCs w:val="21"/>
        </w:rPr>
        <w:t>重点：</w:t>
      </w:r>
      <w:r>
        <w:rPr>
          <w:szCs w:val="21"/>
        </w:rPr>
        <w:t>回归分析与最小二乘法的区别与联系</w:t>
      </w:r>
      <w:r>
        <w:rPr>
          <w:snapToGrid w:val="0"/>
          <w:kern w:val="0"/>
          <w:szCs w:val="21"/>
        </w:rPr>
        <w:t>，应用最小二乘法进行回归分析。</w:t>
      </w:r>
    </w:p>
    <w:p>
      <w:pPr>
        <w:widowControl/>
        <w:spacing w:line="360" w:lineRule="auto"/>
        <w:ind w:left="426"/>
        <w:jc w:val="left"/>
        <w:rPr>
          <w:szCs w:val="21"/>
        </w:rPr>
      </w:pPr>
      <w:r>
        <w:rPr>
          <w:bCs/>
          <w:snapToGrid w:val="0"/>
          <w:kern w:val="0"/>
          <w:szCs w:val="21"/>
        </w:rPr>
        <w:t>本章内容支撑课程目标3。</w:t>
      </w:r>
    </w:p>
    <w:p>
      <w:pPr>
        <w:spacing w:line="360" w:lineRule="auto"/>
        <w:ind w:left="447" w:leftChars="213"/>
        <w:jc w:val="left"/>
        <w:rPr>
          <w:rFonts w:eastAsia="黑体"/>
          <w:szCs w:val="21"/>
        </w:rPr>
      </w:pPr>
      <w:r>
        <w:rPr>
          <w:rFonts w:eastAsia="黑体"/>
          <w:szCs w:val="21"/>
        </w:rPr>
        <w:t>7 基于软件的误差处理（4学时）</w:t>
      </w:r>
    </w:p>
    <w:p>
      <w:pPr>
        <w:spacing w:line="360" w:lineRule="auto"/>
        <w:rPr>
          <w:szCs w:val="21"/>
        </w:rPr>
      </w:pPr>
      <w:r>
        <w:rPr>
          <w:szCs w:val="21"/>
        </w:rPr>
        <w:t xml:space="preserve">    7.1、学习一种数据处理软件(MatLAB等)。</w:t>
      </w:r>
    </w:p>
    <w:p>
      <w:pPr>
        <w:spacing w:line="360" w:lineRule="auto"/>
        <w:rPr>
          <w:szCs w:val="21"/>
        </w:rPr>
      </w:pPr>
      <w:r>
        <w:rPr>
          <w:szCs w:val="21"/>
        </w:rPr>
        <w:t xml:space="preserve">    7.2、利用软件对测量结果进行误差和精度分析。</w:t>
      </w:r>
    </w:p>
    <w:p>
      <w:pPr>
        <w:spacing w:line="360" w:lineRule="auto"/>
        <w:rPr>
          <w:szCs w:val="21"/>
        </w:rPr>
      </w:pPr>
      <w:r>
        <w:rPr>
          <w:szCs w:val="21"/>
        </w:rPr>
        <w:t xml:space="preserve">    7.3、利用软件对实验数据进行拟合处理，根据测试应用进行处理(如传感器标定)。</w:t>
      </w:r>
    </w:p>
    <w:p>
      <w:pPr>
        <w:widowControl/>
        <w:spacing w:line="360" w:lineRule="auto"/>
        <w:ind w:left="426"/>
        <w:jc w:val="left"/>
        <w:rPr>
          <w:snapToGrid w:val="0"/>
          <w:kern w:val="0"/>
          <w:szCs w:val="21"/>
        </w:rPr>
      </w:pPr>
      <w:r>
        <w:rPr>
          <w:snapToGrid w:val="0"/>
          <w:kern w:val="0"/>
          <w:szCs w:val="21"/>
        </w:rPr>
        <w:t>难点：对一种实际的测量过程及结果分析，与误差分析方法相联系。</w:t>
      </w:r>
    </w:p>
    <w:p>
      <w:pPr>
        <w:widowControl/>
        <w:spacing w:line="360" w:lineRule="auto"/>
        <w:ind w:left="426"/>
        <w:jc w:val="left"/>
        <w:rPr>
          <w:snapToGrid w:val="0"/>
          <w:kern w:val="0"/>
          <w:szCs w:val="21"/>
        </w:rPr>
      </w:pPr>
      <w:r>
        <w:rPr>
          <w:snapToGrid w:val="0"/>
          <w:kern w:val="0"/>
          <w:szCs w:val="21"/>
        </w:rPr>
        <w:t>重点：利用软件分析处理实际的测量数据。</w:t>
      </w:r>
    </w:p>
    <w:p>
      <w:pPr>
        <w:adjustRightInd w:val="0"/>
        <w:snapToGrid w:val="0"/>
        <w:spacing w:line="360" w:lineRule="auto"/>
        <w:ind w:firstLine="420" w:firstLineChars="200"/>
        <w:rPr>
          <w:bCs/>
          <w:snapToGrid w:val="0"/>
          <w:color w:val="FF0000"/>
          <w:kern w:val="0"/>
          <w:szCs w:val="21"/>
        </w:rPr>
      </w:pPr>
      <w:r>
        <w:rPr>
          <w:bCs/>
          <w:snapToGrid w:val="0"/>
          <w:kern w:val="0"/>
          <w:szCs w:val="21"/>
        </w:rPr>
        <w:t>本章内容支撑课程目标1、2。</w:t>
      </w:r>
    </w:p>
    <w:p>
      <w:pPr>
        <w:adjustRightInd w:val="0"/>
        <w:snapToGrid w:val="0"/>
        <w:spacing w:line="360" w:lineRule="auto"/>
        <w:ind w:firstLine="482" w:firstLineChars="200"/>
        <w:rPr>
          <w:b/>
          <w:sz w:val="24"/>
          <w:szCs w:val="24"/>
        </w:rPr>
      </w:pPr>
    </w:p>
    <w:p>
      <w:pPr>
        <w:tabs>
          <w:tab w:val="left" w:pos="420"/>
        </w:tabs>
        <w:adjustRightInd w:val="0"/>
        <w:snapToGrid w:val="0"/>
        <w:spacing w:line="360" w:lineRule="auto"/>
        <w:ind w:left="420" w:hanging="420"/>
        <w:rPr>
          <w:rFonts w:eastAsia="黑体"/>
          <w:szCs w:val="24"/>
        </w:rPr>
      </w:pPr>
      <w:r>
        <w:rPr>
          <w:rFonts w:hint="eastAsia" w:eastAsia="黑体"/>
          <w:szCs w:val="24"/>
        </w:rPr>
        <w:t>五、实验内容</w:t>
      </w:r>
    </w:p>
    <w:p>
      <w:pPr>
        <w:adjustRightInd w:val="0"/>
        <w:snapToGrid w:val="0"/>
        <w:spacing w:line="360" w:lineRule="auto"/>
        <w:ind w:firstLine="420" w:firstLineChars="200"/>
        <w:rPr>
          <w:rFonts w:cs="宋体"/>
          <w:bCs/>
          <w:snapToGrid w:val="0"/>
          <w:color w:val="FF0000"/>
          <w:kern w:val="0"/>
          <w:szCs w:val="21"/>
        </w:rPr>
      </w:pPr>
      <w:r>
        <w:rPr>
          <w:rFonts w:hint="eastAsia" w:cs="宋体"/>
          <w:kern w:val="0"/>
          <w:szCs w:val="21"/>
        </w:rPr>
        <w:t>无</w:t>
      </w:r>
    </w:p>
    <w:p>
      <w:pPr>
        <w:spacing w:line="360" w:lineRule="auto"/>
        <w:rPr>
          <w:szCs w:val="21"/>
        </w:rPr>
      </w:pPr>
    </w:p>
    <w:p>
      <w:pPr>
        <w:widowControl/>
        <w:spacing w:line="360" w:lineRule="auto"/>
        <w:jc w:val="left"/>
        <w:rPr>
          <w:rFonts w:ascii="黑体" w:hAnsi="宋体" w:eastAsia="黑体" w:cs="宋体"/>
          <w:kern w:val="0"/>
          <w:szCs w:val="21"/>
        </w:rPr>
      </w:pPr>
      <w:r>
        <w:rPr>
          <w:rFonts w:hint="eastAsia" w:ascii="黑体" w:hAnsi="宋体" w:eastAsia="黑体" w:cs="宋体"/>
          <w:kern w:val="0"/>
          <w:szCs w:val="21"/>
        </w:rPr>
        <w:t>六、学时分配</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236"/>
        <w:gridCol w:w="2204"/>
        <w:gridCol w:w="1655"/>
        <w:gridCol w:w="143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897" w:type="pct"/>
            <w:vAlign w:val="center"/>
          </w:tcPr>
          <w:p>
            <w:pPr>
              <w:adjustRightInd w:val="0"/>
              <w:snapToGrid w:val="0"/>
              <w:jc w:val="center"/>
              <w:rPr>
                <w:sz w:val="18"/>
                <w:szCs w:val="18"/>
              </w:rPr>
            </w:pPr>
            <w:r>
              <w:rPr>
                <w:sz w:val="18"/>
                <w:szCs w:val="18"/>
              </w:rPr>
              <w:t>知识点及内容</w:t>
            </w:r>
          </w:p>
        </w:tc>
        <w:tc>
          <w:tcPr>
            <w:tcW w:w="1292" w:type="pct"/>
            <w:vAlign w:val="center"/>
          </w:tcPr>
          <w:p>
            <w:pPr>
              <w:adjustRightInd w:val="0"/>
              <w:snapToGrid w:val="0"/>
              <w:jc w:val="center"/>
              <w:rPr>
                <w:sz w:val="18"/>
                <w:szCs w:val="18"/>
              </w:rPr>
            </w:pPr>
            <w:r>
              <w:rPr>
                <w:sz w:val="18"/>
                <w:szCs w:val="18"/>
              </w:rPr>
              <w:t>讲授（学时）</w:t>
            </w:r>
          </w:p>
        </w:tc>
        <w:tc>
          <w:tcPr>
            <w:tcW w:w="970" w:type="pct"/>
            <w:vAlign w:val="center"/>
          </w:tcPr>
          <w:p>
            <w:pPr>
              <w:adjustRightInd w:val="0"/>
              <w:snapToGrid w:val="0"/>
              <w:jc w:val="center"/>
              <w:rPr>
                <w:sz w:val="18"/>
                <w:szCs w:val="18"/>
              </w:rPr>
            </w:pPr>
            <w:r>
              <w:rPr>
                <w:sz w:val="18"/>
                <w:szCs w:val="18"/>
              </w:rPr>
              <w:t>实验（学时）</w:t>
            </w:r>
          </w:p>
        </w:tc>
        <w:tc>
          <w:tcPr>
            <w:tcW w:w="840" w:type="pct"/>
            <w:vAlign w:val="center"/>
          </w:tcPr>
          <w:p>
            <w:pPr>
              <w:adjustRightInd w:val="0"/>
              <w:snapToGrid w:val="0"/>
              <w:jc w:val="center"/>
              <w:rPr>
                <w:sz w:val="18"/>
                <w:szCs w:val="18"/>
              </w:rPr>
            </w:pPr>
            <w:r>
              <w:rPr>
                <w:sz w:val="18"/>
                <w:szCs w:val="18"/>
              </w:rPr>
              <w:t>小计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897" w:type="pct"/>
            <w:vAlign w:val="center"/>
          </w:tcPr>
          <w:p>
            <w:pPr>
              <w:adjustRightInd w:val="0"/>
              <w:snapToGrid w:val="0"/>
              <w:jc w:val="center"/>
              <w:rPr>
                <w:sz w:val="18"/>
                <w:szCs w:val="18"/>
              </w:rPr>
            </w:pPr>
            <w:r>
              <w:rPr>
                <w:sz w:val="18"/>
                <w:szCs w:val="18"/>
              </w:rPr>
              <w:t>1 绪论</w:t>
            </w:r>
          </w:p>
        </w:tc>
        <w:tc>
          <w:tcPr>
            <w:tcW w:w="1292" w:type="pct"/>
            <w:vAlign w:val="center"/>
          </w:tcPr>
          <w:p>
            <w:pPr>
              <w:adjustRightInd w:val="0"/>
              <w:snapToGrid w:val="0"/>
              <w:jc w:val="center"/>
              <w:rPr>
                <w:sz w:val="18"/>
                <w:szCs w:val="18"/>
              </w:rPr>
            </w:pPr>
            <w:r>
              <w:rPr>
                <w:sz w:val="18"/>
                <w:szCs w:val="18"/>
              </w:rPr>
              <w:t>2</w:t>
            </w:r>
          </w:p>
        </w:tc>
        <w:tc>
          <w:tcPr>
            <w:tcW w:w="970" w:type="pct"/>
            <w:vAlign w:val="center"/>
          </w:tcPr>
          <w:p>
            <w:pPr>
              <w:adjustRightInd w:val="0"/>
              <w:snapToGrid w:val="0"/>
              <w:jc w:val="center"/>
              <w:rPr>
                <w:sz w:val="18"/>
                <w:szCs w:val="18"/>
              </w:rPr>
            </w:pPr>
            <w:r>
              <w:rPr>
                <w:sz w:val="18"/>
                <w:szCs w:val="18"/>
              </w:rPr>
              <w:t>0</w:t>
            </w:r>
          </w:p>
        </w:tc>
        <w:tc>
          <w:tcPr>
            <w:tcW w:w="840" w:type="pct"/>
            <w:vAlign w:val="center"/>
          </w:tcPr>
          <w:p>
            <w:pPr>
              <w:adjustRightInd w:val="0"/>
              <w:snapToGrid w:val="0"/>
              <w:jc w:val="center"/>
              <w:rPr>
                <w:sz w:val="18"/>
                <w:szCs w:val="18"/>
              </w:rPr>
            </w:pPr>
            <w:r>
              <w:rPr>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897" w:type="pct"/>
            <w:vAlign w:val="center"/>
          </w:tcPr>
          <w:p>
            <w:pPr>
              <w:adjustRightInd w:val="0"/>
              <w:snapToGrid w:val="0"/>
              <w:jc w:val="center"/>
              <w:rPr>
                <w:sz w:val="18"/>
                <w:szCs w:val="18"/>
              </w:rPr>
            </w:pPr>
            <w:r>
              <w:rPr>
                <w:sz w:val="18"/>
                <w:szCs w:val="18"/>
              </w:rPr>
              <w:t>2 误差的基本性质与处理</w:t>
            </w:r>
          </w:p>
        </w:tc>
        <w:tc>
          <w:tcPr>
            <w:tcW w:w="1292" w:type="pct"/>
            <w:vAlign w:val="center"/>
          </w:tcPr>
          <w:p>
            <w:pPr>
              <w:adjustRightInd w:val="0"/>
              <w:snapToGrid w:val="0"/>
              <w:jc w:val="center"/>
              <w:rPr>
                <w:sz w:val="18"/>
                <w:szCs w:val="18"/>
              </w:rPr>
            </w:pPr>
            <w:r>
              <w:rPr>
                <w:sz w:val="18"/>
                <w:szCs w:val="18"/>
              </w:rPr>
              <w:t>10</w:t>
            </w:r>
          </w:p>
        </w:tc>
        <w:tc>
          <w:tcPr>
            <w:tcW w:w="970" w:type="pct"/>
            <w:vAlign w:val="center"/>
          </w:tcPr>
          <w:p>
            <w:pPr>
              <w:adjustRightInd w:val="0"/>
              <w:snapToGrid w:val="0"/>
              <w:jc w:val="center"/>
              <w:rPr>
                <w:sz w:val="18"/>
                <w:szCs w:val="18"/>
              </w:rPr>
            </w:pPr>
            <w:r>
              <w:rPr>
                <w:sz w:val="18"/>
                <w:szCs w:val="18"/>
              </w:rPr>
              <w:t>0</w:t>
            </w:r>
          </w:p>
        </w:tc>
        <w:tc>
          <w:tcPr>
            <w:tcW w:w="840" w:type="pct"/>
            <w:vAlign w:val="center"/>
          </w:tcPr>
          <w:p>
            <w:pPr>
              <w:adjustRightInd w:val="0"/>
              <w:snapToGrid w:val="0"/>
              <w:jc w:val="center"/>
              <w:rPr>
                <w:sz w:val="18"/>
                <w:szCs w:val="18"/>
              </w:rPr>
            </w:pPr>
            <w:r>
              <w:rPr>
                <w:sz w:val="18"/>
                <w:szCs w:val="18"/>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897" w:type="pct"/>
            <w:vAlign w:val="center"/>
          </w:tcPr>
          <w:p>
            <w:pPr>
              <w:adjustRightInd w:val="0"/>
              <w:snapToGrid w:val="0"/>
              <w:jc w:val="center"/>
              <w:rPr>
                <w:sz w:val="18"/>
                <w:szCs w:val="18"/>
              </w:rPr>
            </w:pPr>
            <w:r>
              <w:rPr>
                <w:sz w:val="18"/>
                <w:szCs w:val="18"/>
              </w:rPr>
              <w:t>3 误差的合成与分配</w:t>
            </w:r>
          </w:p>
        </w:tc>
        <w:tc>
          <w:tcPr>
            <w:tcW w:w="1292" w:type="pct"/>
            <w:vAlign w:val="center"/>
          </w:tcPr>
          <w:p>
            <w:pPr>
              <w:adjustRightInd w:val="0"/>
              <w:snapToGrid w:val="0"/>
              <w:jc w:val="center"/>
              <w:rPr>
                <w:sz w:val="18"/>
                <w:szCs w:val="18"/>
              </w:rPr>
            </w:pPr>
            <w:r>
              <w:rPr>
                <w:sz w:val="18"/>
                <w:szCs w:val="18"/>
              </w:rPr>
              <w:t>6</w:t>
            </w:r>
          </w:p>
        </w:tc>
        <w:tc>
          <w:tcPr>
            <w:tcW w:w="970" w:type="pct"/>
            <w:vAlign w:val="center"/>
          </w:tcPr>
          <w:p>
            <w:pPr>
              <w:adjustRightInd w:val="0"/>
              <w:snapToGrid w:val="0"/>
              <w:jc w:val="center"/>
              <w:rPr>
                <w:sz w:val="18"/>
                <w:szCs w:val="18"/>
              </w:rPr>
            </w:pPr>
            <w:r>
              <w:rPr>
                <w:sz w:val="18"/>
                <w:szCs w:val="18"/>
              </w:rPr>
              <w:t>0</w:t>
            </w:r>
          </w:p>
        </w:tc>
        <w:tc>
          <w:tcPr>
            <w:tcW w:w="840" w:type="pct"/>
            <w:vAlign w:val="center"/>
          </w:tcPr>
          <w:p>
            <w:pPr>
              <w:adjustRightInd w:val="0"/>
              <w:snapToGrid w:val="0"/>
              <w:jc w:val="center"/>
              <w:rPr>
                <w:sz w:val="18"/>
                <w:szCs w:val="18"/>
              </w:rPr>
            </w:pPr>
            <w:r>
              <w:rPr>
                <w:sz w:val="18"/>
                <w:szCs w:val="18"/>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897" w:type="pct"/>
            <w:vAlign w:val="center"/>
          </w:tcPr>
          <w:p>
            <w:pPr>
              <w:adjustRightInd w:val="0"/>
              <w:snapToGrid w:val="0"/>
              <w:jc w:val="center"/>
              <w:rPr>
                <w:sz w:val="18"/>
                <w:szCs w:val="18"/>
              </w:rPr>
            </w:pPr>
            <w:r>
              <w:rPr>
                <w:sz w:val="18"/>
                <w:szCs w:val="18"/>
              </w:rPr>
              <w:t>4 测量不确定度</w:t>
            </w:r>
          </w:p>
        </w:tc>
        <w:tc>
          <w:tcPr>
            <w:tcW w:w="1292" w:type="pct"/>
            <w:vAlign w:val="center"/>
          </w:tcPr>
          <w:p>
            <w:pPr>
              <w:adjustRightInd w:val="0"/>
              <w:snapToGrid w:val="0"/>
              <w:jc w:val="center"/>
              <w:rPr>
                <w:sz w:val="18"/>
                <w:szCs w:val="18"/>
              </w:rPr>
            </w:pPr>
            <w:r>
              <w:rPr>
                <w:sz w:val="18"/>
                <w:szCs w:val="18"/>
              </w:rPr>
              <w:t>6</w:t>
            </w:r>
          </w:p>
        </w:tc>
        <w:tc>
          <w:tcPr>
            <w:tcW w:w="970" w:type="pct"/>
            <w:vAlign w:val="center"/>
          </w:tcPr>
          <w:p>
            <w:pPr>
              <w:adjustRightInd w:val="0"/>
              <w:snapToGrid w:val="0"/>
              <w:jc w:val="center"/>
              <w:rPr>
                <w:sz w:val="18"/>
                <w:szCs w:val="18"/>
              </w:rPr>
            </w:pPr>
            <w:r>
              <w:rPr>
                <w:sz w:val="18"/>
                <w:szCs w:val="18"/>
              </w:rPr>
              <w:t>0</w:t>
            </w:r>
          </w:p>
        </w:tc>
        <w:tc>
          <w:tcPr>
            <w:tcW w:w="840" w:type="pct"/>
            <w:vAlign w:val="center"/>
          </w:tcPr>
          <w:p>
            <w:pPr>
              <w:adjustRightInd w:val="0"/>
              <w:snapToGrid w:val="0"/>
              <w:jc w:val="center"/>
              <w:rPr>
                <w:sz w:val="18"/>
                <w:szCs w:val="18"/>
              </w:rPr>
            </w:pPr>
            <w:r>
              <w:rPr>
                <w:sz w:val="18"/>
                <w:szCs w:val="18"/>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897" w:type="pct"/>
            <w:vAlign w:val="center"/>
          </w:tcPr>
          <w:p>
            <w:pPr>
              <w:adjustRightInd w:val="0"/>
              <w:snapToGrid w:val="0"/>
              <w:jc w:val="center"/>
              <w:rPr>
                <w:sz w:val="18"/>
                <w:szCs w:val="18"/>
              </w:rPr>
            </w:pPr>
            <w:r>
              <w:rPr>
                <w:sz w:val="18"/>
                <w:szCs w:val="18"/>
              </w:rPr>
              <w:t>5 线性参数的最小二乘法</w:t>
            </w:r>
          </w:p>
        </w:tc>
        <w:tc>
          <w:tcPr>
            <w:tcW w:w="1292" w:type="pct"/>
            <w:vAlign w:val="center"/>
          </w:tcPr>
          <w:p>
            <w:pPr>
              <w:adjustRightInd w:val="0"/>
              <w:snapToGrid w:val="0"/>
              <w:jc w:val="center"/>
              <w:rPr>
                <w:sz w:val="18"/>
                <w:szCs w:val="18"/>
              </w:rPr>
            </w:pPr>
            <w:r>
              <w:rPr>
                <w:sz w:val="18"/>
                <w:szCs w:val="18"/>
              </w:rPr>
              <w:t>6</w:t>
            </w:r>
          </w:p>
        </w:tc>
        <w:tc>
          <w:tcPr>
            <w:tcW w:w="970" w:type="pct"/>
            <w:vAlign w:val="center"/>
          </w:tcPr>
          <w:p>
            <w:pPr>
              <w:adjustRightInd w:val="0"/>
              <w:snapToGrid w:val="0"/>
              <w:jc w:val="center"/>
              <w:rPr>
                <w:sz w:val="18"/>
                <w:szCs w:val="18"/>
              </w:rPr>
            </w:pPr>
            <w:r>
              <w:rPr>
                <w:sz w:val="18"/>
                <w:szCs w:val="18"/>
              </w:rPr>
              <w:t>0</w:t>
            </w:r>
          </w:p>
        </w:tc>
        <w:tc>
          <w:tcPr>
            <w:tcW w:w="840" w:type="pct"/>
            <w:vAlign w:val="center"/>
          </w:tcPr>
          <w:p>
            <w:pPr>
              <w:adjustRightInd w:val="0"/>
              <w:snapToGrid w:val="0"/>
              <w:jc w:val="center"/>
              <w:rPr>
                <w:sz w:val="18"/>
                <w:szCs w:val="18"/>
              </w:rPr>
            </w:pPr>
            <w:r>
              <w:rPr>
                <w:sz w:val="18"/>
                <w:szCs w:val="18"/>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897" w:type="pct"/>
            <w:vAlign w:val="center"/>
          </w:tcPr>
          <w:p>
            <w:pPr>
              <w:adjustRightInd w:val="0"/>
              <w:snapToGrid w:val="0"/>
              <w:jc w:val="center"/>
              <w:rPr>
                <w:sz w:val="18"/>
                <w:szCs w:val="18"/>
              </w:rPr>
            </w:pPr>
            <w:r>
              <w:rPr>
                <w:sz w:val="18"/>
                <w:szCs w:val="18"/>
              </w:rPr>
              <w:t>6 回归分析</w:t>
            </w:r>
          </w:p>
        </w:tc>
        <w:tc>
          <w:tcPr>
            <w:tcW w:w="1292" w:type="pct"/>
            <w:vAlign w:val="center"/>
          </w:tcPr>
          <w:p>
            <w:pPr>
              <w:adjustRightInd w:val="0"/>
              <w:snapToGrid w:val="0"/>
              <w:jc w:val="center"/>
              <w:rPr>
                <w:sz w:val="18"/>
                <w:szCs w:val="18"/>
              </w:rPr>
            </w:pPr>
            <w:r>
              <w:rPr>
                <w:sz w:val="18"/>
                <w:szCs w:val="18"/>
              </w:rPr>
              <w:t>6</w:t>
            </w:r>
          </w:p>
        </w:tc>
        <w:tc>
          <w:tcPr>
            <w:tcW w:w="970" w:type="pct"/>
            <w:vAlign w:val="center"/>
          </w:tcPr>
          <w:p>
            <w:pPr>
              <w:adjustRightInd w:val="0"/>
              <w:snapToGrid w:val="0"/>
              <w:jc w:val="center"/>
              <w:rPr>
                <w:sz w:val="18"/>
                <w:szCs w:val="18"/>
              </w:rPr>
            </w:pPr>
            <w:r>
              <w:rPr>
                <w:sz w:val="18"/>
                <w:szCs w:val="18"/>
              </w:rPr>
              <w:t>0</w:t>
            </w:r>
          </w:p>
        </w:tc>
        <w:tc>
          <w:tcPr>
            <w:tcW w:w="840" w:type="pct"/>
            <w:vAlign w:val="center"/>
          </w:tcPr>
          <w:p>
            <w:pPr>
              <w:adjustRightInd w:val="0"/>
              <w:snapToGrid w:val="0"/>
              <w:jc w:val="center"/>
              <w:rPr>
                <w:sz w:val="18"/>
                <w:szCs w:val="18"/>
              </w:rPr>
            </w:pPr>
            <w:r>
              <w:rPr>
                <w:sz w:val="18"/>
                <w:szCs w:val="18"/>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897" w:type="pct"/>
            <w:vAlign w:val="center"/>
          </w:tcPr>
          <w:p>
            <w:pPr>
              <w:adjustRightInd w:val="0"/>
              <w:snapToGrid w:val="0"/>
              <w:jc w:val="center"/>
              <w:rPr>
                <w:sz w:val="18"/>
                <w:szCs w:val="18"/>
              </w:rPr>
            </w:pPr>
            <w:r>
              <w:rPr>
                <w:sz w:val="18"/>
                <w:szCs w:val="18"/>
              </w:rPr>
              <w:t>7基于软件的误差处理</w:t>
            </w:r>
          </w:p>
        </w:tc>
        <w:tc>
          <w:tcPr>
            <w:tcW w:w="1292" w:type="pct"/>
            <w:vAlign w:val="center"/>
          </w:tcPr>
          <w:p>
            <w:pPr>
              <w:adjustRightInd w:val="0"/>
              <w:snapToGrid w:val="0"/>
              <w:jc w:val="center"/>
              <w:rPr>
                <w:sz w:val="18"/>
                <w:szCs w:val="18"/>
              </w:rPr>
            </w:pPr>
            <w:r>
              <w:rPr>
                <w:sz w:val="18"/>
                <w:szCs w:val="18"/>
              </w:rPr>
              <w:t>4</w:t>
            </w:r>
          </w:p>
        </w:tc>
        <w:tc>
          <w:tcPr>
            <w:tcW w:w="970" w:type="pct"/>
            <w:vAlign w:val="center"/>
          </w:tcPr>
          <w:p>
            <w:pPr>
              <w:adjustRightInd w:val="0"/>
              <w:snapToGrid w:val="0"/>
              <w:jc w:val="center"/>
              <w:rPr>
                <w:sz w:val="18"/>
                <w:szCs w:val="18"/>
              </w:rPr>
            </w:pPr>
            <w:r>
              <w:rPr>
                <w:sz w:val="18"/>
                <w:szCs w:val="18"/>
              </w:rPr>
              <w:t>0</w:t>
            </w:r>
          </w:p>
        </w:tc>
        <w:tc>
          <w:tcPr>
            <w:tcW w:w="840" w:type="pct"/>
            <w:vAlign w:val="center"/>
          </w:tcPr>
          <w:p>
            <w:pPr>
              <w:adjustRightInd w:val="0"/>
              <w:snapToGrid w:val="0"/>
              <w:jc w:val="center"/>
              <w:rPr>
                <w:sz w:val="18"/>
                <w:szCs w:val="18"/>
              </w:rPr>
            </w:pPr>
            <w:r>
              <w:rPr>
                <w:sz w:val="18"/>
                <w:szCs w:val="18"/>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897" w:type="pct"/>
            <w:vAlign w:val="center"/>
          </w:tcPr>
          <w:p>
            <w:pPr>
              <w:adjustRightInd w:val="0"/>
              <w:snapToGrid w:val="0"/>
              <w:jc w:val="center"/>
              <w:rPr>
                <w:sz w:val="18"/>
                <w:szCs w:val="18"/>
              </w:rPr>
            </w:pPr>
            <w:r>
              <w:rPr>
                <w:sz w:val="18"/>
                <w:szCs w:val="18"/>
              </w:rPr>
              <w:t>合计</w:t>
            </w:r>
          </w:p>
        </w:tc>
        <w:tc>
          <w:tcPr>
            <w:tcW w:w="1292" w:type="pct"/>
            <w:vAlign w:val="center"/>
          </w:tcPr>
          <w:p>
            <w:pPr>
              <w:adjustRightInd w:val="0"/>
              <w:snapToGrid w:val="0"/>
              <w:jc w:val="center"/>
              <w:rPr>
                <w:sz w:val="18"/>
                <w:szCs w:val="18"/>
              </w:rPr>
            </w:pPr>
            <w:r>
              <w:rPr>
                <w:sz w:val="18"/>
                <w:szCs w:val="18"/>
              </w:rPr>
              <w:t>40</w:t>
            </w:r>
          </w:p>
        </w:tc>
        <w:tc>
          <w:tcPr>
            <w:tcW w:w="970" w:type="pct"/>
            <w:vAlign w:val="center"/>
          </w:tcPr>
          <w:p>
            <w:pPr>
              <w:adjustRightInd w:val="0"/>
              <w:snapToGrid w:val="0"/>
              <w:jc w:val="center"/>
              <w:rPr>
                <w:sz w:val="18"/>
                <w:szCs w:val="18"/>
              </w:rPr>
            </w:pPr>
            <w:r>
              <w:rPr>
                <w:sz w:val="18"/>
                <w:szCs w:val="18"/>
              </w:rPr>
              <w:t>0</w:t>
            </w:r>
          </w:p>
        </w:tc>
        <w:tc>
          <w:tcPr>
            <w:tcW w:w="840" w:type="pct"/>
            <w:vAlign w:val="center"/>
          </w:tcPr>
          <w:p>
            <w:pPr>
              <w:adjustRightInd w:val="0"/>
              <w:snapToGrid w:val="0"/>
              <w:jc w:val="center"/>
              <w:rPr>
                <w:sz w:val="18"/>
                <w:szCs w:val="18"/>
              </w:rPr>
            </w:pPr>
            <w:r>
              <w:rPr>
                <w:sz w:val="18"/>
                <w:szCs w:val="18"/>
              </w:rPr>
              <w:t>40</w:t>
            </w:r>
          </w:p>
        </w:tc>
      </w:tr>
    </w:tbl>
    <w:p>
      <w:pPr>
        <w:spacing w:line="360" w:lineRule="auto"/>
        <w:rPr>
          <w:b/>
          <w:sz w:val="24"/>
          <w:szCs w:val="24"/>
        </w:rPr>
      </w:pPr>
    </w:p>
    <w:p>
      <w:pPr>
        <w:tabs>
          <w:tab w:val="left" w:pos="420"/>
        </w:tabs>
        <w:spacing w:line="360" w:lineRule="auto"/>
        <w:ind w:left="420" w:hanging="420"/>
        <w:rPr>
          <w:rFonts w:eastAsia="黑体"/>
          <w:szCs w:val="24"/>
        </w:rPr>
      </w:pPr>
      <w:r>
        <w:rPr>
          <w:rFonts w:hint="eastAsia" w:eastAsia="黑体"/>
          <w:szCs w:val="24"/>
        </w:rPr>
        <w:t>七、教材、补充教材及参考资料</w:t>
      </w:r>
    </w:p>
    <w:p>
      <w:pPr>
        <w:snapToGrid w:val="0"/>
        <w:spacing w:line="360" w:lineRule="auto"/>
        <w:ind w:firstLine="422" w:firstLineChars="201"/>
        <w:rPr>
          <w:color w:val="0000FF"/>
          <w:szCs w:val="21"/>
        </w:rPr>
      </w:pPr>
      <w:r>
        <w:rPr>
          <w:color w:val="000000"/>
          <w:kern w:val="0"/>
          <w:szCs w:val="21"/>
        </w:rPr>
        <w:t>1、费业泰，《误差理论与数据处理》第7版，ISBN:9787111495246，机械工业出版社，2015</w:t>
      </w:r>
    </w:p>
    <w:p>
      <w:pPr>
        <w:widowControl/>
        <w:snapToGrid w:val="0"/>
        <w:spacing w:line="360" w:lineRule="auto"/>
        <w:ind w:firstLine="422" w:firstLineChars="201"/>
        <w:rPr>
          <w:color w:val="333333"/>
          <w:kern w:val="0"/>
          <w:szCs w:val="21"/>
        </w:rPr>
      </w:pPr>
      <w:r>
        <w:rPr>
          <w:color w:val="000000"/>
          <w:kern w:val="0"/>
          <w:szCs w:val="21"/>
        </w:rPr>
        <w:t>2、费业泰，《误差理论与数据处理》第6版，ISBN:9787111297871，机械工业出版社，2010</w:t>
      </w:r>
    </w:p>
    <w:p>
      <w:pPr>
        <w:widowControl/>
        <w:snapToGrid w:val="0"/>
        <w:spacing w:line="360" w:lineRule="auto"/>
        <w:ind w:firstLine="422" w:firstLineChars="201"/>
        <w:rPr>
          <w:color w:val="333333"/>
          <w:kern w:val="0"/>
          <w:szCs w:val="21"/>
        </w:rPr>
      </w:pPr>
      <w:r>
        <w:rPr>
          <w:color w:val="000000"/>
          <w:kern w:val="0"/>
          <w:szCs w:val="21"/>
        </w:rPr>
        <w:t>3、丁振良，《误差理论与数据处理》ISBN:9787560349954，哈尔滨工业大学出版社，2015</w:t>
      </w:r>
    </w:p>
    <w:p>
      <w:pPr>
        <w:widowControl/>
        <w:snapToGrid w:val="0"/>
        <w:spacing w:line="360" w:lineRule="auto"/>
        <w:ind w:firstLine="422" w:firstLineChars="201"/>
        <w:rPr>
          <w:b/>
          <w:bCs/>
          <w:color w:val="000000"/>
          <w:kern w:val="0"/>
          <w:szCs w:val="21"/>
        </w:rPr>
      </w:pPr>
      <w:r>
        <w:rPr>
          <w:color w:val="000000"/>
          <w:kern w:val="0"/>
          <w:szCs w:val="21"/>
        </w:rPr>
        <w:t>4、袁有臣，《误差理论与测试信号处理》ISBN:9787122128980，化学工业出版社，2012</w:t>
      </w:r>
    </w:p>
    <w:p>
      <w:pPr>
        <w:widowControl/>
        <w:snapToGrid w:val="0"/>
        <w:spacing w:line="360" w:lineRule="auto"/>
        <w:ind w:firstLine="422" w:firstLineChars="201"/>
        <w:rPr>
          <w:color w:val="000000"/>
          <w:kern w:val="0"/>
          <w:szCs w:val="21"/>
        </w:rPr>
      </w:pPr>
      <w:r>
        <w:rPr>
          <w:color w:val="000000"/>
          <w:kern w:val="0"/>
          <w:szCs w:val="21"/>
        </w:rPr>
        <w:t>5、</w:t>
      </w:r>
      <w:r>
        <w:fldChar w:fldCharType="begin"/>
      </w:r>
      <w:r>
        <w:instrText xml:space="preserve"> HYPERLINK "http://www.dangdang.com/author/%C7%AE%D5%FE_1" \t "http://product.dangdang.com/_blank" </w:instrText>
      </w:r>
      <w:r>
        <w:fldChar w:fldCharType="separate"/>
      </w:r>
      <w:r>
        <w:rPr>
          <w:color w:val="000000"/>
          <w:kern w:val="0"/>
          <w:szCs w:val="21"/>
        </w:rPr>
        <w:t>钱政</w:t>
      </w:r>
      <w:r>
        <w:rPr>
          <w:color w:val="000000"/>
          <w:kern w:val="0"/>
          <w:szCs w:val="21"/>
        </w:rPr>
        <w:fldChar w:fldCharType="end"/>
      </w:r>
      <w:r>
        <w:rPr>
          <w:color w:val="000000"/>
          <w:kern w:val="0"/>
          <w:szCs w:val="21"/>
        </w:rPr>
        <w:t>、</w:t>
      </w:r>
      <w:r>
        <w:fldChar w:fldCharType="begin"/>
      </w:r>
      <w:r>
        <w:instrText xml:space="preserve"> HYPERLINK "http://www.dangdang.com/author/%BC%D6%B9%FB%D0%C0_1" \t "http://product.dangdang.com/_blank" </w:instrText>
      </w:r>
      <w:r>
        <w:fldChar w:fldCharType="separate"/>
      </w:r>
      <w:r>
        <w:rPr>
          <w:color w:val="000000"/>
          <w:kern w:val="0"/>
          <w:szCs w:val="21"/>
        </w:rPr>
        <w:t>贾果欣</w:t>
      </w:r>
      <w:r>
        <w:rPr>
          <w:color w:val="000000"/>
          <w:kern w:val="0"/>
          <w:szCs w:val="21"/>
        </w:rPr>
        <w:fldChar w:fldCharType="end"/>
      </w:r>
      <w:r>
        <w:rPr>
          <w:color w:val="000000"/>
          <w:kern w:val="0"/>
          <w:szCs w:val="21"/>
        </w:rPr>
        <w:t>，《误差理论与数据处理》 ISBN:9787030368706，科学出版社，2013</w:t>
      </w:r>
    </w:p>
    <w:p>
      <w:pPr>
        <w:tabs>
          <w:tab w:val="left" w:pos="420"/>
        </w:tabs>
        <w:spacing w:line="360" w:lineRule="auto"/>
        <w:ind w:left="420" w:hanging="420"/>
        <w:rPr>
          <w:rFonts w:eastAsia="黑体"/>
          <w:szCs w:val="24"/>
        </w:rPr>
      </w:pPr>
    </w:p>
    <w:p>
      <w:pPr>
        <w:tabs>
          <w:tab w:val="left" w:pos="420"/>
        </w:tabs>
        <w:spacing w:line="360" w:lineRule="auto"/>
        <w:ind w:left="420" w:hanging="420"/>
        <w:rPr>
          <w:rFonts w:eastAsia="黑体"/>
          <w:szCs w:val="24"/>
        </w:rPr>
      </w:pPr>
      <w:r>
        <w:rPr>
          <w:rFonts w:hint="eastAsia" w:eastAsia="黑体"/>
          <w:szCs w:val="24"/>
        </w:rPr>
        <w:t>八、课程目标达成的途径和措施</w:t>
      </w:r>
    </w:p>
    <w:p>
      <w:pPr>
        <w:spacing w:line="360" w:lineRule="auto"/>
        <w:ind w:firstLine="420" w:firstLineChars="200"/>
        <w:rPr>
          <w:szCs w:val="21"/>
        </w:rPr>
      </w:pPr>
      <w:r>
        <w:rPr>
          <w:szCs w:val="21"/>
        </w:rPr>
        <w:t>1</w:t>
      </w:r>
      <w:r>
        <w:rPr>
          <w:rFonts w:hint="eastAsia"/>
          <w:szCs w:val="21"/>
        </w:rPr>
        <w:t>、考核目标：在考核学生对误差性质基本知识和基本处理方法的基础上，重点考核学生的误差分析、计算、测量最佳方案和回归分析等内容。</w:t>
      </w:r>
    </w:p>
    <w:p>
      <w:pPr>
        <w:spacing w:line="360" w:lineRule="auto"/>
        <w:ind w:firstLine="420" w:firstLineChars="200"/>
        <w:rPr>
          <w:szCs w:val="21"/>
        </w:rPr>
      </w:pPr>
      <w:r>
        <w:rPr>
          <w:szCs w:val="21"/>
        </w:rPr>
        <w:t>2</w:t>
      </w:r>
      <w:r>
        <w:rPr>
          <w:rFonts w:hint="eastAsia"/>
          <w:szCs w:val="21"/>
        </w:rPr>
        <w:t>、考核方式：考试及课堂情况。</w:t>
      </w:r>
    </w:p>
    <w:p>
      <w:pPr>
        <w:spacing w:line="360" w:lineRule="auto"/>
        <w:ind w:firstLine="420" w:firstLineChars="200"/>
        <w:rPr>
          <w:color w:val="0000FF"/>
        </w:rPr>
      </w:pPr>
      <w:r>
        <w:rPr>
          <w:szCs w:val="21"/>
        </w:rPr>
        <w:t>3、</w:t>
      </w:r>
      <w:r>
        <w:rPr>
          <w:rFonts w:hint="eastAsia"/>
          <w:szCs w:val="21"/>
        </w:rPr>
        <w:t>评价环节对课程目标达成贡献率及支撑材料：</w:t>
      </w:r>
    </w:p>
    <w:tbl>
      <w:tblPr>
        <w:tblStyle w:val="19"/>
        <w:tblW w:w="5000" w:type="pct"/>
        <w:jc w:val="center"/>
        <w:tblLayout w:type="autofit"/>
        <w:tblCellMar>
          <w:top w:w="0" w:type="dxa"/>
          <w:left w:w="108" w:type="dxa"/>
          <w:bottom w:w="0" w:type="dxa"/>
          <w:right w:w="108" w:type="dxa"/>
        </w:tblCellMar>
      </w:tblPr>
      <w:tblGrid>
        <w:gridCol w:w="2144"/>
        <w:gridCol w:w="3087"/>
        <w:gridCol w:w="3297"/>
      </w:tblGrid>
      <w:tr>
        <w:tblPrEx>
          <w:tblCellMar>
            <w:top w:w="0" w:type="dxa"/>
            <w:left w:w="108" w:type="dxa"/>
            <w:bottom w:w="0" w:type="dxa"/>
            <w:right w:w="108" w:type="dxa"/>
          </w:tblCellMar>
        </w:tblPrEx>
        <w:trPr>
          <w:trHeight w:val="480" w:hRule="atLeast"/>
          <w:jc w:val="center"/>
        </w:trPr>
        <w:tc>
          <w:tcPr>
            <w:tcW w:w="1257" w:type="pct"/>
            <w:tcBorders>
              <w:top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rPr>
            </w:pPr>
            <w:r>
              <w:rPr>
                <w:rFonts w:hint="eastAsia" w:ascii="宋体" w:hAnsi="宋体" w:cs="宋体"/>
                <w:color w:val="000000"/>
                <w:kern w:val="0"/>
                <w:sz w:val="18"/>
              </w:rPr>
              <w:t>考察环节</w:t>
            </w:r>
          </w:p>
        </w:tc>
        <w:tc>
          <w:tcPr>
            <w:tcW w:w="18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rPr>
            </w:pPr>
            <w:r>
              <w:rPr>
                <w:rFonts w:hint="eastAsia" w:ascii="宋体" w:hAnsi="宋体" w:cs="宋体"/>
                <w:color w:val="000000"/>
                <w:kern w:val="0"/>
                <w:sz w:val="18"/>
              </w:rPr>
              <w:t>课堂情况</w:t>
            </w:r>
          </w:p>
        </w:tc>
        <w:tc>
          <w:tcPr>
            <w:tcW w:w="1933" w:type="pct"/>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cs="宋体"/>
                <w:color w:val="000000"/>
                <w:kern w:val="0"/>
                <w:sz w:val="18"/>
              </w:rPr>
            </w:pPr>
            <w:r>
              <w:rPr>
                <w:rFonts w:hint="eastAsia" w:ascii="宋体" w:hAnsi="宋体" w:cs="宋体"/>
                <w:color w:val="000000"/>
                <w:kern w:val="0"/>
                <w:sz w:val="18"/>
              </w:rPr>
              <w:t>期末考试</w:t>
            </w:r>
          </w:p>
        </w:tc>
      </w:tr>
      <w:tr>
        <w:tblPrEx>
          <w:tblCellMar>
            <w:top w:w="0" w:type="dxa"/>
            <w:left w:w="108" w:type="dxa"/>
            <w:bottom w:w="0" w:type="dxa"/>
            <w:right w:w="108" w:type="dxa"/>
          </w:tblCellMar>
        </w:tblPrEx>
        <w:trPr>
          <w:trHeight w:val="417" w:hRule="atLeast"/>
          <w:jc w:val="center"/>
        </w:trPr>
        <w:tc>
          <w:tcPr>
            <w:tcW w:w="1257" w:type="pct"/>
            <w:tcBorders>
              <w:top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rPr>
            </w:pPr>
            <w:r>
              <w:rPr>
                <w:rFonts w:hint="eastAsia" w:ascii="宋体" w:hAnsi="宋体" w:cs="宋体"/>
                <w:color w:val="000000"/>
                <w:kern w:val="0"/>
                <w:sz w:val="18"/>
              </w:rPr>
              <w:t>课程目标达成的贡献率</w:t>
            </w:r>
          </w:p>
        </w:tc>
        <w:tc>
          <w:tcPr>
            <w:tcW w:w="18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rPr>
            </w:pPr>
            <w:r>
              <w:rPr>
                <w:color w:val="000000"/>
                <w:kern w:val="0"/>
                <w:sz w:val="18"/>
              </w:rPr>
              <w:t>0.30</w:t>
            </w:r>
          </w:p>
        </w:tc>
        <w:tc>
          <w:tcPr>
            <w:tcW w:w="1933" w:type="pct"/>
            <w:tcBorders>
              <w:top w:val="single" w:color="auto" w:sz="4" w:space="0"/>
              <w:left w:val="single" w:color="auto" w:sz="4" w:space="0"/>
              <w:bottom w:val="single" w:color="auto" w:sz="4" w:space="0"/>
            </w:tcBorders>
            <w:shd w:val="clear" w:color="auto" w:fill="auto"/>
            <w:vAlign w:val="center"/>
          </w:tcPr>
          <w:p>
            <w:pPr>
              <w:widowControl/>
              <w:jc w:val="center"/>
              <w:rPr>
                <w:color w:val="000000"/>
                <w:kern w:val="0"/>
                <w:sz w:val="18"/>
              </w:rPr>
            </w:pPr>
            <w:r>
              <w:rPr>
                <w:color w:val="000000"/>
                <w:kern w:val="0"/>
                <w:sz w:val="18"/>
              </w:rPr>
              <w:t>0.70</w:t>
            </w:r>
          </w:p>
        </w:tc>
      </w:tr>
      <w:tr>
        <w:tblPrEx>
          <w:tblCellMar>
            <w:top w:w="0" w:type="dxa"/>
            <w:left w:w="108" w:type="dxa"/>
            <w:bottom w:w="0" w:type="dxa"/>
            <w:right w:w="108" w:type="dxa"/>
          </w:tblCellMar>
        </w:tblPrEx>
        <w:trPr>
          <w:trHeight w:val="565" w:hRule="atLeast"/>
          <w:jc w:val="center"/>
        </w:trPr>
        <w:tc>
          <w:tcPr>
            <w:tcW w:w="1257" w:type="pct"/>
            <w:tcBorders>
              <w:top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rPr>
            </w:pPr>
            <w:r>
              <w:rPr>
                <w:rFonts w:hint="eastAsia" w:ascii="宋体" w:hAnsi="宋体" w:cs="宋体"/>
                <w:color w:val="000000"/>
                <w:kern w:val="0"/>
                <w:sz w:val="18"/>
              </w:rPr>
              <w:t>支撑材料</w:t>
            </w:r>
          </w:p>
        </w:tc>
        <w:tc>
          <w:tcPr>
            <w:tcW w:w="18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rPr>
            </w:pPr>
            <w:r>
              <w:rPr>
                <w:rFonts w:ascii="宋体" w:hAnsi="宋体" w:cs="宋体"/>
                <w:color w:val="000000"/>
                <w:kern w:val="0"/>
                <w:sz w:val="18"/>
              </w:rPr>
              <w:t>课堂评价标准，</w:t>
            </w:r>
            <w:r>
              <w:rPr>
                <w:rFonts w:hint="eastAsia" w:ascii="宋体" w:hAnsi="宋体" w:cs="宋体"/>
                <w:color w:val="000000"/>
                <w:kern w:val="0"/>
                <w:sz w:val="18"/>
              </w:rPr>
              <w:t>课堂提问记录</w:t>
            </w:r>
            <w:r>
              <w:rPr>
                <w:rFonts w:ascii="宋体" w:hAnsi="宋体" w:cs="宋体"/>
                <w:color w:val="000000"/>
                <w:kern w:val="0"/>
                <w:sz w:val="18"/>
              </w:rPr>
              <w:t>或随堂考试，结合出勤率等</w:t>
            </w:r>
          </w:p>
        </w:tc>
        <w:tc>
          <w:tcPr>
            <w:tcW w:w="1933" w:type="pct"/>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cs="宋体"/>
                <w:color w:val="000000"/>
                <w:kern w:val="0"/>
                <w:sz w:val="18"/>
              </w:rPr>
            </w:pPr>
            <w:r>
              <w:rPr>
                <w:rFonts w:hint="eastAsia" w:ascii="宋体" w:hAnsi="宋体" w:cs="宋体"/>
                <w:color w:val="000000"/>
                <w:kern w:val="0"/>
                <w:sz w:val="18"/>
              </w:rPr>
              <w:t>试题评分标准，</w:t>
            </w:r>
            <w:r>
              <w:rPr>
                <w:rFonts w:ascii="宋体" w:hAnsi="宋体" w:cs="宋体"/>
                <w:color w:val="000000"/>
                <w:kern w:val="0"/>
                <w:sz w:val="18"/>
              </w:rPr>
              <w:t>试卷</w:t>
            </w:r>
          </w:p>
        </w:tc>
      </w:tr>
    </w:tbl>
    <w:p>
      <w:pPr>
        <w:pStyle w:val="26"/>
        <w:widowControl/>
        <w:spacing w:line="360" w:lineRule="auto"/>
        <w:ind w:left="360" w:firstLine="0" w:firstLineChars="0"/>
        <w:jc w:val="left"/>
        <w:rPr>
          <w:rFonts w:eastAsia="黑体"/>
          <w:szCs w:val="24"/>
        </w:rPr>
      </w:pPr>
    </w:p>
    <w:p>
      <w:pPr>
        <w:tabs>
          <w:tab w:val="left" w:pos="420"/>
        </w:tabs>
        <w:adjustRightInd w:val="0"/>
        <w:snapToGrid w:val="0"/>
        <w:spacing w:line="360" w:lineRule="auto"/>
        <w:ind w:left="420" w:hanging="420"/>
        <w:rPr>
          <w:rFonts w:ascii="宋体" w:hAnsi="宋体"/>
          <w:sz w:val="18"/>
          <w:szCs w:val="18"/>
        </w:rPr>
      </w:pPr>
      <w:r>
        <w:rPr>
          <w:rFonts w:eastAsia="黑体"/>
          <w:szCs w:val="24"/>
        </w:rPr>
        <w:t>九</w:t>
      </w:r>
      <w:r>
        <w:rPr>
          <w:rFonts w:hint="eastAsia" w:eastAsia="黑体"/>
          <w:szCs w:val="24"/>
        </w:rPr>
        <w:t>、覆盖课程目标达成评价的知识点及权重</w:t>
      </w:r>
    </w:p>
    <w:tbl>
      <w:tblPr>
        <w:tblStyle w:val="20"/>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224"/>
        <w:gridCol w:w="1494"/>
        <w:gridCol w:w="181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62" w:type="pct"/>
            <w:vAlign w:val="center"/>
          </w:tcPr>
          <w:p>
            <w:pPr>
              <w:jc w:val="center"/>
              <w:rPr>
                <w:sz w:val="18"/>
                <w:szCs w:val="18"/>
              </w:rPr>
            </w:pPr>
            <w:r>
              <w:rPr>
                <w:sz w:val="18"/>
                <w:szCs w:val="18"/>
              </w:rPr>
              <w:t>知识点</w:t>
            </w:r>
          </w:p>
        </w:tc>
        <w:tc>
          <w:tcPr>
            <w:tcW w:w="876" w:type="pct"/>
            <w:vAlign w:val="center"/>
          </w:tcPr>
          <w:p>
            <w:pPr>
              <w:jc w:val="center"/>
              <w:rPr>
                <w:sz w:val="18"/>
                <w:szCs w:val="18"/>
              </w:rPr>
            </w:pPr>
            <w:r>
              <w:rPr>
                <w:sz w:val="18"/>
                <w:szCs w:val="18"/>
              </w:rPr>
              <w:t>权重</w:t>
            </w:r>
          </w:p>
        </w:tc>
        <w:tc>
          <w:tcPr>
            <w:tcW w:w="1061" w:type="pct"/>
            <w:vAlign w:val="center"/>
          </w:tcPr>
          <w:p>
            <w:pPr>
              <w:jc w:val="center"/>
              <w:rPr>
                <w:sz w:val="18"/>
                <w:szCs w:val="18"/>
              </w:rPr>
            </w:pPr>
            <w:r>
              <w:rPr>
                <w:sz w:val="18"/>
                <w:szCs w:val="18"/>
              </w:rPr>
              <w:t>支撑课程目标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62" w:type="pct"/>
            <w:vAlign w:val="center"/>
          </w:tcPr>
          <w:p>
            <w:pPr>
              <w:jc w:val="left"/>
              <w:rPr>
                <w:sz w:val="18"/>
                <w:szCs w:val="18"/>
              </w:rPr>
            </w:pPr>
            <w:r>
              <w:rPr>
                <w:rFonts w:hint="eastAsia"/>
                <w:sz w:val="18"/>
                <w:szCs w:val="18"/>
              </w:rPr>
              <w:t>1、误差的基本概念。</w:t>
            </w:r>
          </w:p>
        </w:tc>
        <w:tc>
          <w:tcPr>
            <w:tcW w:w="876" w:type="pct"/>
            <w:vAlign w:val="center"/>
          </w:tcPr>
          <w:p>
            <w:pPr>
              <w:jc w:val="center"/>
              <w:rPr>
                <w:sz w:val="18"/>
                <w:szCs w:val="18"/>
              </w:rPr>
            </w:pPr>
            <w:r>
              <w:rPr>
                <w:rFonts w:hint="eastAsia"/>
                <w:sz w:val="18"/>
                <w:szCs w:val="18"/>
              </w:rPr>
              <w:t>0.</w:t>
            </w:r>
            <w:r>
              <w:rPr>
                <w:sz w:val="18"/>
                <w:szCs w:val="18"/>
              </w:rPr>
              <w:t>10</w:t>
            </w:r>
          </w:p>
        </w:tc>
        <w:tc>
          <w:tcPr>
            <w:tcW w:w="1061" w:type="pct"/>
            <w:vAlign w:val="center"/>
          </w:tcPr>
          <w:p>
            <w:pPr>
              <w:jc w:val="center"/>
              <w:rPr>
                <w:sz w:val="18"/>
                <w:szCs w:val="18"/>
              </w:rPr>
            </w:pPr>
            <w:r>
              <w:rPr>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62" w:type="pct"/>
            <w:vAlign w:val="center"/>
          </w:tcPr>
          <w:p>
            <w:pPr>
              <w:jc w:val="left"/>
              <w:rPr>
                <w:sz w:val="18"/>
                <w:szCs w:val="18"/>
              </w:rPr>
            </w:pPr>
            <w:r>
              <w:rPr>
                <w:rFonts w:hint="eastAsia"/>
                <w:sz w:val="18"/>
                <w:szCs w:val="18"/>
              </w:rPr>
              <w:t>2、三大误差的基本性质与处理。</w:t>
            </w:r>
          </w:p>
        </w:tc>
        <w:tc>
          <w:tcPr>
            <w:tcW w:w="876" w:type="pct"/>
            <w:vAlign w:val="center"/>
          </w:tcPr>
          <w:p>
            <w:pPr>
              <w:jc w:val="center"/>
              <w:rPr>
                <w:sz w:val="18"/>
                <w:szCs w:val="18"/>
              </w:rPr>
            </w:pPr>
            <w:r>
              <w:rPr>
                <w:rFonts w:hint="eastAsia"/>
                <w:sz w:val="18"/>
                <w:szCs w:val="18"/>
              </w:rPr>
              <w:t>0.</w:t>
            </w:r>
            <w:r>
              <w:rPr>
                <w:sz w:val="18"/>
                <w:szCs w:val="18"/>
              </w:rPr>
              <w:t>20</w:t>
            </w:r>
          </w:p>
        </w:tc>
        <w:tc>
          <w:tcPr>
            <w:tcW w:w="1061" w:type="pct"/>
            <w:vAlign w:val="center"/>
          </w:tcPr>
          <w:p>
            <w:pPr>
              <w:jc w:val="center"/>
              <w:rPr>
                <w:sz w:val="18"/>
                <w:szCs w:val="18"/>
              </w:rPr>
            </w:pPr>
            <w:r>
              <w:rPr>
                <w:sz w:val="18"/>
                <w:szCs w:val="18"/>
              </w:rPr>
              <w:t>1</w:t>
            </w:r>
            <w:r>
              <w:rPr>
                <w:rFonts w:hint="eastAsia"/>
                <w:sz w:val="18"/>
                <w:szCs w:val="18"/>
              </w:rPr>
              <w:t>、</w:t>
            </w:r>
            <w:r>
              <w:rPr>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62" w:type="pct"/>
            <w:vAlign w:val="center"/>
          </w:tcPr>
          <w:p>
            <w:pPr>
              <w:jc w:val="left"/>
              <w:rPr>
                <w:sz w:val="18"/>
                <w:szCs w:val="18"/>
              </w:rPr>
            </w:pPr>
            <w:r>
              <w:rPr>
                <w:rFonts w:hint="eastAsia"/>
                <w:sz w:val="18"/>
                <w:szCs w:val="18"/>
              </w:rPr>
              <w:t>3、误差的合成与分配。</w:t>
            </w:r>
          </w:p>
        </w:tc>
        <w:tc>
          <w:tcPr>
            <w:tcW w:w="876" w:type="pct"/>
            <w:vAlign w:val="center"/>
          </w:tcPr>
          <w:p>
            <w:pPr>
              <w:jc w:val="center"/>
              <w:rPr>
                <w:sz w:val="18"/>
                <w:szCs w:val="18"/>
              </w:rPr>
            </w:pPr>
            <w:r>
              <w:rPr>
                <w:rFonts w:hint="eastAsia"/>
                <w:sz w:val="18"/>
                <w:szCs w:val="18"/>
              </w:rPr>
              <w:t>0.25</w:t>
            </w:r>
          </w:p>
        </w:tc>
        <w:tc>
          <w:tcPr>
            <w:tcW w:w="1061" w:type="pct"/>
            <w:vAlign w:val="center"/>
          </w:tcPr>
          <w:p>
            <w:pPr>
              <w:jc w:val="center"/>
              <w:rPr>
                <w:sz w:val="18"/>
                <w:szCs w:val="18"/>
              </w:rPr>
            </w:pPr>
            <w:r>
              <w:rPr>
                <w:rFonts w:hint="eastAsia"/>
                <w:sz w:val="18"/>
                <w:szCs w:val="18"/>
              </w:rPr>
              <w:t>1、</w:t>
            </w:r>
            <w:r>
              <w:rPr>
                <w:sz w:val="18"/>
                <w:szCs w:val="18"/>
              </w:rPr>
              <w:t>2</w:t>
            </w:r>
            <w:r>
              <w:rPr>
                <w:rFonts w:hint="eastAsia"/>
                <w:sz w:val="18"/>
                <w:szCs w:val="18"/>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62" w:type="pct"/>
            <w:vAlign w:val="center"/>
          </w:tcPr>
          <w:p>
            <w:pPr>
              <w:jc w:val="left"/>
              <w:rPr>
                <w:sz w:val="18"/>
                <w:szCs w:val="18"/>
              </w:rPr>
            </w:pPr>
            <w:r>
              <w:rPr>
                <w:rFonts w:hint="eastAsia"/>
                <w:sz w:val="18"/>
                <w:szCs w:val="18"/>
              </w:rPr>
              <w:t>4、测量不确定度、自由度。</w:t>
            </w:r>
          </w:p>
        </w:tc>
        <w:tc>
          <w:tcPr>
            <w:tcW w:w="876" w:type="pct"/>
            <w:vAlign w:val="center"/>
          </w:tcPr>
          <w:p>
            <w:pPr>
              <w:jc w:val="center"/>
              <w:rPr>
                <w:sz w:val="18"/>
                <w:szCs w:val="18"/>
              </w:rPr>
            </w:pPr>
            <w:r>
              <w:rPr>
                <w:rFonts w:hint="eastAsia"/>
                <w:sz w:val="18"/>
                <w:szCs w:val="18"/>
              </w:rPr>
              <w:t>0.25</w:t>
            </w:r>
          </w:p>
        </w:tc>
        <w:tc>
          <w:tcPr>
            <w:tcW w:w="1061" w:type="pct"/>
            <w:vAlign w:val="center"/>
          </w:tcPr>
          <w:p>
            <w:pPr>
              <w:jc w:val="center"/>
              <w:rPr>
                <w:sz w:val="18"/>
                <w:szCs w:val="18"/>
              </w:rPr>
            </w:pPr>
            <w:r>
              <w:rPr>
                <w:rFonts w:hint="eastAsia"/>
                <w:sz w:val="18"/>
                <w:szCs w:val="18"/>
              </w:rPr>
              <w:t>1、2、4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62" w:type="pct"/>
            <w:vAlign w:val="center"/>
          </w:tcPr>
          <w:p>
            <w:pPr>
              <w:jc w:val="left"/>
              <w:rPr>
                <w:sz w:val="18"/>
                <w:szCs w:val="18"/>
              </w:rPr>
            </w:pPr>
            <w:r>
              <w:rPr>
                <w:rFonts w:hint="eastAsia"/>
                <w:sz w:val="18"/>
                <w:szCs w:val="18"/>
              </w:rPr>
              <w:t>5、最小二乘法的原理、正规方程、精度估计。</w:t>
            </w:r>
          </w:p>
        </w:tc>
        <w:tc>
          <w:tcPr>
            <w:tcW w:w="876" w:type="pct"/>
            <w:vAlign w:val="center"/>
          </w:tcPr>
          <w:p>
            <w:pPr>
              <w:jc w:val="center"/>
              <w:rPr>
                <w:sz w:val="18"/>
                <w:szCs w:val="18"/>
              </w:rPr>
            </w:pPr>
            <w:r>
              <w:rPr>
                <w:rFonts w:hint="eastAsia"/>
                <w:sz w:val="18"/>
                <w:szCs w:val="18"/>
              </w:rPr>
              <w:t>0.</w:t>
            </w:r>
            <w:r>
              <w:rPr>
                <w:sz w:val="18"/>
                <w:szCs w:val="18"/>
              </w:rPr>
              <w:t>1</w:t>
            </w:r>
            <w:r>
              <w:rPr>
                <w:rFonts w:hint="eastAsia"/>
                <w:sz w:val="18"/>
                <w:szCs w:val="18"/>
              </w:rPr>
              <w:t>0</w:t>
            </w:r>
          </w:p>
        </w:tc>
        <w:tc>
          <w:tcPr>
            <w:tcW w:w="1061" w:type="pct"/>
            <w:vAlign w:val="center"/>
          </w:tcPr>
          <w:p>
            <w:pPr>
              <w:jc w:val="center"/>
              <w:rPr>
                <w:sz w:val="18"/>
                <w:szCs w:val="18"/>
              </w:rPr>
            </w:pPr>
            <w:r>
              <w:rPr>
                <w:rFonts w:hint="eastAsia"/>
                <w:sz w:val="18"/>
                <w:szCs w:val="18"/>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62" w:type="pct"/>
            <w:vAlign w:val="center"/>
          </w:tcPr>
          <w:p>
            <w:pPr>
              <w:jc w:val="left"/>
              <w:rPr>
                <w:sz w:val="18"/>
                <w:szCs w:val="18"/>
              </w:rPr>
            </w:pPr>
            <w:r>
              <w:rPr>
                <w:rFonts w:hint="eastAsia"/>
                <w:sz w:val="18"/>
                <w:szCs w:val="18"/>
              </w:rPr>
              <w:t>6、线性回归、显著性检验。</w:t>
            </w:r>
          </w:p>
        </w:tc>
        <w:tc>
          <w:tcPr>
            <w:tcW w:w="876" w:type="pct"/>
            <w:vAlign w:val="center"/>
          </w:tcPr>
          <w:p>
            <w:pPr>
              <w:jc w:val="center"/>
              <w:rPr>
                <w:sz w:val="18"/>
                <w:szCs w:val="18"/>
              </w:rPr>
            </w:pPr>
            <w:r>
              <w:rPr>
                <w:rFonts w:hint="eastAsia"/>
                <w:sz w:val="18"/>
                <w:szCs w:val="18"/>
              </w:rPr>
              <w:t>0.</w:t>
            </w:r>
            <w:r>
              <w:rPr>
                <w:sz w:val="18"/>
                <w:szCs w:val="18"/>
              </w:rPr>
              <w:t>1</w:t>
            </w:r>
            <w:r>
              <w:rPr>
                <w:rFonts w:hint="eastAsia"/>
                <w:sz w:val="18"/>
                <w:szCs w:val="18"/>
              </w:rPr>
              <w:t>0</w:t>
            </w:r>
          </w:p>
        </w:tc>
        <w:tc>
          <w:tcPr>
            <w:tcW w:w="1061" w:type="pct"/>
            <w:vAlign w:val="center"/>
          </w:tcPr>
          <w:p>
            <w:pPr>
              <w:jc w:val="center"/>
              <w:rPr>
                <w:sz w:val="18"/>
                <w:szCs w:val="18"/>
              </w:rPr>
            </w:pPr>
            <w:r>
              <w:rPr>
                <w:rFonts w:hint="eastAsia"/>
                <w:sz w:val="18"/>
                <w:szCs w:val="18"/>
              </w:rPr>
              <w:t>3</w:t>
            </w:r>
          </w:p>
        </w:tc>
      </w:tr>
    </w:tbl>
    <w:p>
      <w:pPr>
        <w:spacing w:before="120" w:beforeLines="50" w:line="360" w:lineRule="auto"/>
        <w:ind w:firstLine="420" w:firstLineChars="200"/>
        <w:rPr>
          <w:color w:val="000000"/>
          <w:sz w:val="24"/>
          <w:szCs w:val="24"/>
        </w:rPr>
        <w:sectPr>
          <w:headerReference r:id="rId84" w:type="first"/>
          <w:footerReference r:id="rId87" w:type="first"/>
          <w:headerReference r:id="rId82" w:type="default"/>
          <w:footerReference r:id="rId85" w:type="default"/>
          <w:headerReference r:id="rId83" w:type="even"/>
          <w:footerReference r:id="rId86" w:type="even"/>
          <w:pgSz w:w="11906" w:h="16838"/>
          <w:pgMar w:top="1440" w:right="1797" w:bottom="1440" w:left="1797" w:header="851" w:footer="992" w:gutter="0"/>
          <w:pgNumType w:fmt="decimal"/>
          <w:cols w:space="425" w:num="1"/>
          <w:docGrid w:linePitch="312" w:charSpace="0"/>
        </w:sectPr>
      </w:pPr>
      <w:r>
        <w:rPr>
          <w:rFonts w:hint="eastAsia" w:ascii="宋体" w:hAnsi="宋体" w:cs="宋体"/>
          <w:szCs w:val="21"/>
        </w:rPr>
        <w:t>本课程不可以申请免修。</w:t>
      </w:r>
    </w:p>
    <w:p>
      <w:pPr>
        <w:tabs>
          <w:tab w:val="left" w:pos="420"/>
        </w:tabs>
        <w:adjustRightInd w:val="0"/>
        <w:snapToGrid w:val="0"/>
        <w:spacing w:line="360" w:lineRule="auto"/>
        <w:ind w:left="420" w:hanging="420"/>
        <w:rPr>
          <w:rFonts w:eastAsia="黑体"/>
          <w:szCs w:val="24"/>
        </w:rPr>
      </w:pPr>
      <w:r>
        <w:rPr>
          <w:rFonts w:hint="eastAsia" w:eastAsia="黑体"/>
          <w:szCs w:val="24"/>
        </w:rPr>
        <w:t>十、课程目标达成评价</w:t>
      </w:r>
    </w:p>
    <w:p>
      <w:pPr>
        <w:spacing w:line="360" w:lineRule="auto"/>
        <w:ind w:firstLine="420" w:firstLineChars="200"/>
        <w:jc w:val="center"/>
      </w:pPr>
      <w:r>
        <w:rPr>
          <w:rFonts w:hint="eastAsia"/>
        </w:rPr>
        <w:t>各环节对课程目标达成评价所使用到的权重占比分配及考核权重分配</w:t>
      </w:r>
    </w:p>
    <w:tbl>
      <w:tblPr>
        <w:tblStyle w:val="19"/>
        <w:tblW w:w="5000" w:type="pct"/>
        <w:jc w:val="center"/>
        <w:tblLayout w:type="autofit"/>
        <w:tblCellMar>
          <w:top w:w="0" w:type="dxa"/>
          <w:left w:w="108" w:type="dxa"/>
          <w:bottom w:w="0" w:type="dxa"/>
          <w:right w:w="108" w:type="dxa"/>
        </w:tblCellMar>
      </w:tblPr>
      <w:tblGrid>
        <w:gridCol w:w="1422"/>
        <w:gridCol w:w="2451"/>
        <w:gridCol w:w="1398"/>
        <w:gridCol w:w="1398"/>
        <w:gridCol w:w="1809"/>
        <w:gridCol w:w="1809"/>
        <w:gridCol w:w="1945"/>
        <w:gridCol w:w="1942"/>
      </w:tblGrid>
      <w:tr>
        <w:tblPrEx>
          <w:tblCellMar>
            <w:top w:w="0" w:type="dxa"/>
            <w:left w:w="108" w:type="dxa"/>
            <w:bottom w:w="0" w:type="dxa"/>
            <w:right w:w="108" w:type="dxa"/>
          </w:tblCellMar>
        </w:tblPrEx>
        <w:trPr>
          <w:trHeight w:val="1015" w:hRule="atLeast"/>
          <w:jc w:val="center"/>
        </w:trPr>
        <w:tc>
          <w:tcPr>
            <w:tcW w:w="5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课程目标</w:t>
            </w:r>
          </w:p>
        </w:tc>
        <w:tc>
          <w:tcPr>
            <w:tcW w:w="86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知识面比例</w:t>
            </w:r>
          </w:p>
          <w:p>
            <w:pPr>
              <w:widowControl/>
              <w:jc w:val="center"/>
              <w:rPr>
                <w:rFonts w:ascii="宋体" w:hAnsi="宋体" w:cs="宋体"/>
                <w:kern w:val="0"/>
                <w:sz w:val="18"/>
                <w:szCs w:val="18"/>
              </w:rPr>
            </w:pPr>
            <w:r>
              <w:rPr>
                <w:rFonts w:hint="eastAsia" w:ascii="宋体" w:hAnsi="宋体" w:cs="宋体"/>
                <w:kern w:val="0"/>
                <w:sz w:val="18"/>
                <w:szCs w:val="18"/>
              </w:rPr>
              <w:t>（本列总和为1）</w:t>
            </w:r>
          </w:p>
          <w:p>
            <w:pPr>
              <w:widowControl/>
              <w:jc w:val="center"/>
              <w:rPr>
                <w:rFonts w:ascii="宋体" w:hAnsi="宋体" w:cs="宋体"/>
                <w:i/>
                <w:kern w:val="0"/>
                <w:sz w:val="18"/>
                <w:szCs w:val="18"/>
              </w:rPr>
            </w:pPr>
            <w:r>
              <w:rPr>
                <w:rFonts w:ascii="宋体" w:hAnsi="宋体" w:cs="宋体"/>
                <w:i/>
                <w:kern w:val="0"/>
                <w:sz w:val="18"/>
                <w:szCs w:val="18"/>
              </w:rPr>
              <w:t>P</w:t>
            </w:r>
            <w:r>
              <w:rPr>
                <w:rFonts w:ascii="宋体" w:hAnsi="宋体" w:cs="宋体"/>
                <w:i/>
                <w:kern w:val="0"/>
                <w:sz w:val="18"/>
                <w:szCs w:val="18"/>
                <w:vertAlign w:val="subscript"/>
              </w:rPr>
              <w:t>i</w:t>
            </w:r>
          </w:p>
        </w:tc>
        <w:tc>
          <w:tcPr>
            <w:tcW w:w="98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18"/>
                <w:szCs w:val="18"/>
              </w:rPr>
            </w:pPr>
            <w:r>
              <w:rPr>
                <w:rFonts w:hint="eastAsia" w:ascii="宋体" w:hAnsi="宋体"/>
                <w:sz w:val="18"/>
                <w:szCs w:val="18"/>
              </w:rPr>
              <w:t>各环节评价比例分配</w:t>
            </w:r>
            <w:r>
              <w:rPr>
                <w:rFonts w:hint="eastAsia" w:ascii="宋体" w:hAnsi="宋体"/>
                <w:sz w:val="18"/>
                <w:szCs w:val="18"/>
              </w:rPr>
              <w:br w:type="textWrapping"/>
            </w:r>
            <w:r>
              <w:rPr>
                <w:rFonts w:hint="eastAsia" w:ascii="宋体" w:hAnsi="宋体"/>
                <w:sz w:val="18"/>
                <w:szCs w:val="18"/>
              </w:rPr>
              <w:t>（每行总和为1）</w:t>
            </w:r>
            <w:r>
              <w:rPr>
                <w:rFonts w:hint="eastAsia" w:ascii="宋体" w:hAnsi="宋体"/>
                <w:sz w:val="18"/>
                <w:szCs w:val="18"/>
              </w:rPr>
              <w:br w:type="textWrapping"/>
            </w:r>
            <w:r>
              <w:rPr>
                <w:rFonts w:hint="eastAsia" w:ascii="宋体" w:hAnsi="宋体"/>
                <w:i/>
                <w:sz w:val="18"/>
                <w:szCs w:val="18"/>
              </w:rPr>
              <w:t>W</w:t>
            </w:r>
            <w:r>
              <w:rPr>
                <w:rFonts w:hint="eastAsia" w:ascii="宋体" w:hAnsi="宋体"/>
                <w:i/>
                <w:sz w:val="18"/>
                <w:szCs w:val="18"/>
                <w:vertAlign w:val="subscript"/>
              </w:rPr>
              <w:t>ik</w:t>
            </w:r>
          </w:p>
        </w:tc>
        <w:tc>
          <w:tcPr>
            <w:tcW w:w="1275" w:type="pct"/>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各环节在课程达成中的占比</w:t>
            </w:r>
            <w:r>
              <w:rPr>
                <w:rFonts w:hint="eastAsia" w:ascii="宋体" w:hAnsi="宋体"/>
                <w:sz w:val="18"/>
                <w:szCs w:val="18"/>
              </w:rPr>
              <w:br w:type="textWrapping"/>
            </w:r>
            <w:r>
              <w:rPr>
                <w:rFonts w:hint="eastAsia" w:ascii="宋体" w:hAnsi="宋体"/>
                <w:sz w:val="18"/>
                <w:szCs w:val="18"/>
              </w:rPr>
              <w:t>（所有行列总和为1）</w:t>
            </w:r>
            <w:r>
              <w:rPr>
                <w:rFonts w:hint="eastAsia" w:ascii="宋体" w:hAnsi="宋体"/>
                <w:sz w:val="18"/>
                <w:szCs w:val="18"/>
              </w:rPr>
              <w:br w:type="textWrapping"/>
            </w:r>
            <w:r>
              <w:rPr>
                <w:rFonts w:hint="eastAsia" w:ascii="宋体" w:hAnsi="宋体"/>
                <w:i/>
                <w:sz w:val="18"/>
                <w:szCs w:val="18"/>
              </w:rPr>
              <w:t>S</w:t>
            </w:r>
            <w:r>
              <w:rPr>
                <w:rFonts w:hint="eastAsia" w:ascii="宋体" w:hAnsi="宋体"/>
                <w:i/>
                <w:sz w:val="18"/>
                <w:szCs w:val="18"/>
                <w:vertAlign w:val="subscript"/>
              </w:rPr>
              <w:t>ik</w:t>
            </w:r>
            <w:r>
              <w:rPr>
                <w:rFonts w:hint="eastAsia" w:ascii="宋体" w:hAnsi="宋体"/>
                <w:i/>
                <w:sz w:val="18"/>
                <w:szCs w:val="18"/>
              </w:rPr>
              <w:t>=P</w:t>
            </w:r>
            <w:r>
              <w:rPr>
                <w:rFonts w:hint="eastAsia" w:ascii="宋体" w:hAnsi="宋体"/>
                <w:i/>
                <w:sz w:val="18"/>
                <w:szCs w:val="18"/>
                <w:vertAlign w:val="subscript"/>
              </w:rPr>
              <w:t>i</w:t>
            </w:r>
            <w:r>
              <w:rPr>
                <w:rFonts w:hint="eastAsia" w:ascii="宋体" w:hAnsi="宋体"/>
                <w:i/>
                <w:sz w:val="18"/>
                <w:szCs w:val="18"/>
              </w:rPr>
              <w:t>*W</w:t>
            </w:r>
            <w:r>
              <w:rPr>
                <w:rFonts w:hint="eastAsia" w:ascii="宋体" w:hAnsi="宋体"/>
                <w:i/>
                <w:sz w:val="18"/>
                <w:szCs w:val="18"/>
                <w:vertAlign w:val="subscript"/>
              </w:rPr>
              <w:t>ik</w:t>
            </w:r>
          </w:p>
        </w:tc>
        <w:tc>
          <w:tcPr>
            <w:tcW w:w="1372" w:type="pct"/>
            <w:gridSpan w:val="2"/>
            <w:tcBorders>
              <w:top w:val="single" w:color="auto" w:sz="4" w:space="0"/>
              <w:left w:val="nil"/>
              <w:bottom w:val="single" w:color="auto" w:sz="4" w:space="0"/>
              <w:right w:val="single" w:color="auto" w:sz="4" w:space="0"/>
            </w:tcBorders>
          </w:tcPr>
          <w:p>
            <w:pPr>
              <w:jc w:val="center"/>
              <w:rPr>
                <w:rFonts w:ascii="宋体" w:hAnsi="宋体"/>
                <w:sz w:val="18"/>
                <w:szCs w:val="18"/>
              </w:rPr>
            </w:pPr>
          </w:p>
          <w:p>
            <w:pPr>
              <w:jc w:val="center"/>
              <w:rPr>
                <w:rFonts w:ascii="宋体" w:hAnsi="宋体"/>
                <w:sz w:val="18"/>
                <w:szCs w:val="18"/>
              </w:rPr>
            </w:pPr>
            <w:r>
              <w:rPr>
                <w:rFonts w:hint="eastAsia" w:ascii="宋体" w:hAnsi="宋体"/>
                <w:sz w:val="18"/>
                <w:szCs w:val="18"/>
              </w:rPr>
              <w:t>各环节课程目标考核权重分布</w:t>
            </w:r>
          </w:p>
          <w:p>
            <w:pPr>
              <w:jc w:val="center"/>
              <w:rPr>
                <w:rFonts w:ascii="宋体" w:hAnsi="宋体"/>
                <w:sz w:val="18"/>
                <w:szCs w:val="18"/>
              </w:rPr>
            </w:pPr>
            <w:r>
              <w:rPr>
                <w:rFonts w:ascii="宋体" w:hAnsi="宋体"/>
                <w:sz w:val="18"/>
                <w:szCs w:val="18"/>
              </w:rPr>
              <w:t>（每一列总和为</w:t>
            </w:r>
            <w:r>
              <w:rPr>
                <w:rFonts w:hint="eastAsia" w:ascii="宋体" w:hAnsi="宋体"/>
                <w:sz w:val="18"/>
                <w:szCs w:val="18"/>
              </w:rPr>
              <w:t>1</w:t>
            </w:r>
            <w:r>
              <w:rPr>
                <w:rFonts w:ascii="宋体" w:hAnsi="宋体"/>
                <w:sz w:val="18"/>
                <w:szCs w:val="18"/>
              </w:rPr>
              <w:t>）</w:t>
            </w:r>
          </w:p>
          <w:p>
            <w:pPr>
              <w:jc w:val="center"/>
              <w:rPr>
                <w:rFonts w:ascii="宋体" w:hAnsi="宋体"/>
                <w:sz w:val="18"/>
                <w:szCs w:val="18"/>
              </w:rPr>
            </w:pPr>
            <w:r>
              <w:rPr>
                <w:rFonts w:hint="eastAsia" w:ascii="宋体" w:hAnsi="宋体"/>
                <w:i/>
                <w:sz w:val="18"/>
                <w:szCs w:val="18"/>
              </w:rPr>
              <w:t>E</w:t>
            </w:r>
            <w:r>
              <w:rPr>
                <w:rFonts w:hint="eastAsia" w:ascii="宋体" w:hAnsi="宋体"/>
                <w:i/>
                <w:sz w:val="18"/>
                <w:szCs w:val="18"/>
                <w:vertAlign w:val="subscript"/>
              </w:rPr>
              <w:t>ik</w:t>
            </w:r>
            <w:r>
              <w:rPr>
                <w:rFonts w:hint="eastAsia" w:ascii="宋体" w:hAnsi="宋体"/>
                <w:i/>
                <w:sz w:val="18"/>
                <w:szCs w:val="18"/>
              </w:rPr>
              <w:t>=</w:t>
            </w:r>
            <w:r>
              <w:rPr>
                <w:rFonts w:ascii="宋体" w:hAnsi="宋体"/>
                <w:i/>
                <w:sz w:val="18"/>
                <w:szCs w:val="18"/>
              </w:rPr>
              <w:t>S</w:t>
            </w:r>
            <w:r>
              <w:rPr>
                <w:rFonts w:ascii="宋体" w:hAnsi="宋体"/>
                <w:i/>
                <w:sz w:val="18"/>
                <w:szCs w:val="18"/>
                <w:vertAlign w:val="subscript"/>
              </w:rPr>
              <w:t>ik</w:t>
            </w:r>
            <w:r>
              <w:rPr>
                <w:rFonts w:ascii="宋体" w:hAnsi="宋体"/>
                <w:i/>
                <w:sz w:val="18"/>
                <w:szCs w:val="18"/>
              </w:rPr>
              <w:t>/M</w:t>
            </w:r>
            <w:r>
              <w:rPr>
                <w:rFonts w:ascii="宋体" w:hAnsi="宋体"/>
                <w:i/>
                <w:sz w:val="18"/>
                <w:szCs w:val="18"/>
                <w:vertAlign w:val="subscript"/>
              </w:rPr>
              <w:t>ik</w:t>
            </w:r>
          </w:p>
        </w:tc>
      </w:tr>
      <w:tr>
        <w:tblPrEx>
          <w:tblCellMar>
            <w:top w:w="0" w:type="dxa"/>
            <w:left w:w="108" w:type="dxa"/>
            <w:bottom w:w="0" w:type="dxa"/>
            <w:right w:w="108" w:type="dxa"/>
          </w:tblCellMar>
        </w:tblPrEx>
        <w:trPr>
          <w:trHeight w:val="986" w:hRule="atLeast"/>
          <w:jc w:val="center"/>
        </w:trPr>
        <w:tc>
          <w:tcPr>
            <w:tcW w:w="50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86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课堂</w:t>
            </w:r>
          </w:p>
          <w:p>
            <w:pPr>
              <w:widowControl/>
              <w:jc w:val="center"/>
              <w:rPr>
                <w:rFonts w:ascii="宋体" w:hAnsi="宋体" w:cs="宋体"/>
                <w:kern w:val="0"/>
                <w:sz w:val="18"/>
                <w:szCs w:val="18"/>
              </w:rPr>
            </w:pPr>
            <w:r>
              <w:rPr>
                <w:rFonts w:hint="eastAsia" w:ascii="宋体" w:hAnsi="宋体" w:cs="宋体"/>
                <w:kern w:val="0"/>
                <w:sz w:val="18"/>
                <w:szCs w:val="18"/>
              </w:rPr>
              <w:t>情况</w:t>
            </w:r>
          </w:p>
        </w:tc>
        <w:tc>
          <w:tcPr>
            <w:tcW w:w="4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期末</w:t>
            </w:r>
          </w:p>
          <w:p>
            <w:pPr>
              <w:widowControl/>
              <w:jc w:val="center"/>
              <w:rPr>
                <w:rFonts w:ascii="宋体" w:hAnsi="宋体" w:cs="宋体"/>
                <w:kern w:val="0"/>
                <w:sz w:val="18"/>
                <w:szCs w:val="18"/>
              </w:rPr>
            </w:pPr>
            <w:r>
              <w:rPr>
                <w:rFonts w:hint="eastAsia" w:ascii="宋体" w:hAnsi="宋体" w:cs="宋体"/>
                <w:kern w:val="0"/>
                <w:sz w:val="18"/>
                <w:szCs w:val="18"/>
              </w:rPr>
              <w:t>考试</w:t>
            </w:r>
          </w:p>
        </w:tc>
        <w:tc>
          <w:tcPr>
            <w:tcW w:w="63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课堂</w:t>
            </w:r>
          </w:p>
          <w:p>
            <w:pPr>
              <w:widowControl/>
              <w:jc w:val="center"/>
              <w:rPr>
                <w:rFonts w:ascii="宋体" w:hAnsi="宋体" w:cs="宋体"/>
                <w:kern w:val="0"/>
                <w:sz w:val="18"/>
                <w:szCs w:val="18"/>
              </w:rPr>
            </w:pPr>
            <w:r>
              <w:rPr>
                <w:rFonts w:hint="eastAsia" w:ascii="宋体" w:hAnsi="宋体" w:cs="宋体"/>
                <w:kern w:val="0"/>
                <w:sz w:val="18"/>
                <w:szCs w:val="18"/>
              </w:rPr>
              <w:t>情况</w:t>
            </w:r>
          </w:p>
        </w:tc>
        <w:tc>
          <w:tcPr>
            <w:tcW w:w="63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期末</w:t>
            </w:r>
          </w:p>
          <w:p>
            <w:pPr>
              <w:widowControl/>
              <w:jc w:val="center"/>
              <w:rPr>
                <w:rFonts w:ascii="宋体" w:hAnsi="宋体" w:cs="宋体"/>
                <w:kern w:val="0"/>
                <w:sz w:val="18"/>
                <w:szCs w:val="18"/>
              </w:rPr>
            </w:pPr>
            <w:r>
              <w:rPr>
                <w:rFonts w:hint="eastAsia" w:ascii="宋体" w:hAnsi="宋体" w:cs="宋体"/>
                <w:kern w:val="0"/>
                <w:sz w:val="18"/>
                <w:szCs w:val="18"/>
              </w:rPr>
              <w:t>考试</w:t>
            </w:r>
          </w:p>
        </w:tc>
        <w:tc>
          <w:tcPr>
            <w:tcW w:w="686"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课堂</w:t>
            </w:r>
          </w:p>
          <w:p>
            <w:pPr>
              <w:widowControl/>
              <w:jc w:val="center"/>
              <w:rPr>
                <w:rFonts w:ascii="宋体" w:hAnsi="宋体" w:cs="宋体"/>
                <w:kern w:val="0"/>
                <w:sz w:val="18"/>
                <w:szCs w:val="18"/>
              </w:rPr>
            </w:pPr>
            <w:r>
              <w:rPr>
                <w:rFonts w:hint="eastAsia" w:ascii="宋体" w:hAnsi="宋体" w:cs="宋体"/>
                <w:kern w:val="0"/>
                <w:sz w:val="18"/>
                <w:szCs w:val="18"/>
              </w:rPr>
              <w:t>情况</w:t>
            </w:r>
          </w:p>
        </w:tc>
        <w:tc>
          <w:tcPr>
            <w:tcW w:w="686" w:type="pc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期末</w:t>
            </w:r>
          </w:p>
          <w:p>
            <w:pPr>
              <w:widowControl/>
              <w:jc w:val="center"/>
              <w:rPr>
                <w:rFonts w:ascii="宋体" w:hAnsi="宋体" w:cs="宋体"/>
                <w:kern w:val="0"/>
                <w:sz w:val="18"/>
                <w:szCs w:val="18"/>
              </w:rPr>
            </w:pPr>
            <w:r>
              <w:rPr>
                <w:rFonts w:hint="eastAsia" w:ascii="宋体" w:hAnsi="宋体" w:cs="宋体"/>
                <w:kern w:val="0"/>
                <w:sz w:val="18"/>
                <w:szCs w:val="18"/>
              </w:rPr>
              <w:t>考试</w:t>
            </w:r>
          </w:p>
        </w:tc>
      </w:tr>
      <w:tr>
        <w:tblPrEx>
          <w:tblCellMar>
            <w:top w:w="0" w:type="dxa"/>
            <w:left w:w="108" w:type="dxa"/>
            <w:bottom w:w="0" w:type="dxa"/>
            <w:right w:w="108" w:type="dxa"/>
          </w:tblCellMar>
        </w:tblPrEx>
        <w:trPr>
          <w:trHeight w:val="419" w:hRule="atLeast"/>
          <w:jc w:val="center"/>
        </w:trPr>
        <w:tc>
          <w:tcPr>
            <w:tcW w:w="502" w:type="pct"/>
            <w:tcBorders>
              <w:top w:val="nil"/>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1</w:t>
            </w:r>
          </w:p>
        </w:tc>
        <w:tc>
          <w:tcPr>
            <w:tcW w:w="865"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0.4</w:t>
            </w:r>
          </w:p>
        </w:tc>
        <w:tc>
          <w:tcPr>
            <w:tcW w:w="493"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w:t>
            </w:r>
            <w:r>
              <w:rPr>
                <w:rFonts w:hint="eastAsia"/>
                <w:kern w:val="0"/>
                <w:sz w:val="18"/>
                <w:szCs w:val="18"/>
              </w:rPr>
              <w:t>2</w:t>
            </w:r>
          </w:p>
        </w:tc>
        <w:tc>
          <w:tcPr>
            <w:tcW w:w="493"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w:t>
            </w:r>
            <w:r>
              <w:rPr>
                <w:rFonts w:hint="eastAsia"/>
                <w:kern w:val="0"/>
                <w:sz w:val="18"/>
                <w:szCs w:val="18"/>
              </w:rPr>
              <w:t>8</w:t>
            </w:r>
          </w:p>
        </w:tc>
        <w:tc>
          <w:tcPr>
            <w:tcW w:w="638"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0.0</w:t>
            </w:r>
            <w:r>
              <w:rPr>
                <w:rFonts w:hint="eastAsia"/>
                <w:kern w:val="0"/>
                <w:sz w:val="18"/>
                <w:szCs w:val="18"/>
              </w:rPr>
              <w:t>8</w:t>
            </w:r>
          </w:p>
        </w:tc>
        <w:tc>
          <w:tcPr>
            <w:tcW w:w="638"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w:t>
            </w:r>
            <w:r>
              <w:rPr>
                <w:rFonts w:hint="eastAsia"/>
                <w:kern w:val="0"/>
                <w:sz w:val="18"/>
                <w:szCs w:val="18"/>
              </w:rPr>
              <w:t>32</w:t>
            </w:r>
          </w:p>
        </w:tc>
        <w:tc>
          <w:tcPr>
            <w:tcW w:w="686" w:type="pct"/>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0.2</w:t>
            </w:r>
            <w:r>
              <w:rPr>
                <w:rFonts w:hint="eastAsia"/>
                <w:kern w:val="0"/>
                <w:sz w:val="18"/>
                <w:szCs w:val="18"/>
              </w:rPr>
              <w:t>7</w:t>
            </w:r>
          </w:p>
        </w:tc>
        <w:tc>
          <w:tcPr>
            <w:tcW w:w="686" w:type="pct"/>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0.</w:t>
            </w:r>
            <w:r>
              <w:rPr>
                <w:rFonts w:hint="eastAsia"/>
                <w:kern w:val="0"/>
                <w:sz w:val="18"/>
                <w:szCs w:val="18"/>
              </w:rPr>
              <w:t>4</w:t>
            </w:r>
            <w:r>
              <w:rPr>
                <w:kern w:val="0"/>
                <w:sz w:val="18"/>
                <w:szCs w:val="18"/>
              </w:rPr>
              <w:t>6</w:t>
            </w:r>
          </w:p>
        </w:tc>
      </w:tr>
      <w:tr>
        <w:tblPrEx>
          <w:tblCellMar>
            <w:top w:w="0" w:type="dxa"/>
            <w:left w:w="108" w:type="dxa"/>
            <w:bottom w:w="0" w:type="dxa"/>
            <w:right w:w="108" w:type="dxa"/>
          </w:tblCellMar>
        </w:tblPrEx>
        <w:trPr>
          <w:trHeight w:val="413" w:hRule="atLeast"/>
          <w:jc w:val="center"/>
        </w:trPr>
        <w:tc>
          <w:tcPr>
            <w:tcW w:w="502" w:type="pct"/>
            <w:tcBorders>
              <w:top w:val="nil"/>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2</w:t>
            </w:r>
          </w:p>
        </w:tc>
        <w:tc>
          <w:tcPr>
            <w:tcW w:w="865"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0.3</w:t>
            </w:r>
          </w:p>
        </w:tc>
        <w:tc>
          <w:tcPr>
            <w:tcW w:w="493"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w:t>
            </w:r>
            <w:r>
              <w:rPr>
                <w:rFonts w:hint="eastAsia"/>
                <w:kern w:val="0"/>
                <w:sz w:val="18"/>
                <w:szCs w:val="18"/>
              </w:rPr>
              <w:t>4</w:t>
            </w:r>
            <w:r>
              <w:rPr>
                <w:kern w:val="0"/>
                <w:sz w:val="18"/>
                <w:szCs w:val="18"/>
              </w:rPr>
              <w:t>　</w:t>
            </w:r>
          </w:p>
        </w:tc>
        <w:tc>
          <w:tcPr>
            <w:tcW w:w="493"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w:t>
            </w:r>
            <w:r>
              <w:rPr>
                <w:rFonts w:hint="eastAsia"/>
                <w:kern w:val="0"/>
                <w:sz w:val="18"/>
                <w:szCs w:val="18"/>
              </w:rPr>
              <w:t>6</w:t>
            </w:r>
          </w:p>
        </w:tc>
        <w:tc>
          <w:tcPr>
            <w:tcW w:w="638"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w:t>
            </w:r>
            <w:r>
              <w:rPr>
                <w:rFonts w:hint="eastAsia"/>
                <w:kern w:val="0"/>
                <w:sz w:val="18"/>
                <w:szCs w:val="18"/>
              </w:rPr>
              <w:t>12</w:t>
            </w:r>
            <w:r>
              <w:rPr>
                <w:kern w:val="0"/>
                <w:sz w:val="18"/>
                <w:szCs w:val="18"/>
              </w:rPr>
              <w:t>　</w:t>
            </w:r>
          </w:p>
        </w:tc>
        <w:tc>
          <w:tcPr>
            <w:tcW w:w="638"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w:t>
            </w:r>
            <w:r>
              <w:rPr>
                <w:rFonts w:hint="eastAsia"/>
                <w:kern w:val="0"/>
                <w:sz w:val="18"/>
                <w:szCs w:val="18"/>
              </w:rPr>
              <w:t>18</w:t>
            </w:r>
          </w:p>
        </w:tc>
        <w:tc>
          <w:tcPr>
            <w:tcW w:w="686" w:type="pct"/>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0.</w:t>
            </w:r>
            <w:r>
              <w:rPr>
                <w:rFonts w:hint="eastAsia"/>
                <w:kern w:val="0"/>
                <w:sz w:val="18"/>
                <w:szCs w:val="18"/>
              </w:rPr>
              <w:t>40</w:t>
            </w:r>
          </w:p>
        </w:tc>
        <w:tc>
          <w:tcPr>
            <w:tcW w:w="686" w:type="pct"/>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0.26</w:t>
            </w:r>
          </w:p>
        </w:tc>
      </w:tr>
      <w:tr>
        <w:tblPrEx>
          <w:tblCellMar>
            <w:top w:w="0" w:type="dxa"/>
            <w:left w:w="108" w:type="dxa"/>
            <w:bottom w:w="0" w:type="dxa"/>
            <w:right w:w="108" w:type="dxa"/>
          </w:tblCellMar>
        </w:tblPrEx>
        <w:trPr>
          <w:trHeight w:val="413" w:hRule="atLeast"/>
          <w:jc w:val="center"/>
        </w:trPr>
        <w:tc>
          <w:tcPr>
            <w:tcW w:w="502" w:type="pct"/>
            <w:tcBorders>
              <w:top w:val="nil"/>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3</w:t>
            </w:r>
          </w:p>
        </w:tc>
        <w:tc>
          <w:tcPr>
            <w:tcW w:w="865"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0.2</w:t>
            </w:r>
          </w:p>
        </w:tc>
        <w:tc>
          <w:tcPr>
            <w:tcW w:w="493"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0.3</w:t>
            </w:r>
          </w:p>
        </w:tc>
        <w:tc>
          <w:tcPr>
            <w:tcW w:w="493"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0.7</w:t>
            </w:r>
          </w:p>
        </w:tc>
        <w:tc>
          <w:tcPr>
            <w:tcW w:w="638"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0.06　</w:t>
            </w:r>
          </w:p>
        </w:tc>
        <w:tc>
          <w:tcPr>
            <w:tcW w:w="638"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w:t>
            </w:r>
            <w:r>
              <w:rPr>
                <w:rFonts w:hint="eastAsia"/>
                <w:kern w:val="0"/>
                <w:sz w:val="18"/>
                <w:szCs w:val="18"/>
              </w:rPr>
              <w:t>14</w:t>
            </w:r>
          </w:p>
        </w:tc>
        <w:tc>
          <w:tcPr>
            <w:tcW w:w="686" w:type="pct"/>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0.</w:t>
            </w:r>
            <w:r>
              <w:rPr>
                <w:rFonts w:hint="eastAsia"/>
                <w:kern w:val="0"/>
                <w:sz w:val="18"/>
                <w:szCs w:val="18"/>
              </w:rPr>
              <w:t>20</w:t>
            </w:r>
          </w:p>
        </w:tc>
        <w:tc>
          <w:tcPr>
            <w:tcW w:w="686" w:type="pct"/>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0.2</w:t>
            </w:r>
            <w:r>
              <w:rPr>
                <w:rFonts w:hint="eastAsia"/>
                <w:kern w:val="0"/>
                <w:sz w:val="18"/>
                <w:szCs w:val="18"/>
              </w:rPr>
              <w:t>0</w:t>
            </w:r>
          </w:p>
        </w:tc>
      </w:tr>
      <w:tr>
        <w:tblPrEx>
          <w:tblCellMar>
            <w:top w:w="0" w:type="dxa"/>
            <w:left w:w="108" w:type="dxa"/>
            <w:bottom w:w="0" w:type="dxa"/>
            <w:right w:w="108" w:type="dxa"/>
          </w:tblCellMar>
        </w:tblPrEx>
        <w:trPr>
          <w:trHeight w:val="423" w:hRule="atLeast"/>
          <w:jc w:val="center"/>
        </w:trPr>
        <w:tc>
          <w:tcPr>
            <w:tcW w:w="502" w:type="pct"/>
            <w:tcBorders>
              <w:top w:val="nil"/>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4</w:t>
            </w:r>
          </w:p>
        </w:tc>
        <w:tc>
          <w:tcPr>
            <w:tcW w:w="865"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0.1</w:t>
            </w:r>
          </w:p>
        </w:tc>
        <w:tc>
          <w:tcPr>
            <w:tcW w:w="493"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w:t>
            </w:r>
            <w:r>
              <w:rPr>
                <w:rFonts w:hint="eastAsia"/>
                <w:kern w:val="0"/>
                <w:sz w:val="18"/>
                <w:szCs w:val="18"/>
              </w:rPr>
              <w:t>4</w:t>
            </w:r>
          </w:p>
        </w:tc>
        <w:tc>
          <w:tcPr>
            <w:tcW w:w="493"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w:t>
            </w:r>
            <w:r>
              <w:rPr>
                <w:rFonts w:hint="eastAsia"/>
                <w:kern w:val="0"/>
                <w:sz w:val="18"/>
                <w:szCs w:val="18"/>
              </w:rPr>
              <w:t>6</w:t>
            </w:r>
          </w:p>
        </w:tc>
        <w:tc>
          <w:tcPr>
            <w:tcW w:w="638"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0.0</w:t>
            </w:r>
            <w:r>
              <w:rPr>
                <w:rFonts w:hint="eastAsia"/>
                <w:kern w:val="0"/>
                <w:sz w:val="18"/>
                <w:szCs w:val="18"/>
              </w:rPr>
              <w:t>4</w:t>
            </w:r>
          </w:p>
        </w:tc>
        <w:tc>
          <w:tcPr>
            <w:tcW w:w="638"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w:t>
            </w:r>
            <w:r>
              <w:rPr>
                <w:rFonts w:hint="eastAsia"/>
                <w:kern w:val="0"/>
                <w:sz w:val="18"/>
                <w:szCs w:val="18"/>
              </w:rPr>
              <w:t>06</w:t>
            </w:r>
          </w:p>
        </w:tc>
        <w:tc>
          <w:tcPr>
            <w:tcW w:w="686" w:type="pct"/>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0.1</w:t>
            </w:r>
            <w:r>
              <w:rPr>
                <w:rFonts w:hint="eastAsia"/>
                <w:kern w:val="0"/>
                <w:sz w:val="18"/>
                <w:szCs w:val="18"/>
              </w:rPr>
              <w:t>3</w:t>
            </w:r>
          </w:p>
        </w:tc>
        <w:tc>
          <w:tcPr>
            <w:tcW w:w="686" w:type="pct"/>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0.</w:t>
            </w:r>
            <w:r>
              <w:rPr>
                <w:rFonts w:hint="eastAsia"/>
                <w:kern w:val="0"/>
                <w:sz w:val="18"/>
                <w:szCs w:val="18"/>
              </w:rPr>
              <w:t>08</w:t>
            </w:r>
          </w:p>
        </w:tc>
      </w:tr>
      <w:tr>
        <w:tblPrEx>
          <w:tblCellMar>
            <w:top w:w="0" w:type="dxa"/>
            <w:left w:w="108" w:type="dxa"/>
            <w:bottom w:w="0" w:type="dxa"/>
            <w:right w:w="108" w:type="dxa"/>
          </w:tblCellMar>
        </w:tblPrEx>
        <w:trPr>
          <w:trHeight w:val="537" w:hRule="atLeast"/>
          <w:jc w:val="center"/>
        </w:trPr>
        <w:tc>
          <w:tcPr>
            <w:tcW w:w="2353" w:type="pct"/>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各环节对课程目标达成的贡献率（</w:t>
            </w:r>
            <w:r>
              <w:rPr>
                <w:rFonts w:hint="eastAsia" w:ascii="宋体" w:hAnsi="宋体" w:cs="宋体"/>
                <w:i/>
                <w:kern w:val="0"/>
                <w:sz w:val="18"/>
                <w:szCs w:val="18"/>
              </w:rPr>
              <w:t>M</w:t>
            </w:r>
            <w:r>
              <w:rPr>
                <w:rFonts w:hint="eastAsia" w:ascii="宋体" w:hAnsi="宋体" w:cs="宋体"/>
                <w:i/>
                <w:kern w:val="0"/>
                <w:sz w:val="18"/>
                <w:szCs w:val="18"/>
                <w:vertAlign w:val="subscript"/>
              </w:rPr>
              <w:t>k</w:t>
            </w:r>
            <w:r>
              <w:rPr>
                <w:rFonts w:hint="eastAsia" w:ascii="宋体" w:hAnsi="宋体" w:cs="宋体"/>
                <w:kern w:val="0"/>
                <w:sz w:val="18"/>
                <w:szCs w:val="18"/>
              </w:rPr>
              <w:t>）</w:t>
            </w:r>
          </w:p>
        </w:tc>
        <w:tc>
          <w:tcPr>
            <w:tcW w:w="638"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0.3</w:t>
            </w:r>
          </w:p>
        </w:tc>
        <w:tc>
          <w:tcPr>
            <w:tcW w:w="638"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0.7</w:t>
            </w:r>
          </w:p>
        </w:tc>
        <w:tc>
          <w:tcPr>
            <w:tcW w:w="1372" w:type="pct"/>
            <w:gridSpan w:val="2"/>
            <w:tcBorders>
              <w:top w:val="nil"/>
              <w:left w:val="nil"/>
              <w:bottom w:val="single" w:color="auto" w:sz="4" w:space="0"/>
              <w:right w:val="single" w:color="auto" w:sz="4" w:space="0"/>
            </w:tcBorders>
          </w:tcPr>
          <w:p>
            <w:pPr>
              <w:jc w:val="center"/>
              <w:rPr>
                <w:sz w:val="18"/>
                <w:szCs w:val="18"/>
              </w:rPr>
            </w:pPr>
            <w:r>
              <w:rPr>
                <w:sz w:val="18"/>
                <w:szCs w:val="18"/>
              </w:rPr>
              <w:t>教师出题或布置作业时</w:t>
            </w:r>
          </w:p>
          <w:p>
            <w:pPr>
              <w:widowControl/>
              <w:jc w:val="center"/>
              <w:rPr>
                <w:rFonts w:ascii="宋体" w:hAnsi="宋体" w:cs="宋体"/>
                <w:kern w:val="0"/>
                <w:sz w:val="18"/>
                <w:szCs w:val="18"/>
              </w:rPr>
            </w:pPr>
            <w:r>
              <w:rPr>
                <w:sz w:val="18"/>
                <w:szCs w:val="18"/>
              </w:rPr>
              <w:t>要尽量做到按照以上比例布局</w:t>
            </w:r>
          </w:p>
        </w:tc>
      </w:tr>
    </w:tbl>
    <w:p>
      <w:pPr>
        <w:spacing w:line="360" w:lineRule="auto"/>
        <w:jc w:val="left"/>
      </w:pPr>
    </w:p>
    <w:p>
      <w:pPr>
        <w:spacing w:line="360" w:lineRule="auto"/>
        <w:ind w:firstLine="1890" w:firstLineChars="900"/>
        <w:jc w:val="left"/>
      </w:pPr>
    </w:p>
    <w:p>
      <w:pPr>
        <w:spacing w:line="360" w:lineRule="auto"/>
        <w:rPr>
          <w:color w:val="FF0000"/>
        </w:rPr>
        <w:sectPr>
          <w:pgSz w:w="16838" w:h="11906" w:orient="landscape"/>
          <w:pgMar w:top="1797" w:right="1440" w:bottom="1797" w:left="1440" w:header="851" w:footer="992" w:gutter="0"/>
          <w:pgNumType w:fmt="decimal"/>
          <w:cols w:space="425" w:num="1"/>
          <w:docGrid w:linePitch="312" w:charSpace="0"/>
        </w:sectPr>
      </w:pPr>
    </w:p>
    <w:p>
      <w:pPr>
        <w:spacing w:line="360" w:lineRule="auto"/>
        <w:ind w:firstLine="420" w:firstLineChars="200"/>
        <w:rPr>
          <w:szCs w:val="21"/>
        </w:rPr>
      </w:pPr>
      <w:r>
        <w:rPr>
          <w:rFonts w:hint="eastAsia"/>
          <w:szCs w:val="21"/>
        </w:rPr>
        <w:t>采用达成值计算法，辅以对学生的问卷调查法。</w:t>
      </w:r>
    </w:p>
    <w:p>
      <w:pPr>
        <w:spacing w:line="360" w:lineRule="auto"/>
        <w:ind w:firstLine="422" w:firstLineChars="200"/>
        <w:rPr>
          <w:b/>
          <w:bCs/>
          <w:szCs w:val="21"/>
        </w:rPr>
      </w:pPr>
      <w:r>
        <w:rPr>
          <w:rFonts w:hint="eastAsia"/>
          <w:b/>
          <w:bCs/>
          <w:szCs w:val="21"/>
        </w:rPr>
        <w:t>课程目标定量评价：</w:t>
      </w:r>
    </w:p>
    <w:p>
      <w:pPr>
        <w:spacing w:line="360" w:lineRule="auto"/>
        <w:ind w:firstLine="420" w:firstLineChars="200"/>
        <w:rPr>
          <w:szCs w:val="21"/>
        </w:rPr>
      </w:pPr>
      <w:r>
        <w:rPr>
          <w:szCs w:val="21"/>
        </w:rPr>
        <w:t>达成值计算法结合上表权重分配，采用</w:t>
      </w:r>
      <w:r>
        <w:rPr>
          <w:rFonts w:hint="eastAsia"/>
          <w:szCs w:val="21"/>
        </w:rPr>
        <w:t>下表进行计算。</w:t>
      </w:r>
    </w:p>
    <w:p>
      <w:pPr>
        <w:spacing w:line="360" w:lineRule="auto"/>
        <w:ind w:firstLine="420" w:firstLineChars="200"/>
        <w:rPr>
          <w:szCs w:val="21"/>
        </w:rPr>
      </w:pPr>
      <w:r>
        <w:rPr>
          <w:szCs w:val="21"/>
        </w:rPr>
        <w:t>单一课程目标达成度评价采用下式：</w:t>
      </w:r>
    </w:p>
    <w:p>
      <w:pPr>
        <w:spacing w:line="360" w:lineRule="auto"/>
        <w:ind w:firstLine="420" w:firstLineChars="200"/>
        <w:rPr>
          <w:szCs w:val="21"/>
        </w:rPr>
      </w:pPr>
      <w:r>
        <w:rPr>
          <w:position w:val="-30"/>
          <w:szCs w:val="21"/>
        </w:rPr>
        <w:object>
          <v:shape id="_x0000_i1121" o:spt="75" type="#_x0000_t75" style="height:36pt;width:165.5pt;" o:ole="t" filled="f" o:preferrelative="t" stroked="f" coordsize="21600,21600">
            <v:path/>
            <v:fill on="f" focussize="0,0"/>
            <v:stroke on="f" joinstyle="miter"/>
            <v:imagedata r:id="rId145" o:title=""/>
            <o:lock v:ext="edit" aspectratio="t"/>
            <w10:wrap type="none"/>
            <w10:anchorlock/>
          </v:shape>
          <o:OLEObject Type="Embed" ProgID="Equation.3" ShapeID="_x0000_i1121" DrawAspect="Content" ObjectID="_1468075821" r:id="rId259">
            <o:LockedField>false</o:LockedField>
          </o:OLEObject>
        </w:object>
      </w:r>
    </w:p>
    <w:p>
      <w:pPr>
        <w:spacing w:line="360" w:lineRule="auto"/>
        <w:ind w:firstLine="420" w:firstLineChars="200"/>
        <w:rPr>
          <w:szCs w:val="21"/>
        </w:rPr>
      </w:pPr>
      <w:r>
        <w:rPr>
          <w:szCs w:val="21"/>
        </w:rPr>
        <w:t>总的课程目标达成度评价采用下式：</w:t>
      </w:r>
    </w:p>
    <w:p>
      <w:pPr>
        <w:spacing w:line="360" w:lineRule="auto"/>
        <w:ind w:firstLine="420" w:firstLineChars="200"/>
        <w:rPr>
          <w:szCs w:val="21"/>
        </w:rPr>
      </w:pPr>
      <w:r>
        <w:rPr>
          <w:position w:val="-30"/>
          <w:szCs w:val="21"/>
        </w:rPr>
        <w:object>
          <v:shape id="_x0000_i1122" o:spt="75" type="#_x0000_t75" style="height:36pt;width:151pt;" o:ole="t" filled="f" o:preferrelative="t" stroked="f" coordsize="21600,21600">
            <v:path/>
            <v:fill on="f" focussize="0,0"/>
            <v:stroke on="f" joinstyle="miter"/>
            <v:imagedata r:id="rId147" o:title=""/>
            <o:lock v:ext="edit" aspectratio="t"/>
            <w10:wrap type="none"/>
            <w10:anchorlock/>
          </v:shape>
          <o:OLEObject Type="Embed" ProgID="Equation.3" ShapeID="_x0000_i1122" DrawAspect="Content" ObjectID="_1468075822" r:id="rId260">
            <o:LockedField>false</o:LockedField>
          </o:OLEObject>
        </w:object>
      </w:r>
    </w:p>
    <w:p>
      <w:pPr>
        <w:spacing w:line="360" w:lineRule="auto"/>
        <w:ind w:firstLine="420" w:firstLineChars="200"/>
        <w:rPr>
          <w:szCs w:val="21"/>
        </w:rPr>
      </w:pPr>
      <w:r>
        <w:rPr>
          <w:szCs w:val="21"/>
        </w:rPr>
        <w:t>以上公式中：</w:t>
      </w:r>
    </w:p>
    <w:p>
      <w:pPr>
        <w:spacing w:line="360" w:lineRule="auto"/>
        <w:ind w:firstLine="420" w:firstLineChars="200"/>
        <w:rPr>
          <w:szCs w:val="21"/>
        </w:rPr>
      </w:pPr>
      <w:r>
        <w:rPr>
          <w:i/>
          <w:szCs w:val="21"/>
        </w:rPr>
        <w:t>k</w:t>
      </w:r>
      <w:r>
        <w:rPr>
          <w:szCs w:val="21"/>
        </w:rPr>
        <w:t>表示不同的评价方式，</w:t>
      </w:r>
      <w:r>
        <w:rPr>
          <w:i/>
          <w:szCs w:val="21"/>
        </w:rPr>
        <w:t>i</w:t>
      </w:r>
      <w:r>
        <w:rPr>
          <w:szCs w:val="21"/>
        </w:rPr>
        <w:t>表示不同的课程目标。</w:t>
      </w:r>
    </w:p>
    <w:p>
      <w:pPr>
        <w:spacing w:line="360" w:lineRule="auto"/>
        <w:ind w:firstLine="420" w:firstLineChars="200"/>
      </w:pPr>
      <w:r>
        <w:rPr>
          <w:position w:val="-10"/>
        </w:rPr>
        <w:object>
          <v:shape id="_x0000_i1123" o:spt="75" type="#_x0000_t75" style="height:14.5pt;width:14.5pt;" o:ole="t" filled="f" o:preferrelative="t" stroked="f" coordsize="21600,21600">
            <v:path/>
            <v:fill on="f" focussize="0,0"/>
            <v:stroke on="f" joinstyle="miter"/>
            <v:imagedata r:id="rId149" o:title=""/>
            <o:lock v:ext="edit" aspectratio="t"/>
            <w10:wrap type="none"/>
            <w10:anchorlock/>
          </v:shape>
          <o:OLEObject Type="Embed" ProgID="Equation.3" ShapeID="_x0000_i1123" DrawAspect="Content" ObjectID="_1468075823" r:id="rId261">
            <o:LockedField>false</o:LockedField>
          </o:OLEObject>
        </w:object>
      </w:r>
      <w:r>
        <w:t>表示第</w:t>
      </w:r>
      <w:r>
        <w:rPr>
          <w:i/>
        </w:rPr>
        <w:t>k</w:t>
      </w:r>
      <w:r>
        <w:t>种评价方式期末评价成绩平均分，均为百分制；</w:t>
      </w:r>
    </w:p>
    <w:p>
      <w:pPr>
        <w:spacing w:line="360" w:lineRule="auto"/>
        <w:ind w:firstLine="420" w:firstLineChars="200"/>
      </w:pPr>
      <w:r>
        <w:rPr>
          <w:position w:val="-10"/>
        </w:rPr>
        <w:object>
          <v:shape id="_x0000_i1124" o:spt="75" type="#_x0000_t75" style="height:14.5pt;width:72pt;" o:ole="t" filled="f" o:preferrelative="t" stroked="f" coordsize="21600,21600">
            <v:path/>
            <v:fill on="f" focussize="0,0"/>
            <v:stroke on="f" joinstyle="miter"/>
            <v:imagedata r:id="rId151" o:title=""/>
            <o:lock v:ext="edit" aspectratio="t"/>
            <w10:wrap type="none"/>
            <w10:anchorlock/>
          </v:shape>
          <o:OLEObject Type="Embed" ProgID="Equation.3" ShapeID="_x0000_i1124" DrawAspect="Content" ObjectID="_1468075824" r:id="rId262">
            <o:LockedField>false</o:LockedField>
          </o:OLEObject>
        </w:object>
      </w:r>
      <w:r>
        <w:t>是第</w:t>
      </w:r>
      <w:r>
        <w:rPr>
          <w:i/>
        </w:rPr>
        <w:t>k</w:t>
      </w:r>
      <w:r>
        <w:t>种评价方式通过第</w:t>
      </w:r>
      <w:r>
        <w:rPr>
          <w:i/>
        </w:rPr>
        <w:t>i</w:t>
      </w:r>
      <w:r>
        <w:t>个课程目标反映在总的课程目标评分占比；</w:t>
      </w:r>
    </w:p>
    <w:p>
      <w:pPr>
        <w:spacing w:line="360" w:lineRule="auto"/>
        <w:ind w:firstLine="420" w:firstLineChars="200"/>
        <w:rPr>
          <w:szCs w:val="21"/>
        </w:rPr>
      </w:pPr>
      <w:r>
        <w:rPr>
          <w:position w:val="-10"/>
        </w:rPr>
        <w:object>
          <v:shape id="_x0000_i1125" o:spt="75" type="#_x0000_t75" style="height:14.5pt;width:14.5pt;" o:ole="t" filled="f" o:preferrelative="t" stroked="f" coordsize="21600,21600">
            <v:path/>
            <v:fill on="f" focussize="0,0"/>
            <v:stroke on="f" joinstyle="miter"/>
            <v:imagedata r:id="rId153" o:title=""/>
            <o:lock v:ext="edit" aspectratio="t"/>
            <w10:wrap type="none"/>
            <w10:anchorlock/>
          </v:shape>
          <o:OLEObject Type="Embed" ProgID="Equation.3" ShapeID="_x0000_i1125" DrawAspect="Content" ObjectID="_1468075825" r:id="rId263">
            <o:LockedField>false</o:LockedField>
          </o:OLEObject>
        </w:object>
      </w:r>
      <w:r>
        <w:t>表示第</w:t>
      </w:r>
      <w:r>
        <w:rPr>
          <w:i/>
        </w:rPr>
        <w:t>k</w:t>
      </w:r>
      <w:r>
        <w:t>种评价方式对第</w:t>
      </w:r>
      <w:r>
        <w:rPr>
          <w:i/>
        </w:rPr>
        <w:t>i</w:t>
      </w:r>
      <w:r>
        <w:t>个课程目标百分占比；</w:t>
      </w:r>
    </w:p>
    <w:p>
      <w:pPr>
        <w:spacing w:line="360" w:lineRule="auto"/>
        <w:ind w:firstLine="420" w:firstLineChars="200"/>
      </w:pPr>
      <w:r>
        <w:rPr>
          <w:position w:val="-10"/>
        </w:rPr>
        <w:object>
          <v:shape id="_x0000_i1126" o:spt="75" type="#_x0000_t75" style="height:14.5pt;width:14.5pt;" o:ole="t" filled="f" o:preferrelative="t" stroked="f" coordsize="21600,21600">
            <v:path/>
            <v:fill on="f" focussize="0,0"/>
            <v:stroke on="f" joinstyle="miter"/>
            <v:imagedata r:id="rId155" o:title=""/>
            <o:lock v:ext="edit" aspectratio="t"/>
            <w10:wrap type="none"/>
            <w10:anchorlock/>
          </v:shape>
          <o:OLEObject Type="Embed" ProgID="Equation.3" ShapeID="_x0000_i1126" DrawAspect="Content" ObjectID="_1468075826" r:id="rId264">
            <o:LockedField>false</o:LockedField>
          </o:OLEObject>
        </w:object>
      </w:r>
      <w:r>
        <w:t>表示第</w:t>
      </w:r>
      <w:r>
        <w:rPr>
          <w:i/>
        </w:rPr>
        <w:t>i</w:t>
      </w:r>
      <w:r>
        <w:t>个课程目标在课程总评价中的占比；</w:t>
      </w:r>
    </w:p>
    <w:p>
      <w:pPr>
        <w:spacing w:line="360" w:lineRule="auto"/>
        <w:ind w:firstLine="422" w:firstLineChars="200"/>
        <w:rPr>
          <w:b/>
          <w:bCs/>
          <w:position w:val="-10"/>
          <w:szCs w:val="22"/>
        </w:rPr>
      </w:pPr>
      <w:r>
        <w:rPr>
          <w:rFonts w:hint="eastAsia"/>
          <w:b/>
          <w:bCs/>
          <w:position w:val="-10"/>
          <w:szCs w:val="22"/>
        </w:rPr>
        <w:t>课程目标定性评价：</w:t>
      </w:r>
    </w:p>
    <w:p>
      <w:pPr>
        <w:spacing w:line="360" w:lineRule="auto"/>
        <w:ind w:firstLine="420" w:firstLineChars="200"/>
        <w:rPr>
          <w:rFonts w:ascii="宋体" w:hAnsi="宋体" w:cs="宋体"/>
          <w:szCs w:val="21"/>
        </w:rPr>
      </w:pPr>
      <w:r>
        <w:rPr>
          <w:rFonts w:hint="eastAsia" w:ascii="宋体" w:hAnsi="宋体" w:cs="宋体"/>
          <w:szCs w:val="21"/>
        </w:rPr>
        <w:t>针对每门课的课程目标，直接设计问题，并要求学生明确给出目标能力达到的程度“很好（0.95）、较好（0.75）、中（0.60）、较差（0.45）、很差（0.25）”，根据各区段统计比例与括号中的目标分值加权后求和得出定性评价的结果。</w:t>
      </w:r>
    </w:p>
    <w:p>
      <w:pPr>
        <w:spacing w:line="360" w:lineRule="auto"/>
        <w:ind w:firstLine="422" w:firstLineChars="200"/>
        <w:rPr>
          <w:b/>
          <w:bCs/>
          <w:position w:val="-10"/>
          <w:szCs w:val="22"/>
        </w:rPr>
      </w:pPr>
      <w:r>
        <w:rPr>
          <w:rFonts w:hint="eastAsia"/>
          <w:b/>
          <w:bCs/>
          <w:position w:val="-10"/>
          <w:szCs w:val="22"/>
        </w:rPr>
        <w:t>课程目标达成结果：</w:t>
      </w:r>
    </w:p>
    <w:p>
      <w:pPr>
        <w:spacing w:line="360" w:lineRule="auto"/>
        <w:ind w:firstLine="420" w:firstLineChars="200"/>
        <w:rPr>
          <w:rFonts w:ascii="宋体" w:hAnsi="宋体" w:cs="宋体"/>
          <w:szCs w:val="21"/>
        </w:rPr>
      </w:pPr>
      <w:r>
        <w:rPr>
          <w:rFonts w:hint="eastAsia" w:ascii="宋体" w:hAnsi="宋体" w:cs="宋体"/>
          <w:szCs w:val="21"/>
        </w:rPr>
        <w:t>同一课程目标的评价，取定性评价和定量评价的平均值，作为最终评价结果。</w:t>
      </w:r>
    </w:p>
    <w:p>
      <w:pPr>
        <w:spacing w:line="360" w:lineRule="auto"/>
        <w:ind w:firstLine="420" w:firstLineChars="200"/>
        <w:rPr>
          <w:position w:val="-10"/>
          <w:szCs w:val="22"/>
        </w:rPr>
      </w:pPr>
      <w:r>
        <w:rPr>
          <w:rFonts w:hint="eastAsia"/>
          <w:position w:val="-10"/>
          <w:szCs w:val="22"/>
        </w:rPr>
        <w:t>课程目标达成度大于等于0.71为一级达成，大于等于0.65为二级达成。</w:t>
      </w:r>
    </w:p>
    <w:p>
      <w:pPr>
        <w:widowControl/>
        <w:jc w:val="left"/>
        <w:rPr>
          <w:rFonts w:eastAsia="黑体"/>
          <w:szCs w:val="24"/>
        </w:rPr>
      </w:pPr>
    </w:p>
    <w:p>
      <w:pPr>
        <w:tabs>
          <w:tab w:val="left" w:pos="420"/>
        </w:tabs>
        <w:adjustRightInd w:val="0"/>
        <w:snapToGrid w:val="0"/>
        <w:spacing w:line="360" w:lineRule="auto"/>
        <w:ind w:left="420" w:hanging="420"/>
        <w:rPr>
          <w:rFonts w:eastAsia="黑体"/>
          <w:szCs w:val="24"/>
        </w:rPr>
      </w:pPr>
      <w:r>
        <w:rPr>
          <w:rFonts w:hint="eastAsia" w:eastAsia="黑体"/>
          <w:szCs w:val="24"/>
        </w:rPr>
        <w:t>十一、各环节评价标准</w:t>
      </w:r>
    </w:p>
    <w:p>
      <w:pPr>
        <w:spacing w:line="360" w:lineRule="auto"/>
        <w:ind w:firstLine="420" w:firstLineChars="200"/>
        <w:rPr>
          <w:szCs w:val="21"/>
        </w:rPr>
      </w:pPr>
      <w:r>
        <w:rPr>
          <w:rFonts w:hint="eastAsia"/>
          <w:szCs w:val="21"/>
        </w:rPr>
        <w:t>本课程允许教师在各评价环节根据具体情况采取多样化、个性化的考核手段，其评价标准应当在《</w:t>
      </w:r>
      <w:r>
        <w:rPr>
          <w:rFonts w:hint="eastAsia" w:ascii="宋体" w:hAnsi="宋体"/>
          <w:szCs w:val="21"/>
        </w:rPr>
        <w:t>SIE-CT-01：</w:t>
      </w:r>
      <w:r>
        <w:rPr>
          <w:rFonts w:hint="eastAsia"/>
          <w:szCs w:val="21"/>
        </w:rPr>
        <w:t>授课计划》中明确并向学生公布，教学过程中的考核评价应当严格按照标准完成。</w:t>
      </w:r>
    </w:p>
    <w:p>
      <w:pPr>
        <w:tabs>
          <w:tab w:val="left" w:pos="420"/>
        </w:tabs>
        <w:adjustRightInd w:val="0"/>
        <w:snapToGrid w:val="0"/>
        <w:spacing w:line="360" w:lineRule="auto"/>
        <w:ind w:left="420" w:hanging="420"/>
        <w:rPr>
          <w:color w:val="0000FF"/>
        </w:rPr>
      </w:pPr>
    </w:p>
    <w:p>
      <w:pPr>
        <w:tabs>
          <w:tab w:val="left" w:pos="420"/>
        </w:tabs>
        <w:adjustRightInd w:val="0"/>
        <w:snapToGrid w:val="0"/>
        <w:spacing w:line="360" w:lineRule="auto"/>
        <w:ind w:left="420" w:hanging="420"/>
        <w:rPr>
          <w:rFonts w:eastAsia="黑体"/>
          <w:szCs w:val="24"/>
        </w:rPr>
      </w:pPr>
      <w:r>
        <w:rPr>
          <w:rFonts w:hint="eastAsia" w:eastAsia="黑体"/>
          <w:szCs w:val="24"/>
        </w:rPr>
        <w:t>十二、课程目标达成评价结果用于持续改进</w:t>
      </w:r>
    </w:p>
    <w:p>
      <w:pPr>
        <w:spacing w:line="360" w:lineRule="auto"/>
        <w:ind w:firstLine="420" w:firstLineChars="200"/>
        <w:rPr>
          <w:szCs w:val="21"/>
        </w:rPr>
      </w:pPr>
      <w:r>
        <w:rPr>
          <w:rFonts w:hint="eastAsia"/>
          <w:szCs w:val="21"/>
        </w:rPr>
        <w:t>课程目标达成评价结果将用于后续教学过程的持续改进。</w:t>
      </w:r>
    </w:p>
    <w:p>
      <w:pPr>
        <w:spacing w:line="360" w:lineRule="auto"/>
        <w:ind w:firstLine="420" w:firstLineChars="200"/>
        <w:rPr>
          <w:szCs w:val="21"/>
        </w:rPr>
      </w:pPr>
      <w:r>
        <w:rPr>
          <w:rFonts w:hint="eastAsia"/>
          <w:szCs w:val="21"/>
        </w:rPr>
        <w:t>针对课程目标达成评价中发现的问题与不足，重点是达成值相对较低的项，在本次授课总结中应由授课教师分析具体原因，并给出改进建议。后续任课教师应当针对以前的问题和建议，在授课计划中做好落实改进计划，并在授课过程中予以落实。</w:t>
      </w:r>
    </w:p>
    <w:p>
      <w:pPr>
        <w:spacing w:line="360" w:lineRule="auto"/>
        <w:ind w:firstLine="420" w:firstLineChars="200"/>
        <w:rPr>
          <w:szCs w:val="21"/>
        </w:rPr>
      </w:pPr>
    </w:p>
    <w:p>
      <w:pPr>
        <w:pStyle w:val="18"/>
        <w:spacing w:before="240" w:after="360"/>
      </w:pPr>
      <w:bookmarkStart w:id="31" w:name="_Toc4924"/>
      <w:r>
        <w:t>《微纳传感与系统》教学大纲</w:t>
      </w:r>
      <w:bookmarkEnd w:id="31"/>
    </w:p>
    <w:p>
      <w:pPr>
        <w:adjustRightInd w:val="0"/>
        <w:snapToGrid w:val="0"/>
        <w:spacing w:line="360" w:lineRule="auto"/>
        <w:rPr>
          <w:bCs/>
          <w:color w:val="000000" w:themeColor="text1"/>
          <w:kern w:val="0"/>
          <w14:textFill>
            <w14:solidFill>
              <w14:schemeClr w14:val="tx1"/>
            </w14:solidFill>
          </w14:textFill>
        </w:rPr>
      </w:pPr>
      <w:r>
        <w:rPr>
          <w:rFonts w:eastAsia="黑体"/>
          <w:color w:val="000000" w:themeColor="text1"/>
          <w:szCs w:val="21"/>
          <w14:textFill>
            <w14:solidFill>
              <w14:schemeClr w14:val="tx1"/>
            </w14:solidFill>
          </w14:textFill>
        </w:rPr>
        <w:t>课程编号：</w:t>
      </w:r>
      <w:r>
        <w:rPr>
          <w:bCs/>
          <w:color w:val="000000" w:themeColor="text1"/>
          <w:kern w:val="0"/>
          <w14:textFill>
            <w14:solidFill>
              <w14:schemeClr w14:val="tx1"/>
            </w14:solidFill>
          </w14:textFill>
        </w:rPr>
        <w:t>Z06060101</w:t>
      </w:r>
    </w:p>
    <w:p>
      <w:pPr>
        <w:adjustRightInd w:val="0"/>
        <w:snapToGrid w:val="0"/>
        <w:spacing w:line="360" w:lineRule="auto"/>
        <w:rPr>
          <w:snapToGrid w:val="0"/>
          <w:color w:val="000000" w:themeColor="text1"/>
          <w:kern w:val="0"/>
          <w:szCs w:val="21"/>
          <w14:textFill>
            <w14:solidFill>
              <w14:schemeClr w14:val="tx1"/>
            </w14:solidFill>
          </w14:textFill>
        </w:rPr>
      </w:pPr>
      <w:r>
        <w:rPr>
          <w:rFonts w:eastAsia="黑体"/>
          <w:color w:val="000000" w:themeColor="text1"/>
          <w:szCs w:val="21"/>
          <w14:textFill>
            <w14:solidFill>
              <w14:schemeClr w14:val="tx1"/>
            </w14:solidFill>
          </w14:textFill>
        </w:rPr>
        <w:t>课程名称：</w:t>
      </w:r>
      <w:r>
        <w:rPr>
          <w:color w:val="000000" w:themeColor="text1"/>
          <w:szCs w:val="21"/>
          <w14:textFill>
            <w14:solidFill>
              <w14:schemeClr w14:val="tx1"/>
            </w14:solidFill>
          </w14:textFill>
        </w:rPr>
        <w:t>微纳传感与系统</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rFonts w:eastAsia="黑体"/>
          <w:color w:val="000000" w:themeColor="text1"/>
          <w:szCs w:val="21"/>
          <w14:textFill>
            <w14:solidFill>
              <w14:schemeClr w14:val="tx1"/>
            </w14:solidFill>
          </w14:textFill>
        </w:rPr>
        <w:t>开课单位：</w:t>
      </w:r>
      <w:r>
        <w:rPr>
          <w:color w:val="000000" w:themeColor="text1"/>
          <w:szCs w:val="21"/>
          <w14:textFill>
            <w14:solidFill>
              <w14:schemeClr w14:val="tx1"/>
            </w14:solidFill>
          </w14:textFill>
        </w:rPr>
        <w:t>仪器与电子学院</w:t>
      </w:r>
      <w:r>
        <w:rPr>
          <w:rFonts w:eastAsia="黑体"/>
          <w:color w:val="000000" w:themeColor="text1"/>
          <w:szCs w:val="21"/>
          <w14:textFill>
            <w14:solidFill>
              <w14:schemeClr w14:val="tx1"/>
            </w14:solidFill>
          </w14:textFill>
        </w:rPr>
        <w:tab/>
      </w:r>
    </w:p>
    <w:p>
      <w:pPr>
        <w:adjustRightInd w:val="0"/>
        <w:snapToGrid w:val="0"/>
        <w:spacing w:line="360" w:lineRule="auto"/>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总学时：</w:t>
      </w:r>
      <w:r>
        <w:rPr>
          <w:color w:val="000000" w:themeColor="text1"/>
          <w:szCs w:val="21"/>
          <w14:textFill>
            <w14:solidFill>
              <w14:schemeClr w14:val="tx1"/>
            </w14:solidFill>
          </w14:textFill>
        </w:rPr>
        <w:t>32</w:t>
      </w:r>
      <w:r>
        <w:rPr>
          <w:rFonts w:eastAsia="黑体"/>
          <w:color w:val="000000" w:themeColor="text1"/>
          <w:szCs w:val="21"/>
          <w14:textFill>
            <w14:solidFill>
              <w14:schemeClr w14:val="tx1"/>
            </w14:solidFill>
          </w14:textFill>
        </w:rPr>
        <w:tab/>
      </w:r>
      <w:r>
        <w:rPr>
          <w:rFonts w:eastAsia="黑体"/>
          <w:color w:val="000000" w:themeColor="text1"/>
          <w:szCs w:val="21"/>
          <w14:textFill>
            <w14:solidFill>
              <w14:schemeClr w14:val="tx1"/>
            </w14:solidFill>
          </w14:textFill>
        </w:rPr>
        <w:tab/>
      </w:r>
      <w:r>
        <w:rPr>
          <w:rFonts w:eastAsia="黑体"/>
          <w:color w:val="000000" w:themeColor="text1"/>
          <w:szCs w:val="21"/>
          <w14:textFill>
            <w14:solidFill>
              <w14:schemeClr w14:val="tx1"/>
            </w14:solidFill>
          </w14:textFill>
        </w:rPr>
        <w:tab/>
      </w:r>
      <w:r>
        <w:rPr>
          <w:rFonts w:eastAsia="黑体"/>
          <w:color w:val="000000" w:themeColor="text1"/>
          <w:szCs w:val="21"/>
          <w14:textFill>
            <w14:solidFill>
              <w14:schemeClr w14:val="tx1"/>
            </w14:solidFill>
          </w14:textFill>
        </w:rPr>
        <w:tab/>
      </w:r>
      <w:r>
        <w:rPr>
          <w:rFonts w:eastAsia="黑体"/>
          <w:color w:val="000000" w:themeColor="text1"/>
          <w:szCs w:val="21"/>
          <w14:textFill>
            <w14:solidFill>
              <w14:schemeClr w14:val="tx1"/>
            </w14:solidFill>
          </w14:textFill>
        </w:rPr>
        <w:t>学分：2</w:t>
      </w:r>
    </w:p>
    <w:p>
      <w:pPr>
        <w:adjustRightInd w:val="0"/>
        <w:snapToGrid w:val="0"/>
        <w:spacing w:line="360" w:lineRule="auto"/>
        <w:rPr>
          <w:rFonts w:hint="eastAsia" w:eastAsia="宋体"/>
          <w:color w:val="000000" w:themeColor="text1"/>
          <w:szCs w:val="21"/>
          <w:lang w:eastAsia="zh-CN"/>
          <w14:textFill>
            <w14:solidFill>
              <w14:schemeClr w14:val="tx1"/>
            </w14:solidFill>
          </w14:textFill>
        </w:rPr>
      </w:pPr>
      <w:r>
        <w:rPr>
          <w:rFonts w:eastAsia="黑体"/>
          <w:color w:val="000000" w:themeColor="text1"/>
          <w:szCs w:val="21"/>
          <w14:textFill>
            <w14:solidFill>
              <w14:schemeClr w14:val="tx1"/>
            </w14:solidFill>
          </w14:textFill>
        </w:rPr>
        <w:t>适用专业：</w:t>
      </w:r>
      <w:r>
        <w:rPr>
          <w:color w:val="000000" w:themeColor="text1"/>
          <w:szCs w:val="21"/>
          <w14:textFill>
            <w14:solidFill>
              <w14:schemeClr w14:val="tx1"/>
            </w14:solidFill>
          </w14:textFill>
        </w:rPr>
        <w:t>测控技术与仪器专业</w:t>
      </w:r>
      <w:r>
        <w:rPr>
          <w:rFonts w:hint="eastAsia"/>
          <w:color w:val="000000" w:themeColor="text1"/>
          <w:szCs w:val="21"/>
          <w:lang w:eastAsia="zh-CN"/>
          <w14:textFill>
            <w14:solidFill>
              <w14:schemeClr w14:val="tx1"/>
            </w14:solidFill>
          </w14:textFill>
        </w:rPr>
        <w:t>、智能感知工程</w:t>
      </w:r>
    </w:p>
    <w:p>
      <w:pPr>
        <w:adjustRightInd w:val="0"/>
        <w:snapToGrid w:val="0"/>
        <w:spacing w:line="360" w:lineRule="auto"/>
        <w:rPr>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先修课程：</w:t>
      </w:r>
      <w:r>
        <w:rPr>
          <w:color w:val="000000" w:themeColor="text1"/>
          <w:szCs w:val="21"/>
          <w14:textFill>
            <w14:solidFill>
              <w14:schemeClr w14:val="tx1"/>
            </w14:solidFill>
          </w14:textFill>
        </w:rPr>
        <w:t>大学物理</w:t>
      </w:r>
    </w:p>
    <w:p>
      <w:pPr>
        <w:adjustRightInd w:val="0"/>
        <w:snapToGrid w:val="0"/>
        <w:spacing w:line="360" w:lineRule="auto"/>
        <w:rPr>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大纲撰写人：</w:t>
      </w:r>
      <w:r>
        <w:rPr>
          <w:color w:val="000000" w:themeColor="text1"/>
          <w:szCs w:val="21"/>
          <w14:textFill>
            <w14:solidFill>
              <w14:schemeClr w14:val="tx1"/>
            </w14:solidFill>
          </w14:textFill>
        </w:rPr>
        <w:t>王任鑫</w:t>
      </w:r>
    </w:p>
    <w:p>
      <w:pPr>
        <w:adjustRightInd w:val="0"/>
        <w:snapToGrid w:val="0"/>
        <w:spacing w:line="360" w:lineRule="auto"/>
        <w:rPr>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大纲编写（修订）时间：</w:t>
      </w:r>
      <w:r>
        <w:rPr>
          <w:rFonts w:eastAsiaTheme="minorEastAsia"/>
          <w:color w:val="000000" w:themeColor="text1"/>
          <w:szCs w:val="21"/>
          <w14:textFill>
            <w14:solidFill>
              <w14:schemeClr w14:val="tx1"/>
            </w14:solidFill>
          </w14:textFill>
        </w:rPr>
        <w:t>2019年5月</w:t>
      </w:r>
    </w:p>
    <w:p>
      <w:pPr>
        <w:tabs>
          <w:tab w:val="left" w:pos="420"/>
        </w:tabs>
        <w:adjustRightInd w:val="0"/>
        <w:snapToGrid w:val="0"/>
        <w:spacing w:line="360" w:lineRule="auto"/>
        <w:rPr>
          <w:b/>
          <w:color w:val="000000" w:themeColor="text1"/>
          <w:szCs w:val="21"/>
          <w14:textFill>
            <w14:solidFill>
              <w14:schemeClr w14:val="tx1"/>
            </w14:solidFill>
          </w14:textFill>
        </w:rPr>
      </w:pPr>
    </w:p>
    <w:p>
      <w:pPr>
        <w:tabs>
          <w:tab w:val="left" w:pos="562"/>
        </w:tabs>
        <w:adjustRightInd w:val="0"/>
        <w:snapToGrid w:val="0"/>
        <w:spacing w:line="360" w:lineRule="auto"/>
        <w:rPr>
          <w:rFonts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一、</w:t>
      </w:r>
      <w:r>
        <w:rPr>
          <w:rFonts w:eastAsia="黑体"/>
          <w:color w:val="000000" w:themeColor="text1"/>
          <w:szCs w:val="21"/>
          <w14:textFill>
            <w14:solidFill>
              <w14:schemeClr w14:val="tx1"/>
            </w14:solidFill>
          </w14:textFill>
        </w:rPr>
        <w:t>课程在教学计划中的地位、作用</w:t>
      </w:r>
    </w:p>
    <w:p>
      <w:pPr>
        <w:adjustRightInd w:val="0"/>
        <w:snapToGrid w:val="0"/>
        <w:spacing w:line="360" w:lineRule="auto"/>
        <w:ind w:firstLine="454"/>
        <w:rPr>
          <w:color w:val="000000" w:themeColor="text1"/>
          <w14:textFill>
            <w14:solidFill>
              <w14:schemeClr w14:val="tx1"/>
            </w14:solidFill>
          </w14:textFill>
        </w:rPr>
      </w:pPr>
      <w:r>
        <w:rPr>
          <w:color w:val="000000" w:themeColor="text1"/>
          <w14:textFill>
            <w14:solidFill>
              <w14:schemeClr w14:val="tx1"/>
            </w14:solidFill>
          </w14:textFill>
        </w:rPr>
        <w:t>本课程是一门属于特种传感方向的专业课程，是测控技术与仪器</w:t>
      </w:r>
      <w:r>
        <w:rPr>
          <w:rFonts w:hint="eastAsia"/>
          <w:color w:val="000000" w:themeColor="text1"/>
          <w:lang w:eastAsia="zh-CN"/>
          <w14:textFill>
            <w14:solidFill>
              <w14:schemeClr w14:val="tx1"/>
            </w14:solidFill>
          </w14:textFill>
        </w:rPr>
        <w:t>、智能感知工程</w:t>
      </w:r>
      <w:r>
        <w:rPr>
          <w:color w:val="000000" w:themeColor="text1"/>
          <w14:textFill>
            <w14:solidFill>
              <w14:schemeClr w14:val="tx1"/>
            </w14:solidFill>
          </w14:textFill>
        </w:rPr>
        <w:t>专业的专业方向选修课程。微纳传感及其系统在日常生活、航天航空、海洋探测、国防事业中起着举足轻重的作用。通过本课程的学习，使学生能够知道什么是微纳传感及其系统，对微纳传感思想和发展能够有一个比较清晰的认识，初步了解各种微纳传感的概念、基本结构、器件及系统应用，对微纳传感的整体能够有一个比较全面的认识。教学中结合实际，介绍微纳传感的最新发展以激发学生的学习热情。</w:t>
      </w:r>
    </w:p>
    <w:p>
      <w:pPr>
        <w:spacing w:line="360" w:lineRule="auto"/>
        <w:ind w:firstLine="420" w:firstLineChars="200"/>
        <w:rPr>
          <w:color w:val="000000" w:themeColor="text1"/>
          <w:szCs w:val="21"/>
          <w14:textFill>
            <w14:solidFill>
              <w14:schemeClr w14:val="tx1"/>
            </w14:solidFill>
          </w14:textFill>
        </w:rPr>
      </w:pPr>
    </w:p>
    <w:p>
      <w:pPr>
        <w:tabs>
          <w:tab w:val="left" w:pos="420"/>
        </w:tabs>
        <w:adjustRightInd w:val="0"/>
        <w:snapToGrid w:val="0"/>
        <w:spacing w:line="360" w:lineRule="auto"/>
        <w:ind w:left="420" w:hanging="420"/>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二、课程目标</w:t>
      </w:r>
    </w:p>
    <w:p>
      <w:pPr>
        <w:tabs>
          <w:tab w:val="left" w:pos="420"/>
        </w:tabs>
        <w:adjustRightInd w:val="0"/>
        <w:snapToGrid w:val="0"/>
        <w:spacing w:line="360" w:lineRule="auto"/>
        <w:ind w:left="420" w:hanging="420"/>
        <w:rPr>
          <w:rFonts w:ascii="宋体" w:hAnsi="宋体"/>
          <w:szCs w:val="21"/>
        </w:rPr>
      </w:pPr>
      <w:r>
        <w:rPr>
          <w:rFonts w:hint="eastAsia" w:ascii="宋体" w:hAnsi="宋体"/>
          <w:szCs w:val="21"/>
        </w:rPr>
        <w:t>测控技术与仪器专业：</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3450"/>
        <w:gridCol w:w="445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608" w:hRule="atLeast"/>
        </w:trPr>
        <w:tc>
          <w:tcPr>
            <w:tcW w:w="367" w:type="pct"/>
            <w:vAlign w:val="center"/>
          </w:tcPr>
          <w:p>
            <w:pPr>
              <w:spacing w:line="36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序号</w:t>
            </w:r>
          </w:p>
        </w:tc>
        <w:tc>
          <w:tcPr>
            <w:tcW w:w="2023" w:type="pct"/>
            <w:vAlign w:val="center"/>
          </w:tcPr>
          <w:p>
            <w:pPr>
              <w:spacing w:line="36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课程目标</w:t>
            </w:r>
          </w:p>
        </w:tc>
        <w:tc>
          <w:tcPr>
            <w:tcW w:w="2610" w:type="pct"/>
            <w:vAlign w:val="center"/>
          </w:tcPr>
          <w:p>
            <w:pPr>
              <w:spacing w:line="36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367" w:type="pct"/>
            <w:vAlign w:val="center"/>
          </w:tcPr>
          <w:p>
            <w:pPr>
              <w:spacing w:line="36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2023" w:type="pct"/>
          </w:tcPr>
          <w:p>
            <w:pPr>
              <w:spacing w:line="360" w:lineRule="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通过本课程的学习，学生能够了解微纳传感与系统发展现状、未来方向以及应用前景；能够对比不同种类的微纳传感器的特点和参数</w:t>
            </w:r>
            <w:r>
              <w:rPr>
                <w:rFonts w:hint="eastAsia"/>
                <w:color w:val="000000" w:themeColor="text1"/>
                <w:sz w:val="18"/>
                <w:szCs w:val="18"/>
                <w14:textFill>
                  <w14:solidFill>
                    <w14:schemeClr w14:val="tx1"/>
                  </w14:solidFill>
                </w14:textFill>
              </w:rPr>
              <w:t>；</w:t>
            </w:r>
          </w:p>
        </w:tc>
        <w:tc>
          <w:tcPr>
            <w:tcW w:w="2610" w:type="pct"/>
          </w:tcPr>
          <w:p>
            <w:pPr>
              <w:spacing w:line="360" w:lineRule="auto"/>
              <w:rPr>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指标点2-1 问题识别：</w:t>
            </w:r>
            <w:r>
              <w:rPr>
                <w:bCs/>
                <w:color w:val="000000" w:themeColor="text1"/>
                <w:sz w:val="18"/>
                <w:szCs w:val="18"/>
                <w14:textFill>
                  <w14:solidFill>
                    <w14:schemeClr w14:val="tx1"/>
                  </w14:solidFill>
                </w14:textFill>
              </w:rPr>
              <w:t>能应用科学原理对测控技术与仪器专业复杂工程问题进行分解，并识别其中的关键特征和参数。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2023" w:type="pct"/>
          </w:tcPr>
          <w:p>
            <w:pPr>
              <w:spacing w:line="360" w:lineRule="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了解特定背景下微纳传感器的应用示例，能够在不同应用环境下合理采用适合的微纳传感器及系统</w:t>
            </w:r>
            <w:r>
              <w:rPr>
                <w:rFonts w:hint="eastAsia"/>
                <w:color w:val="000000" w:themeColor="text1"/>
                <w:sz w:val="18"/>
                <w:szCs w:val="18"/>
                <w14:textFill>
                  <w14:solidFill>
                    <w14:schemeClr w14:val="tx1"/>
                  </w14:solidFill>
                </w14:textFill>
              </w:rPr>
              <w:t>。</w:t>
            </w:r>
          </w:p>
        </w:tc>
        <w:tc>
          <w:tcPr>
            <w:tcW w:w="2610" w:type="pct"/>
          </w:tcPr>
          <w:p>
            <w:pPr>
              <w:spacing w:line="360" w:lineRule="auto"/>
              <w:rPr>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指标点4-1 领域现状认知能力：</w:t>
            </w:r>
            <w:r>
              <w:rPr>
                <w:bCs/>
                <w:color w:val="000000" w:themeColor="text1"/>
                <w:sz w:val="18"/>
                <w:szCs w:val="18"/>
                <w14:textFill>
                  <w14:solidFill>
                    <w14:schemeClr w14:val="tx1"/>
                  </w14:solidFill>
                </w14:textFill>
              </w:rPr>
              <w:t>了解测控技术与仪器专业领域背景及经典案例，能够针对复杂工程问题提出研究思路和分析方法，并有意识地将实验结果用于指导解决方案的改善和优化。</w:t>
            </w:r>
          </w:p>
        </w:tc>
      </w:tr>
    </w:tbl>
    <w:p>
      <w:pPr>
        <w:tabs>
          <w:tab w:val="left" w:pos="420"/>
        </w:tabs>
        <w:adjustRightInd w:val="0"/>
        <w:snapToGrid w:val="0"/>
        <w:spacing w:line="360" w:lineRule="auto"/>
        <w:ind w:left="420" w:hanging="420"/>
        <w:rPr>
          <w:rFonts w:hint="eastAsia" w:ascii="宋体" w:hAnsi="宋体"/>
          <w:szCs w:val="21"/>
        </w:rPr>
      </w:pPr>
    </w:p>
    <w:p>
      <w:pPr>
        <w:tabs>
          <w:tab w:val="left" w:pos="420"/>
        </w:tabs>
        <w:adjustRightInd w:val="0"/>
        <w:snapToGrid w:val="0"/>
        <w:spacing w:line="360" w:lineRule="auto"/>
        <w:ind w:left="420" w:hanging="420"/>
        <w:rPr>
          <w:rFonts w:ascii="宋体" w:hAnsi="宋体"/>
          <w:szCs w:val="21"/>
        </w:rPr>
      </w:pPr>
      <w:r>
        <w:rPr>
          <w:rFonts w:hint="eastAsia" w:ascii="宋体" w:hAnsi="宋体"/>
          <w:szCs w:val="21"/>
          <w:lang w:eastAsia="zh-CN"/>
        </w:rPr>
        <w:t>智能感知工程</w:t>
      </w:r>
      <w:r>
        <w:rPr>
          <w:rFonts w:hint="eastAsia" w:ascii="宋体" w:hAnsi="宋体"/>
          <w:szCs w:val="21"/>
        </w:rPr>
        <w:t>专业：</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3450"/>
        <w:gridCol w:w="445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367" w:type="pct"/>
            <w:vAlign w:val="center"/>
          </w:tcPr>
          <w:p>
            <w:pPr>
              <w:spacing w:line="36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序号</w:t>
            </w:r>
          </w:p>
        </w:tc>
        <w:tc>
          <w:tcPr>
            <w:tcW w:w="2023" w:type="pct"/>
            <w:vAlign w:val="center"/>
          </w:tcPr>
          <w:p>
            <w:pPr>
              <w:spacing w:line="36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课程目标</w:t>
            </w:r>
          </w:p>
        </w:tc>
        <w:tc>
          <w:tcPr>
            <w:tcW w:w="2610" w:type="pct"/>
            <w:vAlign w:val="center"/>
          </w:tcPr>
          <w:p>
            <w:pPr>
              <w:spacing w:line="36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367" w:type="pct"/>
            <w:vAlign w:val="center"/>
          </w:tcPr>
          <w:p>
            <w:pPr>
              <w:spacing w:line="36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2023" w:type="pct"/>
          </w:tcPr>
          <w:p>
            <w:pPr>
              <w:spacing w:line="360" w:lineRule="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通过本课程的学习，学生能够了解微纳传感与系统发展现状、未来方向以及应用前景；能够对比不同种类的微纳传感器的特点和参数</w:t>
            </w:r>
            <w:r>
              <w:rPr>
                <w:rFonts w:hint="eastAsia"/>
                <w:color w:val="000000" w:themeColor="text1"/>
                <w:sz w:val="18"/>
                <w:szCs w:val="18"/>
                <w14:textFill>
                  <w14:solidFill>
                    <w14:schemeClr w14:val="tx1"/>
                  </w14:solidFill>
                </w14:textFill>
              </w:rPr>
              <w:t>；</w:t>
            </w:r>
          </w:p>
        </w:tc>
        <w:tc>
          <w:tcPr>
            <w:tcW w:w="2610" w:type="pct"/>
          </w:tcPr>
          <w:p>
            <w:pPr>
              <w:spacing w:line="360" w:lineRule="auto"/>
              <w:rPr>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指标点2-1 问题识别：</w:t>
            </w:r>
            <w:r>
              <w:rPr>
                <w:bCs/>
                <w:sz w:val="18"/>
                <w:szCs w:val="18"/>
              </w:rPr>
              <w:t>能应用科学原理对智能感知工程专业复杂工程问题进行分解，并识别其中的关键特征和参数。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2023" w:type="pct"/>
          </w:tcPr>
          <w:p>
            <w:pPr>
              <w:spacing w:line="360" w:lineRule="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了解特定背景下微纳传感器的应用示例，能够在不同应用环境下合理采用适合的微纳传感器及系统</w:t>
            </w:r>
            <w:r>
              <w:rPr>
                <w:rFonts w:hint="eastAsia"/>
                <w:color w:val="000000" w:themeColor="text1"/>
                <w:sz w:val="18"/>
                <w:szCs w:val="18"/>
                <w14:textFill>
                  <w14:solidFill>
                    <w14:schemeClr w14:val="tx1"/>
                  </w14:solidFill>
                </w14:textFill>
              </w:rPr>
              <w:t>。</w:t>
            </w:r>
          </w:p>
        </w:tc>
        <w:tc>
          <w:tcPr>
            <w:tcW w:w="2610" w:type="pct"/>
          </w:tcPr>
          <w:p>
            <w:pPr>
              <w:spacing w:line="360" w:lineRule="auto"/>
              <w:rPr>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指标点4-1 领域现状认知能力：</w:t>
            </w:r>
            <w:r>
              <w:rPr>
                <w:bCs/>
                <w:sz w:val="18"/>
                <w:szCs w:val="18"/>
              </w:rPr>
              <w:t>了解智能感知工程专业领域背景及经典案例，能够针对复杂工程问题提出研究思路和分析方法，并有意识地将实验结果用于指导解决方案的改善和优化。</w:t>
            </w:r>
          </w:p>
        </w:tc>
      </w:tr>
    </w:tbl>
    <w:p>
      <w:pPr>
        <w:spacing w:line="360" w:lineRule="auto"/>
        <w:rPr>
          <w:color w:val="000000" w:themeColor="text1"/>
          <w:szCs w:val="21"/>
          <w14:textFill>
            <w14:solidFill>
              <w14:schemeClr w14:val="tx1"/>
            </w14:solidFill>
          </w14:textFill>
        </w:rPr>
      </w:pPr>
    </w:p>
    <w:p>
      <w:pPr>
        <w:tabs>
          <w:tab w:val="left" w:pos="420"/>
        </w:tabs>
        <w:adjustRightInd w:val="0"/>
        <w:snapToGrid w:val="0"/>
        <w:spacing w:line="360" w:lineRule="auto"/>
        <w:ind w:left="420" w:hanging="420"/>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三、基本要求</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1、本课程作为测控技术与仪器专业学生对于微纳传感及系统进行初步了解的课程，先修课程为大学物理、工程力学；</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2、课程教学以课堂理论教学为主，教学过程必须重点考虑学生的知识尤其是专业知识储备不足的特点，在突出知识性的时候要兼顾趣味性，以培养学生的专业基本概念了解和认识为主。</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3、深度和广度说明：对常见微纳传感器件要深入讲解，对不常见的器件简单介绍；器件工作原理只做简单描述，核心是微纳传感器应用。</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4、偏差说明：为了鼓励教师引入个人授课风格或者适应技术发展的紧迫性，本课程允许教师授课内容做适当调整，最大正偏差为10%，不允许负偏差。正偏差通过压缩同等内容的学时数来完成。特殊情况，最大正偏差和置换偏差累计可达到20%，但在开课前要申请专业责任人批准。（正偏差指大纲知识点不变，新增知识点；负偏差是大纲知识点减少；置换偏差是指大纲中部分知识点被其它类似知识点替换）。</w:t>
      </w:r>
    </w:p>
    <w:p>
      <w:pPr>
        <w:spacing w:line="360" w:lineRule="auto"/>
        <w:ind w:firstLine="420" w:firstLineChars="200"/>
        <w:rPr>
          <w:color w:val="000000" w:themeColor="text1"/>
          <w:szCs w:val="21"/>
          <w14:textFill>
            <w14:solidFill>
              <w14:schemeClr w14:val="tx1"/>
            </w14:solidFill>
          </w14:textFill>
        </w:rPr>
      </w:pPr>
    </w:p>
    <w:p>
      <w:pPr>
        <w:tabs>
          <w:tab w:val="left" w:pos="420"/>
        </w:tabs>
        <w:spacing w:line="360" w:lineRule="auto"/>
        <w:ind w:left="420" w:hanging="420"/>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四、教学内容和教学方法</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本课程重点讲授的内容包括：微纳传感作用、常见微纳传感器件，如何将微纳传感器应用构成测试系统。</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本课程在教学方法上，充分利用各种媒体教学手段，采取课堂教学、多媒体课件、课堂讨论有机结合，提高教学效率。</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为了提高学生的学习兴趣，并取得良好的教学效果，教师在知识讲解的过程中要充分利用问题引导、案例分析等多种教学方法，以进一步提高教学质量。</w:t>
      </w:r>
    </w:p>
    <w:p>
      <w:pPr>
        <w:pStyle w:val="26"/>
        <w:numPr>
          <w:ilvl w:val="0"/>
          <w:numId w:val="10"/>
        </w:numPr>
        <w:adjustRightInd w:val="0"/>
        <w:snapToGrid w:val="0"/>
        <w:spacing w:line="360" w:lineRule="auto"/>
        <w:ind w:firstLineChars="0"/>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微纳传感概念（6学时）</w:t>
      </w:r>
    </w:p>
    <w:p>
      <w:pPr>
        <w:adjustRightInd w:val="0"/>
        <w:snapToGrid w:val="0"/>
        <w:spacing w:line="360" w:lineRule="auto"/>
        <w:ind w:left="420"/>
        <w:rPr>
          <w:snapToGrid w:val="0"/>
          <w:color w:val="000000" w:themeColor="text1"/>
          <w:kern w:val="0"/>
          <w:szCs w:val="21"/>
          <w14:textFill>
            <w14:solidFill>
              <w14:schemeClr w14:val="tx1"/>
            </w14:solidFill>
          </w14:textFill>
        </w:rPr>
      </w:pPr>
      <w:r>
        <w:rPr>
          <w:rFonts w:hint="eastAsia"/>
          <w:snapToGrid w:val="0"/>
          <w:color w:val="000000" w:themeColor="text1"/>
          <w:kern w:val="0"/>
          <w:szCs w:val="21"/>
          <w14:textFill>
            <w14:solidFill>
              <w14:schemeClr w14:val="tx1"/>
            </w14:solidFill>
          </w14:textFill>
        </w:rPr>
        <w:t>1</w:t>
      </w:r>
      <w:r>
        <w:rPr>
          <w:snapToGrid w:val="0"/>
          <w:color w:val="000000" w:themeColor="text1"/>
          <w:kern w:val="0"/>
          <w:szCs w:val="21"/>
          <w14:textFill>
            <w14:solidFill>
              <w14:schemeClr w14:val="tx1"/>
            </w14:solidFill>
          </w14:textFill>
        </w:rPr>
        <w:t>.1</w:t>
      </w:r>
      <w:r>
        <w:rPr>
          <w:rFonts w:hint="eastAsia"/>
          <w:snapToGrid w:val="0"/>
          <w:color w:val="000000" w:themeColor="text1"/>
          <w:kern w:val="0"/>
          <w:szCs w:val="21"/>
          <w14:textFill>
            <w14:solidFill>
              <w14:schemeClr w14:val="tx1"/>
            </w14:solidFill>
          </w14:textFill>
        </w:rPr>
        <w:t>、</w:t>
      </w:r>
      <w:r>
        <w:rPr>
          <w:snapToGrid w:val="0"/>
          <w:color w:val="000000" w:themeColor="text1"/>
          <w:kern w:val="0"/>
          <w:szCs w:val="21"/>
          <w14:textFill>
            <w14:solidFill>
              <w14:schemeClr w14:val="tx1"/>
            </w14:solidFill>
          </w14:textFill>
        </w:rPr>
        <w:t>能够掌握微纳传感的定义、常用材料；（重点）</w:t>
      </w:r>
    </w:p>
    <w:p>
      <w:pPr>
        <w:adjustRightInd w:val="0"/>
        <w:snapToGrid w:val="0"/>
        <w:spacing w:line="360" w:lineRule="auto"/>
        <w:ind w:firstLine="420" w:firstLineChars="200"/>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1.2</w:t>
      </w:r>
      <w:r>
        <w:rPr>
          <w:rFonts w:hint="eastAsia"/>
          <w:snapToGrid w:val="0"/>
          <w:color w:val="000000" w:themeColor="text1"/>
          <w:kern w:val="0"/>
          <w:szCs w:val="21"/>
          <w14:textFill>
            <w14:solidFill>
              <w14:schemeClr w14:val="tx1"/>
            </w14:solidFill>
          </w14:textFill>
        </w:rPr>
        <w:t>、</w:t>
      </w:r>
      <w:r>
        <w:rPr>
          <w:snapToGrid w:val="0"/>
          <w:color w:val="000000" w:themeColor="text1"/>
          <w:kern w:val="0"/>
          <w:szCs w:val="21"/>
          <w14:textFill>
            <w14:solidFill>
              <w14:schemeClr w14:val="tx1"/>
            </w14:solidFill>
          </w14:textFill>
        </w:rPr>
        <w:t>能够掌握微结构尺寸效应；（难点）</w:t>
      </w:r>
    </w:p>
    <w:p>
      <w:pPr>
        <w:adjustRightInd w:val="0"/>
        <w:snapToGrid w:val="0"/>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1.3、能够描述MEMS传感器的应用和发展前景。</w:t>
      </w:r>
    </w:p>
    <w:p>
      <w:pPr>
        <w:adjustRightInd w:val="0"/>
        <w:snapToGrid w:val="0"/>
        <w:spacing w:line="360" w:lineRule="auto"/>
        <w:ind w:left="426"/>
        <w:rPr>
          <w:bCs/>
          <w:snapToGrid w:val="0"/>
          <w:color w:val="000000" w:themeColor="text1"/>
          <w:kern w:val="0"/>
          <w:szCs w:val="21"/>
          <w14:textFill>
            <w14:solidFill>
              <w14:schemeClr w14:val="tx1"/>
            </w14:solidFill>
          </w14:textFill>
        </w:rPr>
      </w:pPr>
      <w:r>
        <w:rPr>
          <w:bCs/>
          <w:snapToGrid w:val="0"/>
          <w:color w:val="000000" w:themeColor="text1"/>
          <w:kern w:val="0"/>
          <w:szCs w:val="21"/>
          <w14:textFill>
            <w14:solidFill>
              <w14:schemeClr w14:val="tx1"/>
            </w14:solidFill>
          </w14:textFill>
        </w:rPr>
        <w:t>本章内容支撑课程目标1。</w:t>
      </w:r>
    </w:p>
    <w:p>
      <w:pPr>
        <w:adjustRightInd w:val="0"/>
        <w:snapToGrid w:val="0"/>
        <w:spacing w:line="360" w:lineRule="auto"/>
        <w:ind w:left="426"/>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2  微纳加工技术（6学时）</w:t>
      </w:r>
    </w:p>
    <w:p>
      <w:pPr>
        <w:adjustRightInd w:val="0"/>
        <w:snapToGrid w:val="0"/>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2.1能够掌握典型半导体加工技术，包括光刻、刻蚀、CVD/PVD、氧化、扩散、离子注入等（重点）</w:t>
      </w:r>
    </w:p>
    <w:p>
      <w:pPr>
        <w:adjustRightInd w:val="0"/>
        <w:snapToGrid w:val="0"/>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2.2 了解MEMS加工工艺，包括体硅、表面硅工艺；</w:t>
      </w:r>
    </w:p>
    <w:p>
      <w:pPr>
        <w:adjustRightInd w:val="0"/>
        <w:snapToGrid w:val="0"/>
        <w:spacing w:line="360" w:lineRule="auto"/>
        <w:ind w:left="426"/>
        <w:rPr>
          <w:snapToGrid w:val="0"/>
          <w:color w:val="000000" w:themeColor="text1"/>
          <w:kern w:val="0"/>
          <w:szCs w:val="21"/>
          <w14:textFill>
            <w14:solidFill>
              <w14:schemeClr w14:val="tx1"/>
            </w14:solidFill>
          </w14:textFill>
        </w:rPr>
      </w:pPr>
      <w:r>
        <w:rPr>
          <w:bCs/>
          <w:snapToGrid w:val="0"/>
          <w:color w:val="000000" w:themeColor="text1"/>
          <w:kern w:val="0"/>
          <w:szCs w:val="21"/>
          <w14:textFill>
            <w14:solidFill>
              <w14:schemeClr w14:val="tx1"/>
            </w14:solidFill>
          </w14:textFill>
        </w:rPr>
        <w:t>本章内容支撑课程目标1。</w:t>
      </w:r>
    </w:p>
    <w:p>
      <w:pPr>
        <w:adjustRightInd w:val="0"/>
        <w:snapToGrid w:val="0"/>
        <w:spacing w:line="360" w:lineRule="auto"/>
        <w:ind w:left="426"/>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3  机械微传感器（4学时）</w:t>
      </w:r>
    </w:p>
    <w:p>
      <w:pPr>
        <w:adjustRightInd w:val="0"/>
        <w:snapToGrid w:val="0"/>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3.1、能够列举位移微传感器的不同敏感方式：电容式、电感式、光学式、超声波式；</w:t>
      </w:r>
    </w:p>
    <w:p>
      <w:pPr>
        <w:adjustRightInd w:val="0"/>
        <w:snapToGrid w:val="0"/>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3.2、了解电容式、压阻式、共振桥式流量微传感器；</w:t>
      </w:r>
    </w:p>
    <w:p>
      <w:pPr>
        <w:adjustRightInd w:val="0"/>
        <w:snapToGrid w:val="0"/>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3.3、能够掌握压阻式微加速度计的工作原理；（重点、难点）</w:t>
      </w:r>
    </w:p>
    <w:p>
      <w:pPr>
        <w:adjustRightInd w:val="0"/>
        <w:snapToGrid w:val="0"/>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3.4、了解硅微压强传感器、电阻式应变微传感器；</w:t>
      </w:r>
    </w:p>
    <w:p>
      <w:pPr>
        <w:adjustRightInd w:val="0"/>
        <w:snapToGrid w:val="0"/>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3.5、能够描述表面声波谐振式质量传感器的基本结构。（难点）</w:t>
      </w:r>
    </w:p>
    <w:p>
      <w:pPr>
        <w:adjustRightInd w:val="0"/>
        <w:snapToGrid w:val="0"/>
        <w:spacing w:line="360" w:lineRule="auto"/>
        <w:ind w:left="426"/>
        <w:rPr>
          <w:snapToGrid w:val="0"/>
          <w:color w:val="000000" w:themeColor="text1"/>
          <w:kern w:val="0"/>
          <w:szCs w:val="21"/>
          <w14:textFill>
            <w14:solidFill>
              <w14:schemeClr w14:val="tx1"/>
            </w14:solidFill>
          </w14:textFill>
        </w:rPr>
      </w:pPr>
      <w:r>
        <w:rPr>
          <w:bCs/>
          <w:snapToGrid w:val="0"/>
          <w:color w:val="000000" w:themeColor="text1"/>
          <w:kern w:val="0"/>
          <w:szCs w:val="21"/>
          <w14:textFill>
            <w14:solidFill>
              <w14:schemeClr w14:val="tx1"/>
            </w14:solidFill>
          </w14:textFill>
        </w:rPr>
        <w:t>本章内容支撑课程目标1。</w:t>
      </w:r>
    </w:p>
    <w:p>
      <w:pPr>
        <w:adjustRightInd w:val="0"/>
        <w:snapToGrid w:val="0"/>
        <w:spacing w:line="360" w:lineRule="auto"/>
        <w:ind w:left="426"/>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4  热微传感器和磁微传感器（2学时）</w:t>
      </w:r>
    </w:p>
    <w:p>
      <w:pPr>
        <w:adjustRightInd w:val="0"/>
        <w:snapToGrid w:val="0"/>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4.1、能够描述热二极管式、热电偶式微机械传感器的基本结构；</w:t>
      </w:r>
    </w:p>
    <w:p>
      <w:pPr>
        <w:adjustRightInd w:val="0"/>
        <w:snapToGrid w:val="0"/>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4.2、了解其他非电测量热微传感器：温度指示器、光纤传感器和表面声波温度微传感器；</w:t>
      </w:r>
    </w:p>
    <w:p>
      <w:pPr>
        <w:adjustRightInd w:val="0"/>
        <w:snapToGrid w:val="0"/>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4.3、能够掌握霍尔效应器件的工作原理；（重点、难点）</w:t>
      </w:r>
    </w:p>
    <w:p>
      <w:pPr>
        <w:adjustRightInd w:val="0"/>
        <w:snapToGrid w:val="0"/>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4.4、了解磁阻效应器件、磁通门微磁强计。（难点）</w:t>
      </w:r>
    </w:p>
    <w:p>
      <w:pPr>
        <w:adjustRightInd w:val="0"/>
        <w:snapToGrid w:val="0"/>
        <w:spacing w:line="360" w:lineRule="auto"/>
        <w:ind w:left="426"/>
        <w:rPr>
          <w:snapToGrid w:val="0"/>
          <w:color w:val="000000" w:themeColor="text1"/>
          <w:kern w:val="0"/>
          <w:szCs w:val="21"/>
          <w14:textFill>
            <w14:solidFill>
              <w14:schemeClr w14:val="tx1"/>
            </w14:solidFill>
          </w14:textFill>
        </w:rPr>
      </w:pPr>
      <w:r>
        <w:rPr>
          <w:bCs/>
          <w:snapToGrid w:val="0"/>
          <w:color w:val="000000" w:themeColor="text1"/>
          <w:kern w:val="0"/>
          <w:szCs w:val="21"/>
          <w14:textFill>
            <w14:solidFill>
              <w14:schemeClr w14:val="tx1"/>
            </w14:solidFill>
          </w14:textFill>
        </w:rPr>
        <w:t>本章内容支撑课程目标1。</w:t>
      </w:r>
    </w:p>
    <w:p>
      <w:pPr>
        <w:adjustRightInd w:val="0"/>
        <w:snapToGrid w:val="0"/>
        <w:spacing w:line="360" w:lineRule="auto"/>
        <w:ind w:left="426"/>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5  化学微传感器与生物微传感器（2学时）</w:t>
      </w:r>
    </w:p>
    <w:p>
      <w:pPr>
        <w:adjustRightInd w:val="0"/>
        <w:snapToGrid w:val="0"/>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5.1、能够列举不同化学微传感器种类：离子敏传感器、气敏传感器、湿敏传感器；（重点）</w:t>
      </w:r>
    </w:p>
    <w:p>
      <w:pPr>
        <w:adjustRightInd w:val="0"/>
        <w:snapToGrid w:val="0"/>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5.2、了解酶传感器、微生物传感器、细胞传感器等生物微传感器；</w:t>
      </w:r>
    </w:p>
    <w:p>
      <w:pPr>
        <w:adjustRightInd w:val="0"/>
        <w:snapToGrid w:val="0"/>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5.3、能够理解基因芯片、芯片实验室、即时诊断等概念。（重点）</w:t>
      </w:r>
    </w:p>
    <w:p>
      <w:pPr>
        <w:adjustRightInd w:val="0"/>
        <w:snapToGrid w:val="0"/>
        <w:spacing w:line="360" w:lineRule="auto"/>
        <w:ind w:left="426"/>
        <w:rPr>
          <w:snapToGrid w:val="0"/>
          <w:color w:val="000000" w:themeColor="text1"/>
          <w:kern w:val="0"/>
          <w:szCs w:val="21"/>
          <w14:textFill>
            <w14:solidFill>
              <w14:schemeClr w14:val="tx1"/>
            </w14:solidFill>
          </w14:textFill>
        </w:rPr>
      </w:pPr>
      <w:r>
        <w:rPr>
          <w:bCs/>
          <w:snapToGrid w:val="0"/>
          <w:color w:val="000000" w:themeColor="text1"/>
          <w:kern w:val="0"/>
          <w:szCs w:val="21"/>
          <w14:textFill>
            <w14:solidFill>
              <w14:schemeClr w14:val="tx1"/>
            </w14:solidFill>
          </w14:textFill>
        </w:rPr>
        <w:t>本章内容支撑课程目标1。</w:t>
      </w:r>
    </w:p>
    <w:p>
      <w:pPr>
        <w:adjustRightInd w:val="0"/>
        <w:snapToGrid w:val="0"/>
        <w:spacing w:line="360" w:lineRule="auto"/>
        <w:ind w:left="426"/>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6  微纳仿生传感（6学时）</w:t>
      </w:r>
    </w:p>
    <w:p>
      <w:pPr>
        <w:adjustRightInd w:val="0"/>
        <w:snapToGrid w:val="0"/>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6.1、能够描述仿生学概述，微纳仿生意义；（重点）</w:t>
      </w:r>
    </w:p>
    <w:p>
      <w:pPr>
        <w:adjustRightInd w:val="0"/>
        <w:snapToGrid w:val="0"/>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6.2、能够列举微纳仿生传感器：仿生电子鼻、仿鱼类侧线水听器、仿复眼传感器、仿蜘蛛裂缝传感器。（难点）</w:t>
      </w:r>
    </w:p>
    <w:p>
      <w:pPr>
        <w:adjustRightInd w:val="0"/>
        <w:snapToGrid w:val="0"/>
        <w:spacing w:line="360" w:lineRule="auto"/>
        <w:ind w:left="426"/>
        <w:rPr>
          <w:snapToGrid w:val="0"/>
          <w:color w:val="000000" w:themeColor="text1"/>
          <w:kern w:val="0"/>
          <w:szCs w:val="21"/>
          <w14:textFill>
            <w14:solidFill>
              <w14:schemeClr w14:val="tx1"/>
            </w14:solidFill>
          </w14:textFill>
        </w:rPr>
      </w:pPr>
      <w:r>
        <w:rPr>
          <w:bCs/>
          <w:snapToGrid w:val="0"/>
          <w:color w:val="000000" w:themeColor="text1"/>
          <w:kern w:val="0"/>
          <w:szCs w:val="21"/>
          <w14:textFill>
            <w14:solidFill>
              <w14:schemeClr w14:val="tx1"/>
            </w14:solidFill>
          </w14:textFill>
        </w:rPr>
        <w:t>本章内容支撑课程目标2。</w:t>
      </w:r>
    </w:p>
    <w:p>
      <w:pPr>
        <w:adjustRightInd w:val="0"/>
        <w:snapToGrid w:val="0"/>
        <w:spacing w:line="360" w:lineRule="auto"/>
        <w:ind w:firstLine="420" w:firstLineChars="200"/>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7  微纳传感及系统应用（6学时）</w:t>
      </w:r>
    </w:p>
    <w:p>
      <w:pPr>
        <w:adjustRightInd w:val="0"/>
        <w:snapToGrid w:val="0"/>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7.1、了解惯性组合单元（IMU）系统设计；（难点）</w:t>
      </w:r>
    </w:p>
    <w:p>
      <w:pPr>
        <w:adjustRightInd w:val="0"/>
        <w:snapToGrid w:val="0"/>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7.2、能够掌握手机中微纳传感器种类和集成应用；（重点）</w:t>
      </w:r>
    </w:p>
    <w:p>
      <w:pPr>
        <w:adjustRightInd w:val="0"/>
        <w:snapToGrid w:val="0"/>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7.3、能够描述汽车中微纳传感器种类和集成应用；</w:t>
      </w:r>
    </w:p>
    <w:p>
      <w:pPr>
        <w:adjustRightInd w:val="0"/>
        <w:snapToGrid w:val="0"/>
        <w:spacing w:line="360" w:lineRule="auto"/>
        <w:ind w:left="426"/>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7.4、能够描述未来战士中微纳传感器种类和集成应用。</w:t>
      </w:r>
    </w:p>
    <w:p>
      <w:pPr>
        <w:adjustRightInd w:val="0"/>
        <w:snapToGrid w:val="0"/>
        <w:spacing w:line="360" w:lineRule="auto"/>
        <w:ind w:left="426"/>
        <w:rPr>
          <w:snapToGrid w:val="0"/>
          <w:color w:val="000000" w:themeColor="text1"/>
          <w:kern w:val="0"/>
          <w:szCs w:val="21"/>
          <w14:textFill>
            <w14:solidFill>
              <w14:schemeClr w14:val="tx1"/>
            </w14:solidFill>
          </w14:textFill>
        </w:rPr>
      </w:pPr>
      <w:r>
        <w:rPr>
          <w:bCs/>
          <w:snapToGrid w:val="0"/>
          <w:color w:val="000000" w:themeColor="text1"/>
          <w:kern w:val="0"/>
          <w:szCs w:val="21"/>
          <w14:textFill>
            <w14:solidFill>
              <w14:schemeClr w14:val="tx1"/>
            </w14:solidFill>
          </w14:textFill>
        </w:rPr>
        <w:t>本章内容支撑课程目标2。</w:t>
      </w:r>
    </w:p>
    <w:p>
      <w:pPr>
        <w:adjustRightInd w:val="0"/>
        <w:snapToGrid w:val="0"/>
        <w:spacing w:line="360" w:lineRule="auto"/>
        <w:rPr>
          <w:b/>
          <w:color w:val="000000" w:themeColor="text1"/>
          <w:sz w:val="24"/>
          <w:szCs w:val="24"/>
          <w14:textFill>
            <w14:solidFill>
              <w14:schemeClr w14:val="tx1"/>
            </w14:solidFill>
          </w14:textFill>
        </w:rPr>
      </w:pPr>
    </w:p>
    <w:p>
      <w:pPr>
        <w:tabs>
          <w:tab w:val="left" w:pos="420"/>
        </w:tabs>
        <w:adjustRightInd w:val="0"/>
        <w:snapToGrid w:val="0"/>
        <w:spacing w:line="360" w:lineRule="auto"/>
        <w:ind w:left="420" w:hanging="420"/>
        <w:rPr>
          <w:rFonts w:eastAsia="黑体"/>
          <w:color w:val="000000" w:themeColor="text1"/>
          <w:szCs w:val="24"/>
          <w14:textFill>
            <w14:solidFill>
              <w14:schemeClr w14:val="tx1"/>
            </w14:solidFill>
          </w14:textFill>
        </w:rPr>
      </w:pPr>
      <w:r>
        <w:rPr>
          <w:rFonts w:eastAsia="黑体"/>
          <w:color w:val="000000" w:themeColor="text1"/>
          <w:szCs w:val="24"/>
          <w14:textFill>
            <w14:solidFill>
              <w14:schemeClr w14:val="tx1"/>
            </w14:solidFill>
          </w14:textFill>
        </w:rPr>
        <w:t>五、实验内容</w:t>
      </w:r>
    </w:p>
    <w:p>
      <w:pPr>
        <w:spacing w:line="360" w:lineRule="auto"/>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无</w:t>
      </w:r>
    </w:p>
    <w:p>
      <w:pPr>
        <w:spacing w:line="360" w:lineRule="auto"/>
        <w:ind w:left="422" w:leftChars="201" w:firstLine="420" w:firstLineChars="200"/>
        <w:rPr>
          <w:color w:val="000000" w:themeColor="text1"/>
          <w:szCs w:val="21"/>
          <w14:textFill>
            <w14:solidFill>
              <w14:schemeClr w14:val="tx1"/>
            </w14:solidFill>
          </w14:textFill>
        </w:rPr>
      </w:pPr>
    </w:p>
    <w:p>
      <w:pPr>
        <w:widowControl/>
        <w:spacing w:line="360" w:lineRule="auto"/>
        <w:jc w:val="left"/>
        <w:rPr>
          <w:rFonts w:eastAsia="黑体"/>
          <w:color w:val="000000" w:themeColor="text1"/>
          <w:kern w:val="0"/>
          <w:szCs w:val="21"/>
          <w14:textFill>
            <w14:solidFill>
              <w14:schemeClr w14:val="tx1"/>
            </w14:solidFill>
          </w14:textFill>
        </w:rPr>
      </w:pPr>
      <w:r>
        <w:rPr>
          <w:rFonts w:eastAsia="黑体"/>
          <w:color w:val="000000" w:themeColor="text1"/>
          <w:kern w:val="0"/>
          <w:szCs w:val="21"/>
          <w14:textFill>
            <w14:solidFill>
              <w14:schemeClr w14:val="tx1"/>
            </w14:solidFill>
          </w14:textFill>
        </w:rPr>
        <w:t>六、学时分配</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16"/>
        <w:gridCol w:w="1264"/>
        <w:gridCol w:w="1677"/>
        <w:gridCol w:w="137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472"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知识点及内容</w:t>
            </w:r>
          </w:p>
        </w:tc>
        <w:tc>
          <w:tcPr>
            <w:tcW w:w="74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讲授（学时）</w:t>
            </w:r>
          </w:p>
        </w:tc>
        <w:tc>
          <w:tcPr>
            <w:tcW w:w="983"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实验（学时）</w:t>
            </w:r>
          </w:p>
        </w:tc>
        <w:tc>
          <w:tcPr>
            <w:tcW w:w="804"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小计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472" w:type="pct"/>
            <w:vAlign w:val="center"/>
          </w:tcPr>
          <w:p>
            <w:pPr>
              <w:adjustRightInd w:val="0"/>
              <w:snapToGrid w:val="0"/>
              <w:jc w:val="center"/>
              <w:rPr>
                <w:color w:val="000000" w:themeColor="text1"/>
                <w:sz w:val="18"/>
                <w:szCs w:val="18"/>
                <w14:textFill>
                  <w14:solidFill>
                    <w14:schemeClr w14:val="tx1"/>
                  </w14:solidFill>
                </w14:textFill>
              </w:rPr>
            </w:pPr>
            <w:bookmarkStart w:id="32" w:name="_Hlk9699602"/>
            <w:bookmarkStart w:id="33" w:name="_Hlk10294349"/>
            <w:r>
              <w:rPr>
                <w:color w:val="000000" w:themeColor="text1"/>
                <w:sz w:val="18"/>
                <w:szCs w:val="18"/>
                <w14:textFill>
                  <w14:solidFill>
                    <w14:schemeClr w14:val="tx1"/>
                  </w14:solidFill>
                </w14:textFill>
              </w:rPr>
              <w:t>1</w:t>
            </w:r>
            <w:r>
              <w:rPr>
                <w:snapToGrid w:val="0"/>
                <w:color w:val="000000" w:themeColor="text1"/>
                <w:kern w:val="0"/>
                <w:sz w:val="18"/>
                <w:szCs w:val="18"/>
                <w14:textFill>
                  <w14:solidFill>
                    <w14:schemeClr w14:val="tx1"/>
                  </w14:solidFill>
                </w14:textFill>
              </w:rPr>
              <w:t>微纳传感概念</w:t>
            </w:r>
          </w:p>
        </w:tc>
        <w:tc>
          <w:tcPr>
            <w:tcW w:w="74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983" w:type="pct"/>
            <w:vAlign w:val="center"/>
          </w:tcPr>
          <w:p>
            <w:pPr>
              <w:widowControl/>
              <w:adjustRightInd w:val="0"/>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w:t>
            </w:r>
          </w:p>
        </w:tc>
        <w:tc>
          <w:tcPr>
            <w:tcW w:w="804"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472"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 微纳加工技术</w:t>
            </w:r>
          </w:p>
        </w:tc>
        <w:tc>
          <w:tcPr>
            <w:tcW w:w="74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983" w:type="pct"/>
            <w:vAlign w:val="center"/>
          </w:tcPr>
          <w:p>
            <w:pPr>
              <w:widowControl/>
              <w:adjustRightInd w:val="0"/>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w:t>
            </w:r>
          </w:p>
        </w:tc>
        <w:tc>
          <w:tcPr>
            <w:tcW w:w="804"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r>
      <w:bookmarkEnd w:id="32"/>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472"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 机械微传感器</w:t>
            </w:r>
          </w:p>
        </w:tc>
        <w:tc>
          <w:tcPr>
            <w:tcW w:w="74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983" w:type="pct"/>
            <w:vAlign w:val="center"/>
          </w:tcPr>
          <w:p>
            <w:pPr>
              <w:widowControl/>
              <w:adjustRightInd w:val="0"/>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w:t>
            </w:r>
          </w:p>
        </w:tc>
        <w:tc>
          <w:tcPr>
            <w:tcW w:w="804"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472"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 热微传感器和磁微传感器</w:t>
            </w:r>
          </w:p>
        </w:tc>
        <w:tc>
          <w:tcPr>
            <w:tcW w:w="74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983" w:type="pct"/>
            <w:vAlign w:val="center"/>
          </w:tcPr>
          <w:p>
            <w:pPr>
              <w:widowControl/>
              <w:adjustRightInd w:val="0"/>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w:t>
            </w:r>
          </w:p>
        </w:tc>
        <w:tc>
          <w:tcPr>
            <w:tcW w:w="804"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472"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 化学微传感器与生物微传感器</w:t>
            </w:r>
          </w:p>
        </w:tc>
        <w:tc>
          <w:tcPr>
            <w:tcW w:w="74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983" w:type="pct"/>
            <w:vAlign w:val="center"/>
          </w:tcPr>
          <w:p>
            <w:pPr>
              <w:widowControl/>
              <w:adjustRightInd w:val="0"/>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w:t>
            </w:r>
          </w:p>
        </w:tc>
        <w:tc>
          <w:tcPr>
            <w:tcW w:w="804"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472"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 微纳仿生传感</w:t>
            </w:r>
          </w:p>
        </w:tc>
        <w:tc>
          <w:tcPr>
            <w:tcW w:w="74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983" w:type="pct"/>
            <w:vAlign w:val="center"/>
          </w:tcPr>
          <w:p>
            <w:pPr>
              <w:widowControl/>
              <w:adjustRightInd w:val="0"/>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w:t>
            </w:r>
          </w:p>
        </w:tc>
        <w:tc>
          <w:tcPr>
            <w:tcW w:w="804"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472"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 微纳传感与系统应用</w:t>
            </w:r>
          </w:p>
        </w:tc>
        <w:tc>
          <w:tcPr>
            <w:tcW w:w="74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983" w:type="pct"/>
            <w:vAlign w:val="center"/>
          </w:tcPr>
          <w:p>
            <w:pPr>
              <w:widowControl/>
              <w:adjustRightInd w:val="0"/>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w:t>
            </w:r>
          </w:p>
        </w:tc>
        <w:tc>
          <w:tcPr>
            <w:tcW w:w="804"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r>
      <w:bookmarkEnd w:id="33"/>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472"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合计</w:t>
            </w:r>
          </w:p>
        </w:tc>
        <w:tc>
          <w:tcPr>
            <w:tcW w:w="74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983" w:type="pct"/>
            <w:vAlign w:val="center"/>
          </w:tcPr>
          <w:p>
            <w:pPr>
              <w:widowControl/>
              <w:adjustRightInd w:val="0"/>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w:t>
            </w:r>
          </w:p>
        </w:tc>
        <w:tc>
          <w:tcPr>
            <w:tcW w:w="804"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32</w:t>
            </w:r>
          </w:p>
        </w:tc>
      </w:tr>
    </w:tbl>
    <w:p>
      <w:pPr>
        <w:spacing w:line="360" w:lineRule="auto"/>
        <w:rPr>
          <w:b/>
          <w:color w:val="000000" w:themeColor="text1"/>
          <w:sz w:val="24"/>
          <w:szCs w:val="24"/>
          <w14:textFill>
            <w14:solidFill>
              <w14:schemeClr w14:val="tx1"/>
            </w14:solidFill>
          </w14:textFill>
        </w:rPr>
      </w:pPr>
    </w:p>
    <w:p>
      <w:pPr>
        <w:tabs>
          <w:tab w:val="left" w:pos="420"/>
        </w:tabs>
        <w:spacing w:line="360" w:lineRule="auto"/>
        <w:ind w:left="420" w:hanging="420"/>
        <w:rPr>
          <w:rFonts w:eastAsia="黑体"/>
          <w:color w:val="000000" w:themeColor="text1"/>
          <w:szCs w:val="24"/>
          <w14:textFill>
            <w14:solidFill>
              <w14:schemeClr w14:val="tx1"/>
            </w14:solidFill>
          </w14:textFill>
        </w:rPr>
      </w:pPr>
      <w:r>
        <w:rPr>
          <w:rFonts w:eastAsia="黑体"/>
          <w:color w:val="000000" w:themeColor="text1"/>
          <w:szCs w:val="24"/>
          <w14:textFill>
            <w14:solidFill>
              <w14:schemeClr w14:val="tx1"/>
            </w14:solidFill>
          </w14:textFill>
        </w:rPr>
        <w:t>七、教材、补充教材及参考资料</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1、朱勇，张海霞，《微纳传感器及其应用》，ISBN: 9787301173787, 北京大学出版社，2010年7月</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2、曾周末，林玉池，《现代传感技术与系统》，ISBN: 9787111272366, 机械工业出版社，2009年7月</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3、张文栋，《纳机电基础效应与器件》，ISBN: 9787030322821, 科学出版社，2011年9月</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电子科技大学公开课：感知天下——信息化社会中的传感器   http://open.163.com/movie/2015/6/8/D/MAPMV7S4L_MAQTJ888D.html</w:t>
      </w:r>
    </w:p>
    <w:p>
      <w:pPr>
        <w:tabs>
          <w:tab w:val="left" w:pos="420"/>
        </w:tabs>
        <w:spacing w:line="360" w:lineRule="auto"/>
        <w:ind w:left="420" w:hanging="420"/>
        <w:rPr>
          <w:rFonts w:eastAsia="黑体"/>
          <w:color w:val="000000" w:themeColor="text1"/>
          <w:szCs w:val="24"/>
          <w14:textFill>
            <w14:solidFill>
              <w14:schemeClr w14:val="tx1"/>
            </w14:solidFill>
          </w14:textFill>
        </w:rPr>
      </w:pPr>
    </w:p>
    <w:p>
      <w:pPr>
        <w:tabs>
          <w:tab w:val="left" w:pos="420"/>
        </w:tabs>
        <w:spacing w:line="360" w:lineRule="auto"/>
        <w:ind w:left="420" w:hanging="420"/>
        <w:rPr>
          <w:rFonts w:eastAsia="黑体"/>
          <w:color w:val="000000" w:themeColor="text1"/>
          <w:szCs w:val="24"/>
          <w14:textFill>
            <w14:solidFill>
              <w14:schemeClr w14:val="tx1"/>
            </w14:solidFill>
          </w14:textFill>
        </w:rPr>
      </w:pPr>
      <w:r>
        <w:rPr>
          <w:rFonts w:eastAsia="黑体"/>
          <w:color w:val="000000" w:themeColor="text1"/>
          <w:szCs w:val="24"/>
          <w14:textFill>
            <w14:solidFill>
              <w14:schemeClr w14:val="tx1"/>
            </w14:solidFill>
          </w14:textFill>
        </w:rPr>
        <w:t>八、课程目标达成的途径和措施</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1、考核目标：在考核学生对微纳传感与系统的相关基本概念的熟悉程度基础上，重点考核学生综合运用微纳传感器件和使用方法的掌握程度。</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2、考核方式：课堂情况、作业及小论文考查。</w:t>
      </w:r>
    </w:p>
    <w:p>
      <w:pPr>
        <w:spacing w:line="360" w:lineRule="auto"/>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t>3、评价环节对课程目标达成贡献率及支撑材料：</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279"/>
        <w:gridCol w:w="2083"/>
        <w:gridCol w:w="2083"/>
        <w:gridCol w:w="208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337" w:type="pct"/>
            <w:vAlign w:val="center"/>
          </w:tcPr>
          <w:p>
            <w:pPr>
              <w:widowControl/>
              <w:jc w:val="center"/>
              <w:rPr>
                <w:color w:val="000000" w:themeColor="text1"/>
                <w:kern w:val="0"/>
                <w:sz w:val="18"/>
                <w14:textFill>
                  <w14:solidFill>
                    <w14:schemeClr w14:val="tx1"/>
                  </w14:solidFill>
                </w14:textFill>
              </w:rPr>
            </w:pPr>
            <w:r>
              <w:rPr>
                <w:color w:val="000000" w:themeColor="text1"/>
                <w:kern w:val="0"/>
                <w:sz w:val="18"/>
                <w14:textFill>
                  <w14:solidFill>
                    <w14:schemeClr w14:val="tx1"/>
                  </w14:solidFill>
                </w14:textFill>
              </w:rPr>
              <w:t>考察环节</w:t>
            </w:r>
          </w:p>
        </w:tc>
        <w:tc>
          <w:tcPr>
            <w:tcW w:w="1221" w:type="pct"/>
            <w:vAlign w:val="center"/>
          </w:tcPr>
          <w:p>
            <w:pPr>
              <w:widowControl/>
              <w:jc w:val="center"/>
              <w:rPr>
                <w:color w:val="000000" w:themeColor="text1"/>
                <w:kern w:val="0"/>
                <w:sz w:val="18"/>
                <w14:textFill>
                  <w14:solidFill>
                    <w14:schemeClr w14:val="tx1"/>
                  </w14:solidFill>
                </w14:textFill>
              </w:rPr>
            </w:pPr>
            <w:r>
              <w:rPr>
                <w:color w:val="000000" w:themeColor="text1"/>
                <w:kern w:val="0"/>
                <w:sz w:val="18"/>
                <w14:textFill>
                  <w14:solidFill>
                    <w14:schemeClr w14:val="tx1"/>
                  </w14:solidFill>
                </w14:textFill>
              </w:rPr>
              <w:t>课堂情况</w:t>
            </w:r>
          </w:p>
        </w:tc>
        <w:tc>
          <w:tcPr>
            <w:tcW w:w="1221" w:type="pct"/>
            <w:vAlign w:val="center"/>
          </w:tcPr>
          <w:p>
            <w:pPr>
              <w:widowControl/>
              <w:jc w:val="center"/>
              <w:rPr>
                <w:color w:val="000000" w:themeColor="text1"/>
                <w:kern w:val="0"/>
                <w:sz w:val="18"/>
                <w14:textFill>
                  <w14:solidFill>
                    <w14:schemeClr w14:val="tx1"/>
                  </w14:solidFill>
                </w14:textFill>
              </w:rPr>
            </w:pPr>
            <w:r>
              <w:rPr>
                <w:color w:val="000000" w:themeColor="text1"/>
                <w:kern w:val="0"/>
                <w:sz w:val="18"/>
                <w14:textFill>
                  <w14:solidFill>
                    <w14:schemeClr w14:val="tx1"/>
                  </w14:solidFill>
                </w14:textFill>
              </w:rPr>
              <w:t>作业</w:t>
            </w:r>
          </w:p>
        </w:tc>
        <w:tc>
          <w:tcPr>
            <w:tcW w:w="1221" w:type="pct"/>
            <w:vAlign w:val="center"/>
          </w:tcPr>
          <w:p>
            <w:pPr>
              <w:widowControl/>
              <w:jc w:val="center"/>
              <w:rPr>
                <w:color w:val="000000" w:themeColor="text1"/>
                <w:kern w:val="0"/>
                <w:sz w:val="18"/>
                <w14:textFill>
                  <w14:solidFill>
                    <w14:schemeClr w14:val="tx1"/>
                  </w14:solidFill>
                </w14:textFill>
              </w:rPr>
            </w:pPr>
            <w:r>
              <w:rPr>
                <w:color w:val="000000" w:themeColor="text1"/>
                <w:kern w:val="0"/>
                <w:sz w:val="18"/>
                <w14:textFill>
                  <w14:solidFill>
                    <w14:schemeClr w14:val="tx1"/>
                  </w14:solidFill>
                </w14:textFill>
              </w:rPr>
              <w:t>期末小论文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337" w:type="pct"/>
            <w:vAlign w:val="center"/>
          </w:tcPr>
          <w:p>
            <w:pPr>
              <w:widowControl/>
              <w:jc w:val="center"/>
              <w:rPr>
                <w:color w:val="000000" w:themeColor="text1"/>
                <w:kern w:val="0"/>
                <w:sz w:val="18"/>
                <w14:textFill>
                  <w14:solidFill>
                    <w14:schemeClr w14:val="tx1"/>
                  </w14:solidFill>
                </w14:textFill>
              </w:rPr>
            </w:pPr>
            <w:r>
              <w:rPr>
                <w:color w:val="000000" w:themeColor="text1"/>
                <w:kern w:val="0"/>
                <w:sz w:val="18"/>
                <w14:textFill>
                  <w14:solidFill>
                    <w14:schemeClr w14:val="tx1"/>
                  </w14:solidFill>
                </w14:textFill>
              </w:rPr>
              <w:t>课程目标达成</w:t>
            </w:r>
          </w:p>
          <w:p>
            <w:pPr>
              <w:widowControl/>
              <w:jc w:val="center"/>
              <w:rPr>
                <w:color w:val="000000" w:themeColor="text1"/>
                <w:kern w:val="0"/>
                <w:sz w:val="18"/>
                <w14:textFill>
                  <w14:solidFill>
                    <w14:schemeClr w14:val="tx1"/>
                  </w14:solidFill>
                </w14:textFill>
              </w:rPr>
            </w:pPr>
            <w:r>
              <w:rPr>
                <w:color w:val="000000" w:themeColor="text1"/>
                <w:kern w:val="0"/>
                <w:sz w:val="18"/>
                <w14:textFill>
                  <w14:solidFill>
                    <w14:schemeClr w14:val="tx1"/>
                  </w14:solidFill>
                </w14:textFill>
              </w:rPr>
              <w:t>的贡献率</w:t>
            </w:r>
          </w:p>
        </w:tc>
        <w:tc>
          <w:tcPr>
            <w:tcW w:w="1221" w:type="pct"/>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 xml:space="preserve">0.3 </w:t>
            </w:r>
          </w:p>
        </w:tc>
        <w:tc>
          <w:tcPr>
            <w:tcW w:w="1221" w:type="pct"/>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 xml:space="preserve">0.34 </w:t>
            </w:r>
          </w:p>
        </w:tc>
        <w:tc>
          <w:tcPr>
            <w:tcW w:w="1221" w:type="pct"/>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 xml:space="preserve">0.36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1337" w:type="pct"/>
            <w:vAlign w:val="center"/>
          </w:tcPr>
          <w:p>
            <w:pPr>
              <w:widowControl/>
              <w:jc w:val="center"/>
              <w:rPr>
                <w:color w:val="000000" w:themeColor="text1"/>
                <w:kern w:val="0"/>
                <w:sz w:val="18"/>
                <w14:textFill>
                  <w14:solidFill>
                    <w14:schemeClr w14:val="tx1"/>
                  </w14:solidFill>
                </w14:textFill>
              </w:rPr>
            </w:pPr>
            <w:r>
              <w:rPr>
                <w:color w:val="000000" w:themeColor="text1"/>
                <w:kern w:val="0"/>
                <w:sz w:val="18"/>
                <w14:textFill>
                  <w14:solidFill>
                    <w14:schemeClr w14:val="tx1"/>
                  </w14:solidFill>
                </w14:textFill>
              </w:rPr>
              <w:t>支撑材料</w:t>
            </w:r>
          </w:p>
        </w:tc>
        <w:tc>
          <w:tcPr>
            <w:tcW w:w="1221" w:type="pct"/>
            <w:vAlign w:val="center"/>
          </w:tcPr>
          <w:p>
            <w:pPr>
              <w:widowControl/>
              <w:jc w:val="center"/>
              <w:rPr>
                <w:color w:val="000000" w:themeColor="text1"/>
                <w:kern w:val="0"/>
                <w:sz w:val="18"/>
                <w14:textFill>
                  <w14:solidFill>
                    <w14:schemeClr w14:val="tx1"/>
                  </w14:solidFill>
                </w14:textFill>
              </w:rPr>
            </w:pPr>
            <w:r>
              <w:rPr>
                <w:color w:val="000000" w:themeColor="text1"/>
                <w:kern w:val="0"/>
                <w:sz w:val="18"/>
                <w14:textFill>
                  <w14:solidFill>
                    <w14:schemeClr w14:val="tx1"/>
                  </w14:solidFill>
                </w14:textFill>
              </w:rPr>
              <w:t>课堂评价标准，课堂提问记录或随堂考试，结合出勤率等</w:t>
            </w:r>
          </w:p>
        </w:tc>
        <w:tc>
          <w:tcPr>
            <w:tcW w:w="1221" w:type="pct"/>
            <w:vAlign w:val="center"/>
          </w:tcPr>
          <w:p>
            <w:pPr>
              <w:widowControl/>
              <w:jc w:val="center"/>
              <w:rPr>
                <w:color w:val="000000" w:themeColor="text1"/>
                <w:kern w:val="0"/>
                <w:sz w:val="18"/>
                <w14:textFill>
                  <w14:solidFill>
                    <w14:schemeClr w14:val="tx1"/>
                  </w14:solidFill>
                </w14:textFill>
              </w:rPr>
            </w:pPr>
            <w:r>
              <w:rPr>
                <w:color w:val="000000" w:themeColor="text1"/>
                <w:kern w:val="0"/>
                <w:sz w:val="18"/>
                <w14:textFill>
                  <w14:solidFill>
                    <w14:schemeClr w14:val="tx1"/>
                  </w14:solidFill>
                </w14:textFill>
              </w:rPr>
              <w:t>作业评价标准，典型作业拍照，或电子版</w:t>
            </w:r>
          </w:p>
        </w:tc>
        <w:tc>
          <w:tcPr>
            <w:tcW w:w="1221" w:type="pct"/>
            <w:vAlign w:val="center"/>
          </w:tcPr>
          <w:p>
            <w:pPr>
              <w:widowControl/>
              <w:jc w:val="center"/>
              <w:rPr>
                <w:color w:val="000000" w:themeColor="text1"/>
                <w:kern w:val="0"/>
                <w:sz w:val="18"/>
                <w14:textFill>
                  <w14:solidFill>
                    <w14:schemeClr w14:val="tx1"/>
                  </w14:solidFill>
                </w14:textFill>
              </w:rPr>
            </w:pPr>
            <w:r>
              <w:rPr>
                <w:color w:val="000000" w:themeColor="text1"/>
                <w:kern w:val="0"/>
                <w:sz w:val="18"/>
                <w14:textFill>
                  <w14:solidFill>
                    <w14:schemeClr w14:val="tx1"/>
                  </w14:solidFill>
                </w14:textFill>
              </w:rPr>
              <w:t>期末小论文评分标准，小论文电子版</w:t>
            </w:r>
          </w:p>
        </w:tc>
      </w:tr>
    </w:tbl>
    <w:p>
      <w:pPr>
        <w:tabs>
          <w:tab w:val="left" w:pos="420"/>
        </w:tabs>
        <w:adjustRightInd w:val="0"/>
        <w:snapToGrid w:val="0"/>
        <w:spacing w:line="360" w:lineRule="auto"/>
        <w:ind w:left="420" w:hanging="420"/>
        <w:rPr>
          <w:rFonts w:eastAsia="黑体"/>
          <w:color w:val="000000" w:themeColor="text1"/>
          <w:szCs w:val="24"/>
          <w14:textFill>
            <w14:solidFill>
              <w14:schemeClr w14:val="tx1"/>
            </w14:solidFill>
          </w14:textFill>
        </w:rPr>
      </w:pPr>
    </w:p>
    <w:p>
      <w:pPr>
        <w:tabs>
          <w:tab w:val="left" w:pos="420"/>
        </w:tabs>
        <w:adjustRightInd w:val="0"/>
        <w:snapToGrid w:val="0"/>
        <w:spacing w:line="360" w:lineRule="auto"/>
        <w:ind w:left="420" w:hanging="420"/>
        <w:rPr>
          <w:rFonts w:eastAsiaTheme="minorEastAsia"/>
          <w:color w:val="000000" w:themeColor="text1"/>
          <w:sz w:val="18"/>
          <w:szCs w:val="18"/>
          <w14:textFill>
            <w14:solidFill>
              <w14:schemeClr w14:val="tx1"/>
            </w14:solidFill>
          </w14:textFill>
        </w:rPr>
      </w:pPr>
      <w:r>
        <w:rPr>
          <w:rFonts w:eastAsia="黑体"/>
          <w:color w:val="000000" w:themeColor="text1"/>
          <w:szCs w:val="24"/>
          <w14:textFill>
            <w14:solidFill>
              <w14:schemeClr w14:val="tx1"/>
            </w14:solidFill>
          </w14:textFill>
        </w:rPr>
        <w:t>九、覆盖课程目标达成评价的知识点及权重</w:t>
      </w:r>
    </w:p>
    <w:tbl>
      <w:tblPr>
        <w:tblStyle w:val="20"/>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163"/>
        <w:gridCol w:w="1337"/>
        <w:gridCol w:w="202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542" w:hRule="atLeast"/>
          <w:jc w:val="center"/>
        </w:trPr>
        <w:tc>
          <w:tcPr>
            <w:tcW w:w="302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知识点</w:t>
            </w:r>
          </w:p>
        </w:tc>
        <w:tc>
          <w:tcPr>
            <w:tcW w:w="784"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权重</w:t>
            </w:r>
          </w:p>
        </w:tc>
        <w:tc>
          <w:tcPr>
            <w:tcW w:w="118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支撑课程目标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027" w:type="pct"/>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r>
              <w:rPr>
                <w:snapToGrid w:val="0"/>
                <w:color w:val="000000" w:themeColor="text1"/>
                <w:kern w:val="0"/>
                <w:sz w:val="18"/>
                <w:szCs w:val="18"/>
                <w14:textFill>
                  <w14:solidFill>
                    <w14:schemeClr w14:val="tx1"/>
                  </w14:solidFill>
                </w14:textFill>
              </w:rPr>
              <w:t>微纳传感概念</w:t>
            </w:r>
          </w:p>
        </w:tc>
        <w:tc>
          <w:tcPr>
            <w:tcW w:w="784"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0.18</w:t>
            </w:r>
          </w:p>
        </w:tc>
        <w:tc>
          <w:tcPr>
            <w:tcW w:w="118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027" w:type="pct"/>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 微纳加工技术</w:t>
            </w:r>
          </w:p>
        </w:tc>
        <w:tc>
          <w:tcPr>
            <w:tcW w:w="784"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0.18</w:t>
            </w:r>
          </w:p>
        </w:tc>
        <w:tc>
          <w:tcPr>
            <w:tcW w:w="118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027" w:type="pct"/>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 机械微传感器</w:t>
            </w:r>
          </w:p>
        </w:tc>
        <w:tc>
          <w:tcPr>
            <w:tcW w:w="784"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0.12</w:t>
            </w:r>
          </w:p>
        </w:tc>
        <w:tc>
          <w:tcPr>
            <w:tcW w:w="118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027" w:type="pct"/>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 热微传感器和磁微传感器</w:t>
            </w:r>
          </w:p>
        </w:tc>
        <w:tc>
          <w:tcPr>
            <w:tcW w:w="784"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0.06</w:t>
            </w:r>
          </w:p>
        </w:tc>
        <w:tc>
          <w:tcPr>
            <w:tcW w:w="118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027" w:type="pct"/>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 化学微传感器与生物微传感器</w:t>
            </w:r>
          </w:p>
        </w:tc>
        <w:tc>
          <w:tcPr>
            <w:tcW w:w="784"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0.06</w:t>
            </w:r>
          </w:p>
        </w:tc>
        <w:tc>
          <w:tcPr>
            <w:tcW w:w="118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027" w:type="pct"/>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 微纳仿生传感</w:t>
            </w:r>
          </w:p>
        </w:tc>
        <w:tc>
          <w:tcPr>
            <w:tcW w:w="784"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0.20</w:t>
            </w:r>
          </w:p>
        </w:tc>
        <w:tc>
          <w:tcPr>
            <w:tcW w:w="118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027" w:type="pct"/>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 微纳传感与系统应用</w:t>
            </w:r>
          </w:p>
        </w:tc>
        <w:tc>
          <w:tcPr>
            <w:tcW w:w="784"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0.20</w:t>
            </w:r>
          </w:p>
        </w:tc>
        <w:tc>
          <w:tcPr>
            <w:tcW w:w="118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r>
    </w:tbl>
    <w:p>
      <w:pPr>
        <w:spacing w:before="120" w:beforeLines="50" w:line="360" w:lineRule="auto"/>
        <w:ind w:firstLine="840" w:firstLineChars="400"/>
        <w:rPr>
          <w:color w:val="000000" w:themeColor="text1"/>
          <w:szCs w:val="21"/>
          <w14:textFill>
            <w14:solidFill>
              <w14:schemeClr w14:val="tx1"/>
            </w14:solidFill>
          </w14:textFill>
        </w:rPr>
        <w:sectPr>
          <w:headerReference r:id="rId90" w:type="first"/>
          <w:footerReference r:id="rId93" w:type="first"/>
          <w:headerReference r:id="rId88" w:type="default"/>
          <w:footerReference r:id="rId91" w:type="default"/>
          <w:headerReference r:id="rId89" w:type="even"/>
          <w:footerReference r:id="rId92" w:type="even"/>
          <w:pgSz w:w="11906" w:h="16838"/>
          <w:pgMar w:top="1440" w:right="1797" w:bottom="1440" w:left="1797" w:header="851" w:footer="992" w:gutter="0"/>
          <w:pgNumType w:fmt="decimal"/>
          <w:cols w:space="425" w:num="1"/>
          <w:docGrid w:linePitch="312" w:charSpace="0"/>
        </w:sectPr>
      </w:pPr>
      <w:r>
        <w:rPr>
          <w:rFonts w:hint="eastAsia"/>
          <w:szCs w:val="21"/>
        </w:rPr>
        <w:t>本课程不可以申请免修。</w:t>
      </w:r>
    </w:p>
    <w:p>
      <w:pPr>
        <w:tabs>
          <w:tab w:val="left" w:pos="420"/>
        </w:tabs>
        <w:adjustRightInd w:val="0"/>
        <w:snapToGrid w:val="0"/>
        <w:spacing w:line="360" w:lineRule="auto"/>
        <w:ind w:left="420" w:hanging="420"/>
        <w:rPr>
          <w:rFonts w:eastAsia="黑体"/>
          <w:color w:val="000000" w:themeColor="text1"/>
          <w:szCs w:val="24"/>
          <w14:textFill>
            <w14:solidFill>
              <w14:schemeClr w14:val="tx1"/>
            </w14:solidFill>
          </w14:textFill>
        </w:rPr>
      </w:pPr>
      <w:r>
        <w:rPr>
          <w:rFonts w:eastAsia="黑体"/>
          <w:color w:val="000000" w:themeColor="text1"/>
          <w:szCs w:val="24"/>
          <w14:textFill>
            <w14:solidFill>
              <w14:schemeClr w14:val="tx1"/>
            </w14:solidFill>
          </w14:textFill>
        </w:rPr>
        <w:t>十、课程目标达成评价</w:t>
      </w:r>
    </w:p>
    <w:p>
      <w:pPr>
        <w:spacing w:line="360" w:lineRule="auto"/>
        <w:ind w:firstLine="420" w:firstLineChars="200"/>
        <w:jc w:val="center"/>
        <w:rPr>
          <w:color w:val="000000" w:themeColor="text1"/>
          <w14:textFill>
            <w14:solidFill>
              <w14:schemeClr w14:val="tx1"/>
            </w14:solidFill>
          </w14:textFill>
        </w:rPr>
      </w:pPr>
      <w:r>
        <w:rPr>
          <w:color w:val="000000" w:themeColor="text1"/>
          <w14:textFill>
            <w14:solidFill>
              <w14:schemeClr w14:val="tx1"/>
            </w14:solidFill>
          </w14:textFill>
        </w:rPr>
        <w:t>各环节对课程目标达成评价所使用到的权重占比分配及考核权重分配</w:t>
      </w:r>
    </w:p>
    <w:tbl>
      <w:tblPr>
        <w:tblStyle w:val="19"/>
        <w:tblW w:w="5000" w:type="pct"/>
        <w:jc w:val="center"/>
        <w:tblLayout w:type="autofit"/>
        <w:tblCellMar>
          <w:top w:w="0" w:type="dxa"/>
          <w:left w:w="108" w:type="dxa"/>
          <w:bottom w:w="0" w:type="dxa"/>
          <w:right w:w="108" w:type="dxa"/>
        </w:tblCellMar>
      </w:tblPr>
      <w:tblGrid>
        <w:gridCol w:w="1497"/>
        <w:gridCol w:w="2101"/>
        <w:gridCol w:w="1060"/>
        <w:gridCol w:w="870"/>
        <w:gridCol w:w="1151"/>
        <w:gridCol w:w="975"/>
        <w:gridCol w:w="28"/>
        <w:gridCol w:w="828"/>
        <w:gridCol w:w="26"/>
        <w:gridCol w:w="1046"/>
        <w:gridCol w:w="28"/>
        <w:gridCol w:w="1522"/>
        <w:gridCol w:w="1522"/>
        <w:gridCol w:w="1520"/>
      </w:tblGrid>
      <w:tr>
        <w:tblPrEx>
          <w:tblCellMar>
            <w:top w:w="0" w:type="dxa"/>
            <w:left w:w="108" w:type="dxa"/>
            <w:bottom w:w="0" w:type="dxa"/>
            <w:right w:w="108" w:type="dxa"/>
          </w:tblCellMar>
        </w:tblPrEx>
        <w:trPr>
          <w:trHeight w:val="1015" w:hRule="atLeast"/>
          <w:jc w:val="center"/>
        </w:trPr>
        <w:tc>
          <w:tcPr>
            <w:tcW w:w="528"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课程目标</w:t>
            </w:r>
          </w:p>
        </w:tc>
        <w:tc>
          <w:tcPr>
            <w:tcW w:w="741"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知识面比例</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（本列总和为1）</w:t>
            </w:r>
          </w:p>
          <w:p>
            <w:pPr>
              <w:widowControl/>
              <w:jc w:val="center"/>
              <w:rPr>
                <w:i/>
                <w:color w:val="000000" w:themeColor="text1"/>
                <w:kern w:val="0"/>
                <w:sz w:val="18"/>
                <w:szCs w:val="18"/>
                <w14:textFill>
                  <w14:solidFill>
                    <w14:schemeClr w14:val="tx1"/>
                  </w14:solidFill>
                </w14:textFill>
              </w:rPr>
            </w:pPr>
            <w:r>
              <w:rPr>
                <w:i/>
                <w:color w:val="000000" w:themeColor="text1"/>
                <w:kern w:val="0"/>
                <w:sz w:val="18"/>
                <w:szCs w:val="18"/>
                <w14:textFill>
                  <w14:solidFill>
                    <w14:schemeClr w14:val="tx1"/>
                  </w14:solidFill>
                </w14:textFill>
              </w:rPr>
              <w:t>P</w:t>
            </w:r>
            <w:r>
              <w:rPr>
                <w:i/>
                <w:color w:val="000000" w:themeColor="text1"/>
                <w:kern w:val="0"/>
                <w:sz w:val="18"/>
                <w:szCs w:val="18"/>
                <w:vertAlign w:val="subscript"/>
                <w14:textFill>
                  <w14:solidFill>
                    <w14:schemeClr w14:val="tx1"/>
                  </w14:solidFill>
                </w14:textFill>
              </w:rPr>
              <w:t>i</w:t>
            </w:r>
          </w:p>
        </w:tc>
        <w:tc>
          <w:tcPr>
            <w:tcW w:w="1086"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各环节评价比例分配</w:t>
            </w:r>
            <w:r>
              <w:rPr>
                <w:color w:val="000000" w:themeColor="text1"/>
                <w:sz w:val="18"/>
                <w:szCs w:val="18"/>
                <w14:textFill>
                  <w14:solidFill>
                    <w14:schemeClr w14:val="tx1"/>
                  </w14:solidFill>
                </w14:textFill>
              </w:rPr>
              <w:br w:type="textWrapping"/>
            </w:r>
            <w:r>
              <w:rPr>
                <w:color w:val="000000" w:themeColor="text1"/>
                <w:sz w:val="18"/>
                <w:szCs w:val="18"/>
                <w14:textFill>
                  <w14:solidFill>
                    <w14:schemeClr w14:val="tx1"/>
                  </w14:solidFill>
                </w14:textFill>
              </w:rPr>
              <w:t>（每行总和为1）</w:t>
            </w:r>
            <w:r>
              <w:rPr>
                <w:color w:val="000000" w:themeColor="text1"/>
                <w:sz w:val="18"/>
                <w:szCs w:val="18"/>
                <w14:textFill>
                  <w14:solidFill>
                    <w14:schemeClr w14:val="tx1"/>
                  </w14:solidFill>
                </w14:textFill>
              </w:rPr>
              <w:br w:type="textWrapping"/>
            </w:r>
            <w:r>
              <w:rPr>
                <w:i/>
                <w:color w:val="000000" w:themeColor="text1"/>
                <w:sz w:val="18"/>
                <w:szCs w:val="18"/>
                <w14:textFill>
                  <w14:solidFill>
                    <w14:schemeClr w14:val="tx1"/>
                  </w14:solidFill>
                </w14:textFill>
              </w:rPr>
              <w:t>W</w:t>
            </w:r>
            <w:r>
              <w:rPr>
                <w:i/>
                <w:color w:val="000000" w:themeColor="text1"/>
                <w:sz w:val="18"/>
                <w:szCs w:val="18"/>
                <w:vertAlign w:val="subscript"/>
                <w14:textFill>
                  <w14:solidFill>
                    <w14:schemeClr w14:val="tx1"/>
                  </w14:solidFill>
                </w14:textFill>
              </w:rPr>
              <w:t>ik</w:t>
            </w:r>
          </w:p>
        </w:tc>
        <w:tc>
          <w:tcPr>
            <w:tcW w:w="1033" w:type="pct"/>
            <w:gridSpan w:val="6"/>
            <w:tcBorders>
              <w:top w:val="single" w:color="auto" w:sz="4" w:space="0"/>
              <w:left w:val="nil"/>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各环节在课程达成中的占比</w:t>
            </w:r>
            <w:r>
              <w:rPr>
                <w:color w:val="000000" w:themeColor="text1"/>
                <w:sz w:val="18"/>
                <w:szCs w:val="18"/>
                <w14:textFill>
                  <w14:solidFill>
                    <w14:schemeClr w14:val="tx1"/>
                  </w14:solidFill>
                </w14:textFill>
              </w:rPr>
              <w:br w:type="textWrapping"/>
            </w:r>
            <w:r>
              <w:rPr>
                <w:color w:val="000000" w:themeColor="text1"/>
                <w:sz w:val="18"/>
                <w:szCs w:val="18"/>
                <w14:textFill>
                  <w14:solidFill>
                    <w14:schemeClr w14:val="tx1"/>
                  </w14:solidFill>
                </w14:textFill>
              </w:rPr>
              <w:t>（所有行列总和为1）</w:t>
            </w:r>
            <w:r>
              <w:rPr>
                <w:color w:val="000000" w:themeColor="text1"/>
                <w:sz w:val="18"/>
                <w:szCs w:val="18"/>
                <w14:textFill>
                  <w14:solidFill>
                    <w14:schemeClr w14:val="tx1"/>
                  </w14:solidFill>
                </w14:textFill>
              </w:rPr>
              <w:br w:type="textWrapping"/>
            </w:r>
            <w:r>
              <w:rPr>
                <w:i/>
                <w:color w:val="000000" w:themeColor="text1"/>
                <w:sz w:val="18"/>
                <w:szCs w:val="18"/>
                <w14:textFill>
                  <w14:solidFill>
                    <w14:schemeClr w14:val="tx1"/>
                  </w14:solidFill>
                </w14:textFill>
              </w:rPr>
              <w:t>S</w:t>
            </w:r>
            <w:r>
              <w:rPr>
                <w:i/>
                <w:color w:val="000000" w:themeColor="text1"/>
                <w:sz w:val="18"/>
                <w:szCs w:val="18"/>
                <w:vertAlign w:val="subscript"/>
                <w14:textFill>
                  <w14:solidFill>
                    <w14:schemeClr w14:val="tx1"/>
                  </w14:solidFill>
                </w14:textFill>
              </w:rPr>
              <w:t>ik</w:t>
            </w:r>
            <w:r>
              <w:rPr>
                <w:i/>
                <w:color w:val="000000" w:themeColor="text1"/>
                <w:sz w:val="18"/>
                <w:szCs w:val="18"/>
                <w14:textFill>
                  <w14:solidFill>
                    <w14:schemeClr w14:val="tx1"/>
                  </w14:solidFill>
                </w14:textFill>
              </w:rPr>
              <w:t>=P</w:t>
            </w:r>
            <w:r>
              <w:rPr>
                <w:i/>
                <w:color w:val="000000" w:themeColor="text1"/>
                <w:sz w:val="18"/>
                <w:szCs w:val="18"/>
                <w:vertAlign w:val="subscript"/>
                <w14:textFill>
                  <w14:solidFill>
                    <w14:schemeClr w14:val="tx1"/>
                  </w14:solidFill>
                </w14:textFill>
              </w:rPr>
              <w:t>i</w:t>
            </w:r>
            <w:r>
              <w:rPr>
                <w:i/>
                <w:color w:val="000000" w:themeColor="text1"/>
                <w:sz w:val="18"/>
                <w:szCs w:val="18"/>
                <w14:textFill>
                  <w14:solidFill>
                    <w14:schemeClr w14:val="tx1"/>
                  </w14:solidFill>
                </w14:textFill>
              </w:rPr>
              <w:t>*W</w:t>
            </w:r>
            <w:r>
              <w:rPr>
                <w:i/>
                <w:color w:val="000000" w:themeColor="text1"/>
                <w:sz w:val="18"/>
                <w:szCs w:val="18"/>
                <w:vertAlign w:val="subscript"/>
                <w14:textFill>
                  <w14:solidFill>
                    <w14:schemeClr w14:val="tx1"/>
                  </w14:solidFill>
                </w14:textFill>
              </w:rPr>
              <w:t>ik</w:t>
            </w:r>
          </w:p>
        </w:tc>
        <w:tc>
          <w:tcPr>
            <w:tcW w:w="1611" w:type="pct"/>
            <w:gridSpan w:val="3"/>
            <w:tcBorders>
              <w:top w:val="single" w:color="auto" w:sz="4" w:space="0"/>
              <w:left w:val="nil"/>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各环节课程目标考核权重分布</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（每一列总和为1）</w:t>
            </w:r>
          </w:p>
          <w:p>
            <w:pPr>
              <w:jc w:val="center"/>
              <w:rPr>
                <w:color w:val="000000" w:themeColor="text1"/>
                <w:sz w:val="18"/>
                <w:szCs w:val="18"/>
                <w14:textFill>
                  <w14:solidFill>
                    <w14:schemeClr w14:val="tx1"/>
                  </w14:solidFill>
                </w14:textFill>
              </w:rPr>
            </w:pPr>
            <w:r>
              <w:rPr>
                <w:i/>
                <w:color w:val="000000" w:themeColor="text1"/>
                <w:sz w:val="18"/>
                <w:szCs w:val="18"/>
                <w14:textFill>
                  <w14:solidFill>
                    <w14:schemeClr w14:val="tx1"/>
                  </w14:solidFill>
                </w14:textFill>
              </w:rPr>
              <w:t>E</w:t>
            </w:r>
            <w:r>
              <w:rPr>
                <w:i/>
                <w:color w:val="000000" w:themeColor="text1"/>
                <w:sz w:val="18"/>
                <w:szCs w:val="18"/>
                <w:vertAlign w:val="subscript"/>
                <w14:textFill>
                  <w14:solidFill>
                    <w14:schemeClr w14:val="tx1"/>
                  </w14:solidFill>
                </w14:textFill>
              </w:rPr>
              <w:t>ik</w:t>
            </w:r>
            <w:r>
              <w:rPr>
                <w:i/>
                <w:color w:val="000000" w:themeColor="text1"/>
                <w:sz w:val="18"/>
                <w:szCs w:val="18"/>
                <w14:textFill>
                  <w14:solidFill>
                    <w14:schemeClr w14:val="tx1"/>
                  </w14:solidFill>
                </w14:textFill>
              </w:rPr>
              <w:t>=S</w:t>
            </w:r>
            <w:r>
              <w:rPr>
                <w:i/>
                <w:color w:val="000000" w:themeColor="text1"/>
                <w:sz w:val="18"/>
                <w:szCs w:val="18"/>
                <w:vertAlign w:val="subscript"/>
                <w14:textFill>
                  <w14:solidFill>
                    <w14:schemeClr w14:val="tx1"/>
                  </w14:solidFill>
                </w14:textFill>
              </w:rPr>
              <w:t>ik</w:t>
            </w:r>
            <w:r>
              <w:rPr>
                <w:i/>
                <w:color w:val="000000" w:themeColor="text1"/>
                <w:sz w:val="18"/>
                <w:szCs w:val="18"/>
                <w14:textFill>
                  <w14:solidFill>
                    <w14:schemeClr w14:val="tx1"/>
                  </w14:solidFill>
                </w14:textFill>
              </w:rPr>
              <w:t>/M</w:t>
            </w:r>
            <w:r>
              <w:rPr>
                <w:i/>
                <w:color w:val="000000" w:themeColor="text1"/>
                <w:sz w:val="18"/>
                <w:szCs w:val="18"/>
                <w:vertAlign w:val="subscript"/>
                <w14:textFill>
                  <w14:solidFill>
                    <w14:schemeClr w14:val="tx1"/>
                  </w14:solidFill>
                </w14:textFill>
              </w:rPr>
              <w:t>ik</w:t>
            </w:r>
          </w:p>
        </w:tc>
      </w:tr>
      <w:tr>
        <w:tblPrEx>
          <w:tblCellMar>
            <w:top w:w="0" w:type="dxa"/>
            <w:left w:w="108" w:type="dxa"/>
            <w:bottom w:w="0" w:type="dxa"/>
            <w:right w:w="108" w:type="dxa"/>
          </w:tblCellMar>
        </w:tblPrEx>
        <w:trPr>
          <w:trHeight w:val="986" w:hRule="atLeast"/>
          <w:jc w:val="center"/>
        </w:trPr>
        <w:tc>
          <w:tcPr>
            <w:tcW w:w="52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18"/>
                <w:szCs w:val="18"/>
                <w14:textFill>
                  <w14:solidFill>
                    <w14:schemeClr w14:val="tx1"/>
                  </w14:solidFill>
                </w14:textFill>
              </w:rPr>
            </w:pPr>
          </w:p>
        </w:tc>
        <w:tc>
          <w:tcPr>
            <w:tcW w:w="74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18"/>
                <w:szCs w:val="18"/>
                <w14:textFill>
                  <w14:solidFill>
                    <w14:schemeClr w14:val="tx1"/>
                  </w14:solidFill>
                </w14:textFill>
              </w:rPr>
            </w:pPr>
          </w:p>
        </w:tc>
        <w:tc>
          <w:tcPr>
            <w:tcW w:w="374" w:type="pct"/>
            <w:tcBorders>
              <w:top w:val="nil"/>
              <w:left w:val="nil"/>
              <w:bottom w:val="single" w:color="auto" w:sz="4" w:space="0"/>
              <w:right w:val="single" w:color="auto" w:sz="4" w:space="0"/>
            </w:tcBorders>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课堂</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情况</w:t>
            </w:r>
          </w:p>
        </w:tc>
        <w:tc>
          <w:tcPr>
            <w:tcW w:w="307" w:type="pct"/>
            <w:tcBorders>
              <w:top w:val="nil"/>
              <w:left w:val="nil"/>
              <w:bottom w:val="single" w:color="auto" w:sz="4" w:space="0"/>
              <w:right w:val="single" w:color="auto" w:sz="4" w:space="0"/>
            </w:tcBorders>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作业</w:t>
            </w:r>
          </w:p>
        </w:tc>
        <w:tc>
          <w:tcPr>
            <w:tcW w:w="405" w:type="pct"/>
            <w:tcBorders>
              <w:top w:val="nil"/>
              <w:left w:val="nil"/>
              <w:bottom w:val="single" w:color="auto" w:sz="4" w:space="0"/>
              <w:right w:val="single" w:color="auto" w:sz="4" w:space="0"/>
            </w:tcBorders>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小论文</w:t>
            </w:r>
          </w:p>
        </w:tc>
        <w:tc>
          <w:tcPr>
            <w:tcW w:w="354" w:type="pct"/>
            <w:gridSpan w:val="2"/>
            <w:tcBorders>
              <w:top w:val="nil"/>
              <w:left w:val="nil"/>
              <w:bottom w:val="single" w:color="auto" w:sz="4" w:space="0"/>
              <w:right w:val="single" w:color="auto" w:sz="4" w:space="0"/>
            </w:tcBorders>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课堂</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情况</w:t>
            </w:r>
          </w:p>
        </w:tc>
        <w:tc>
          <w:tcPr>
            <w:tcW w:w="301" w:type="pct"/>
            <w:gridSpan w:val="2"/>
            <w:tcBorders>
              <w:top w:val="nil"/>
              <w:left w:val="nil"/>
              <w:bottom w:val="single" w:color="auto" w:sz="4" w:space="0"/>
              <w:right w:val="single" w:color="auto" w:sz="4" w:space="0"/>
            </w:tcBorders>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作业</w:t>
            </w:r>
          </w:p>
        </w:tc>
        <w:tc>
          <w:tcPr>
            <w:tcW w:w="379" w:type="pct"/>
            <w:gridSpan w:val="2"/>
            <w:tcBorders>
              <w:top w:val="nil"/>
              <w:left w:val="nil"/>
              <w:bottom w:val="single" w:color="auto" w:sz="4" w:space="0"/>
              <w:right w:val="single" w:color="auto" w:sz="4" w:space="0"/>
            </w:tcBorders>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小论文</w:t>
            </w:r>
          </w:p>
        </w:tc>
        <w:tc>
          <w:tcPr>
            <w:tcW w:w="537" w:type="pct"/>
            <w:tcBorders>
              <w:top w:val="nil"/>
              <w:left w:val="nil"/>
              <w:bottom w:val="single" w:color="auto" w:sz="4" w:space="0"/>
              <w:right w:val="single" w:color="auto" w:sz="4" w:space="0"/>
            </w:tcBorders>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课堂</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情况</w:t>
            </w:r>
          </w:p>
        </w:tc>
        <w:tc>
          <w:tcPr>
            <w:tcW w:w="537" w:type="pct"/>
            <w:tcBorders>
              <w:top w:val="nil"/>
              <w:left w:val="nil"/>
              <w:bottom w:val="single" w:color="auto" w:sz="4" w:space="0"/>
              <w:right w:val="single" w:color="auto" w:sz="4" w:space="0"/>
            </w:tcBorders>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作业</w:t>
            </w:r>
          </w:p>
        </w:tc>
        <w:tc>
          <w:tcPr>
            <w:tcW w:w="537" w:type="pct"/>
            <w:tcBorders>
              <w:top w:val="nil"/>
              <w:left w:val="nil"/>
              <w:bottom w:val="single" w:color="auto" w:sz="4" w:space="0"/>
              <w:right w:val="single" w:color="auto" w:sz="4" w:space="0"/>
            </w:tcBorders>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小论文</w:t>
            </w:r>
          </w:p>
        </w:tc>
      </w:tr>
      <w:tr>
        <w:tblPrEx>
          <w:tblCellMar>
            <w:top w:w="0" w:type="dxa"/>
            <w:left w:w="108" w:type="dxa"/>
            <w:bottom w:w="0" w:type="dxa"/>
            <w:right w:w="108" w:type="dxa"/>
          </w:tblCellMar>
        </w:tblPrEx>
        <w:trPr>
          <w:trHeight w:val="826" w:hRule="atLeast"/>
          <w:jc w:val="center"/>
        </w:trPr>
        <w:tc>
          <w:tcPr>
            <w:tcW w:w="528" w:type="pct"/>
            <w:tcBorders>
              <w:top w:val="nil"/>
              <w:left w:val="single" w:color="auto" w:sz="4" w:space="0"/>
              <w:bottom w:val="single" w:color="auto" w:sz="4" w:space="0"/>
              <w:right w:val="single" w:color="auto" w:sz="4" w:space="0"/>
            </w:tcBorders>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w:t>
            </w:r>
          </w:p>
        </w:tc>
        <w:tc>
          <w:tcPr>
            <w:tcW w:w="741" w:type="pct"/>
            <w:tcBorders>
              <w:top w:val="nil"/>
              <w:left w:val="nil"/>
              <w:bottom w:val="single" w:color="auto" w:sz="4" w:space="0"/>
              <w:right w:val="single" w:color="auto" w:sz="4" w:space="0"/>
            </w:tcBorders>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0.60</w:t>
            </w:r>
          </w:p>
        </w:tc>
        <w:tc>
          <w:tcPr>
            <w:tcW w:w="374" w:type="pct"/>
            <w:tcBorders>
              <w:top w:val="nil"/>
              <w:left w:val="nil"/>
              <w:bottom w:val="single" w:color="auto" w:sz="4" w:space="0"/>
              <w:right w:val="single" w:color="auto" w:sz="4" w:space="0"/>
            </w:tcBorders>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0.30</w:t>
            </w:r>
          </w:p>
        </w:tc>
        <w:tc>
          <w:tcPr>
            <w:tcW w:w="307" w:type="pct"/>
            <w:tcBorders>
              <w:top w:val="nil"/>
              <w:left w:val="nil"/>
              <w:bottom w:val="single" w:color="auto" w:sz="4" w:space="0"/>
              <w:right w:val="single" w:color="auto" w:sz="4" w:space="0"/>
            </w:tcBorders>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0.30</w:t>
            </w:r>
          </w:p>
        </w:tc>
        <w:tc>
          <w:tcPr>
            <w:tcW w:w="405" w:type="pct"/>
            <w:tcBorders>
              <w:top w:val="nil"/>
              <w:left w:val="nil"/>
              <w:bottom w:val="single" w:color="auto" w:sz="4" w:space="0"/>
              <w:right w:val="single" w:color="auto" w:sz="4" w:space="0"/>
            </w:tcBorders>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0.40</w:t>
            </w:r>
          </w:p>
        </w:tc>
        <w:tc>
          <w:tcPr>
            <w:tcW w:w="354" w:type="pct"/>
            <w:gridSpan w:val="2"/>
            <w:tcBorders>
              <w:top w:val="nil"/>
              <w:left w:val="nil"/>
              <w:bottom w:val="single" w:color="auto" w:sz="4" w:space="0"/>
              <w:right w:val="single" w:color="auto" w:sz="4" w:space="0"/>
            </w:tcBorders>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0.18</w:t>
            </w:r>
          </w:p>
        </w:tc>
        <w:tc>
          <w:tcPr>
            <w:tcW w:w="301" w:type="pct"/>
            <w:gridSpan w:val="2"/>
            <w:tcBorders>
              <w:top w:val="nil"/>
              <w:left w:val="nil"/>
              <w:bottom w:val="single" w:color="auto" w:sz="4" w:space="0"/>
              <w:right w:val="single" w:color="auto" w:sz="4" w:space="0"/>
            </w:tcBorders>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xml:space="preserve">0.18 </w:t>
            </w:r>
          </w:p>
        </w:tc>
        <w:tc>
          <w:tcPr>
            <w:tcW w:w="379" w:type="pct"/>
            <w:gridSpan w:val="2"/>
            <w:tcBorders>
              <w:top w:val="nil"/>
              <w:left w:val="nil"/>
              <w:bottom w:val="single" w:color="auto" w:sz="4" w:space="0"/>
              <w:right w:val="single" w:color="auto" w:sz="4" w:space="0"/>
            </w:tcBorders>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xml:space="preserve">0.24 </w:t>
            </w:r>
          </w:p>
        </w:tc>
        <w:tc>
          <w:tcPr>
            <w:tcW w:w="537" w:type="pct"/>
            <w:tcBorders>
              <w:top w:val="nil"/>
              <w:left w:val="nil"/>
              <w:bottom w:val="single" w:color="auto" w:sz="4" w:space="0"/>
              <w:right w:val="single" w:color="auto" w:sz="4" w:space="0"/>
            </w:tcBorders>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0.60</w:t>
            </w:r>
          </w:p>
        </w:tc>
        <w:tc>
          <w:tcPr>
            <w:tcW w:w="537" w:type="pct"/>
            <w:tcBorders>
              <w:top w:val="nil"/>
              <w:left w:val="nil"/>
              <w:bottom w:val="single" w:color="auto" w:sz="4" w:space="0"/>
              <w:right w:val="single" w:color="auto" w:sz="4" w:space="0"/>
            </w:tcBorders>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0.53</w:t>
            </w:r>
          </w:p>
        </w:tc>
        <w:tc>
          <w:tcPr>
            <w:tcW w:w="537" w:type="pct"/>
            <w:tcBorders>
              <w:top w:val="nil"/>
              <w:left w:val="nil"/>
              <w:bottom w:val="single" w:color="auto" w:sz="4" w:space="0"/>
              <w:right w:val="single" w:color="auto" w:sz="4" w:space="0"/>
            </w:tcBorders>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0.67</w:t>
            </w:r>
          </w:p>
        </w:tc>
      </w:tr>
      <w:tr>
        <w:tblPrEx>
          <w:tblCellMar>
            <w:top w:w="0" w:type="dxa"/>
            <w:left w:w="108" w:type="dxa"/>
            <w:bottom w:w="0" w:type="dxa"/>
            <w:right w:w="108" w:type="dxa"/>
          </w:tblCellMar>
        </w:tblPrEx>
        <w:trPr>
          <w:trHeight w:val="852" w:hRule="atLeast"/>
          <w:jc w:val="center"/>
        </w:trPr>
        <w:tc>
          <w:tcPr>
            <w:tcW w:w="528" w:type="pct"/>
            <w:tcBorders>
              <w:top w:val="nil"/>
              <w:left w:val="single" w:color="auto" w:sz="4" w:space="0"/>
              <w:bottom w:val="single" w:color="auto" w:sz="4" w:space="0"/>
              <w:right w:val="single" w:color="auto" w:sz="4" w:space="0"/>
            </w:tcBorders>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741" w:type="pct"/>
            <w:tcBorders>
              <w:top w:val="nil"/>
              <w:left w:val="nil"/>
              <w:bottom w:val="single" w:color="auto" w:sz="4" w:space="0"/>
              <w:right w:val="single" w:color="auto" w:sz="4" w:space="0"/>
            </w:tcBorders>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0.40</w:t>
            </w:r>
          </w:p>
        </w:tc>
        <w:tc>
          <w:tcPr>
            <w:tcW w:w="374" w:type="pct"/>
            <w:tcBorders>
              <w:top w:val="nil"/>
              <w:left w:val="nil"/>
              <w:bottom w:val="single" w:color="auto" w:sz="4" w:space="0"/>
              <w:right w:val="single" w:color="auto" w:sz="4" w:space="0"/>
            </w:tcBorders>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0.30</w:t>
            </w:r>
          </w:p>
        </w:tc>
        <w:tc>
          <w:tcPr>
            <w:tcW w:w="307" w:type="pct"/>
            <w:tcBorders>
              <w:top w:val="nil"/>
              <w:left w:val="nil"/>
              <w:bottom w:val="single" w:color="auto" w:sz="4" w:space="0"/>
              <w:right w:val="single" w:color="auto" w:sz="4" w:space="0"/>
            </w:tcBorders>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0.40</w:t>
            </w:r>
          </w:p>
        </w:tc>
        <w:tc>
          <w:tcPr>
            <w:tcW w:w="405" w:type="pct"/>
            <w:tcBorders>
              <w:top w:val="nil"/>
              <w:left w:val="nil"/>
              <w:bottom w:val="single" w:color="auto" w:sz="4" w:space="0"/>
              <w:right w:val="single" w:color="auto" w:sz="4" w:space="0"/>
            </w:tcBorders>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0.30</w:t>
            </w:r>
          </w:p>
        </w:tc>
        <w:tc>
          <w:tcPr>
            <w:tcW w:w="354" w:type="pct"/>
            <w:gridSpan w:val="2"/>
            <w:tcBorders>
              <w:top w:val="nil"/>
              <w:left w:val="nil"/>
              <w:bottom w:val="single" w:color="auto" w:sz="4" w:space="0"/>
              <w:right w:val="single" w:color="auto" w:sz="4" w:space="0"/>
            </w:tcBorders>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0.12　</w:t>
            </w:r>
          </w:p>
        </w:tc>
        <w:tc>
          <w:tcPr>
            <w:tcW w:w="301" w:type="pct"/>
            <w:gridSpan w:val="2"/>
            <w:tcBorders>
              <w:top w:val="nil"/>
              <w:left w:val="nil"/>
              <w:bottom w:val="single" w:color="auto" w:sz="4" w:space="0"/>
              <w:right w:val="single" w:color="auto" w:sz="4" w:space="0"/>
            </w:tcBorders>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xml:space="preserve">0.16 </w:t>
            </w:r>
          </w:p>
        </w:tc>
        <w:tc>
          <w:tcPr>
            <w:tcW w:w="379" w:type="pct"/>
            <w:gridSpan w:val="2"/>
            <w:tcBorders>
              <w:top w:val="nil"/>
              <w:left w:val="nil"/>
              <w:bottom w:val="single" w:color="auto" w:sz="4" w:space="0"/>
              <w:right w:val="single" w:color="auto" w:sz="4" w:space="0"/>
            </w:tcBorders>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xml:space="preserve">0.12 </w:t>
            </w:r>
          </w:p>
        </w:tc>
        <w:tc>
          <w:tcPr>
            <w:tcW w:w="537" w:type="pct"/>
            <w:tcBorders>
              <w:top w:val="nil"/>
              <w:left w:val="nil"/>
              <w:bottom w:val="single" w:color="auto" w:sz="4" w:space="0"/>
              <w:right w:val="single" w:color="auto" w:sz="4" w:space="0"/>
            </w:tcBorders>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0.40</w:t>
            </w:r>
          </w:p>
        </w:tc>
        <w:tc>
          <w:tcPr>
            <w:tcW w:w="537" w:type="pct"/>
            <w:tcBorders>
              <w:top w:val="nil"/>
              <w:left w:val="nil"/>
              <w:bottom w:val="single" w:color="auto" w:sz="4" w:space="0"/>
              <w:right w:val="single" w:color="auto" w:sz="4" w:space="0"/>
            </w:tcBorders>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0.47</w:t>
            </w:r>
          </w:p>
        </w:tc>
        <w:tc>
          <w:tcPr>
            <w:tcW w:w="537" w:type="pct"/>
            <w:tcBorders>
              <w:top w:val="nil"/>
              <w:left w:val="nil"/>
              <w:bottom w:val="single" w:color="auto" w:sz="4" w:space="0"/>
              <w:right w:val="single" w:color="auto" w:sz="4" w:space="0"/>
            </w:tcBorders>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0.33</w:t>
            </w:r>
          </w:p>
        </w:tc>
      </w:tr>
      <w:tr>
        <w:tblPrEx>
          <w:tblCellMar>
            <w:top w:w="0" w:type="dxa"/>
            <w:left w:w="108" w:type="dxa"/>
            <w:bottom w:w="0" w:type="dxa"/>
            <w:right w:w="108" w:type="dxa"/>
          </w:tblCellMar>
        </w:tblPrEx>
        <w:trPr>
          <w:trHeight w:val="537" w:hRule="atLeast"/>
          <w:jc w:val="center"/>
        </w:trPr>
        <w:tc>
          <w:tcPr>
            <w:tcW w:w="2356" w:type="pct"/>
            <w:gridSpan w:val="5"/>
            <w:tcBorders>
              <w:top w:val="single" w:color="auto" w:sz="4" w:space="0"/>
              <w:left w:val="single" w:color="auto" w:sz="4" w:space="0"/>
              <w:bottom w:val="single" w:color="auto" w:sz="4" w:space="0"/>
              <w:right w:val="single" w:color="000000" w:sz="4" w:space="0"/>
            </w:tcBorders>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各环节对课程目标达成的贡献率（</w:t>
            </w:r>
            <w:r>
              <w:rPr>
                <w:i/>
                <w:color w:val="000000" w:themeColor="text1"/>
                <w:kern w:val="0"/>
                <w:sz w:val="18"/>
                <w:szCs w:val="18"/>
                <w14:textFill>
                  <w14:solidFill>
                    <w14:schemeClr w14:val="tx1"/>
                  </w14:solidFill>
                </w14:textFill>
              </w:rPr>
              <w:t>M</w:t>
            </w:r>
            <w:r>
              <w:rPr>
                <w:i/>
                <w:color w:val="000000" w:themeColor="text1"/>
                <w:kern w:val="0"/>
                <w:sz w:val="18"/>
                <w:szCs w:val="18"/>
                <w:vertAlign w:val="subscript"/>
                <w14:textFill>
                  <w14:solidFill>
                    <w14:schemeClr w14:val="tx1"/>
                  </w14:solidFill>
                </w14:textFill>
              </w:rPr>
              <w:t>k</w:t>
            </w:r>
            <w:r>
              <w:rPr>
                <w:color w:val="000000" w:themeColor="text1"/>
                <w:kern w:val="0"/>
                <w:sz w:val="18"/>
                <w:szCs w:val="18"/>
                <w14:textFill>
                  <w14:solidFill>
                    <w14:schemeClr w14:val="tx1"/>
                  </w14:solidFill>
                </w14:textFill>
              </w:rPr>
              <w:t>）</w:t>
            </w:r>
          </w:p>
        </w:tc>
        <w:tc>
          <w:tcPr>
            <w:tcW w:w="344" w:type="pct"/>
            <w:tcBorders>
              <w:top w:val="nil"/>
              <w:left w:val="nil"/>
              <w:bottom w:val="single" w:color="auto" w:sz="4" w:space="0"/>
              <w:right w:val="single" w:color="auto" w:sz="4" w:space="0"/>
            </w:tcBorders>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0.30</w:t>
            </w:r>
          </w:p>
        </w:tc>
        <w:tc>
          <w:tcPr>
            <w:tcW w:w="302" w:type="pct"/>
            <w:gridSpan w:val="2"/>
            <w:tcBorders>
              <w:top w:val="nil"/>
              <w:left w:val="nil"/>
              <w:bottom w:val="single" w:color="auto" w:sz="4" w:space="0"/>
              <w:right w:val="single" w:color="auto" w:sz="4" w:space="0"/>
            </w:tcBorders>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xml:space="preserve">0.34 </w:t>
            </w:r>
          </w:p>
        </w:tc>
        <w:tc>
          <w:tcPr>
            <w:tcW w:w="378" w:type="pct"/>
            <w:gridSpan w:val="2"/>
            <w:tcBorders>
              <w:top w:val="nil"/>
              <w:left w:val="nil"/>
              <w:bottom w:val="single" w:color="auto" w:sz="4" w:space="0"/>
              <w:right w:val="single" w:color="auto" w:sz="4" w:space="0"/>
            </w:tcBorders>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xml:space="preserve">0.36 </w:t>
            </w:r>
          </w:p>
        </w:tc>
        <w:tc>
          <w:tcPr>
            <w:tcW w:w="1620" w:type="pct"/>
            <w:gridSpan w:val="4"/>
            <w:tcBorders>
              <w:top w:val="nil"/>
              <w:left w:val="nil"/>
              <w:bottom w:val="single" w:color="auto" w:sz="4" w:space="0"/>
              <w:right w:val="single" w:color="auto" w:sz="4" w:space="0"/>
            </w:tcBorders>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教师出题或布置作业时</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要尽量做到按照以上比例布局</w:t>
            </w:r>
          </w:p>
        </w:tc>
      </w:tr>
    </w:tbl>
    <w:p>
      <w:pPr>
        <w:spacing w:line="360" w:lineRule="auto"/>
        <w:rPr>
          <w:color w:val="000000" w:themeColor="text1"/>
          <w14:textFill>
            <w14:solidFill>
              <w14:schemeClr w14:val="tx1"/>
            </w14:solidFill>
          </w14:textFill>
        </w:rPr>
        <w:sectPr>
          <w:pgSz w:w="16838" w:h="11906" w:orient="landscape"/>
          <w:pgMar w:top="1797" w:right="1440" w:bottom="1797" w:left="1440" w:header="851" w:footer="992" w:gutter="0"/>
          <w:pgNumType w:fmt="decimal"/>
          <w:cols w:space="425" w:num="1"/>
          <w:docGrid w:linePitch="312" w:charSpace="0"/>
        </w:sectPr>
      </w:pPr>
    </w:p>
    <w:p>
      <w:pPr>
        <w:spacing w:line="360" w:lineRule="auto"/>
        <w:ind w:firstLine="420" w:firstLineChars="200"/>
        <w:rPr>
          <w:szCs w:val="21"/>
        </w:rPr>
      </w:pPr>
      <w:r>
        <w:rPr>
          <w:rFonts w:hint="eastAsia"/>
          <w:szCs w:val="21"/>
        </w:rPr>
        <w:t>采用达成值计算法，辅以对学生的问卷调查法。</w:t>
      </w:r>
    </w:p>
    <w:p>
      <w:pPr>
        <w:spacing w:line="360" w:lineRule="auto"/>
        <w:ind w:firstLine="422" w:firstLineChars="200"/>
        <w:rPr>
          <w:b/>
          <w:bCs/>
          <w:szCs w:val="21"/>
        </w:rPr>
      </w:pPr>
      <w:r>
        <w:rPr>
          <w:rFonts w:hint="eastAsia"/>
          <w:b/>
          <w:bCs/>
          <w:szCs w:val="21"/>
        </w:rPr>
        <w:t>课程目标定量评价：</w:t>
      </w:r>
    </w:p>
    <w:p>
      <w:pPr>
        <w:spacing w:line="360" w:lineRule="auto"/>
        <w:ind w:firstLine="420" w:firstLineChars="200"/>
        <w:rPr>
          <w:szCs w:val="21"/>
        </w:rPr>
      </w:pPr>
      <w:r>
        <w:rPr>
          <w:szCs w:val="21"/>
        </w:rPr>
        <w:t>达成值计算法结合上表权重分配，采用</w:t>
      </w:r>
      <w:r>
        <w:rPr>
          <w:rFonts w:hint="eastAsia"/>
          <w:szCs w:val="21"/>
        </w:rPr>
        <w:t>下表进行计算。</w:t>
      </w:r>
    </w:p>
    <w:p>
      <w:pPr>
        <w:spacing w:line="360" w:lineRule="auto"/>
        <w:ind w:firstLine="420" w:firstLineChars="200"/>
        <w:rPr>
          <w:szCs w:val="21"/>
        </w:rPr>
      </w:pPr>
      <w:r>
        <w:rPr>
          <w:szCs w:val="21"/>
        </w:rPr>
        <w:t>单一课程目标达成度评价采用下式：</w:t>
      </w:r>
    </w:p>
    <w:p>
      <w:pPr>
        <w:spacing w:line="360" w:lineRule="auto"/>
        <w:ind w:firstLine="420" w:firstLineChars="200"/>
        <w:rPr>
          <w:szCs w:val="21"/>
        </w:rPr>
      </w:pPr>
      <w:r>
        <w:rPr>
          <w:position w:val="-30"/>
          <w:szCs w:val="21"/>
        </w:rPr>
        <w:object>
          <v:shape id="_x0000_i1127" o:spt="75" type="#_x0000_t75" style="height:36pt;width:165.5pt;" o:ole="t" filled="f" o:preferrelative="t" stroked="f" coordsize="21600,21600">
            <v:path/>
            <v:fill on="f" focussize="0,0"/>
            <v:stroke on="f" joinstyle="miter"/>
            <v:imagedata r:id="rId145" o:title=""/>
            <o:lock v:ext="edit" aspectratio="t"/>
            <w10:wrap type="none"/>
            <w10:anchorlock/>
          </v:shape>
          <o:OLEObject Type="Embed" ProgID="Equation.3" ShapeID="_x0000_i1127" DrawAspect="Content" ObjectID="_1468075827" r:id="rId265">
            <o:LockedField>false</o:LockedField>
          </o:OLEObject>
        </w:object>
      </w:r>
    </w:p>
    <w:p>
      <w:pPr>
        <w:spacing w:line="360" w:lineRule="auto"/>
        <w:ind w:firstLine="420" w:firstLineChars="200"/>
        <w:rPr>
          <w:szCs w:val="21"/>
        </w:rPr>
      </w:pPr>
      <w:r>
        <w:rPr>
          <w:szCs w:val="21"/>
        </w:rPr>
        <w:t>总的课程目标达成度评价采用下式：</w:t>
      </w:r>
    </w:p>
    <w:p>
      <w:pPr>
        <w:spacing w:line="360" w:lineRule="auto"/>
        <w:ind w:firstLine="420" w:firstLineChars="200"/>
        <w:rPr>
          <w:szCs w:val="21"/>
        </w:rPr>
      </w:pPr>
      <w:r>
        <w:rPr>
          <w:position w:val="-30"/>
          <w:szCs w:val="21"/>
        </w:rPr>
        <w:object>
          <v:shape id="_x0000_i1128" o:spt="75" type="#_x0000_t75" style="height:36pt;width:150pt;" o:ole="t" filled="f" o:preferrelative="t" stroked="f" coordsize="21600,21600">
            <v:path/>
            <v:fill on="f" focussize="0,0"/>
            <v:stroke on="f" joinstyle="miter"/>
            <v:imagedata r:id="rId147" o:title=""/>
            <o:lock v:ext="edit" aspectratio="t"/>
            <w10:wrap type="none"/>
            <w10:anchorlock/>
          </v:shape>
          <o:OLEObject Type="Embed" ProgID="Equation.3" ShapeID="_x0000_i1128" DrawAspect="Content" ObjectID="_1468075828" r:id="rId266">
            <o:LockedField>false</o:LockedField>
          </o:OLEObject>
        </w:object>
      </w:r>
    </w:p>
    <w:p>
      <w:pPr>
        <w:spacing w:line="360" w:lineRule="auto"/>
        <w:ind w:firstLine="420" w:firstLineChars="200"/>
        <w:rPr>
          <w:szCs w:val="21"/>
        </w:rPr>
      </w:pPr>
      <w:r>
        <w:rPr>
          <w:szCs w:val="21"/>
        </w:rPr>
        <w:t>以上公式中：</w:t>
      </w:r>
    </w:p>
    <w:p>
      <w:pPr>
        <w:spacing w:line="360" w:lineRule="auto"/>
        <w:ind w:firstLine="420" w:firstLineChars="200"/>
        <w:rPr>
          <w:szCs w:val="21"/>
        </w:rPr>
      </w:pPr>
      <w:r>
        <w:rPr>
          <w:i/>
          <w:szCs w:val="21"/>
        </w:rPr>
        <w:t>k</w:t>
      </w:r>
      <w:r>
        <w:rPr>
          <w:szCs w:val="21"/>
        </w:rPr>
        <w:t>表示不同的评价方式，</w:t>
      </w:r>
      <w:r>
        <w:rPr>
          <w:i/>
          <w:szCs w:val="21"/>
        </w:rPr>
        <w:t>i</w:t>
      </w:r>
      <w:r>
        <w:rPr>
          <w:szCs w:val="21"/>
        </w:rPr>
        <w:t>表示不同的课程目标。</w:t>
      </w:r>
    </w:p>
    <w:p>
      <w:pPr>
        <w:spacing w:line="360" w:lineRule="auto"/>
        <w:ind w:firstLine="420" w:firstLineChars="200"/>
      </w:pPr>
      <w:r>
        <w:rPr>
          <w:position w:val="-10"/>
        </w:rPr>
        <w:object>
          <v:shape id="_x0000_i1129" o:spt="75" type="#_x0000_t75" style="height:17.5pt;width:14.5pt;" o:ole="t" filled="f" o:preferrelative="t" stroked="f" coordsize="21600,21600">
            <v:path/>
            <v:fill on="f" focussize="0,0"/>
            <v:stroke on="f" joinstyle="miter"/>
            <v:imagedata r:id="rId149" o:title=""/>
            <o:lock v:ext="edit" aspectratio="t"/>
            <w10:wrap type="none"/>
            <w10:anchorlock/>
          </v:shape>
          <o:OLEObject Type="Embed" ProgID="Equation.3" ShapeID="_x0000_i1129" DrawAspect="Content" ObjectID="_1468075829" r:id="rId267">
            <o:LockedField>false</o:LockedField>
          </o:OLEObject>
        </w:object>
      </w:r>
      <w:r>
        <w:t>表示第</w:t>
      </w:r>
      <w:r>
        <w:rPr>
          <w:i/>
        </w:rPr>
        <w:t>k</w:t>
      </w:r>
      <w:r>
        <w:t>种评价方式期末评价成绩平均分，均为百分制；</w:t>
      </w:r>
    </w:p>
    <w:p>
      <w:pPr>
        <w:spacing w:line="360" w:lineRule="auto"/>
        <w:ind w:firstLine="420" w:firstLineChars="200"/>
      </w:pPr>
      <w:r>
        <w:rPr>
          <w:position w:val="-10"/>
        </w:rPr>
        <w:object>
          <v:shape id="_x0000_i1130" o:spt="75" type="#_x0000_t75" style="height:17.5pt;width:74.5pt;" o:ole="t" filled="f" o:preferrelative="t" stroked="f" coordsize="21600,21600">
            <v:path/>
            <v:fill on="f" focussize="0,0"/>
            <v:stroke on="f" joinstyle="miter"/>
            <v:imagedata r:id="rId151" o:title=""/>
            <o:lock v:ext="edit" aspectratio="t"/>
            <w10:wrap type="none"/>
            <w10:anchorlock/>
          </v:shape>
          <o:OLEObject Type="Embed" ProgID="Equation.3" ShapeID="_x0000_i1130" DrawAspect="Content" ObjectID="_1468075830" r:id="rId268">
            <o:LockedField>false</o:LockedField>
          </o:OLEObject>
        </w:object>
      </w:r>
      <w:r>
        <w:t>是第</w:t>
      </w:r>
      <w:r>
        <w:rPr>
          <w:i/>
        </w:rPr>
        <w:t>k</w:t>
      </w:r>
      <w:r>
        <w:t>种评价方式通过第</w:t>
      </w:r>
      <w:r>
        <w:rPr>
          <w:i/>
        </w:rPr>
        <w:t>i</w:t>
      </w:r>
      <w:r>
        <w:t>个课程目标反映在总的课程目标评分占比；</w:t>
      </w:r>
    </w:p>
    <w:p>
      <w:pPr>
        <w:spacing w:line="360" w:lineRule="auto"/>
        <w:ind w:firstLine="420" w:firstLineChars="200"/>
        <w:rPr>
          <w:szCs w:val="21"/>
        </w:rPr>
      </w:pPr>
      <w:r>
        <w:rPr>
          <w:position w:val="-10"/>
        </w:rPr>
        <w:object>
          <v:shape id="_x0000_i1131" o:spt="75" type="#_x0000_t75" style="height:17.5pt;width:17.5pt;" o:ole="t" filled="f" o:preferrelative="t" stroked="f" coordsize="21600,21600">
            <v:path/>
            <v:fill on="f" focussize="0,0"/>
            <v:stroke on="f" joinstyle="miter"/>
            <v:imagedata r:id="rId153" o:title=""/>
            <o:lock v:ext="edit" aspectratio="t"/>
            <w10:wrap type="none"/>
            <w10:anchorlock/>
          </v:shape>
          <o:OLEObject Type="Embed" ProgID="Equation.3" ShapeID="_x0000_i1131" DrawAspect="Content" ObjectID="_1468075831" r:id="rId269">
            <o:LockedField>false</o:LockedField>
          </o:OLEObject>
        </w:object>
      </w:r>
      <w:r>
        <w:t>表示第</w:t>
      </w:r>
      <w:r>
        <w:rPr>
          <w:i/>
        </w:rPr>
        <w:t>k</w:t>
      </w:r>
      <w:r>
        <w:t>种评价方式对第</w:t>
      </w:r>
      <w:r>
        <w:rPr>
          <w:i/>
        </w:rPr>
        <w:t>i</w:t>
      </w:r>
      <w:r>
        <w:t>个课程目标百分占比；</w:t>
      </w:r>
    </w:p>
    <w:p>
      <w:pPr>
        <w:spacing w:line="360" w:lineRule="auto"/>
        <w:ind w:firstLine="420" w:firstLineChars="200"/>
      </w:pPr>
      <w:r>
        <w:rPr>
          <w:position w:val="-10"/>
        </w:rPr>
        <w:object>
          <v:shape id="_x0000_i1132" o:spt="75" type="#_x0000_t75" style="height:17.5pt;width:13pt;" o:ole="t" filled="f" o:preferrelative="t" stroked="f" coordsize="21600,21600">
            <v:path/>
            <v:fill on="f" focussize="0,0"/>
            <v:stroke on="f" joinstyle="miter"/>
            <v:imagedata r:id="rId155" o:title=""/>
            <o:lock v:ext="edit" aspectratio="t"/>
            <w10:wrap type="none"/>
            <w10:anchorlock/>
          </v:shape>
          <o:OLEObject Type="Embed" ProgID="Equation.3" ShapeID="_x0000_i1132" DrawAspect="Content" ObjectID="_1468075832" r:id="rId270">
            <o:LockedField>false</o:LockedField>
          </o:OLEObject>
        </w:object>
      </w:r>
      <w:r>
        <w:t>表示第</w:t>
      </w:r>
      <w:r>
        <w:rPr>
          <w:i/>
        </w:rPr>
        <w:t>i</w:t>
      </w:r>
      <w:r>
        <w:t>个课程目标在课程总评价中的占比；</w:t>
      </w:r>
    </w:p>
    <w:p>
      <w:pPr>
        <w:spacing w:line="360" w:lineRule="auto"/>
        <w:ind w:firstLine="422" w:firstLineChars="200"/>
        <w:rPr>
          <w:b/>
          <w:bCs/>
          <w:position w:val="-10"/>
          <w:szCs w:val="22"/>
        </w:rPr>
      </w:pPr>
      <w:r>
        <w:rPr>
          <w:rFonts w:hint="eastAsia"/>
          <w:b/>
          <w:bCs/>
          <w:position w:val="-10"/>
          <w:szCs w:val="22"/>
        </w:rPr>
        <w:t>课程目标定性评价：</w:t>
      </w:r>
    </w:p>
    <w:p>
      <w:pPr>
        <w:spacing w:line="360" w:lineRule="auto"/>
        <w:ind w:firstLine="420" w:firstLineChars="200"/>
        <w:rPr>
          <w:rFonts w:ascii="宋体" w:hAnsi="宋体" w:cs="宋体"/>
          <w:szCs w:val="21"/>
        </w:rPr>
      </w:pPr>
      <w:r>
        <w:rPr>
          <w:rFonts w:hint="eastAsia" w:ascii="宋体" w:hAnsi="宋体" w:cs="宋体"/>
          <w:szCs w:val="21"/>
        </w:rPr>
        <w:t>针对每门课的课程目标，直接设计问题，并要求学生明确给出目标能力达到的程度“很好（0.95）、较好（0.75）、中（0.60）、较差（0.45）、很差（0.25）”，根据各区段统计比例与括号中的目标分值加权后求和得出定性评价的结果。</w:t>
      </w:r>
    </w:p>
    <w:p>
      <w:pPr>
        <w:spacing w:line="360" w:lineRule="auto"/>
        <w:ind w:firstLine="422" w:firstLineChars="200"/>
        <w:rPr>
          <w:b/>
          <w:bCs/>
          <w:position w:val="-10"/>
          <w:szCs w:val="22"/>
        </w:rPr>
      </w:pPr>
      <w:r>
        <w:rPr>
          <w:rFonts w:hint="eastAsia"/>
          <w:b/>
          <w:bCs/>
          <w:position w:val="-10"/>
          <w:szCs w:val="22"/>
        </w:rPr>
        <w:t>课程目标达成结果：</w:t>
      </w:r>
    </w:p>
    <w:p>
      <w:pPr>
        <w:spacing w:line="360" w:lineRule="auto"/>
        <w:ind w:firstLine="420" w:firstLineChars="200"/>
        <w:rPr>
          <w:rFonts w:ascii="宋体" w:hAnsi="宋体" w:cs="宋体"/>
          <w:szCs w:val="21"/>
        </w:rPr>
      </w:pPr>
      <w:r>
        <w:rPr>
          <w:rFonts w:hint="eastAsia" w:ascii="宋体" w:hAnsi="宋体" w:cs="宋体"/>
          <w:szCs w:val="21"/>
        </w:rPr>
        <w:t>同一课程目标的评价，取定性评价和定量评价的平均值，作为最终评价结果。</w:t>
      </w:r>
    </w:p>
    <w:p>
      <w:pPr>
        <w:spacing w:line="360" w:lineRule="auto"/>
        <w:ind w:firstLine="420" w:firstLineChars="200"/>
        <w:rPr>
          <w:position w:val="-10"/>
          <w:szCs w:val="22"/>
        </w:rPr>
      </w:pPr>
      <w:r>
        <w:rPr>
          <w:rFonts w:hint="eastAsia"/>
          <w:position w:val="-10"/>
          <w:szCs w:val="22"/>
        </w:rPr>
        <w:t>课程目标达成度大于等于0.71为一级达成，大于等于0.65为二级达成。</w:t>
      </w:r>
    </w:p>
    <w:p>
      <w:pPr>
        <w:widowControl/>
        <w:jc w:val="left"/>
        <w:rPr>
          <w:rFonts w:eastAsia="黑体"/>
          <w:szCs w:val="24"/>
        </w:rPr>
      </w:pPr>
    </w:p>
    <w:p>
      <w:pPr>
        <w:tabs>
          <w:tab w:val="left" w:pos="420"/>
        </w:tabs>
        <w:adjustRightInd w:val="0"/>
        <w:snapToGrid w:val="0"/>
        <w:spacing w:line="360" w:lineRule="auto"/>
        <w:ind w:left="420" w:hanging="420"/>
        <w:rPr>
          <w:rFonts w:eastAsia="黑体"/>
          <w:szCs w:val="24"/>
        </w:rPr>
      </w:pPr>
      <w:r>
        <w:rPr>
          <w:rFonts w:hint="eastAsia" w:eastAsia="黑体"/>
          <w:szCs w:val="24"/>
        </w:rPr>
        <w:t>十一、各环节评价标准</w:t>
      </w:r>
    </w:p>
    <w:p>
      <w:pPr>
        <w:spacing w:line="360" w:lineRule="auto"/>
        <w:ind w:firstLine="420" w:firstLineChars="200"/>
        <w:rPr>
          <w:szCs w:val="21"/>
        </w:rPr>
      </w:pPr>
      <w:r>
        <w:rPr>
          <w:rFonts w:hint="eastAsia"/>
          <w:szCs w:val="21"/>
        </w:rPr>
        <w:t>本课程允许教师在各评价环节根据具体情况采取多样化、个性化的考核手段，其评价标准应当在《</w:t>
      </w:r>
      <w:r>
        <w:rPr>
          <w:rFonts w:hint="eastAsia" w:ascii="宋体" w:hAnsi="宋体"/>
          <w:szCs w:val="21"/>
        </w:rPr>
        <w:t>SIE-CT-01：</w:t>
      </w:r>
      <w:r>
        <w:rPr>
          <w:rFonts w:hint="eastAsia"/>
          <w:szCs w:val="21"/>
        </w:rPr>
        <w:t>授课计划》中明确并向学生公布，教学过程中的考核评价应当严格按照标准完成。</w:t>
      </w:r>
    </w:p>
    <w:p>
      <w:pPr>
        <w:tabs>
          <w:tab w:val="left" w:pos="420"/>
        </w:tabs>
        <w:adjustRightInd w:val="0"/>
        <w:snapToGrid w:val="0"/>
        <w:spacing w:line="360" w:lineRule="auto"/>
        <w:ind w:left="420" w:hanging="420"/>
        <w:rPr>
          <w:color w:val="0000FF"/>
        </w:rPr>
      </w:pPr>
    </w:p>
    <w:p>
      <w:pPr>
        <w:tabs>
          <w:tab w:val="left" w:pos="420"/>
        </w:tabs>
        <w:adjustRightInd w:val="0"/>
        <w:snapToGrid w:val="0"/>
        <w:spacing w:line="360" w:lineRule="auto"/>
        <w:ind w:left="420" w:hanging="420"/>
        <w:rPr>
          <w:rFonts w:eastAsia="黑体"/>
          <w:szCs w:val="24"/>
        </w:rPr>
      </w:pPr>
      <w:r>
        <w:rPr>
          <w:rFonts w:hint="eastAsia" w:eastAsia="黑体"/>
          <w:szCs w:val="24"/>
        </w:rPr>
        <w:t>十二、课程目标达成评价结果用于持续改进</w:t>
      </w:r>
    </w:p>
    <w:p>
      <w:pPr>
        <w:spacing w:line="360" w:lineRule="auto"/>
        <w:ind w:firstLine="420" w:firstLineChars="200"/>
        <w:rPr>
          <w:szCs w:val="21"/>
        </w:rPr>
      </w:pPr>
      <w:r>
        <w:rPr>
          <w:rFonts w:hint="eastAsia"/>
          <w:szCs w:val="21"/>
        </w:rPr>
        <w:t>课程目标达成评价结果将用于后续教学过程的持续改进。</w:t>
      </w:r>
    </w:p>
    <w:p>
      <w:pPr>
        <w:spacing w:line="360" w:lineRule="auto"/>
        <w:ind w:firstLine="420" w:firstLineChars="200"/>
        <w:rPr>
          <w:szCs w:val="21"/>
        </w:rPr>
      </w:pPr>
      <w:r>
        <w:rPr>
          <w:rFonts w:hint="eastAsia"/>
          <w:szCs w:val="21"/>
        </w:rPr>
        <w:t>针对课程目标达成评价中发现的问题与不足，重点是达成值相对较低的项，在本次授课总结中应由授课教师分析具体原因，并给出改进建议。后续任课教师应当针对以前的问题和建议，在授课计划中做好落实改进计划，并在授课过程中予以落实。</w:t>
      </w:r>
    </w:p>
    <w:p>
      <w:pPr>
        <w:pStyle w:val="18"/>
        <w:spacing w:before="240" w:after="360"/>
        <w:sectPr>
          <w:headerReference r:id="rId96" w:type="first"/>
          <w:footerReference r:id="rId99" w:type="first"/>
          <w:headerReference r:id="rId94" w:type="default"/>
          <w:footerReference r:id="rId97" w:type="default"/>
          <w:headerReference r:id="rId95" w:type="even"/>
          <w:footerReference r:id="rId98" w:type="even"/>
          <w:pgSz w:w="11906" w:h="16838"/>
          <w:pgMar w:top="1440" w:right="1797" w:bottom="1440" w:left="1797" w:header="851" w:footer="992" w:gutter="0"/>
          <w:pgNumType w:fmt="decimal"/>
          <w:cols w:space="425" w:num="1"/>
          <w:docGrid w:linePitch="312" w:charSpace="0"/>
        </w:sectPr>
      </w:pPr>
    </w:p>
    <w:p>
      <w:pPr>
        <w:pStyle w:val="18"/>
        <w:spacing w:before="240" w:after="360"/>
      </w:pPr>
      <w:bookmarkStart w:id="34" w:name="_Toc15533"/>
      <w:r>
        <w:rPr>
          <w:rFonts w:hint="eastAsia"/>
        </w:rPr>
        <w:t>《</w:t>
      </w:r>
      <w:bookmarkStart w:id="35" w:name="_Hlk10038238"/>
      <w:r>
        <w:rPr>
          <w:rFonts w:hint="eastAsia"/>
          <w:szCs w:val="28"/>
        </w:rPr>
        <w:t>微弱信号检测</w:t>
      </w:r>
      <w:bookmarkEnd w:id="35"/>
      <w:r>
        <w:rPr>
          <w:rFonts w:hint="eastAsia"/>
        </w:rPr>
        <w:t>》教学大纲</w:t>
      </w:r>
      <w:bookmarkEnd w:id="34"/>
    </w:p>
    <w:p>
      <w:pPr>
        <w:adjustRightInd w:val="0"/>
        <w:snapToGrid w:val="0"/>
        <w:spacing w:line="360" w:lineRule="auto"/>
        <w:rPr>
          <w:bCs/>
          <w:color w:val="000000" w:themeColor="text1"/>
          <w:kern w:val="0"/>
          <w14:textFill>
            <w14:solidFill>
              <w14:schemeClr w14:val="tx1"/>
            </w14:solidFill>
          </w14:textFill>
        </w:rPr>
      </w:pPr>
      <w:r>
        <w:rPr>
          <w:rFonts w:hint="eastAsia" w:eastAsia="黑体"/>
          <w:color w:val="000000" w:themeColor="text1"/>
          <w:szCs w:val="21"/>
          <w14:textFill>
            <w14:solidFill>
              <w14:schemeClr w14:val="tx1"/>
            </w14:solidFill>
          </w14:textFill>
        </w:rPr>
        <w:t>课程编号：</w:t>
      </w:r>
      <w:r>
        <w:rPr>
          <w:color w:val="000000" w:themeColor="text1"/>
          <w:szCs w:val="18"/>
          <w14:textFill>
            <w14:solidFill>
              <w14:schemeClr w14:val="tx1"/>
            </w14:solidFill>
          </w14:textFill>
        </w:rPr>
        <w:t>Z06060102</w:t>
      </w:r>
    </w:p>
    <w:p>
      <w:pPr>
        <w:adjustRightInd w:val="0"/>
        <w:snapToGrid w:val="0"/>
        <w:spacing w:line="360" w:lineRule="auto"/>
        <w:rPr>
          <w:snapToGrid w:val="0"/>
          <w:color w:val="000000" w:themeColor="text1"/>
          <w:kern w:val="0"/>
          <w:szCs w:val="21"/>
          <w14:textFill>
            <w14:solidFill>
              <w14:schemeClr w14:val="tx1"/>
            </w14:solidFill>
          </w14:textFill>
        </w:rPr>
      </w:pPr>
      <w:r>
        <w:rPr>
          <w:rFonts w:hint="eastAsia" w:eastAsia="黑体"/>
          <w:color w:val="000000" w:themeColor="text1"/>
          <w:szCs w:val="21"/>
          <w14:textFill>
            <w14:solidFill>
              <w14:schemeClr w14:val="tx1"/>
            </w14:solidFill>
          </w14:textFill>
        </w:rPr>
        <w:t>课程名称：</w:t>
      </w:r>
      <w:r>
        <w:rPr>
          <w:rFonts w:hint="eastAsia"/>
          <w:color w:val="000000" w:themeColor="text1"/>
          <w:szCs w:val="21"/>
          <w14:textFill>
            <w14:solidFill>
              <w14:schemeClr w14:val="tx1"/>
            </w14:solidFill>
          </w14:textFill>
        </w:rPr>
        <w:t>微弱信号检测</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rFonts w:hint="eastAsia" w:eastAsia="黑体"/>
          <w:color w:val="000000" w:themeColor="text1"/>
          <w:szCs w:val="21"/>
          <w14:textFill>
            <w14:solidFill>
              <w14:schemeClr w14:val="tx1"/>
            </w14:solidFill>
          </w14:textFill>
        </w:rPr>
        <w:t>开课单位：</w:t>
      </w:r>
      <w:r>
        <w:rPr>
          <w:rFonts w:hint="eastAsia"/>
          <w:color w:val="000000" w:themeColor="text1"/>
          <w:szCs w:val="21"/>
          <w14:textFill>
            <w14:solidFill>
              <w14:schemeClr w14:val="tx1"/>
            </w14:solidFill>
          </w14:textFill>
        </w:rPr>
        <w:t>仪器与电子学院</w:t>
      </w:r>
      <w:r>
        <w:rPr>
          <w:rFonts w:eastAsia="黑体"/>
          <w:color w:val="000000" w:themeColor="text1"/>
          <w:szCs w:val="21"/>
          <w14:textFill>
            <w14:solidFill>
              <w14:schemeClr w14:val="tx1"/>
            </w14:solidFill>
          </w14:textFill>
        </w:rPr>
        <w:tab/>
      </w:r>
    </w:p>
    <w:p>
      <w:pPr>
        <w:adjustRightInd w:val="0"/>
        <w:snapToGrid w:val="0"/>
        <w:spacing w:line="360" w:lineRule="auto"/>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总学时：</w:t>
      </w:r>
      <w:r>
        <w:rPr>
          <w:color w:val="000000" w:themeColor="text1"/>
          <w:szCs w:val="21"/>
          <w14:textFill>
            <w14:solidFill>
              <w14:schemeClr w14:val="tx1"/>
            </w14:solidFill>
          </w14:textFill>
        </w:rPr>
        <w:t>32 (</w:t>
      </w:r>
      <w:r>
        <w:rPr>
          <w:rFonts w:hint="eastAsia"/>
          <w:color w:val="000000" w:themeColor="text1"/>
          <w:szCs w:val="21"/>
          <w14:textFill>
            <w14:solidFill>
              <w14:schemeClr w14:val="tx1"/>
            </w14:solidFill>
          </w14:textFill>
        </w:rPr>
        <w:t>实验</w:t>
      </w:r>
      <w:r>
        <w:rPr>
          <w:color w:val="000000" w:themeColor="text1"/>
          <w:szCs w:val="21"/>
          <w14:textFill>
            <w14:solidFill>
              <w14:schemeClr w14:val="tx1"/>
            </w14:solidFill>
          </w14:textFill>
        </w:rPr>
        <w:t>12</w:t>
      </w:r>
      <w:r>
        <w:rPr>
          <w:rFonts w:hint="eastAsia"/>
          <w:color w:val="000000" w:themeColor="text1"/>
          <w:szCs w:val="21"/>
          <w14:textFill>
            <w14:solidFill>
              <w14:schemeClr w14:val="tx1"/>
            </w14:solidFill>
          </w14:textFill>
        </w:rPr>
        <w:t>学时</w:t>
      </w:r>
      <w:r>
        <w:rPr>
          <w:rFonts w:hint="eastAsia" w:eastAsia="黑体"/>
          <w:color w:val="000000" w:themeColor="text1"/>
          <w:szCs w:val="21"/>
          <w14:textFill>
            <w14:solidFill>
              <w14:schemeClr w14:val="tx1"/>
            </w14:solidFill>
          </w14:textFill>
        </w:rPr>
        <w:t>)</w:t>
      </w:r>
      <w:r>
        <w:rPr>
          <w:rFonts w:eastAsia="黑体"/>
          <w:color w:val="000000" w:themeColor="text1"/>
          <w:szCs w:val="21"/>
          <w14:textFill>
            <w14:solidFill>
              <w14:schemeClr w14:val="tx1"/>
            </w14:solidFill>
          </w14:textFill>
        </w:rPr>
        <w:tab/>
      </w:r>
      <w:r>
        <w:rPr>
          <w:rFonts w:eastAsia="黑体"/>
          <w:color w:val="000000" w:themeColor="text1"/>
          <w:szCs w:val="21"/>
          <w14:textFill>
            <w14:solidFill>
              <w14:schemeClr w14:val="tx1"/>
            </w14:solidFill>
          </w14:textFill>
        </w:rPr>
        <w:tab/>
      </w:r>
      <w:r>
        <w:rPr>
          <w:rFonts w:eastAsia="黑体"/>
          <w:color w:val="000000" w:themeColor="text1"/>
          <w:szCs w:val="21"/>
          <w14:textFill>
            <w14:solidFill>
              <w14:schemeClr w14:val="tx1"/>
            </w14:solidFill>
          </w14:textFill>
        </w:rPr>
        <w:tab/>
      </w:r>
      <w:r>
        <w:rPr>
          <w:rFonts w:eastAsia="黑体"/>
          <w:color w:val="000000" w:themeColor="text1"/>
          <w:szCs w:val="21"/>
          <w14:textFill>
            <w14:solidFill>
              <w14:schemeClr w14:val="tx1"/>
            </w14:solidFill>
          </w14:textFill>
        </w:rPr>
        <w:tab/>
      </w:r>
      <w:r>
        <w:rPr>
          <w:rFonts w:hint="eastAsia" w:eastAsia="黑体"/>
          <w:color w:val="000000" w:themeColor="text1"/>
          <w:szCs w:val="21"/>
          <w14:textFill>
            <w14:solidFill>
              <w14:schemeClr w14:val="tx1"/>
            </w14:solidFill>
          </w14:textFill>
        </w:rPr>
        <w:t>学分：</w:t>
      </w:r>
      <w:r>
        <w:rPr>
          <w:rFonts w:eastAsia="黑体"/>
          <w:color w:val="000000" w:themeColor="text1"/>
          <w:szCs w:val="21"/>
          <w14:textFill>
            <w14:solidFill>
              <w14:schemeClr w14:val="tx1"/>
            </w14:solidFill>
          </w14:textFill>
        </w:rPr>
        <w:t>2</w:t>
      </w:r>
    </w:p>
    <w:p>
      <w:pPr>
        <w:adjustRightInd w:val="0"/>
        <w:snapToGrid w:val="0"/>
        <w:spacing w:line="360" w:lineRule="auto"/>
        <w:rPr>
          <w:rFonts w:hint="eastAsia" w:eastAsia="宋体"/>
          <w:color w:val="000000" w:themeColor="text1"/>
          <w:szCs w:val="21"/>
          <w:lang w:eastAsia="zh-CN"/>
          <w14:textFill>
            <w14:solidFill>
              <w14:schemeClr w14:val="tx1"/>
            </w14:solidFill>
          </w14:textFill>
        </w:rPr>
      </w:pPr>
      <w:r>
        <w:rPr>
          <w:rFonts w:hint="eastAsia" w:eastAsia="黑体"/>
          <w:color w:val="000000" w:themeColor="text1"/>
          <w:szCs w:val="21"/>
          <w14:textFill>
            <w14:solidFill>
              <w14:schemeClr w14:val="tx1"/>
            </w14:solidFill>
          </w14:textFill>
        </w:rPr>
        <w:t>适用专业：</w:t>
      </w:r>
      <w:r>
        <w:rPr>
          <w:rFonts w:hint="eastAsia"/>
          <w:color w:val="000000" w:themeColor="text1"/>
          <w:szCs w:val="21"/>
          <w14:textFill>
            <w14:solidFill>
              <w14:schemeClr w14:val="tx1"/>
            </w14:solidFill>
          </w14:textFill>
        </w:rPr>
        <w:t>测控技术与仪器专业</w:t>
      </w:r>
      <w:r>
        <w:rPr>
          <w:rFonts w:hint="eastAsia"/>
          <w:color w:val="000000" w:themeColor="text1"/>
          <w:szCs w:val="21"/>
          <w:lang w:eastAsia="zh-CN"/>
          <w14:textFill>
            <w14:solidFill>
              <w14:schemeClr w14:val="tx1"/>
            </w14:solidFill>
          </w14:textFill>
        </w:rPr>
        <w:t>、智能感知工程</w:t>
      </w:r>
    </w:p>
    <w:p>
      <w:pPr>
        <w:adjustRightInd w:val="0"/>
        <w:snapToGrid w:val="0"/>
        <w:spacing w:line="360" w:lineRule="auto"/>
        <w:rPr>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先修课程：</w:t>
      </w:r>
      <w:r>
        <w:rPr>
          <w:rFonts w:hint="eastAsia" w:ascii="宋体" w:hAnsi="宋体"/>
          <w:color w:val="000000" w:themeColor="text1"/>
          <w14:textFill>
            <w14:solidFill>
              <w14:schemeClr w14:val="tx1"/>
            </w14:solidFill>
          </w14:textFill>
        </w:rPr>
        <w:t>电路分析基础、模拟电子技术、数字电子技术、信号与系统、传感器原理及设计</w:t>
      </w:r>
    </w:p>
    <w:p>
      <w:pPr>
        <w:adjustRightInd w:val="0"/>
        <w:snapToGrid w:val="0"/>
        <w:spacing w:line="360" w:lineRule="auto"/>
        <w:rPr>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大纲撰写人：</w:t>
      </w:r>
      <w:r>
        <w:rPr>
          <w:rFonts w:hint="eastAsia"/>
          <w:color w:val="000000" w:themeColor="text1"/>
          <w:szCs w:val="21"/>
          <w14:textFill>
            <w14:solidFill>
              <w14:schemeClr w14:val="tx1"/>
            </w14:solidFill>
          </w14:textFill>
        </w:rPr>
        <w:t>葛双超</w:t>
      </w:r>
    </w:p>
    <w:p>
      <w:pPr>
        <w:adjustRightInd w:val="0"/>
        <w:snapToGrid w:val="0"/>
        <w:spacing w:line="360" w:lineRule="auto"/>
        <w:rPr>
          <w:rFonts w:ascii="宋体" w:hAnsi="宋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大纲编写（修订）时间：</w:t>
      </w:r>
      <w:r>
        <w:rPr>
          <w:color w:val="000000" w:themeColor="text1"/>
          <w:szCs w:val="21"/>
          <w14:textFill>
            <w14:solidFill>
              <w14:schemeClr w14:val="tx1"/>
            </w14:solidFill>
          </w14:textFill>
        </w:rPr>
        <w:t>2019年5月</w:t>
      </w:r>
    </w:p>
    <w:p>
      <w:pPr>
        <w:adjustRightInd w:val="0"/>
        <w:snapToGrid w:val="0"/>
        <w:spacing w:line="360" w:lineRule="auto"/>
        <w:rPr>
          <w:color w:val="000000" w:themeColor="text1"/>
          <w:szCs w:val="21"/>
          <w14:textFill>
            <w14:solidFill>
              <w14:schemeClr w14:val="tx1"/>
            </w14:solidFill>
          </w14:textFill>
        </w:rPr>
      </w:pPr>
    </w:p>
    <w:p>
      <w:pPr>
        <w:tabs>
          <w:tab w:val="left" w:pos="420"/>
        </w:tabs>
        <w:adjustRightInd w:val="0"/>
        <w:snapToGrid w:val="0"/>
        <w:spacing w:line="360" w:lineRule="auto"/>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一、课程在教学计划中的地位、作用</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本课程是一门属于</w:t>
      </w:r>
      <w:r>
        <w:rPr>
          <w:rFonts w:hint="eastAsia"/>
          <w:color w:val="000000" w:themeColor="text1"/>
          <w:szCs w:val="21"/>
          <w14:textFill>
            <w14:solidFill>
              <w14:schemeClr w14:val="tx1"/>
            </w14:solidFill>
          </w14:textFill>
        </w:rPr>
        <w:t>数据分析</w:t>
      </w:r>
      <w:r>
        <w:rPr>
          <w:color w:val="000000" w:themeColor="text1"/>
          <w:szCs w:val="21"/>
          <w14:textFill>
            <w14:solidFill>
              <w14:schemeClr w14:val="tx1"/>
            </w14:solidFill>
          </w14:textFill>
        </w:rPr>
        <w:t>类的专业课程，是</w:t>
      </w:r>
      <w:r>
        <w:rPr>
          <w:rFonts w:hint="eastAsia"/>
          <w:color w:val="000000" w:themeColor="text1"/>
          <w:szCs w:val="21"/>
          <w14:textFill>
            <w14:solidFill>
              <w14:schemeClr w14:val="tx1"/>
            </w14:solidFill>
          </w14:textFill>
        </w:rPr>
        <w:t>测控技术与仪器</w:t>
      </w:r>
      <w:r>
        <w:rPr>
          <w:rFonts w:hint="eastAsia"/>
          <w:color w:val="000000" w:themeColor="text1"/>
          <w:szCs w:val="21"/>
          <w:lang w:eastAsia="zh-CN"/>
          <w14:textFill>
            <w14:solidFill>
              <w14:schemeClr w14:val="tx1"/>
            </w14:solidFill>
          </w14:textFill>
        </w:rPr>
        <w:t>、智能感知工程</w:t>
      </w:r>
      <w:r>
        <w:rPr>
          <w:color w:val="000000" w:themeColor="text1"/>
          <w:szCs w:val="21"/>
          <w14:textFill>
            <w14:solidFill>
              <w14:schemeClr w14:val="tx1"/>
            </w14:solidFill>
          </w14:textFill>
        </w:rPr>
        <w:t>专业的</w:t>
      </w:r>
      <w:r>
        <w:rPr>
          <w:rFonts w:hint="eastAsia"/>
          <w:color w:val="000000" w:themeColor="text1"/>
          <w:szCs w:val="21"/>
          <w14:textFill>
            <w14:solidFill>
              <w14:schemeClr w14:val="tx1"/>
            </w14:solidFill>
          </w14:textFill>
        </w:rPr>
        <w:t>选修</w:t>
      </w:r>
      <w:r>
        <w:rPr>
          <w:color w:val="000000" w:themeColor="text1"/>
          <w:szCs w:val="21"/>
          <w14:textFill>
            <w14:solidFill>
              <w14:schemeClr w14:val="tx1"/>
            </w14:solidFill>
          </w14:textFill>
        </w:rPr>
        <w:t>课程。</w:t>
      </w:r>
      <w:r>
        <w:rPr>
          <w:rFonts w:hint="eastAsia"/>
          <w:color w:val="000000" w:themeColor="text1"/>
          <w14:textFill>
            <w14:solidFill>
              <w14:schemeClr w14:val="tx1"/>
            </w14:solidFill>
          </w14:textFill>
        </w:rPr>
        <w:t>微弱信号检测技术的首要任务是提高信噪比</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从强噪声环境中检测出有用信号。本门课是信号处理技术的应用与延伸，使学生在学过模拟电子技术与数字电子技术等专业基础课后，接触到处理电路内部噪声和外部环境噪声的又一个方法。通过该课程的学习，使学生理解微弱信号及其相关的基本概念以及微弱信号检测的一般方法，使学生能够运用电路仿真工具分析和解决典型工程问题</w:t>
      </w:r>
      <w:r>
        <w:rPr>
          <w:color w:val="000000" w:themeColor="text1"/>
          <w14:textFill>
            <w14:solidFill>
              <w14:schemeClr w14:val="tx1"/>
            </w14:solidFill>
          </w14:textFill>
        </w:rPr>
        <w:t>。</w:t>
      </w:r>
    </w:p>
    <w:p>
      <w:pPr>
        <w:spacing w:line="360" w:lineRule="auto"/>
        <w:ind w:firstLine="420" w:firstLineChars="200"/>
        <w:rPr>
          <w:color w:val="000000" w:themeColor="text1"/>
          <w:szCs w:val="21"/>
          <w14:textFill>
            <w14:solidFill>
              <w14:schemeClr w14:val="tx1"/>
            </w14:solidFill>
          </w14:textFill>
        </w:rPr>
      </w:pPr>
    </w:p>
    <w:p>
      <w:pPr>
        <w:tabs>
          <w:tab w:val="left" w:pos="420"/>
        </w:tabs>
        <w:adjustRightInd w:val="0"/>
        <w:snapToGrid w:val="0"/>
        <w:spacing w:line="360" w:lineRule="auto"/>
        <w:ind w:left="420" w:hanging="420"/>
        <w:rPr>
          <w:rFonts w:hint="eastAsia"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二、课程目标</w:t>
      </w:r>
    </w:p>
    <w:p>
      <w:pPr>
        <w:tabs>
          <w:tab w:val="left" w:pos="420"/>
        </w:tabs>
        <w:adjustRightInd w:val="0"/>
        <w:snapToGrid w:val="0"/>
        <w:spacing w:line="360" w:lineRule="auto"/>
        <w:rPr>
          <w:rFonts w:ascii="宋体" w:hAnsi="宋体"/>
          <w:szCs w:val="21"/>
        </w:rPr>
      </w:pPr>
      <w:r>
        <w:rPr>
          <w:rFonts w:hint="eastAsia" w:ascii="宋体" w:hAnsi="宋体"/>
          <w:szCs w:val="21"/>
        </w:rPr>
        <w:t>测控技术与仪器专业：</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4000"/>
        <w:gridCol w:w="390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7" w:type="pct"/>
            <w:vAlign w:val="bottom"/>
          </w:tcPr>
          <w:p>
            <w:pPr>
              <w:spacing w:line="36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序号</w:t>
            </w:r>
          </w:p>
        </w:tc>
        <w:tc>
          <w:tcPr>
            <w:tcW w:w="2345" w:type="pct"/>
            <w:vAlign w:val="bottom"/>
          </w:tcPr>
          <w:p>
            <w:pPr>
              <w:spacing w:line="36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课程目标</w:t>
            </w:r>
          </w:p>
        </w:tc>
        <w:tc>
          <w:tcPr>
            <w:tcW w:w="2288" w:type="pct"/>
            <w:vAlign w:val="bottom"/>
          </w:tcPr>
          <w:p>
            <w:pPr>
              <w:spacing w:line="36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rPr>
                <w:color w:val="000000" w:themeColor="text1"/>
                <w:sz w:val="18"/>
                <w:szCs w:val="18"/>
                <w14:textFill>
                  <w14:solidFill>
                    <w14:schemeClr w14:val="tx1"/>
                  </w14:solidFill>
                </w14:textFill>
              </w:rPr>
            </w:pPr>
            <w:bookmarkStart w:id="36" w:name="_Hlk9611302"/>
            <w:r>
              <w:rPr>
                <w:rFonts w:hint="eastAsia"/>
                <w:color w:val="000000" w:themeColor="text1"/>
                <w:sz w:val="18"/>
                <w:szCs w:val="18"/>
                <w14:textFill>
                  <w14:solidFill>
                    <w14:schemeClr w14:val="tx1"/>
                  </w14:solidFill>
                </w14:textFill>
              </w:rPr>
              <w:t>1</w:t>
            </w:r>
          </w:p>
        </w:tc>
        <w:tc>
          <w:tcPr>
            <w:tcW w:w="2345" w:type="pct"/>
            <w:vAlign w:val="center"/>
          </w:tcPr>
          <w:p>
            <w:pPr>
              <w:spacing w:line="360" w:lineRule="auto"/>
              <w:rPr>
                <w:color w:val="000000" w:themeColor="text1"/>
                <w:sz w:val="18"/>
                <w:szCs w:val="18"/>
                <w14:textFill>
                  <w14:solidFill>
                    <w14:schemeClr w14:val="tx1"/>
                  </w14:solidFill>
                </w14:textFill>
              </w:rPr>
            </w:pPr>
          </w:p>
          <w:p>
            <w:pPr>
              <w:spacing w:line="360" w:lineRule="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能够利用微弱信号及其相关的基本原理和方法对实际工程问题进行分解，识别其中的信号特征、系统特性等关系参数。</w:t>
            </w:r>
          </w:p>
        </w:tc>
        <w:tc>
          <w:tcPr>
            <w:tcW w:w="2288" w:type="pct"/>
            <w:vAlign w:val="center"/>
          </w:tcPr>
          <w:p>
            <w:pPr>
              <w:spacing w:line="360" w:lineRule="auto"/>
              <w:rPr>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指标点2-1 问题识别：</w:t>
            </w:r>
            <w:r>
              <w:rPr>
                <w:rFonts w:hint="eastAsia"/>
                <w:color w:val="000000" w:themeColor="text1"/>
                <w:sz w:val="18"/>
                <w:szCs w:val="18"/>
                <w14:textFill>
                  <w14:solidFill>
                    <w14:schemeClr w14:val="tx1"/>
                  </w14:solidFill>
                </w14:textFill>
              </w:rPr>
              <w:t>能应用科学原理对测控技术与仪器专业复杂工程问题进行分解，并识别其中的关键特征和参数。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2345" w:type="pct"/>
            <w:vAlign w:val="center"/>
          </w:tcPr>
          <w:p>
            <w:pPr>
              <w:spacing w:line="360" w:lineRule="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能够应用微弱信号检测的一般方法分析工程问题中噪声的统计特性并对通过电路的响应进行求解；</w:t>
            </w:r>
          </w:p>
        </w:tc>
        <w:tc>
          <w:tcPr>
            <w:tcW w:w="2288" w:type="pct"/>
            <w:vAlign w:val="center"/>
          </w:tcPr>
          <w:p>
            <w:pPr>
              <w:spacing w:line="360" w:lineRule="auto"/>
              <w:rPr>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指标点2-1 问题识别：</w:t>
            </w:r>
            <w:r>
              <w:rPr>
                <w:rFonts w:hint="eastAsia"/>
                <w:color w:val="000000" w:themeColor="text1"/>
                <w:sz w:val="18"/>
                <w:szCs w:val="18"/>
                <w14:textFill>
                  <w14:solidFill>
                    <w14:schemeClr w14:val="tx1"/>
                  </w14:solidFill>
                </w14:textFill>
              </w:rPr>
              <w:t>能应用科学原理对测控技术与仪器专业复杂工程问题进行分解，并识别其中的关键特征和参数。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2345" w:type="pct"/>
            <w:vAlign w:val="center"/>
          </w:tcPr>
          <w:p>
            <w:pPr>
              <w:spacing w:line="360" w:lineRule="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能够运用微弱信号检测相关知识对随机噪声和环境噪声进行分析，对同一工程问题应用多种微弱信号检测方法进行信号分析与对比，探究不同检测方法的适应性；</w:t>
            </w:r>
          </w:p>
        </w:tc>
        <w:tc>
          <w:tcPr>
            <w:tcW w:w="2288" w:type="pct"/>
            <w:vAlign w:val="center"/>
          </w:tcPr>
          <w:p>
            <w:pPr>
              <w:spacing w:line="360" w:lineRule="auto"/>
              <w:rPr>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指标点2-2 问题表达：</w:t>
            </w:r>
            <w:r>
              <w:rPr>
                <w:rFonts w:hint="eastAsia"/>
                <w:color w:val="000000" w:themeColor="text1"/>
                <w:sz w:val="18"/>
                <w:szCs w:val="18"/>
                <w14:textFill>
                  <w14:solidFill>
                    <w14:schemeClr w14:val="tx1"/>
                  </w14:solidFill>
                </w14:textFill>
              </w:rPr>
              <w:t>能够应用科学原理对本专业复杂工程问题的识别结果进行有效表达，将工程问题转化为技术问题。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2345" w:type="pct"/>
            <w:vAlign w:val="center"/>
          </w:tcPr>
          <w:p>
            <w:pPr>
              <w:spacing w:line="360" w:lineRule="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能够使用Multisim和Protel等计算机工具，建立低噪声前置放大器等电子元件的等效噪声模型，并对检测电路进行设计与仿真。</w:t>
            </w:r>
          </w:p>
        </w:tc>
        <w:tc>
          <w:tcPr>
            <w:tcW w:w="2288" w:type="pct"/>
            <w:vAlign w:val="center"/>
          </w:tcPr>
          <w:p>
            <w:pPr>
              <w:spacing w:line="360" w:lineRule="auto"/>
              <w:rPr>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指标点2-2 问题表达：</w:t>
            </w:r>
            <w:r>
              <w:rPr>
                <w:rFonts w:hint="eastAsia"/>
                <w:color w:val="000000" w:themeColor="text1"/>
                <w:sz w:val="18"/>
                <w:szCs w:val="18"/>
                <w14:textFill>
                  <w14:solidFill>
                    <w14:schemeClr w14:val="tx1"/>
                  </w14:solidFill>
                </w14:textFill>
              </w:rPr>
              <w:t>能够应用科学原理对本专业复杂工程问题的识别结果进行有效表达，将工程问题转化为技术问题。</w:t>
            </w:r>
          </w:p>
        </w:tc>
      </w:tr>
      <w:bookmarkEnd w:id="36"/>
    </w:tbl>
    <w:p>
      <w:pPr>
        <w:tabs>
          <w:tab w:val="left" w:pos="420"/>
        </w:tabs>
        <w:adjustRightInd w:val="0"/>
        <w:snapToGrid w:val="0"/>
        <w:spacing w:line="360" w:lineRule="auto"/>
        <w:ind w:left="420" w:hanging="420"/>
        <w:rPr>
          <w:rFonts w:hint="eastAsia" w:ascii="宋体" w:hAnsi="宋体"/>
          <w:szCs w:val="21"/>
        </w:rPr>
      </w:pPr>
    </w:p>
    <w:p>
      <w:pPr>
        <w:tabs>
          <w:tab w:val="left" w:pos="420"/>
        </w:tabs>
        <w:adjustRightInd w:val="0"/>
        <w:snapToGrid w:val="0"/>
        <w:spacing w:line="360" w:lineRule="auto"/>
        <w:ind w:left="420" w:hanging="420"/>
        <w:rPr>
          <w:rFonts w:ascii="宋体" w:hAnsi="宋体"/>
          <w:szCs w:val="21"/>
        </w:rPr>
      </w:pPr>
      <w:r>
        <w:rPr>
          <w:rFonts w:hint="eastAsia" w:ascii="宋体" w:hAnsi="宋体"/>
          <w:szCs w:val="21"/>
          <w:lang w:eastAsia="zh-CN"/>
        </w:rPr>
        <w:t>智能感知工程</w:t>
      </w:r>
      <w:r>
        <w:rPr>
          <w:rFonts w:hint="eastAsia" w:ascii="宋体" w:hAnsi="宋体"/>
          <w:szCs w:val="21"/>
        </w:rPr>
        <w:t>专业：</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4000"/>
        <w:gridCol w:w="390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7" w:type="pct"/>
            <w:vAlign w:val="bottom"/>
          </w:tcPr>
          <w:p>
            <w:pPr>
              <w:spacing w:line="36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序号</w:t>
            </w:r>
          </w:p>
        </w:tc>
        <w:tc>
          <w:tcPr>
            <w:tcW w:w="2345" w:type="pct"/>
            <w:vAlign w:val="bottom"/>
          </w:tcPr>
          <w:p>
            <w:pPr>
              <w:spacing w:line="36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课程目标</w:t>
            </w:r>
          </w:p>
        </w:tc>
        <w:tc>
          <w:tcPr>
            <w:tcW w:w="2288" w:type="pct"/>
            <w:vAlign w:val="bottom"/>
          </w:tcPr>
          <w:p>
            <w:pPr>
              <w:spacing w:line="36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2345" w:type="pct"/>
            <w:vAlign w:val="center"/>
          </w:tcPr>
          <w:p>
            <w:pPr>
              <w:spacing w:line="360" w:lineRule="auto"/>
              <w:rPr>
                <w:color w:val="000000" w:themeColor="text1"/>
                <w:sz w:val="18"/>
                <w:szCs w:val="18"/>
                <w14:textFill>
                  <w14:solidFill>
                    <w14:schemeClr w14:val="tx1"/>
                  </w14:solidFill>
                </w14:textFill>
              </w:rPr>
            </w:pPr>
          </w:p>
          <w:p>
            <w:pPr>
              <w:spacing w:line="360" w:lineRule="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能够利用微弱信号及其相关的基本原理和方法对实际工程问题进行分解，识别其中的信号特征、系统特性等关系参数。</w:t>
            </w:r>
          </w:p>
        </w:tc>
        <w:tc>
          <w:tcPr>
            <w:tcW w:w="2288" w:type="pct"/>
            <w:vAlign w:val="center"/>
          </w:tcPr>
          <w:p>
            <w:pPr>
              <w:spacing w:line="360" w:lineRule="auto"/>
              <w:rPr>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指标点2-1 问题识别：</w:t>
            </w:r>
            <w:r>
              <w:rPr>
                <w:bCs/>
                <w:sz w:val="18"/>
                <w:szCs w:val="18"/>
              </w:rPr>
              <w:t>能应用科学原理对智能感知工程专业复杂工程问题进行分解，并识别其中的关键特征和参数。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2345" w:type="pct"/>
            <w:vAlign w:val="center"/>
          </w:tcPr>
          <w:p>
            <w:pPr>
              <w:spacing w:line="360" w:lineRule="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能够应用微弱信号检测的一般方法分析工程问题中噪声的统计特性并对通过电路的响应进行求解；</w:t>
            </w:r>
          </w:p>
        </w:tc>
        <w:tc>
          <w:tcPr>
            <w:tcW w:w="2288" w:type="pct"/>
            <w:vAlign w:val="center"/>
          </w:tcPr>
          <w:p>
            <w:pPr>
              <w:spacing w:line="360" w:lineRule="auto"/>
              <w:rPr>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指标点2-1 问题识别：</w:t>
            </w:r>
            <w:r>
              <w:rPr>
                <w:bCs/>
                <w:sz w:val="18"/>
                <w:szCs w:val="18"/>
              </w:rPr>
              <w:t>能应用科学原理对智能感知工程专业复杂工程问题进行分解，并识别其中的关键特征和参数。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2345" w:type="pct"/>
            <w:vAlign w:val="center"/>
          </w:tcPr>
          <w:p>
            <w:pPr>
              <w:spacing w:line="360" w:lineRule="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能够运用微弱信号检测相关知识对随机噪声和环境噪声进行分析，对同一工程问题应用多种微弱信号检测方法进行信号分析与对比，探究不同检测方法的适应性；</w:t>
            </w:r>
          </w:p>
        </w:tc>
        <w:tc>
          <w:tcPr>
            <w:tcW w:w="2288" w:type="pct"/>
            <w:vAlign w:val="center"/>
          </w:tcPr>
          <w:p>
            <w:pPr>
              <w:spacing w:line="360" w:lineRule="auto"/>
              <w:rPr>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指标点2-2 问题表达：</w:t>
            </w:r>
            <w:r>
              <w:rPr>
                <w:bCs/>
                <w:sz w:val="18"/>
                <w:szCs w:val="18"/>
              </w:rPr>
              <w:t>能够应用科学原理对本专业复杂工程问题的识别结果进行有效表达，将工程问题转化为技术问题。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2345" w:type="pct"/>
            <w:vAlign w:val="center"/>
          </w:tcPr>
          <w:p>
            <w:pPr>
              <w:spacing w:line="360" w:lineRule="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能够使用Multisim和Protel等计算机工具，建立低噪声前置放大器等电子元件的等效噪声模型，并对检测电路进行设计与仿真。</w:t>
            </w:r>
          </w:p>
        </w:tc>
        <w:tc>
          <w:tcPr>
            <w:tcW w:w="2288" w:type="pct"/>
            <w:vAlign w:val="center"/>
          </w:tcPr>
          <w:p>
            <w:pPr>
              <w:spacing w:line="360" w:lineRule="auto"/>
              <w:rPr>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指标点2-2 问题表达：</w:t>
            </w:r>
            <w:r>
              <w:rPr>
                <w:bCs/>
                <w:sz w:val="18"/>
                <w:szCs w:val="18"/>
              </w:rPr>
              <w:t>能够应用科学原理对本专业复杂工程问题的识别结果进行有效表达，将工程问题转化为技术问题。</w:t>
            </w:r>
          </w:p>
        </w:tc>
      </w:tr>
    </w:tbl>
    <w:p>
      <w:pPr>
        <w:spacing w:line="360" w:lineRule="auto"/>
        <w:rPr>
          <w:color w:val="000000" w:themeColor="text1"/>
          <w:szCs w:val="21"/>
          <w14:textFill>
            <w14:solidFill>
              <w14:schemeClr w14:val="tx1"/>
            </w14:solidFill>
          </w14:textFill>
        </w:rPr>
      </w:pPr>
    </w:p>
    <w:p>
      <w:pPr>
        <w:tabs>
          <w:tab w:val="left" w:pos="420"/>
        </w:tabs>
        <w:adjustRightInd w:val="0"/>
        <w:snapToGrid w:val="0"/>
        <w:spacing w:line="360" w:lineRule="auto"/>
        <w:ind w:left="420" w:hanging="420"/>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三、基本要求</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1、本课程为学科专业选修课，是信号处理技术与电路工程设计的桥梁和纽带，要求先修</w:t>
      </w:r>
      <w:r>
        <w:rPr>
          <w:rFonts w:hint="eastAsia" w:ascii="宋体" w:hAnsi="宋体"/>
          <w:color w:val="000000" w:themeColor="text1"/>
          <w14:textFill>
            <w14:solidFill>
              <w14:schemeClr w14:val="tx1"/>
            </w14:solidFill>
          </w14:textFill>
        </w:rPr>
        <w:t>电路分析基础、模拟电子技术、数字电子技术、信号与系统、电子设计自动化（EDA）、传感器原理及设计等课程</w:t>
      </w:r>
      <w:r>
        <w:rPr>
          <w:rFonts w:hint="eastAsia"/>
          <w:color w:val="000000" w:themeColor="text1"/>
          <w:szCs w:val="21"/>
          <w14:textFill>
            <w14:solidFill>
              <w14:schemeClr w14:val="tx1"/>
            </w14:solidFill>
          </w14:textFill>
        </w:rPr>
        <w:t>。通过本课程的学习，培养学生的微弱信号分析能力和电路设计与仿真能力，提高</w:t>
      </w:r>
      <w:r>
        <w:rPr>
          <w:rFonts w:hint="eastAsia"/>
          <w:color w:val="000000" w:themeColor="text1"/>
          <w14:textFill>
            <w14:solidFill>
              <w14:schemeClr w14:val="tx1"/>
            </w14:solidFill>
          </w14:textFill>
        </w:rPr>
        <w:t>学生对微弱信号检测方法</w:t>
      </w:r>
      <w:r>
        <w:rPr>
          <w:rFonts w:hint="eastAsia"/>
          <w:color w:val="000000" w:themeColor="text1"/>
          <w:szCs w:val="21"/>
          <w14:textFill>
            <w14:solidFill>
              <w14:schemeClr w14:val="tx1"/>
            </w14:solidFill>
          </w14:textFill>
        </w:rPr>
        <w:t>分析和解决典型工程问题的能力，锻炼学生对具体工程问题的探究能力。</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在教学过程中应注重从工程观点来理解、学习及应用相应的基础知识、基本概念和思维方法，将学生从只关注处理转移到基本电路的理解和应用上。在课堂讲授环节和实验环节重点放在电路设计工程应用方面。</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3、培养学生运用</w:t>
      </w:r>
      <w:r>
        <w:rPr>
          <w:color w:val="000000" w:themeColor="text1"/>
          <w:kern w:val="0"/>
          <w:szCs w:val="21"/>
          <w14:textFill>
            <w14:solidFill>
              <w14:schemeClr w14:val="tx1"/>
            </w14:solidFill>
          </w14:textFill>
        </w:rPr>
        <w:t>Multisim和Protel等</w:t>
      </w:r>
      <w:r>
        <w:rPr>
          <w:rFonts w:hint="eastAsia"/>
          <w:color w:val="000000" w:themeColor="text1"/>
          <w14:textFill>
            <w14:solidFill>
              <w14:schemeClr w14:val="tx1"/>
            </w14:solidFill>
          </w14:textFill>
        </w:rPr>
        <w:t>计算机辅助设计及仿真</w:t>
      </w:r>
      <w:r>
        <w:rPr>
          <w:rFonts w:hint="eastAsia"/>
          <w:color w:val="000000" w:themeColor="text1"/>
          <w:szCs w:val="21"/>
          <w14:textFill>
            <w14:solidFill>
              <w14:schemeClr w14:val="tx1"/>
            </w14:solidFill>
          </w14:textFill>
        </w:rPr>
        <w:t>分析软件。</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4、本课程是一门实践性很强的课程。要求学生通过实验环节把所学的理论知识与工程实践联系起来，并能举一反三。要求在CAI教室进行授课，并且教学和实验交替进行。</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r>
        <w:rPr>
          <w:rFonts w:hint="eastAsia"/>
          <w:color w:val="000000" w:themeColor="text1"/>
          <w:szCs w:val="21"/>
          <w14:textFill>
            <w14:solidFill>
              <w14:schemeClr w14:val="tx1"/>
            </w14:solidFill>
          </w14:textFill>
        </w:rPr>
        <w:t>、深度和广度说明：对放大器的噪声源和噪声特性要深入讲解，对干扰耦合途径和噪声屏蔽方法做简单介绍，对目前主流的低噪声微弱信号检测方法和相关产品介绍应涵盖广些；旋转电容滤波器的原理与内部结构了解即可，微弱信号检测方法和检测电路的掌握和使用是重点。</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6、偏差说明：为了鼓励教师引入个人授课风格或者适应技术发展的紧迫性，本课程允许教师授课内容做适当调整，最大正偏差为</w:t>
      </w:r>
      <w:r>
        <w:rPr>
          <w:rFonts w:hint="eastAsia"/>
          <w:color w:val="000000" w:themeColor="text1"/>
          <w:szCs w:val="21"/>
          <w14:textFill>
            <w14:solidFill>
              <w14:schemeClr w14:val="tx1"/>
            </w14:solidFill>
          </w14:textFill>
        </w:rPr>
        <w:t>10%，不允许负偏差。正偏差通过压缩同等内容的学时数来完成。特殊情况，最大正偏差和置换偏差累计可达到20%，但在开课前要申请专业责任人批准。（正偏差指大纲知识点不变，新增知识点；负偏差是大纲知识点减少；置换偏差是指大纲中部分知识点被其它类似知识点替换）。</w:t>
      </w:r>
    </w:p>
    <w:p>
      <w:pPr>
        <w:spacing w:line="360" w:lineRule="auto"/>
        <w:ind w:firstLine="420" w:firstLineChars="200"/>
        <w:rPr>
          <w:color w:val="000000" w:themeColor="text1"/>
          <w:szCs w:val="21"/>
          <w14:textFill>
            <w14:solidFill>
              <w14:schemeClr w14:val="tx1"/>
            </w14:solidFill>
          </w14:textFill>
        </w:rPr>
      </w:pPr>
    </w:p>
    <w:p>
      <w:pPr>
        <w:tabs>
          <w:tab w:val="left" w:pos="420"/>
        </w:tabs>
        <w:spacing w:line="360" w:lineRule="auto"/>
        <w:ind w:left="420" w:hanging="420"/>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四、教学内容和教学方法</w:t>
      </w:r>
    </w:p>
    <w:p>
      <w:pPr>
        <w:widowControl/>
        <w:spacing w:line="360" w:lineRule="auto"/>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本课程重点讲授的内容包括：噪声的统计特性和通过电路的响应，基于低噪声前置放大器、滤波技术、相关检测技术、同步积累法、双路消噪法的微弱信号检测方法以及微弱电容、电阻、电荷、电流、频率等微弱信号检测方法。</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本课程在教学方法上，充分利用各种媒体教学手段，采取课堂教学、多媒体课件、</w:t>
      </w:r>
      <w:r>
        <w:rPr>
          <w:rFonts w:hint="eastAsia"/>
          <w:color w:val="000000" w:themeColor="text1"/>
          <w:szCs w:val="21"/>
          <w14:textFill>
            <w14:solidFill>
              <w14:schemeClr w14:val="tx1"/>
            </w14:solidFill>
          </w14:textFill>
        </w:rPr>
        <w:t>案例讨论</w:t>
      </w:r>
      <w:r>
        <w:rPr>
          <w:color w:val="000000" w:themeColor="text1"/>
          <w:szCs w:val="21"/>
          <w14:textFill>
            <w14:solidFill>
              <w14:schemeClr w14:val="tx1"/>
            </w14:solidFill>
          </w14:textFill>
        </w:rPr>
        <w:t>、实验</w:t>
      </w:r>
      <w:r>
        <w:rPr>
          <w:rFonts w:hint="eastAsia"/>
          <w:color w:val="000000" w:themeColor="text1"/>
          <w:szCs w:val="21"/>
          <w14:textFill>
            <w14:solidFill>
              <w14:schemeClr w14:val="tx1"/>
            </w14:solidFill>
          </w14:textFill>
        </w:rPr>
        <w:t>等有机结合的方式</w:t>
      </w:r>
      <w:r>
        <w:rPr>
          <w:color w:val="000000" w:themeColor="text1"/>
          <w:szCs w:val="21"/>
          <w14:textFill>
            <w14:solidFill>
              <w14:schemeClr w14:val="tx1"/>
            </w14:solidFill>
          </w14:textFill>
        </w:rPr>
        <w:t>，提高教学效率。</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微弱信号检测技术在传感器原理与技术、集成电路设计中占有非常重要的地位，因此教师要重点讲授以使学生完全掌握。</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为了提高学生的学习兴趣，并取得良好的教学效果，教师</w:t>
      </w:r>
      <w:r>
        <w:rPr>
          <w:rFonts w:hint="eastAsia"/>
          <w:color w:val="000000" w:themeColor="text1"/>
          <w14:textFill>
            <w14:solidFill>
              <w14:schemeClr w14:val="tx1"/>
            </w14:solidFill>
          </w14:textFill>
        </w:rPr>
        <w:t>利用CAI形式讲授，辅以重要知识点的板书推导与分析，引导学生理解分析思路，</w:t>
      </w:r>
      <w:r>
        <w:rPr>
          <w:rFonts w:hint="eastAsia"/>
          <w:color w:val="000000" w:themeColor="text1"/>
          <w:szCs w:val="21"/>
          <w14:textFill>
            <w14:solidFill>
              <w14:schemeClr w14:val="tx1"/>
            </w14:solidFill>
          </w14:textFill>
        </w:rPr>
        <w:t>在知识讲解的过程中要充分利用问题引导、案例分析等多种教学方法，以进一步提高教学质量。</w:t>
      </w:r>
    </w:p>
    <w:p>
      <w:pPr>
        <w:widowControl/>
        <w:spacing w:line="360" w:lineRule="auto"/>
        <w:ind w:left="426"/>
        <w:jc w:val="left"/>
        <w:rPr>
          <w:rFonts w:eastAsia="黑体"/>
          <w:snapToGrid w:val="0"/>
          <w:color w:val="000000" w:themeColor="text1"/>
          <w:kern w:val="0"/>
          <w:szCs w:val="21"/>
          <w14:textFill>
            <w14:solidFill>
              <w14:schemeClr w14:val="tx1"/>
            </w14:solidFill>
          </w14:textFill>
        </w:rPr>
      </w:pPr>
      <w:r>
        <w:rPr>
          <w:rFonts w:eastAsia="黑体"/>
          <w:snapToGrid w:val="0"/>
          <w:color w:val="000000" w:themeColor="text1"/>
          <w:kern w:val="0"/>
          <w:szCs w:val="21"/>
          <w14:textFill>
            <w14:solidFill>
              <w14:schemeClr w14:val="tx1"/>
            </w14:solidFill>
          </w14:textFill>
        </w:rPr>
        <w:t>1  微弱信号检测背景知识（2学时）</w:t>
      </w:r>
    </w:p>
    <w:p>
      <w:pPr>
        <w:widowControl/>
        <w:spacing w:line="360" w:lineRule="auto"/>
        <w:ind w:left="426"/>
        <w:jc w:val="left"/>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1.1、理解微弱信号和噪声的特性；</w:t>
      </w:r>
    </w:p>
    <w:p>
      <w:pPr>
        <w:widowControl/>
        <w:spacing w:line="360" w:lineRule="auto"/>
        <w:ind w:left="426"/>
        <w:jc w:val="left"/>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1.2、理解常见噪声的类型及来源；</w:t>
      </w:r>
    </w:p>
    <w:p>
      <w:pPr>
        <w:widowControl/>
        <w:spacing w:line="360" w:lineRule="auto"/>
        <w:ind w:left="426"/>
        <w:jc w:val="left"/>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1.3、学会噪声的统计特性和通过电路的响应方法；（重点、难点）</w:t>
      </w:r>
    </w:p>
    <w:p>
      <w:pPr>
        <w:widowControl/>
        <w:spacing w:line="360" w:lineRule="auto"/>
        <w:ind w:left="426"/>
        <w:jc w:val="left"/>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1.4、理解信噪比和信噪改善比；</w:t>
      </w:r>
    </w:p>
    <w:p>
      <w:pPr>
        <w:widowControl/>
        <w:spacing w:line="360" w:lineRule="auto"/>
        <w:ind w:left="426"/>
        <w:jc w:val="left"/>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本章内容支撑课程目标1。</w:t>
      </w:r>
    </w:p>
    <w:p>
      <w:pPr>
        <w:widowControl/>
        <w:spacing w:line="360" w:lineRule="auto"/>
        <w:ind w:left="426"/>
        <w:jc w:val="left"/>
        <w:rPr>
          <w:rFonts w:eastAsia="黑体"/>
          <w:snapToGrid w:val="0"/>
          <w:color w:val="000000" w:themeColor="text1"/>
          <w:kern w:val="0"/>
          <w:szCs w:val="21"/>
          <w14:textFill>
            <w14:solidFill>
              <w14:schemeClr w14:val="tx1"/>
            </w14:solidFill>
          </w14:textFill>
        </w:rPr>
      </w:pPr>
      <w:r>
        <w:rPr>
          <w:rFonts w:eastAsia="黑体"/>
          <w:snapToGrid w:val="0"/>
          <w:color w:val="000000" w:themeColor="text1"/>
          <w:kern w:val="0"/>
          <w:szCs w:val="21"/>
          <w14:textFill>
            <w14:solidFill>
              <w14:schemeClr w14:val="tx1"/>
            </w14:solidFill>
          </w14:textFill>
        </w:rPr>
        <w:t>2  微弱信号检测方法（10学时）</w:t>
      </w:r>
    </w:p>
    <w:p>
      <w:pPr>
        <w:widowControl/>
        <w:spacing w:line="360" w:lineRule="auto"/>
        <w:ind w:left="426"/>
        <w:jc w:val="left"/>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2.1、学会低噪声前置放大器、滤波技术、相关检测技术；（重点，难点）</w:t>
      </w:r>
    </w:p>
    <w:p>
      <w:pPr>
        <w:widowControl/>
        <w:spacing w:line="360" w:lineRule="auto"/>
        <w:ind w:left="426"/>
        <w:jc w:val="left"/>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2.2、学会同步积累法、双路消噪法；（重点）</w:t>
      </w:r>
    </w:p>
    <w:p>
      <w:pPr>
        <w:widowControl/>
        <w:spacing w:line="360" w:lineRule="auto"/>
        <w:ind w:left="426"/>
        <w:jc w:val="left"/>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2.3、理解干扰噪声的来源及其抑制方法；</w:t>
      </w:r>
    </w:p>
    <w:p>
      <w:pPr>
        <w:widowControl/>
        <w:spacing w:line="360" w:lineRule="auto"/>
        <w:ind w:left="426"/>
        <w:jc w:val="left"/>
        <w:rPr>
          <w:snapToGrid w:val="0"/>
          <w:color w:val="000000" w:themeColor="text1"/>
          <w:kern w:val="0"/>
          <w:szCs w:val="21"/>
          <w14:textFill>
            <w14:solidFill>
              <w14:schemeClr w14:val="tx1"/>
            </w14:solidFill>
          </w14:textFill>
        </w:rPr>
      </w:pPr>
      <w:r>
        <w:rPr>
          <w:bCs/>
          <w:snapToGrid w:val="0"/>
          <w:color w:val="000000" w:themeColor="text1"/>
          <w:kern w:val="0"/>
          <w:szCs w:val="21"/>
          <w14:textFill>
            <w14:solidFill>
              <w14:schemeClr w14:val="tx1"/>
            </w14:solidFill>
          </w14:textFill>
        </w:rPr>
        <w:t>本章内容支撑课程目标2、3。</w:t>
      </w:r>
    </w:p>
    <w:p>
      <w:pPr>
        <w:widowControl/>
        <w:tabs>
          <w:tab w:val="center" w:pos="4369"/>
        </w:tabs>
        <w:spacing w:line="360" w:lineRule="auto"/>
        <w:ind w:left="426"/>
        <w:jc w:val="left"/>
        <w:rPr>
          <w:rFonts w:eastAsia="黑体"/>
          <w:snapToGrid w:val="0"/>
          <w:color w:val="000000" w:themeColor="text1"/>
          <w:kern w:val="0"/>
          <w:szCs w:val="21"/>
          <w14:textFill>
            <w14:solidFill>
              <w14:schemeClr w14:val="tx1"/>
            </w14:solidFill>
          </w14:textFill>
        </w:rPr>
      </w:pPr>
      <w:r>
        <w:rPr>
          <w:rFonts w:eastAsia="黑体"/>
          <w:snapToGrid w:val="0"/>
          <w:color w:val="000000" w:themeColor="text1"/>
          <w:kern w:val="0"/>
          <w:szCs w:val="21"/>
          <w14:textFill>
            <w14:solidFill>
              <w14:schemeClr w14:val="tx1"/>
            </w14:solidFill>
          </w14:textFill>
        </w:rPr>
        <w:t>3  微弱信号</w:t>
      </w:r>
      <w:bookmarkStart w:id="37" w:name="_Hlk9609440"/>
      <w:r>
        <w:rPr>
          <w:rFonts w:eastAsia="黑体"/>
          <w:snapToGrid w:val="0"/>
          <w:color w:val="000000" w:themeColor="text1"/>
          <w:kern w:val="0"/>
          <w:szCs w:val="21"/>
          <w14:textFill>
            <w14:solidFill>
              <w14:schemeClr w14:val="tx1"/>
            </w14:solidFill>
          </w14:textFill>
        </w:rPr>
        <w:t>检测电路</w:t>
      </w:r>
      <w:bookmarkEnd w:id="37"/>
      <w:r>
        <w:rPr>
          <w:rFonts w:eastAsia="黑体"/>
          <w:snapToGrid w:val="0"/>
          <w:color w:val="000000" w:themeColor="text1"/>
          <w:kern w:val="0"/>
          <w:szCs w:val="21"/>
          <w14:textFill>
            <w14:solidFill>
              <w14:schemeClr w14:val="tx1"/>
            </w14:solidFill>
          </w14:textFill>
        </w:rPr>
        <w:t>（4 学时）</w:t>
      </w:r>
      <w:r>
        <w:rPr>
          <w:rFonts w:eastAsia="黑体"/>
          <w:snapToGrid w:val="0"/>
          <w:color w:val="000000" w:themeColor="text1"/>
          <w:kern w:val="0"/>
          <w:szCs w:val="21"/>
          <w14:textFill>
            <w14:solidFill>
              <w14:schemeClr w14:val="tx1"/>
            </w14:solidFill>
          </w14:textFill>
        </w:rPr>
        <w:tab/>
      </w:r>
    </w:p>
    <w:p>
      <w:pPr>
        <w:widowControl/>
        <w:spacing w:line="360" w:lineRule="auto"/>
        <w:ind w:left="426"/>
        <w:jc w:val="left"/>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3.1、学会微弱电容、电阻、电荷、电流、频率等微弱信号检测方法；（重点）</w:t>
      </w:r>
    </w:p>
    <w:p>
      <w:pPr>
        <w:widowControl/>
        <w:spacing w:line="360" w:lineRule="auto"/>
        <w:ind w:left="426"/>
        <w:jc w:val="left"/>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3.2、理解常见的几类微机械传感器（电容、压阻、压电、隧道、谐振、热流、光纤）；（难点）</w:t>
      </w:r>
    </w:p>
    <w:p>
      <w:pPr>
        <w:widowControl/>
        <w:spacing w:line="360" w:lineRule="auto"/>
        <w:ind w:left="426"/>
        <w:jc w:val="left"/>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3.3、理解常用微机械传感器检测电路；（难点）</w:t>
      </w:r>
    </w:p>
    <w:p>
      <w:pPr>
        <w:widowControl/>
        <w:spacing w:line="360" w:lineRule="auto"/>
        <w:ind w:left="426"/>
        <w:jc w:val="left"/>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3.4、学会基于Multisim的电路仿真和Protel原理图、版图设计方法；</w:t>
      </w:r>
    </w:p>
    <w:p>
      <w:pPr>
        <w:widowControl/>
        <w:spacing w:line="360" w:lineRule="auto"/>
        <w:ind w:left="426"/>
        <w:jc w:val="left"/>
        <w:rPr>
          <w:bCs/>
          <w:snapToGrid w:val="0"/>
          <w:color w:val="000000" w:themeColor="text1"/>
          <w:kern w:val="0"/>
          <w:szCs w:val="21"/>
          <w14:textFill>
            <w14:solidFill>
              <w14:schemeClr w14:val="tx1"/>
            </w14:solidFill>
          </w14:textFill>
        </w:rPr>
      </w:pPr>
      <w:r>
        <w:rPr>
          <w:bCs/>
          <w:snapToGrid w:val="0"/>
          <w:color w:val="000000" w:themeColor="text1"/>
          <w:kern w:val="0"/>
          <w:szCs w:val="21"/>
          <w14:textFill>
            <w14:solidFill>
              <w14:schemeClr w14:val="tx1"/>
            </w14:solidFill>
          </w14:textFill>
        </w:rPr>
        <w:t>本章内容支撑课程目标4。</w:t>
      </w:r>
    </w:p>
    <w:p>
      <w:pPr>
        <w:widowControl/>
        <w:spacing w:line="360" w:lineRule="auto"/>
        <w:ind w:left="426"/>
        <w:jc w:val="left"/>
        <w:rPr>
          <w:snapToGrid w:val="0"/>
          <w:color w:val="000000" w:themeColor="text1"/>
          <w:kern w:val="0"/>
          <w:szCs w:val="21"/>
          <w14:textFill>
            <w14:solidFill>
              <w14:schemeClr w14:val="tx1"/>
            </w14:solidFill>
          </w14:textFill>
        </w:rPr>
      </w:pPr>
    </w:p>
    <w:p>
      <w:pPr>
        <w:tabs>
          <w:tab w:val="left" w:pos="420"/>
        </w:tabs>
        <w:adjustRightInd w:val="0"/>
        <w:snapToGrid w:val="0"/>
        <w:spacing w:line="360" w:lineRule="auto"/>
        <w:ind w:left="420" w:hanging="420"/>
        <w:rPr>
          <w:rFonts w:eastAsia="黑体"/>
          <w:color w:val="000000" w:themeColor="text1"/>
          <w:szCs w:val="24"/>
          <w14:textFill>
            <w14:solidFill>
              <w14:schemeClr w14:val="tx1"/>
            </w14:solidFill>
          </w14:textFill>
        </w:rPr>
      </w:pPr>
      <w:r>
        <w:rPr>
          <w:rFonts w:hint="eastAsia" w:eastAsia="黑体"/>
          <w:color w:val="000000" w:themeColor="text1"/>
          <w:szCs w:val="24"/>
          <w14:textFill>
            <w14:solidFill>
              <w14:schemeClr w14:val="tx1"/>
            </w14:solidFill>
          </w14:textFill>
        </w:rPr>
        <w:t>五、实验内容</w:t>
      </w:r>
    </w:p>
    <w:p>
      <w:pPr>
        <w:spacing w:line="360" w:lineRule="auto"/>
        <w:ind w:firstLine="424"/>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实验环节主要是上机操作，要求保证上机条件，即具备常用的</w:t>
      </w:r>
      <w:r>
        <w:rPr>
          <w:color w:val="000000" w:themeColor="text1"/>
          <w:kern w:val="0"/>
          <w:szCs w:val="21"/>
          <w14:textFill>
            <w14:solidFill>
              <w14:schemeClr w14:val="tx1"/>
            </w14:solidFill>
          </w14:textFill>
        </w:rPr>
        <w:t>Multisim、Protel软件工具；要求学生学会Multisim仿真，利用Protel设计电路原理图及PCB版图；学会Multisim环境下电容</w:t>
      </w:r>
      <w:r>
        <w:rPr>
          <w:snapToGrid w:val="0"/>
          <w:color w:val="000000" w:themeColor="text1"/>
          <w:kern w:val="0"/>
          <w:szCs w:val="21"/>
          <w14:textFill>
            <w14:solidFill>
              <w14:schemeClr w14:val="tx1"/>
            </w14:solidFill>
          </w14:textFill>
        </w:rPr>
        <w:t>式、压阻式、压电式、隧道式、谐振式、热流式、光纤式微机械传感器信号检测电路的仿真</w:t>
      </w:r>
      <w:r>
        <w:rPr>
          <w:color w:val="000000" w:themeColor="text1"/>
          <w:kern w:val="0"/>
          <w:szCs w:val="21"/>
          <w14:textFill>
            <w14:solidFill>
              <w14:schemeClr w14:val="tx1"/>
            </w14:solidFill>
          </w14:textFill>
        </w:rPr>
        <w:t>；具备针对典型微弱信号进行问题分析和探究的能力。</w:t>
      </w:r>
    </w:p>
    <w:p>
      <w:pPr>
        <w:spacing w:line="360" w:lineRule="auto"/>
        <w:ind w:firstLine="424"/>
        <w:rPr>
          <w:rFonts w:ascii="黑体" w:hAnsi="宋体" w:eastAsia="黑体" w:cs="宋体"/>
          <w:snapToGrid w:val="0"/>
          <w:color w:val="000000" w:themeColor="text1"/>
          <w:kern w:val="0"/>
          <w:szCs w:val="21"/>
          <w14:textFill>
            <w14:solidFill>
              <w14:schemeClr w14:val="tx1"/>
            </w14:solidFill>
          </w14:textFill>
        </w:rPr>
      </w:pPr>
      <w:r>
        <w:rPr>
          <w:rFonts w:hint="eastAsia" w:ascii="黑体" w:hAnsi="宋体" w:eastAsia="黑体" w:cs="宋体"/>
          <w:snapToGrid w:val="0"/>
          <w:color w:val="000000" w:themeColor="text1"/>
          <w:kern w:val="0"/>
          <w:szCs w:val="21"/>
          <w14:textFill>
            <w14:solidFill>
              <w14:schemeClr w14:val="tx1"/>
            </w14:solidFill>
          </w14:textFill>
        </w:rPr>
        <w:t>实验一 滤波器的设计与仿真（2学时）</w:t>
      </w:r>
    </w:p>
    <w:p>
      <w:pPr>
        <w:spacing w:line="360" w:lineRule="auto"/>
        <w:ind w:firstLine="424"/>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实验内容：在</w:t>
      </w:r>
      <w:r>
        <w:rPr>
          <w:color w:val="000000" w:themeColor="text1"/>
          <w:kern w:val="0"/>
          <w:szCs w:val="21"/>
          <w14:textFill>
            <w14:solidFill>
              <w14:schemeClr w14:val="tx1"/>
            </w14:solidFill>
          </w14:textFill>
        </w:rPr>
        <w:t>Protel</w:t>
      </w:r>
      <w:r>
        <w:rPr>
          <w:rFonts w:hAnsi="宋体"/>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Multisim</w:t>
      </w:r>
      <w:r>
        <w:rPr>
          <w:rFonts w:hint="eastAsia" w:ascii="宋体" w:hAnsi="宋体" w:cs="宋体"/>
          <w:snapToGrid w:val="0"/>
          <w:color w:val="000000" w:themeColor="text1"/>
          <w:kern w:val="0"/>
          <w:szCs w:val="21"/>
          <w14:textFill>
            <w14:solidFill>
              <w14:schemeClr w14:val="tx1"/>
            </w14:solidFill>
          </w14:textFill>
        </w:rPr>
        <w:t>环境下进行滤波器电路的设计仿真。</w:t>
      </w:r>
    </w:p>
    <w:p>
      <w:pPr>
        <w:spacing w:line="360" w:lineRule="auto"/>
        <w:ind w:firstLine="424"/>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基本要求：</w:t>
      </w:r>
    </w:p>
    <w:p>
      <w:pPr>
        <w:widowControl/>
        <w:spacing w:line="360" w:lineRule="auto"/>
        <w:ind w:left="424" w:leftChars="202"/>
        <w:jc w:val="left"/>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1、学会利用</w:t>
      </w:r>
      <w:r>
        <w:rPr>
          <w:snapToGrid w:val="0"/>
          <w:color w:val="000000" w:themeColor="text1"/>
          <w:kern w:val="0"/>
          <w:szCs w:val="21"/>
          <w14:textFill>
            <w14:solidFill>
              <w14:schemeClr w14:val="tx1"/>
            </w14:solidFill>
          </w14:textFill>
        </w:rPr>
        <w:t>Protel</w:t>
      </w:r>
      <w:r>
        <w:rPr>
          <w:rFonts w:hint="eastAsia" w:ascii="宋体" w:hAnsi="宋体" w:cs="宋体"/>
          <w:snapToGrid w:val="0"/>
          <w:color w:val="000000" w:themeColor="text1"/>
          <w:kern w:val="0"/>
          <w:szCs w:val="21"/>
          <w14:textFill>
            <w14:solidFill>
              <w14:schemeClr w14:val="tx1"/>
            </w14:solidFill>
          </w14:textFill>
        </w:rPr>
        <w:t>进行三种典型滤波器电路的设计及原理图版图制作。</w:t>
      </w:r>
    </w:p>
    <w:p>
      <w:pPr>
        <w:widowControl/>
        <w:spacing w:line="360" w:lineRule="auto"/>
        <w:ind w:left="424" w:leftChars="202"/>
        <w:jc w:val="left"/>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2、学会利用</w:t>
      </w:r>
      <w:r>
        <w:rPr>
          <w:color w:val="000000" w:themeColor="text1"/>
          <w:kern w:val="0"/>
          <w:szCs w:val="21"/>
          <w14:textFill>
            <w14:solidFill>
              <w14:schemeClr w14:val="tx1"/>
            </w14:solidFill>
          </w14:textFill>
        </w:rPr>
        <w:t>Multisim</w:t>
      </w:r>
      <w:r>
        <w:rPr>
          <w:rFonts w:hint="eastAsia" w:ascii="宋体" w:hAnsi="宋体" w:cs="宋体"/>
          <w:color w:val="000000" w:themeColor="text1"/>
          <w:kern w:val="0"/>
          <w:szCs w:val="21"/>
          <w14:textFill>
            <w14:solidFill>
              <w14:schemeClr w14:val="tx1"/>
            </w14:solidFill>
          </w14:textFill>
        </w:rPr>
        <w:t>对</w:t>
      </w:r>
      <w:r>
        <w:rPr>
          <w:rFonts w:hint="eastAsia" w:ascii="宋体" w:hAnsi="宋体" w:cs="宋体"/>
          <w:snapToGrid w:val="0"/>
          <w:color w:val="000000" w:themeColor="text1"/>
          <w:kern w:val="0"/>
          <w:szCs w:val="21"/>
          <w14:textFill>
            <w14:solidFill>
              <w14:schemeClr w14:val="tx1"/>
            </w14:solidFill>
          </w14:textFill>
        </w:rPr>
        <w:t>滤波器电路进行仿真。</w:t>
      </w:r>
    </w:p>
    <w:p>
      <w:pPr>
        <w:widowControl/>
        <w:spacing w:line="360" w:lineRule="auto"/>
        <w:ind w:left="424" w:leftChars="202"/>
        <w:jc w:val="left"/>
        <w:rPr>
          <w:rFonts w:ascii="宋体" w:hAnsi="宋体" w:cs="宋体"/>
          <w:snapToGrid w:val="0"/>
          <w:color w:val="000000" w:themeColor="text1"/>
          <w:kern w:val="0"/>
          <w:szCs w:val="21"/>
          <w14:textFill>
            <w14:solidFill>
              <w14:schemeClr w14:val="tx1"/>
            </w14:solidFill>
          </w14:textFill>
        </w:rPr>
      </w:pPr>
      <w:r>
        <w:rPr>
          <w:rFonts w:cs="宋体"/>
          <w:bCs/>
          <w:snapToGrid w:val="0"/>
          <w:color w:val="000000" w:themeColor="text1"/>
          <w:kern w:val="0"/>
          <w:szCs w:val="21"/>
          <w14:textFill>
            <w14:solidFill>
              <w14:schemeClr w14:val="tx1"/>
            </w14:solidFill>
          </w14:textFill>
        </w:rPr>
        <w:t>本实验支撑课程目标</w:t>
      </w:r>
      <w:r>
        <w:rPr>
          <w:rFonts w:hint="eastAsia" w:cs="宋体"/>
          <w:bCs/>
          <w:snapToGrid w:val="0"/>
          <w:color w:val="000000" w:themeColor="text1"/>
          <w:kern w:val="0"/>
          <w:szCs w:val="21"/>
          <w14:textFill>
            <w14:solidFill>
              <w14:schemeClr w14:val="tx1"/>
            </w14:solidFill>
          </w14:textFill>
        </w:rPr>
        <w:t>2、3、4。</w:t>
      </w:r>
    </w:p>
    <w:p>
      <w:pPr>
        <w:spacing w:line="360" w:lineRule="auto"/>
        <w:ind w:firstLine="424"/>
        <w:rPr>
          <w:rFonts w:ascii="黑体" w:hAnsi="宋体" w:eastAsia="黑体" w:cs="宋体"/>
          <w:snapToGrid w:val="0"/>
          <w:color w:val="000000" w:themeColor="text1"/>
          <w:kern w:val="0"/>
          <w:szCs w:val="21"/>
          <w14:textFill>
            <w14:solidFill>
              <w14:schemeClr w14:val="tx1"/>
            </w14:solidFill>
          </w14:textFill>
        </w:rPr>
      </w:pPr>
      <w:r>
        <w:rPr>
          <w:rFonts w:hint="eastAsia" w:ascii="黑体" w:hAnsi="宋体" w:eastAsia="黑体" w:cs="宋体"/>
          <w:snapToGrid w:val="0"/>
          <w:color w:val="000000" w:themeColor="text1"/>
          <w:kern w:val="0"/>
          <w:szCs w:val="21"/>
          <w14:textFill>
            <w14:solidFill>
              <w14:schemeClr w14:val="tx1"/>
            </w14:solidFill>
          </w14:textFill>
        </w:rPr>
        <w:t>实验二</w:t>
      </w:r>
      <w:r>
        <w:rPr>
          <w:rFonts w:hint="eastAsia" w:ascii="黑体" w:hAnsi="宋体" w:eastAsia="黑体" w:cs="宋体"/>
          <w:snapToGrid w:val="0"/>
          <w:color w:val="000000" w:themeColor="text1"/>
          <w:kern w:val="0"/>
          <w:szCs w:val="21"/>
          <w:lang w:val="en-US" w:eastAsia="zh-CN"/>
          <w14:textFill>
            <w14:solidFill>
              <w14:schemeClr w14:val="tx1"/>
            </w14:solidFill>
          </w14:textFill>
        </w:rPr>
        <w:t xml:space="preserve"> </w:t>
      </w:r>
      <w:r>
        <w:rPr>
          <w:rFonts w:hint="eastAsia" w:ascii="黑体" w:hAnsi="宋体" w:eastAsia="黑体" w:cs="宋体"/>
          <w:snapToGrid w:val="0"/>
          <w:color w:val="000000" w:themeColor="text1"/>
          <w:kern w:val="0"/>
          <w:szCs w:val="21"/>
          <w14:textFill>
            <w14:solidFill>
              <w14:schemeClr w14:val="tx1"/>
            </w14:solidFill>
          </w14:textFill>
        </w:rPr>
        <w:t>电容式信号检测电路的设计与仿真（2学时）</w:t>
      </w:r>
    </w:p>
    <w:p>
      <w:pPr>
        <w:spacing w:line="360" w:lineRule="auto"/>
        <w:ind w:firstLine="424"/>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实验内容：在</w:t>
      </w:r>
      <w:r>
        <w:rPr>
          <w:snapToGrid w:val="0"/>
          <w:color w:val="000000" w:themeColor="text1"/>
          <w:kern w:val="0"/>
          <w:szCs w:val="21"/>
          <w14:textFill>
            <w14:solidFill>
              <w14:schemeClr w14:val="tx1"/>
            </w14:solidFill>
          </w14:textFill>
        </w:rPr>
        <w:t>Protel</w:t>
      </w:r>
      <w:r>
        <w:rPr>
          <w:rFonts w:hAnsi="宋体"/>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Multisim</w:t>
      </w:r>
      <w:r>
        <w:rPr>
          <w:rFonts w:hint="eastAsia" w:ascii="宋体" w:hAnsi="宋体" w:cs="宋体"/>
          <w:snapToGrid w:val="0"/>
          <w:color w:val="000000" w:themeColor="text1"/>
          <w:kern w:val="0"/>
          <w:szCs w:val="21"/>
          <w14:textFill>
            <w14:solidFill>
              <w14:schemeClr w14:val="tx1"/>
            </w14:solidFill>
          </w14:textFill>
        </w:rPr>
        <w:t>环境下进行电容式信号检测电路的设计仿真。</w:t>
      </w:r>
    </w:p>
    <w:p>
      <w:pPr>
        <w:spacing w:line="360" w:lineRule="auto"/>
        <w:ind w:firstLine="424"/>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基本要求：</w:t>
      </w:r>
    </w:p>
    <w:p>
      <w:pPr>
        <w:widowControl/>
        <w:spacing w:line="360" w:lineRule="auto"/>
        <w:ind w:left="424" w:leftChars="202"/>
        <w:jc w:val="left"/>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1、学会利用</w:t>
      </w:r>
      <w:r>
        <w:rPr>
          <w:snapToGrid w:val="0"/>
          <w:color w:val="000000" w:themeColor="text1"/>
          <w:kern w:val="0"/>
          <w:szCs w:val="21"/>
          <w14:textFill>
            <w14:solidFill>
              <w14:schemeClr w14:val="tx1"/>
            </w14:solidFill>
          </w14:textFill>
        </w:rPr>
        <w:t>Protel</w:t>
      </w:r>
      <w:r>
        <w:rPr>
          <w:rFonts w:hint="eastAsia" w:ascii="宋体" w:hAnsi="宋体" w:cs="宋体"/>
          <w:snapToGrid w:val="0"/>
          <w:color w:val="000000" w:themeColor="text1"/>
          <w:kern w:val="0"/>
          <w:szCs w:val="21"/>
          <w14:textFill>
            <w14:solidFill>
              <w14:schemeClr w14:val="tx1"/>
            </w14:solidFill>
          </w14:textFill>
        </w:rPr>
        <w:t>进行电容式信号检测电路的设计及原理图版图制作。</w:t>
      </w:r>
    </w:p>
    <w:p>
      <w:pPr>
        <w:widowControl/>
        <w:spacing w:line="360" w:lineRule="auto"/>
        <w:ind w:left="424" w:leftChars="202"/>
        <w:jc w:val="left"/>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2、学会利用</w:t>
      </w:r>
      <w:r>
        <w:rPr>
          <w:color w:val="000000" w:themeColor="text1"/>
          <w:kern w:val="0"/>
          <w:szCs w:val="21"/>
          <w14:textFill>
            <w14:solidFill>
              <w14:schemeClr w14:val="tx1"/>
            </w14:solidFill>
          </w14:textFill>
        </w:rPr>
        <w:t>Multisim</w:t>
      </w:r>
      <w:r>
        <w:rPr>
          <w:rFonts w:hint="eastAsia" w:ascii="宋体" w:hAnsi="宋体" w:cs="宋体"/>
          <w:color w:val="000000" w:themeColor="text1"/>
          <w:kern w:val="0"/>
          <w:szCs w:val="21"/>
          <w14:textFill>
            <w14:solidFill>
              <w14:schemeClr w14:val="tx1"/>
            </w14:solidFill>
          </w14:textFill>
        </w:rPr>
        <w:t>对</w:t>
      </w:r>
      <w:r>
        <w:rPr>
          <w:rFonts w:hint="eastAsia" w:ascii="宋体" w:hAnsi="宋体" w:cs="宋体"/>
          <w:snapToGrid w:val="0"/>
          <w:color w:val="000000" w:themeColor="text1"/>
          <w:kern w:val="0"/>
          <w:szCs w:val="21"/>
          <w14:textFill>
            <w14:solidFill>
              <w14:schemeClr w14:val="tx1"/>
            </w14:solidFill>
          </w14:textFill>
        </w:rPr>
        <w:t>电容式信号检测电路进行仿真。</w:t>
      </w:r>
    </w:p>
    <w:p>
      <w:pPr>
        <w:widowControl/>
        <w:spacing w:line="360" w:lineRule="auto"/>
        <w:ind w:left="424" w:leftChars="202"/>
        <w:jc w:val="left"/>
        <w:rPr>
          <w:rFonts w:ascii="宋体" w:hAnsi="宋体" w:cs="宋体"/>
          <w:snapToGrid w:val="0"/>
          <w:color w:val="000000" w:themeColor="text1"/>
          <w:kern w:val="0"/>
          <w:szCs w:val="21"/>
          <w14:textFill>
            <w14:solidFill>
              <w14:schemeClr w14:val="tx1"/>
            </w14:solidFill>
          </w14:textFill>
        </w:rPr>
      </w:pPr>
      <w:r>
        <w:rPr>
          <w:rFonts w:cs="宋体"/>
          <w:bCs/>
          <w:snapToGrid w:val="0"/>
          <w:color w:val="000000" w:themeColor="text1"/>
          <w:kern w:val="0"/>
          <w:szCs w:val="21"/>
          <w14:textFill>
            <w14:solidFill>
              <w14:schemeClr w14:val="tx1"/>
            </w14:solidFill>
          </w14:textFill>
        </w:rPr>
        <w:t>本实验支撑课程目标</w:t>
      </w:r>
      <w:r>
        <w:rPr>
          <w:rFonts w:hint="eastAsia" w:cs="宋体"/>
          <w:bCs/>
          <w:snapToGrid w:val="0"/>
          <w:color w:val="000000" w:themeColor="text1"/>
          <w:kern w:val="0"/>
          <w:szCs w:val="21"/>
          <w14:textFill>
            <w14:solidFill>
              <w14:schemeClr w14:val="tx1"/>
            </w14:solidFill>
          </w14:textFill>
        </w:rPr>
        <w:t>2、3、4。</w:t>
      </w:r>
    </w:p>
    <w:p>
      <w:pPr>
        <w:spacing w:line="360" w:lineRule="auto"/>
        <w:ind w:firstLine="424"/>
        <w:rPr>
          <w:rFonts w:ascii="黑体" w:hAnsi="宋体" w:eastAsia="黑体" w:cs="宋体"/>
          <w:snapToGrid w:val="0"/>
          <w:color w:val="000000" w:themeColor="text1"/>
          <w:kern w:val="0"/>
          <w:szCs w:val="21"/>
          <w14:textFill>
            <w14:solidFill>
              <w14:schemeClr w14:val="tx1"/>
            </w14:solidFill>
          </w14:textFill>
        </w:rPr>
      </w:pPr>
      <w:r>
        <w:rPr>
          <w:rFonts w:hint="eastAsia" w:ascii="黑体" w:hAnsi="宋体" w:eastAsia="黑体" w:cs="宋体"/>
          <w:snapToGrid w:val="0"/>
          <w:color w:val="000000" w:themeColor="text1"/>
          <w:kern w:val="0"/>
          <w:szCs w:val="21"/>
          <w14:textFill>
            <w14:solidFill>
              <w14:schemeClr w14:val="tx1"/>
            </w14:solidFill>
          </w14:textFill>
        </w:rPr>
        <w:t>实验三</w:t>
      </w:r>
      <w:r>
        <w:rPr>
          <w:rFonts w:hint="eastAsia" w:ascii="黑体" w:hAnsi="宋体" w:eastAsia="黑体" w:cs="宋体"/>
          <w:snapToGrid w:val="0"/>
          <w:color w:val="000000" w:themeColor="text1"/>
          <w:kern w:val="0"/>
          <w:szCs w:val="21"/>
          <w:lang w:val="en-US" w:eastAsia="zh-CN"/>
          <w14:textFill>
            <w14:solidFill>
              <w14:schemeClr w14:val="tx1"/>
            </w14:solidFill>
          </w14:textFill>
        </w:rPr>
        <w:t xml:space="preserve"> </w:t>
      </w:r>
      <w:r>
        <w:rPr>
          <w:rFonts w:hint="eastAsia" w:ascii="黑体" w:hAnsi="宋体" w:eastAsia="黑体" w:cs="宋体"/>
          <w:snapToGrid w:val="0"/>
          <w:color w:val="000000" w:themeColor="text1"/>
          <w:kern w:val="0"/>
          <w:szCs w:val="21"/>
          <w14:textFill>
            <w14:solidFill>
              <w14:schemeClr w14:val="tx1"/>
            </w14:solidFill>
          </w14:textFill>
        </w:rPr>
        <w:t>压电式信号检测电路的设计与仿真（2学时）</w:t>
      </w:r>
    </w:p>
    <w:p>
      <w:pPr>
        <w:spacing w:line="360" w:lineRule="auto"/>
        <w:ind w:firstLine="424"/>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实验内容：在</w:t>
      </w:r>
      <w:r>
        <w:rPr>
          <w:color w:val="000000" w:themeColor="text1"/>
          <w:kern w:val="0"/>
          <w:szCs w:val="21"/>
          <w14:textFill>
            <w14:solidFill>
              <w14:schemeClr w14:val="tx1"/>
            </w14:solidFill>
          </w14:textFill>
        </w:rPr>
        <w:t>Protel</w:t>
      </w:r>
      <w:r>
        <w:rPr>
          <w:rFonts w:hAnsi="宋体"/>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Multisim</w:t>
      </w:r>
      <w:r>
        <w:rPr>
          <w:rFonts w:hint="eastAsia" w:ascii="宋体" w:hAnsi="宋体" w:cs="宋体"/>
          <w:snapToGrid w:val="0"/>
          <w:color w:val="000000" w:themeColor="text1"/>
          <w:kern w:val="0"/>
          <w:szCs w:val="21"/>
          <w14:textFill>
            <w14:solidFill>
              <w14:schemeClr w14:val="tx1"/>
            </w14:solidFill>
          </w14:textFill>
        </w:rPr>
        <w:t>环境下进行压电式信号检测电路的设计仿真。</w:t>
      </w:r>
    </w:p>
    <w:p>
      <w:pPr>
        <w:spacing w:line="360" w:lineRule="auto"/>
        <w:ind w:firstLine="424"/>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基本要求：</w:t>
      </w:r>
    </w:p>
    <w:p>
      <w:pPr>
        <w:widowControl/>
        <w:spacing w:line="360" w:lineRule="auto"/>
        <w:ind w:left="424" w:leftChars="202"/>
        <w:jc w:val="left"/>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1、学会利用Protel进行压电式信号检测电路的设计及原理图版图制作。</w:t>
      </w:r>
    </w:p>
    <w:p>
      <w:pPr>
        <w:widowControl/>
        <w:spacing w:line="360" w:lineRule="auto"/>
        <w:ind w:left="424" w:leftChars="202"/>
        <w:jc w:val="left"/>
        <w:rPr>
          <w:rFonts w:ascii="宋体" w:hAnsi="宋体" w:cs="宋体"/>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2、学会利用Multisim对</w:t>
      </w:r>
      <w:r>
        <w:rPr>
          <w:rFonts w:hint="eastAsia" w:ascii="宋体" w:hAnsi="宋体" w:cs="宋体"/>
          <w:snapToGrid w:val="0"/>
          <w:color w:val="000000" w:themeColor="text1"/>
          <w:kern w:val="0"/>
          <w:szCs w:val="21"/>
          <w14:textFill>
            <w14:solidFill>
              <w14:schemeClr w14:val="tx1"/>
            </w14:solidFill>
          </w14:textFill>
        </w:rPr>
        <w:t>压电式信号检测电路进行仿真。</w:t>
      </w:r>
    </w:p>
    <w:p>
      <w:pPr>
        <w:widowControl/>
        <w:spacing w:line="360" w:lineRule="auto"/>
        <w:ind w:left="424" w:leftChars="202"/>
        <w:jc w:val="left"/>
        <w:rPr>
          <w:rFonts w:ascii="宋体" w:hAnsi="宋体" w:cs="宋体"/>
          <w:snapToGrid w:val="0"/>
          <w:color w:val="000000" w:themeColor="text1"/>
          <w:kern w:val="0"/>
          <w:szCs w:val="21"/>
          <w14:textFill>
            <w14:solidFill>
              <w14:schemeClr w14:val="tx1"/>
            </w14:solidFill>
          </w14:textFill>
        </w:rPr>
      </w:pPr>
      <w:r>
        <w:rPr>
          <w:rFonts w:cs="宋体"/>
          <w:bCs/>
          <w:snapToGrid w:val="0"/>
          <w:color w:val="000000" w:themeColor="text1"/>
          <w:kern w:val="0"/>
          <w:szCs w:val="21"/>
          <w14:textFill>
            <w14:solidFill>
              <w14:schemeClr w14:val="tx1"/>
            </w14:solidFill>
          </w14:textFill>
        </w:rPr>
        <w:t>本实验支撑课程目标</w:t>
      </w:r>
      <w:r>
        <w:rPr>
          <w:rFonts w:hint="eastAsia" w:cs="宋体"/>
          <w:bCs/>
          <w:snapToGrid w:val="0"/>
          <w:color w:val="000000" w:themeColor="text1"/>
          <w:kern w:val="0"/>
          <w:szCs w:val="21"/>
          <w14:textFill>
            <w14:solidFill>
              <w14:schemeClr w14:val="tx1"/>
            </w14:solidFill>
          </w14:textFill>
        </w:rPr>
        <w:t>2、4。</w:t>
      </w:r>
    </w:p>
    <w:p>
      <w:pPr>
        <w:spacing w:line="360" w:lineRule="auto"/>
        <w:ind w:firstLine="424"/>
        <w:rPr>
          <w:rFonts w:ascii="黑体" w:hAnsi="宋体" w:eastAsia="黑体" w:cs="宋体"/>
          <w:snapToGrid w:val="0"/>
          <w:color w:val="000000" w:themeColor="text1"/>
          <w:kern w:val="0"/>
          <w:szCs w:val="21"/>
          <w14:textFill>
            <w14:solidFill>
              <w14:schemeClr w14:val="tx1"/>
            </w14:solidFill>
          </w14:textFill>
        </w:rPr>
      </w:pPr>
      <w:r>
        <w:rPr>
          <w:rFonts w:hint="eastAsia" w:ascii="黑体" w:hAnsi="宋体" w:eastAsia="黑体" w:cs="宋体"/>
          <w:snapToGrid w:val="0"/>
          <w:color w:val="000000" w:themeColor="text1"/>
          <w:kern w:val="0"/>
          <w:szCs w:val="21"/>
          <w14:textFill>
            <w14:solidFill>
              <w14:schemeClr w14:val="tx1"/>
            </w14:solidFill>
          </w14:textFill>
        </w:rPr>
        <w:t>实验四</w:t>
      </w:r>
      <w:r>
        <w:rPr>
          <w:rFonts w:hint="eastAsia" w:ascii="黑体" w:hAnsi="宋体" w:eastAsia="黑体" w:cs="宋体"/>
          <w:snapToGrid w:val="0"/>
          <w:color w:val="000000" w:themeColor="text1"/>
          <w:kern w:val="0"/>
          <w:szCs w:val="21"/>
          <w:lang w:val="en-US" w:eastAsia="zh-CN"/>
          <w14:textFill>
            <w14:solidFill>
              <w14:schemeClr w14:val="tx1"/>
            </w14:solidFill>
          </w14:textFill>
        </w:rPr>
        <w:t xml:space="preserve"> </w:t>
      </w:r>
      <w:r>
        <w:rPr>
          <w:rFonts w:hint="eastAsia" w:ascii="黑体" w:hAnsi="宋体" w:eastAsia="黑体" w:cs="宋体"/>
          <w:snapToGrid w:val="0"/>
          <w:color w:val="000000" w:themeColor="text1"/>
          <w:kern w:val="0"/>
          <w:szCs w:val="21"/>
          <w14:textFill>
            <w14:solidFill>
              <w14:schemeClr w14:val="tx1"/>
            </w14:solidFill>
          </w14:textFill>
        </w:rPr>
        <w:t>压阻式信号检测电路的设计与仿真（2学时）</w:t>
      </w:r>
    </w:p>
    <w:p>
      <w:pPr>
        <w:spacing w:line="360" w:lineRule="auto"/>
        <w:ind w:firstLine="424"/>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实验内容：在</w:t>
      </w:r>
      <w:r>
        <w:rPr>
          <w:color w:val="000000" w:themeColor="text1"/>
          <w:kern w:val="0"/>
          <w:szCs w:val="21"/>
          <w14:textFill>
            <w14:solidFill>
              <w14:schemeClr w14:val="tx1"/>
            </w14:solidFill>
          </w14:textFill>
        </w:rPr>
        <w:t>Protel</w:t>
      </w:r>
      <w:r>
        <w:rPr>
          <w:rFonts w:hAnsi="宋体"/>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Multisim</w:t>
      </w:r>
      <w:r>
        <w:rPr>
          <w:rFonts w:hint="eastAsia" w:ascii="宋体" w:hAnsi="宋体" w:cs="宋体"/>
          <w:snapToGrid w:val="0"/>
          <w:color w:val="000000" w:themeColor="text1"/>
          <w:kern w:val="0"/>
          <w:szCs w:val="21"/>
          <w14:textFill>
            <w14:solidFill>
              <w14:schemeClr w14:val="tx1"/>
            </w14:solidFill>
          </w14:textFill>
        </w:rPr>
        <w:t>环境下进行压阻式信号检测电路的设计仿真。</w:t>
      </w:r>
    </w:p>
    <w:p>
      <w:pPr>
        <w:spacing w:line="360" w:lineRule="auto"/>
        <w:ind w:firstLine="424"/>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基本要求：</w:t>
      </w:r>
    </w:p>
    <w:p>
      <w:pPr>
        <w:widowControl/>
        <w:spacing w:line="360" w:lineRule="auto"/>
        <w:ind w:left="424" w:leftChars="202"/>
        <w:jc w:val="left"/>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1、学会利用</w:t>
      </w:r>
      <w:r>
        <w:rPr>
          <w:color w:val="000000" w:themeColor="text1"/>
          <w:kern w:val="0"/>
          <w:szCs w:val="21"/>
          <w14:textFill>
            <w14:solidFill>
              <w14:schemeClr w14:val="tx1"/>
            </w14:solidFill>
          </w14:textFill>
        </w:rPr>
        <w:t>Protel</w:t>
      </w:r>
      <w:r>
        <w:rPr>
          <w:rFonts w:hint="eastAsia" w:ascii="宋体" w:hAnsi="宋体" w:cs="宋体"/>
          <w:snapToGrid w:val="0"/>
          <w:color w:val="000000" w:themeColor="text1"/>
          <w:kern w:val="0"/>
          <w:szCs w:val="21"/>
          <w14:textFill>
            <w14:solidFill>
              <w14:schemeClr w14:val="tx1"/>
            </w14:solidFill>
          </w14:textFill>
        </w:rPr>
        <w:t>进行压阻式信号检测电路的设计及原理图版图制作。</w:t>
      </w:r>
    </w:p>
    <w:p>
      <w:pPr>
        <w:spacing w:line="360" w:lineRule="auto"/>
        <w:ind w:left="424" w:leftChars="202"/>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2、学会利用</w:t>
      </w:r>
      <w:r>
        <w:rPr>
          <w:color w:val="000000" w:themeColor="text1"/>
          <w:kern w:val="0"/>
          <w:szCs w:val="21"/>
          <w14:textFill>
            <w14:solidFill>
              <w14:schemeClr w14:val="tx1"/>
            </w14:solidFill>
          </w14:textFill>
        </w:rPr>
        <w:t>Multisim</w:t>
      </w:r>
      <w:r>
        <w:rPr>
          <w:rFonts w:hint="eastAsia" w:ascii="宋体" w:hAnsi="宋体" w:cs="宋体"/>
          <w:color w:val="000000" w:themeColor="text1"/>
          <w:kern w:val="0"/>
          <w:szCs w:val="21"/>
          <w14:textFill>
            <w14:solidFill>
              <w14:schemeClr w14:val="tx1"/>
            </w14:solidFill>
          </w14:textFill>
        </w:rPr>
        <w:t>对</w:t>
      </w:r>
      <w:r>
        <w:rPr>
          <w:rFonts w:hint="eastAsia" w:ascii="宋体" w:hAnsi="宋体" w:cs="宋体"/>
          <w:snapToGrid w:val="0"/>
          <w:color w:val="000000" w:themeColor="text1"/>
          <w:kern w:val="0"/>
          <w:szCs w:val="21"/>
          <w14:textFill>
            <w14:solidFill>
              <w14:schemeClr w14:val="tx1"/>
            </w14:solidFill>
          </w14:textFill>
        </w:rPr>
        <w:t>压阻式信号检测电路进行仿真。</w:t>
      </w:r>
    </w:p>
    <w:p>
      <w:pPr>
        <w:widowControl/>
        <w:spacing w:line="360" w:lineRule="auto"/>
        <w:ind w:left="424" w:leftChars="202"/>
        <w:jc w:val="left"/>
        <w:rPr>
          <w:rFonts w:ascii="宋体" w:hAnsi="宋体" w:cs="宋体"/>
          <w:snapToGrid w:val="0"/>
          <w:color w:val="000000" w:themeColor="text1"/>
          <w:kern w:val="0"/>
          <w:szCs w:val="21"/>
          <w14:textFill>
            <w14:solidFill>
              <w14:schemeClr w14:val="tx1"/>
            </w14:solidFill>
          </w14:textFill>
        </w:rPr>
      </w:pPr>
      <w:r>
        <w:rPr>
          <w:rFonts w:cs="宋体"/>
          <w:bCs/>
          <w:snapToGrid w:val="0"/>
          <w:color w:val="000000" w:themeColor="text1"/>
          <w:kern w:val="0"/>
          <w:szCs w:val="21"/>
          <w14:textFill>
            <w14:solidFill>
              <w14:schemeClr w14:val="tx1"/>
            </w14:solidFill>
          </w14:textFill>
        </w:rPr>
        <w:t>本实验支撑课程目标</w:t>
      </w:r>
      <w:r>
        <w:rPr>
          <w:rFonts w:hint="eastAsia" w:cs="宋体"/>
          <w:bCs/>
          <w:snapToGrid w:val="0"/>
          <w:color w:val="000000" w:themeColor="text1"/>
          <w:kern w:val="0"/>
          <w:szCs w:val="21"/>
          <w14:textFill>
            <w14:solidFill>
              <w14:schemeClr w14:val="tx1"/>
            </w14:solidFill>
          </w14:textFill>
        </w:rPr>
        <w:t>2、4。</w:t>
      </w:r>
    </w:p>
    <w:p>
      <w:pPr>
        <w:spacing w:line="360" w:lineRule="auto"/>
        <w:ind w:firstLine="424"/>
        <w:rPr>
          <w:rFonts w:ascii="黑体" w:hAnsi="宋体" w:eastAsia="黑体" w:cs="宋体"/>
          <w:snapToGrid w:val="0"/>
          <w:color w:val="000000" w:themeColor="text1"/>
          <w:kern w:val="0"/>
          <w:szCs w:val="21"/>
          <w14:textFill>
            <w14:solidFill>
              <w14:schemeClr w14:val="tx1"/>
            </w14:solidFill>
          </w14:textFill>
        </w:rPr>
      </w:pPr>
      <w:r>
        <w:rPr>
          <w:rFonts w:hint="eastAsia" w:ascii="黑体" w:hAnsi="宋体" w:eastAsia="黑体" w:cs="宋体"/>
          <w:snapToGrid w:val="0"/>
          <w:color w:val="000000" w:themeColor="text1"/>
          <w:kern w:val="0"/>
          <w:szCs w:val="21"/>
          <w14:textFill>
            <w14:solidFill>
              <w14:schemeClr w14:val="tx1"/>
            </w14:solidFill>
          </w14:textFill>
        </w:rPr>
        <w:t>实验五</w:t>
      </w:r>
      <w:r>
        <w:rPr>
          <w:rFonts w:hint="eastAsia" w:ascii="黑体" w:hAnsi="宋体" w:eastAsia="黑体" w:cs="宋体"/>
          <w:snapToGrid w:val="0"/>
          <w:color w:val="000000" w:themeColor="text1"/>
          <w:kern w:val="0"/>
          <w:szCs w:val="21"/>
          <w:lang w:val="en-US" w:eastAsia="zh-CN"/>
          <w14:textFill>
            <w14:solidFill>
              <w14:schemeClr w14:val="tx1"/>
            </w14:solidFill>
          </w14:textFill>
        </w:rPr>
        <w:t xml:space="preserve"> </w:t>
      </w:r>
      <w:r>
        <w:rPr>
          <w:rFonts w:hint="eastAsia" w:ascii="黑体" w:hAnsi="宋体" w:eastAsia="黑体" w:cs="宋体"/>
          <w:snapToGrid w:val="0"/>
          <w:color w:val="000000" w:themeColor="text1"/>
          <w:kern w:val="0"/>
          <w:szCs w:val="21"/>
          <w14:textFill>
            <w14:solidFill>
              <w14:schemeClr w14:val="tx1"/>
            </w14:solidFill>
          </w14:textFill>
        </w:rPr>
        <w:t>隧道式信号检测电路的设计与仿真（2学时）</w:t>
      </w:r>
    </w:p>
    <w:p>
      <w:pPr>
        <w:spacing w:line="360" w:lineRule="auto"/>
        <w:ind w:firstLine="424"/>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实验内容：在</w:t>
      </w:r>
      <w:r>
        <w:rPr>
          <w:color w:val="000000" w:themeColor="text1"/>
          <w:kern w:val="0"/>
          <w:szCs w:val="21"/>
          <w14:textFill>
            <w14:solidFill>
              <w14:schemeClr w14:val="tx1"/>
            </w14:solidFill>
          </w14:textFill>
        </w:rPr>
        <w:t>Protel</w:t>
      </w:r>
      <w:r>
        <w:rPr>
          <w:rFonts w:hAnsi="宋体"/>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Multisim</w:t>
      </w:r>
      <w:r>
        <w:rPr>
          <w:rFonts w:hint="eastAsia" w:ascii="宋体" w:hAnsi="宋体" w:cs="宋体"/>
          <w:snapToGrid w:val="0"/>
          <w:color w:val="000000" w:themeColor="text1"/>
          <w:kern w:val="0"/>
          <w:szCs w:val="21"/>
          <w14:textFill>
            <w14:solidFill>
              <w14:schemeClr w14:val="tx1"/>
            </w14:solidFill>
          </w14:textFill>
        </w:rPr>
        <w:t>环境下进行隧道式信号检测电路的设计仿真。</w:t>
      </w:r>
    </w:p>
    <w:p>
      <w:pPr>
        <w:spacing w:line="360" w:lineRule="auto"/>
        <w:ind w:firstLine="424"/>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基本要求：</w:t>
      </w:r>
    </w:p>
    <w:p>
      <w:pPr>
        <w:widowControl/>
        <w:spacing w:line="360" w:lineRule="auto"/>
        <w:ind w:left="424" w:leftChars="202"/>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1、学会利用</w:t>
      </w:r>
      <w:r>
        <w:rPr>
          <w:rFonts w:eastAsia="楷体_GB2312"/>
          <w:color w:val="000000" w:themeColor="text1"/>
          <w:kern w:val="0"/>
          <w:szCs w:val="21"/>
          <w14:textFill>
            <w14:solidFill>
              <w14:schemeClr w14:val="tx1"/>
            </w14:solidFill>
          </w14:textFill>
        </w:rPr>
        <w:t>Protel</w:t>
      </w:r>
      <w:r>
        <w:rPr>
          <w:rFonts w:hint="eastAsia" w:ascii="宋体" w:hAnsi="宋体" w:cs="宋体"/>
          <w:color w:val="000000" w:themeColor="text1"/>
          <w:kern w:val="0"/>
          <w:szCs w:val="21"/>
          <w14:textFill>
            <w14:solidFill>
              <w14:schemeClr w14:val="tx1"/>
            </w14:solidFill>
          </w14:textFill>
        </w:rPr>
        <w:t>进行隧道式信号检测电路的设计及原理图版图制作。</w:t>
      </w:r>
    </w:p>
    <w:p>
      <w:pPr>
        <w:widowControl/>
        <w:spacing w:line="360" w:lineRule="auto"/>
        <w:ind w:left="424" w:leftChars="202"/>
        <w:jc w:val="left"/>
        <w:rPr>
          <w:rFonts w:ascii="宋体" w:hAnsi="宋体" w:cs="宋体"/>
          <w:snapToGrid w:val="0"/>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2、学</w:t>
      </w:r>
      <w:r>
        <w:rPr>
          <w:rFonts w:hint="eastAsia" w:ascii="宋体" w:hAnsi="宋体" w:cs="宋体"/>
          <w:snapToGrid w:val="0"/>
          <w:color w:val="000000" w:themeColor="text1"/>
          <w:kern w:val="0"/>
          <w:szCs w:val="21"/>
          <w14:textFill>
            <w14:solidFill>
              <w14:schemeClr w14:val="tx1"/>
            </w14:solidFill>
          </w14:textFill>
        </w:rPr>
        <w:t>会利用</w:t>
      </w:r>
      <w:r>
        <w:rPr>
          <w:color w:val="000000" w:themeColor="text1"/>
          <w:kern w:val="0"/>
          <w:szCs w:val="21"/>
          <w14:textFill>
            <w14:solidFill>
              <w14:schemeClr w14:val="tx1"/>
            </w14:solidFill>
          </w14:textFill>
        </w:rPr>
        <w:t>Multisim</w:t>
      </w:r>
      <w:r>
        <w:rPr>
          <w:rFonts w:hint="eastAsia" w:ascii="宋体" w:hAnsi="宋体" w:cs="宋体"/>
          <w:color w:val="000000" w:themeColor="text1"/>
          <w:kern w:val="0"/>
          <w:szCs w:val="21"/>
          <w14:textFill>
            <w14:solidFill>
              <w14:schemeClr w14:val="tx1"/>
            </w14:solidFill>
          </w14:textFill>
        </w:rPr>
        <w:t>对</w:t>
      </w:r>
      <w:r>
        <w:rPr>
          <w:rFonts w:hint="eastAsia" w:ascii="宋体" w:hAnsi="宋体" w:cs="宋体"/>
          <w:snapToGrid w:val="0"/>
          <w:color w:val="000000" w:themeColor="text1"/>
          <w:kern w:val="0"/>
          <w:szCs w:val="21"/>
          <w14:textFill>
            <w14:solidFill>
              <w14:schemeClr w14:val="tx1"/>
            </w14:solidFill>
          </w14:textFill>
        </w:rPr>
        <w:t>隧道式信号检测电路进行仿真。</w:t>
      </w:r>
    </w:p>
    <w:p>
      <w:pPr>
        <w:widowControl/>
        <w:spacing w:line="360" w:lineRule="auto"/>
        <w:ind w:left="424" w:leftChars="202"/>
        <w:jc w:val="left"/>
        <w:rPr>
          <w:rFonts w:ascii="宋体" w:hAnsi="宋体" w:cs="宋体"/>
          <w:snapToGrid w:val="0"/>
          <w:color w:val="000000" w:themeColor="text1"/>
          <w:kern w:val="0"/>
          <w:szCs w:val="21"/>
          <w14:textFill>
            <w14:solidFill>
              <w14:schemeClr w14:val="tx1"/>
            </w14:solidFill>
          </w14:textFill>
        </w:rPr>
      </w:pPr>
      <w:r>
        <w:rPr>
          <w:rFonts w:cs="宋体"/>
          <w:bCs/>
          <w:snapToGrid w:val="0"/>
          <w:color w:val="000000" w:themeColor="text1"/>
          <w:kern w:val="0"/>
          <w:szCs w:val="21"/>
          <w14:textFill>
            <w14:solidFill>
              <w14:schemeClr w14:val="tx1"/>
            </w14:solidFill>
          </w14:textFill>
        </w:rPr>
        <w:t>本实验支撑课程目标1</w:t>
      </w:r>
      <w:r>
        <w:rPr>
          <w:rFonts w:hint="eastAsia" w:cs="宋体"/>
          <w:bCs/>
          <w:snapToGrid w:val="0"/>
          <w:color w:val="000000" w:themeColor="text1"/>
          <w:kern w:val="0"/>
          <w:szCs w:val="21"/>
          <w14:textFill>
            <w14:solidFill>
              <w14:schemeClr w14:val="tx1"/>
            </w14:solidFill>
          </w14:textFill>
        </w:rPr>
        <w:t>、2、4。</w:t>
      </w:r>
    </w:p>
    <w:p>
      <w:pPr>
        <w:spacing w:line="360" w:lineRule="auto"/>
        <w:ind w:firstLine="424"/>
        <w:rPr>
          <w:rFonts w:ascii="黑体" w:hAnsi="宋体" w:eastAsia="黑体" w:cs="宋体"/>
          <w:snapToGrid w:val="0"/>
          <w:color w:val="000000" w:themeColor="text1"/>
          <w:kern w:val="0"/>
          <w:szCs w:val="21"/>
          <w14:textFill>
            <w14:solidFill>
              <w14:schemeClr w14:val="tx1"/>
            </w14:solidFill>
          </w14:textFill>
        </w:rPr>
      </w:pPr>
      <w:r>
        <w:rPr>
          <w:rFonts w:hint="eastAsia" w:ascii="黑体" w:hAnsi="宋体" w:eastAsia="黑体" w:cs="宋体"/>
          <w:snapToGrid w:val="0"/>
          <w:color w:val="000000" w:themeColor="text1"/>
          <w:kern w:val="0"/>
          <w:szCs w:val="21"/>
          <w14:textFill>
            <w14:solidFill>
              <w14:schemeClr w14:val="tx1"/>
            </w14:solidFill>
          </w14:textFill>
        </w:rPr>
        <w:t>实验六</w:t>
      </w:r>
      <w:r>
        <w:rPr>
          <w:rFonts w:hint="eastAsia" w:ascii="黑体" w:hAnsi="宋体" w:eastAsia="黑体" w:cs="宋体"/>
          <w:snapToGrid w:val="0"/>
          <w:color w:val="000000" w:themeColor="text1"/>
          <w:kern w:val="0"/>
          <w:szCs w:val="21"/>
          <w:lang w:val="en-US" w:eastAsia="zh-CN"/>
          <w14:textFill>
            <w14:solidFill>
              <w14:schemeClr w14:val="tx1"/>
            </w14:solidFill>
          </w14:textFill>
        </w:rPr>
        <w:t xml:space="preserve"> </w:t>
      </w:r>
      <w:r>
        <w:rPr>
          <w:rFonts w:hint="eastAsia" w:ascii="黑体" w:hAnsi="宋体" w:eastAsia="黑体" w:cs="宋体"/>
          <w:snapToGrid w:val="0"/>
          <w:color w:val="000000" w:themeColor="text1"/>
          <w:kern w:val="0"/>
          <w:szCs w:val="21"/>
          <w14:textFill>
            <w14:solidFill>
              <w14:schemeClr w14:val="tx1"/>
            </w14:solidFill>
          </w14:textFill>
        </w:rPr>
        <w:t>谐振式信号检测电路的设计与仿真（2学时）</w:t>
      </w:r>
    </w:p>
    <w:p>
      <w:pPr>
        <w:spacing w:line="360" w:lineRule="auto"/>
        <w:ind w:firstLine="424"/>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实验内容：在</w:t>
      </w:r>
      <w:r>
        <w:rPr>
          <w:color w:val="000000" w:themeColor="text1"/>
          <w:kern w:val="0"/>
          <w:szCs w:val="21"/>
          <w14:textFill>
            <w14:solidFill>
              <w14:schemeClr w14:val="tx1"/>
            </w14:solidFill>
          </w14:textFill>
        </w:rPr>
        <w:t>Protel</w:t>
      </w:r>
      <w:r>
        <w:rPr>
          <w:rFonts w:hAnsi="宋体"/>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Multisim</w:t>
      </w:r>
      <w:r>
        <w:rPr>
          <w:rFonts w:hint="eastAsia" w:ascii="宋体" w:hAnsi="宋体" w:cs="宋体"/>
          <w:snapToGrid w:val="0"/>
          <w:color w:val="000000" w:themeColor="text1"/>
          <w:kern w:val="0"/>
          <w:szCs w:val="21"/>
          <w14:textFill>
            <w14:solidFill>
              <w14:schemeClr w14:val="tx1"/>
            </w14:solidFill>
          </w14:textFill>
        </w:rPr>
        <w:t>环境下进行谐振式信号检测电路的设计仿真。</w:t>
      </w:r>
    </w:p>
    <w:p>
      <w:pPr>
        <w:spacing w:line="360" w:lineRule="auto"/>
        <w:ind w:firstLine="424"/>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基本要求：</w:t>
      </w:r>
    </w:p>
    <w:p>
      <w:pPr>
        <w:widowControl/>
        <w:spacing w:line="360" w:lineRule="auto"/>
        <w:ind w:left="424" w:leftChars="202"/>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1、学会利用Protel进行谐振式信号检测电路的设计及原理图版图制作。</w:t>
      </w:r>
    </w:p>
    <w:p>
      <w:pPr>
        <w:widowControl/>
        <w:spacing w:line="360" w:lineRule="auto"/>
        <w:ind w:left="424" w:leftChars="202"/>
        <w:jc w:val="left"/>
        <w:rPr>
          <w:rFonts w:ascii="宋体" w:hAnsi="宋体" w:cs="宋体"/>
          <w:snapToGrid w:val="0"/>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w:t>
      </w:r>
      <w:r>
        <w:rPr>
          <w:snapToGrid w:val="0"/>
          <w:color w:val="000000" w:themeColor="text1"/>
          <w:kern w:val="0"/>
          <w:szCs w:val="21"/>
          <w14:textFill>
            <w14:solidFill>
              <w14:schemeClr w14:val="tx1"/>
            </w14:solidFill>
          </w14:textFill>
        </w:rPr>
        <w:t>学会利用</w:t>
      </w:r>
      <w:r>
        <w:rPr>
          <w:color w:val="000000" w:themeColor="text1"/>
          <w:kern w:val="0"/>
          <w:szCs w:val="21"/>
          <w14:textFill>
            <w14:solidFill>
              <w14:schemeClr w14:val="tx1"/>
            </w14:solidFill>
          </w14:textFill>
        </w:rPr>
        <w:t>Multisim对</w:t>
      </w:r>
      <w:r>
        <w:rPr>
          <w:snapToGrid w:val="0"/>
          <w:color w:val="000000" w:themeColor="text1"/>
          <w:kern w:val="0"/>
          <w:szCs w:val="21"/>
          <w14:textFill>
            <w14:solidFill>
              <w14:schemeClr w14:val="tx1"/>
            </w14:solidFill>
          </w14:textFill>
        </w:rPr>
        <w:t>谐振式信号</w:t>
      </w:r>
      <w:r>
        <w:rPr>
          <w:rFonts w:hint="eastAsia" w:ascii="宋体" w:hAnsi="宋体" w:cs="宋体"/>
          <w:snapToGrid w:val="0"/>
          <w:color w:val="000000" w:themeColor="text1"/>
          <w:kern w:val="0"/>
          <w:szCs w:val="21"/>
          <w14:textFill>
            <w14:solidFill>
              <w14:schemeClr w14:val="tx1"/>
            </w14:solidFill>
          </w14:textFill>
        </w:rPr>
        <w:t>检测电路进行仿真。</w:t>
      </w:r>
    </w:p>
    <w:p>
      <w:pPr>
        <w:widowControl/>
        <w:spacing w:line="360" w:lineRule="auto"/>
        <w:ind w:left="424" w:leftChars="202"/>
        <w:jc w:val="left"/>
        <w:rPr>
          <w:rFonts w:ascii="宋体" w:hAnsi="宋体" w:cs="宋体"/>
          <w:snapToGrid w:val="0"/>
          <w:color w:val="000000" w:themeColor="text1"/>
          <w:kern w:val="0"/>
          <w:szCs w:val="21"/>
          <w14:textFill>
            <w14:solidFill>
              <w14:schemeClr w14:val="tx1"/>
            </w14:solidFill>
          </w14:textFill>
        </w:rPr>
      </w:pPr>
      <w:r>
        <w:rPr>
          <w:rFonts w:cs="宋体"/>
          <w:bCs/>
          <w:snapToGrid w:val="0"/>
          <w:color w:val="000000" w:themeColor="text1"/>
          <w:kern w:val="0"/>
          <w:szCs w:val="21"/>
          <w14:textFill>
            <w14:solidFill>
              <w14:schemeClr w14:val="tx1"/>
            </w14:solidFill>
          </w14:textFill>
        </w:rPr>
        <w:t>本实验支撑课程目标</w:t>
      </w:r>
      <w:r>
        <w:rPr>
          <w:rFonts w:hint="eastAsia" w:cs="宋体"/>
          <w:bCs/>
          <w:snapToGrid w:val="0"/>
          <w:color w:val="000000" w:themeColor="text1"/>
          <w:kern w:val="0"/>
          <w:szCs w:val="21"/>
          <w14:textFill>
            <w14:solidFill>
              <w14:schemeClr w14:val="tx1"/>
            </w14:solidFill>
          </w14:textFill>
        </w:rPr>
        <w:t>3、4。</w:t>
      </w:r>
    </w:p>
    <w:p>
      <w:pPr>
        <w:spacing w:line="360" w:lineRule="auto"/>
        <w:ind w:firstLine="424"/>
        <w:rPr>
          <w:rFonts w:ascii="黑体" w:hAnsi="宋体" w:eastAsia="黑体" w:cs="宋体"/>
          <w:snapToGrid w:val="0"/>
          <w:color w:val="000000" w:themeColor="text1"/>
          <w:kern w:val="0"/>
          <w:szCs w:val="21"/>
          <w14:textFill>
            <w14:solidFill>
              <w14:schemeClr w14:val="tx1"/>
            </w14:solidFill>
          </w14:textFill>
        </w:rPr>
      </w:pPr>
      <w:r>
        <w:rPr>
          <w:rFonts w:hint="eastAsia" w:ascii="黑体" w:hAnsi="宋体" w:eastAsia="黑体" w:cs="宋体"/>
          <w:snapToGrid w:val="0"/>
          <w:color w:val="000000" w:themeColor="text1"/>
          <w:kern w:val="0"/>
          <w:szCs w:val="21"/>
          <w14:textFill>
            <w14:solidFill>
              <w14:schemeClr w14:val="tx1"/>
            </w14:solidFill>
          </w14:textFill>
        </w:rPr>
        <w:t>实验七</w:t>
      </w:r>
      <w:r>
        <w:rPr>
          <w:rFonts w:hint="eastAsia" w:ascii="黑体" w:hAnsi="宋体" w:eastAsia="黑体" w:cs="宋体"/>
          <w:snapToGrid w:val="0"/>
          <w:color w:val="000000" w:themeColor="text1"/>
          <w:kern w:val="0"/>
          <w:szCs w:val="21"/>
          <w:lang w:val="en-US" w:eastAsia="zh-CN"/>
          <w14:textFill>
            <w14:solidFill>
              <w14:schemeClr w14:val="tx1"/>
            </w14:solidFill>
          </w14:textFill>
        </w:rPr>
        <w:t xml:space="preserve"> </w:t>
      </w:r>
      <w:r>
        <w:rPr>
          <w:rFonts w:hint="eastAsia" w:ascii="黑体" w:hAnsi="宋体" w:eastAsia="黑体" w:cs="宋体"/>
          <w:snapToGrid w:val="0"/>
          <w:color w:val="000000" w:themeColor="text1"/>
          <w:kern w:val="0"/>
          <w:szCs w:val="21"/>
          <w14:textFill>
            <w14:solidFill>
              <w14:schemeClr w14:val="tx1"/>
            </w14:solidFill>
          </w14:textFill>
        </w:rPr>
        <w:t>热流式信号检测电路的设计与仿真（2学时）</w:t>
      </w:r>
    </w:p>
    <w:p>
      <w:pPr>
        <w:spacing w:line="360" w:lineRule="auto"/>
        <w:ind w:firstLine="424"/>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实验内容：在</w:t>
      </w:r>
      <w:r>
        <w:rPr>
          <w:color w:val="000000" w:themeColor="text1"/>
          <w:kern w:val="0"/>
          <w:szCs w:val="21"/>
          <w14:textFill>
            <w14:solidFill>
              <w14:schemeClr w14:val="tx1"/>
            </w14:solidFill>
          </w14:textFill>
        </w:rPr>
        <w:t>Protel</w:t>
      </w:r>
      <w:r>
        <w:rPr>
          <w:rFonts w:hAnsi="宋体"/>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Multisim</w:t>
      </w:r>
      <w:r>
        <w:rPr>
          <w:rFonts w:hint="eastAsia" w:ascii="宋体" w:hAnsi="宋体" w:cs="宋体"/>
          <w:snapToGrid w:val="0"/>
          <w:color w:val="000000" w:themeColor="text1"/>
          <w:kern w:val="0"/>
          <w:szCs w:val="21"/>
          <w14:textFill>
            <w14:solidFill>
              <w14:schemeClr w14:val="tx1"/>
            </w14:solidFill>
          </w14:textFill>
        </w:rPr>
        <w:t>环境下进行热流式信号检测电路的设计仿真。</w:t>
      </w:r>
    </w:p>
    <w:p>
      <w:pPr>
        <w:spacing w:line="360" w:lineRule="auto"/>
        <w:ind w:firstLine="424"/>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基本要求：</w:t>
      </w:r>
    </w:p>
    <w:p>
      <w:pPr>
        <w:widowControl/>
        <w:spacing w:line="360" w:lineRule="auto"/>
        <w:ind w:left="424" w:leftChars="202"/>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1、学会利用Protel进行热流式信号检测电路的设计及原理图版图制作。</w:t>
      </w:r>
    </w:p>
    <w:p>
      <w:pPr>
        <w:widowControl/>
        <w:spacing w:line="360" w:lineRule="auto"/>
        <w:ind w:left="424" w:leftChars="202"/>
        <w:jc w:val="left"/>
        <w:rPr>
          <w:rFonts w:ascii="宋体" w:hAnsi="宋体" w:cs="宋体"/>
          <w:snapToGrid w:val="0"/>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w:t>
      </w:r>
      <w:r>
        <w:rPr>
          <w:snapToGrid w:val="0"/>
          <w:color w:val="000000" w:themeColor="text1"/>
          <w:kern w:val="0"/>
          <w:szCs w:val="21"/>
          <w14:textFill>
            <w14:solidFill>
              <w14:schemeClr w14:val="tx1"/>
            </w14:solidFill>
          </w14:textFill>
        </w:rPr>
        <w:t>学会利用</w:t>
      </w:r>
      <w:r>
        <w:rPr>
          <w:color w:val="000000" w:themeColor="text1"/>
          <w:kern w:val="0"/>
          <w:szCs w:val="21"/>
          <w14:textFill>
            <w14:solidFill>
              <w14:schemeClr w14:val="tx1"/>
            </w14:solidFill>
          </w14:textFill>
        </w:rPr>
        <w:t>Multisim对</w:t>
      </w:r>
      <w:r>
        <w:rPr>
          <w:snapToGrid w:val="0"/>
          <w:color w:val="000000" w:themeColor="text1"/>
          <w:kern w:val="0"/>
          <w:szCs w:val="21"/>
          <w14:textFill>
            <w14:solidFill>
              <w14:schemeClr w14:val="tx1"/>
            </w14:solidFill>
          </w14:textFill>
        </w:rPr>
        <w:t>热</w:t>
      </w:r>
      <w:r>
        <w:rPr>
          <w:rFonts w:hint="eastAsia" w:ascii="宋体" w:hAnsi="宋体" w:cs="宋体"/>
          <w:snapToGrid w:val="0"/>
          <w:color w:val="000000" w:themeColor="text1"/>
          <w:kern w:val="0"/>
          <w:szCs w:val="21"/>
          <w14:textFill>
            <w14:solidFill>
              <w14:schemeClr w14:val="tx1"/>
            </w14:solidFill>
          </w14:textFill>
        </w:rPr>
        <w:t>流式信号检测电路进行仿真。</w:t>
      </w:r>
    </w:p>
    <w:p>
      <w:pPr>
        <w:widowControl/>
        <w:spacing w:line="360" w:lineRule="auto"/>
        <w:ind w:left="424" w:leftChars="202"/>
        <w:jc w:val="left"/>
        <w:rPr>
          <w:rFonts w:ascii="宋体" w:hAnsi="宋体" w:cs="宋体"/>
          <w:snapToGrid w:val="0"/>
          <w:color w:val="000000" w:themeColor="text1"/>
          <w:kern w:val="0"/>
          <w:szCs w:val="21"/>
          <w14:textFill>
            <w14:solidFill>
              <w14:schemeClr w14:val="tx1"/>
            </w14:solidFill>
          </w14:textFill>
        </w:rPr>
      </w:pPr>
      <w:r>
        <w:rPr>
          <w:rFonts w:cs="宋体"/>
          <w:bCs/>
          <w:snapToGrid w:val="0"/>
          <w:color w:val="000000" w:themeColor="text1"/>
          <w:kern w:val="0"/>
          <w:szCs w:val="21"/>
          <w14:textFill>
            <w14:solidFill>
              <w14:schemeClr w14:val="tx1"/>
            </w14:solidFill>
          </w14:textFill>
        </w:rPr>
        <w:t>本实验支撑课程目标</w:t>
      </w:r>
      <w:r>
        <w:rPr>
          <w:rFonts w:hint="eastAsia" w:cs="宋体"/>
          <w:bCs/>
          <w:snapToGrid w:val="0"/>
          <w:color w:val="000000" w:themeColor="text1"/>
          <w:kern w:val="0"/>
          <w:szCs w:val="21"/>
          <w14:textFill>
            <w14:solidFill>
              <w14:schemeClr w14:val="tx1"/>
            </w14:solidFill>
          </w14:textFill>
        </w:rPr>
        <w:t>2、4。</w:t>
      </w:r>
    </w:p>
    <w:p>
      <w:pPr>
        <w:spacing w:line="360" w:lineRule="auto"/>
        <w:ind w:firstLine="424"/>
        <w:rPr>
          <w:rFonts w:ascii="黑体" w:hAnsi="宋体" w:eastAsia="黑体" w:cs="宋体"/>
          <w:snapToGrid w:val="0"/>
          <w:color w:val="000000" w:themeColor="text1"/>
          <w:kern w:val="0"/>
          <w:szCs w:val="21"/>
          <w14:textFill>
            <w14:solidFill>
              <w14:schemeClr w14:val="tx1"/>
            </w14:solidFill>
          </w14:textFill>
        </w:rPr>
      </w:pPr>
      <w:r>
        <w:rPr>
          <w:rFonts w:hint="eastAsia" w:ascii="黑体" w:hAnsi="宋体" w:eastAsia="黑体" w:cs="宋体"/>
          <w:snapToGrid w:val="0"/>
          <w:color w:val="000000" w:themeColor="text1"/>
          <w:kern w:val="0"/>
          <w:szCs w:val="21"/>
          <w14:textFill>
            <w14:solidFill>
              <w14:schemeClr w14:val="tx1"/>
            </w14:solidFill>
          </w14:textFill>
        </w:rPr>
        <w:t>实验八</w:t>
      </w:r>
      <w:r>
        <w:rPr>
          <w:rFonts w:hint="eastAsia" w:ascii="黑体" w:hAnsi="宋体" w:eastAsia="黑体" w:cs="宋体"/>
          <w:snapToGrid w:val="0"/>
          <w:color w:val="000000" w:themeColor="text1"/>
          <w:kern w:val="0"/>
          <w:szCs w:val="21"/>
          <w:lang w:val="en-US" w:eastAsia="zh-CN"/>
          <w14:textFill>
            <w14:solidFill>
              <w14:schemeClr w14:val="tx1"/>
            </w14:solidFill>
          </w14:textFill>
        </w:rPr>
        <w:t xml:space="preserve"> </w:t>
      </w:r>
      <w:r>
        <w:rPr>
          <w:rFonts w:hint="eastAsia" w:ascii="黑体" w:hAnsi="宋体" w:eastAsia="黑体" w:cs="宋体"/>
          <w:snapToGrid w:val="0"/>
          <w:color w:val="000000" w:themeColor="text1"/>
          <w:kern w:val="0"/>
          <w:szCs w:val="21"/>
          <w14:textFill>
            <w14:solidFill>
              <w14:schemeClr w14:val="tx1"/>
            </w14:solidFill>
          </w14:textFill>
        </w:rPr>
        <w:t>光纤式信号检测电路的设计与仿真（2学时）</w:t>
      </w:r>
    </w:p>
    <w:p>
      <w:pPr>
        <w:spacing w:line="360" w:lineRule="auto"/>
        <w:ind w:firstLine="424"/>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实验内容：在</w:t>
      </w:r>
      <w:r>
        <w:rPr>
          <w:color w:val="000000" w:themeColor="text1"/>
          <w:kern w:val="0"/>
          <w:szCs w:val="21"/>
          <w14:textFill>
            <w14:solidFill>
              <w14:schemeClr w14:val="tx1"/>
            </w14:solidFill>
          </w14:textFill>
        </w:rPr>
        <w:t>Protel</w:t>
      </w:r>
      <w:r>
        <w:rPr>
          <w:rFonts w:hAnsi="宋体"/>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Multisim</w:t>
      </w:r>
      <w:r>
        <w:rPr>
          <w:rFonts w:hint="eastAsia" w:ascii="宋体" w:hAnsi="宋体" w:cs="宋体"/>
          <w:snapToGrid w:val="0"/>
          <w:color w:val="000000" w:themeColor="text1"/>
          <w:kern w:val="0"/>
          <w:szCs w:val="21"/>
          <w14:textFill>
            <w14:solidFill>
              <w14:schemeClr w14:val="tx1"/>
            </w14:solidFill>
          </w14:textFill>
        </w:rPr>
        <w:t>环境下进行光纤式信号检测电路的设计仿真。</w:t>
      </w:r>
    </w:p>
    <w:p>
      <w:pPr>
        <w:spacing w:line="360" w:lineRule="auto"/>
        <w:ind w:firstLine="424"/>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基本要求：</w:t>
      </w:r>
    </w:p>
    <w:p>
      <w:pPr>
        <w:widowControl/>
        <w:spacing w:line="360" w:lineRule="auto"/>
        <w:ind w:left="424" w:leftChars="202"/>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1、学会利用Protel进行光纤式信号检测电路的设计及原理图版图制作。</w:t>
      </w:r>
    </w:p>
    <w:p>
      <w:pPr>
        <w:widowControl/>
        <w:spacing w:line="360" w:lineRule="auto"/>
        <w:ind w:left="424" w:leftChars="202"/>
        <w:jc w:val="left"/>
        <w:rPr>
          <w:rFonts w:ascii="宋体" w:hAnsi="宋体" w:cs="宋体"/>
          <w:snapToGrid w:val="0"/>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2、学</w:t>
      </w:r>
      <w:r>
        <w:rPr>
          <w:snapToGrid w:val="0"/>
          <w:color w:val="000000" w:themeColor="text1"/>
          <w:kern w:val="0"/>
          <w:szCs w:val="21"/>
          <w14:textFill>
            <w14:solidFill>
              <w14:schemeClr w14:val="tx1"/>
            </w14:solidFill>
          </w14:textFill>
        </w:rPr>
        <w:t>会利用</w:t>
      </w:r>
      <w:r>
        <w:rPr>
          <w:color w:val="000000" w:themeColor="text1"/>
          <w:kern w:val="0"/>
          <w:szCs w:val="21"/>
          <w14:textFill>
            <w14:solidFill>
              <w14:schemeClr w14:val="tx1"/>
            </w14:solidFill>
          </w14:textFill>
        </w:rPr>
        <w:t>Multisim对</w:t>
      </w:r>
      <w:r>
        <w:rPr>
          <w:snapToGrid w:val="0"/>
          <w:color w:val="000000" w:themeColor="text1"/>
          <w:kern w:val="0"/>
          <w:szCs w:val="21"/>
          <w14:textFill>
            <w14:solidFill>
              <w14:schemeClr w14:val="tx1"/>
            </w14:solidFill>
          </w14:textFill>
        </w:rPr>
        <w:t>光</w:t>
      </w:r>
      <w:r>
        <w:rPr>
          <w:rFonts w:hint="eastAsia" w:ascii="宋体" w:hAnsi="宋体" w:cs="宋体"/>
          <w:snapToGrid w:val="0"/>
          <w:color w:val="000000" w:themeColor="text1"/>
          <w:kern w:val="0"/>
          <w:szCs w:val="21"/>
          <w14:textFill>
            <w14:solidFill>
              <w14:schemeClr w14:val="tx1"/>
            </w14:solidFill>
          </w14:textFill>
        </w:rPr>
        <w:t>纤式信号检测电路进行仿真。</w:t>
      </w:r>
    </w:p>
    <w:p>
      <w:pPr>
        <w:widowControl/>
        <w:spacing w:line="360" w:lineRule="auto"/>
        <w:ind w:left="424" w:leftChars="202"/>
        <w:jc w:val="left"/>
        <w:rPr>
          <w:rFonts w:ascii="宋体" w:hAnsi="宋体" w:cs="宋体"/>
          <w:snapToGrid w:val="0"/>
          <w:color w:val="000000" w:themeColor="text1"/>
          <w:kern w:val="0"/>
          <w:szCs w:val="21"/>
          <w14:textFill>
            <w14:solidFill>
              <w14:schemeClr w14:val="tx1"/>
            </w14:solidFill>
          </w14:textFill>
        </w:rPr>
      </w:pPr>
      <w:r>
        <w:rPr>
          <w:rFonts w:cs="宋体"/>
          <w:bCs/>
          <w:snapToGrid w:val="0"/>
          <w:color w:val="000000" w:themeColor="text1"/>
          <w:kern w:val="0"/>
          <w:szCs w:val="21"/>
          <w14:textFill>
            <w14:solidFill>
              <w14:schemeClr w14:val="tx1"/>
            </w14:solidFill>
          </w14:textFill>
        </w:rPr>
        <w:t>本实验支撑课程目标3</w:t>
      </w:r>
      <w:r>
        <w:rPr>
          <w:rFonts w:hint="eastAsia" w:cs="宋体"/>
          <w:bCs/>
          <w:snapToGrid w:val="0"/>
          <w:color w:val="000000" w:themeColor="text1"/>
          <w:kern w:val="0"/>
          <w:szCs w:val="21"/>
          <w14:textFill>
            <w14:solidFill>
              <w14:schemeClr w14:val="tx1"/>
            </w14:solidFill>
          </w14:textFill>
        </w:rPr>
        <w:t>、4。</w:t>
      </w:r>
    </w:p>
    <w:p>
      <w:pPr>
        <w:spacing w:line="360" w:lineRule="auto"/>
        <w:rPr>
          <w:color w:val="000000" w:themeColor="text1"/>
          <w:szCs w:val="21"/>
          <w14:textFill>
            <w14:solidFill>
              <w14:schemeClr w14:val="tx1"/>
            </w14:solidFill>
          </w14:textFill>
        </w:rPr>
      </w:pPr>
    </w:p>
    <w:p>
      <w:pPr>
        <w:widowControl/>
        <w:spacing w:line="360" w:lineRule="auto"/>
        <w:jc w:val="left"/>
        <w:rPr>
          <w:rFonts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六、学时分配</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138"/>
        <w:gridCol w:w="1796"/>
        <w:gridCol w:w="1796"/>
        <w:gridCol w:w="79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26" w:type="pct"/>
            <w:vAlign w:val="center"/>
          </w:tcPr>
          <w:p>
            <w:pPr>
              <w:widowControl/>
              <w:adjustRightInd w:val="0"/>
              <w:snapToGrid w:val="0"/>
              <w:spacing w:before="100" w:beforeAutospacing="1" w:after="100" w:afterAutospacing="1"/>
              <w:jc w:val="center"/>
              <w:rPr>
                <w:bCs/>
                <w:snapToGrid w:val="0"/>
                <w:color w:val="000000" w:themeColor="text1"/>
                <w:kern w:val="0"/>
                <w:sz w:val="18"/>
                <w:szCs w:val="18"/>
                <w14:textFill>
                  <w14:solidFill>
                    <w14:schemeClr w14:val="tx1"/>
                  </w14:solidFill>
                </w14:textFill>
              </w:rPr>
            </w:pPr>
            <w:r>
              <w:rPr>
                <w:bCs/>
                <w:snapToGrid w:val="0"/>
                <w:color w:val="000000" w:themeColor="text1"/>
                <w:kern w:val="0"/>
                <w:sz w:val="18"/>
                <w:szCs w:val="18"/>
                <w14:textFill>
                  <w14:solidFill>
                    <w14:schemeClr w14:val="tx1"/>
                  </w14:solidFill>
                </w14:textFill>
              </w:rPr>
              <w:t>知识点及内容</w:t>
            </w:r>
          </w:p>
        </w:tc>
        <w:tc>
          <w:tcPr>
            <w:tcW w:w="1053" w:type="pct"/>
            <w:vAlign w:val="center"/>
          </w:tcPr>
          <w:p>
            <w:pPr>
              <w:widowControl/>
              <w:adjustRightInd w:val="0"/>
              <w:snapToGrid w:val="0"/>
              <w:spacing w:before="100" w:beforeAutospacing="1" w:after="100" w:afterAutospacing="1"/>
              <w:jc w:val="center"/>
              <w:rPr>
                <w:bCs/>
                <w:snapToGrid w:val="0"/>
                <w:color w:val="000000" w:themeColor="text1"/>
                <w:kern w:val="0"/>
                <w:sz w:val="18"/>
                <w:szCs w:val="18"/>
                <w14:textFill>
                  <w14:solidFill>
                    <w14:schemeClr w14:val="tx1"/>
                  </w14:solidFill>
                </w14:textFill>
              </w:rPr>
            </w:pPr>
            <w:r>
              <w:rPr>
                <w:bCs/>
                <w:snapToGrid w:val="0"/>
                <w:color w:val="000000" w:themeColor="text1"/>
                <w:kern w:val="0"/>
                <w:sz w:val="18"/>
                <w:szCs w:val="18"/>
                <w14:textFill>
                  <w14:solidFill>
                    <w14:schemeClr w14:val="tx1"/>
                  </w14:solidFill>
                </w14:textFill>
              </w:rPr>
              <w:t>讲授（学时）</w:t>
            </w:r>
          </w:p>
        </w:tc>
        <w:tc>
          <w:tcPr>
            <w:tcW w:w="1053" w:type="pct"/>
            <w:vAlign w:val="center"/>
          </w:tcPr>
          <w:p>
            <w:pPr>
              <w:widowControl/>
              <w:adjustRightInd w:val="0"/>
              <w:snapToGrid w:val="0"/>
              <w:spacing w:before="100" w:beforeAutospacing="1" w:after="100" w:afterAutospacing="1"/>
              <w:jc w:val="center"/>
              <w:rPr>
                <w:bCs/>
                <w:snapToGrid w:val="0"/>
                <w:color w:val="000000" w:themeColor="text1"/>
                <w:kern w:val="0"/>
                <w:sz w:val="18"/>
                <w:szCs w:val="18"/>
                <w14:textFill>
                  <w14:solidFill>
                    <w14:schemeClr w14:val="tx1"/>
                  </w14:solidFill>
                </w14:textFill>
              </w:rPr>
            </w:pPr>
            <w:r>
              <w:rPr>
                <w:bCs/>
                <w:snapToGrid w:val="0"/>
                <w:color w:val="000000" w:themeColor="text1"/>
                <w:kern w:val="0"/>
                <w:sz w:val="18"/>
                <w:szCs w:val="18"/>
                <w14:textFill>
                  <w14:solidFill>
                    <w14:schemeClr w14:val="tx1"/>
                  </w14:solidFill>
                </w14:textFill>
              </w:rPr>
              <w:t>实验（学时）</w:t>
            </w:r>
          </w:p>
        </w:tc>
        <w:tc>
          <w:tcPr>
            <w:tcW w:w="468" w:type="pct"/>
            <w:vAlign w:val="center"/>
          </w:tcPr>
          <w:p>
            <w:pPr>
              <w:widowControl/>
              <w:adjustRightInd w:val="0"/>
              <w:snapToGrid w:val="0"/>
              <w:spacing w:before="100" w:beforeAutospacing="1" w:after="100" w:afterAutospacing="1"/>
              <w:jc w:val="center"/>
              <w:rPr>
                <w:bCs/>
                <w:snapToGrid w:val="0"/>
                <w:color w:val="000000" w:themeColor="text1"/>
                <w:kern w:val="0"/>
                <w:sz w:val="18"/>
                <w:szCs w:val="18"/>
                <w14:textFill>
                  <w14:solidFill>
                    <w14:schemeClr w14:val="tx1"/>
                  </w14:solidFill>
                </w14:textFill>
              </w:rPr>
            </w:pPr>
            <w:r>
              <w:rPr>
                <w:bCs/>
                <w:snapToGrid w:val="0"/>
                <w:color w:val="000000" w:themeColor="text1"/>
                <w:kern w:val="0"/>
                <w:sz w:val="18"/>
                <w:szCs w:val="18"/>
                <w14:textFill>
                  <w14:solidFill>
                    <w14:schemeClr w14:val="tx1"/>
                  </w14:solidFill>
                </w14:textFill>
              </w:rPr>
              <w:t>小计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26" w:type="pct"/>
            <w:vAlign w:val="center"/>
          </w:tcPr>
          <w:p>
            <w:pPr>
              <w:widowControl/>
              <w:adjustRightInd w:val="0"/>
              <w:snapToGrid w:val="0"/>
              <w:spacing w:before="100" w:beforeAutospacing="1" w:after="100" w:afterAutospacing="1"/>
              <w:jc w:val="center"/>
              <w:rPr>
                <w:bCs/>
                <w:snapToGrid w:val="0"/>
                <w:color w:val="000000" w:themeColor="text1"/>
                <w:kern w:val="0"/>
                <w:sz w:val="18"/>
                <w:szCs w:val="18"/>
                <w14:textFill>
                  <w14:solidFill>
                    <w14:schemeClr w14:val="tx1"/>
                  </w14:solidFill>
                </w14:textFill>
              </w:rPr>
            </w:pPr>
            <w:r>
              <w:rPr>
                <w:bCs/>
                <w:snapToGrid w:val="0"/>
                <w:color w:val="000000" w:themeColor="text1"/>
                <w:kern w:val="0"/>
                <w:sz w:val="18"/>
                <w:szCs w:val="18"/>
                <w14:textFill>
                  <w14:solidFill>
                    <w14:schemeClr w14:val="tx1"/>
                  </w14:solidFill>
                </w14:textFill>
              </w:rPr>
              <w:t>1 微弱信号检测背景知识</w:t>
            </w:r>
          </w:p>
        </w:tc>
        <w:tc>
          <w:tcPr>
            <w:tcW w:w="1053" w:type="pct"/>
            <w:vAlign w:val="center"/>
          </w:tcPr>
          <w:p>
            <w:pPr>
              <w:widowControl/>
              <w:adjustRightInd w:val="0"/>
              <w:snapToGrid w:val="0"/>
              <w:spacing w:before="100" w:beforeAutospacing="1" w:after="100" w:afterAutospacing="1"/>
              <w:jc w:val="center"/>
              <w:rPr>
                <w:bCs/>
                <w:snapToGrid w:val="0"/>
                <w:color w:val="000000" w:themeColor="text1"/>
                <w:kern w:val="0"/>
                <w:sz w:val="18"/>
                <w:szCs w:val="18"/>
                <w14:textFill>
                  <w14:solidFill>
                    <w14:schemeClr w14:val="tx1"/>
                  </w14:solidFill>
                </w14:textFill>
              </w:rPr>
            </w:pPr>
            <w:r>
              <w:rPr>
                <w:bCs/>
                <w:snapToGrid w:val="0"/>
                <w:color w:val="000000" w:themeColor="text1"/>
                <w:kern w:val="0"/>
                <w:sz w:val="18"/>
                <w:szCs w:val="18"/>
                <w14:textFill>
                  <w14:solidFill>
                    <w14:schemeClr w14:val="tx1"/>
                  </w14:solidFill>
                </w14:textFill>
              </w:rPr>
              <w:t>2</w:t>
            </w:r>
          </w:p>
        </w:tc>
        <w:tc>
          <w:tcPr>
            <w:tcW w:w="1053" w:type="pct"/>
            <w:vAlign w:val="center"/>
          </w:tcPr>
          <w:p>
            <w:pPr>
              <w:widowControl/>
              <w:adjustRightInd w:val="0"/>
              <w:snapToGrid w:val="0"/>
              <w:spacing w:before="100" w:beforeAutospacing="1" w:after="100" w:afterAutospacing="1"/>
              <w:jc w:val="center"/>
              <w:rPr>
                <w:bCs/>
                <w:snapToGrid w:val="0"/>
                <w:color w:val="000000" w:themeColor="text1"/>
                <w:kern w:val="0"/>
                <w:sz w:val="18"/>
                <w:szCs w:val="18"/>
                <w14:textFill>
                  <w14:solidFill>
                    <w14:schemeClr w14:val="tx1"/>
                  </w14:solidFill>
                </w14:textFill>
              </w:rPr>
            </w:pPr>
            <w:r>
              <w:rPr>
                <w:bCs/>
                <w:snapToGrid w:val="0"/>
                <w:color w:val="000000" w:themeColor="text1"/>
                <w:kern w:val="0"/>
                <w:sz w:val="18"/>
                <w:szCs w:val="18"/>
                <w14:textFill>
                  <w14:solidFill>
                    <w14:schemeClr w14:val="tx1"/>
                  </w14:solidFill>
                </w14:textFill>
              </w:rPr>
              <w:t>0</w:t>
            </w:r>
          </w:p>
        </w:tc>
        <w:tc>
          <w:tcPr>
            <w:tcW w:w="468" w:type="pct"/>
            <w:vAlign w:val="center"/>
          </w:tcPr>
          <w:p>
            <w:pPr>
              <w:widowControl/>
              <w:adjustRightInd w:val="0"/>
              <w:snapToGrid w:val="0"/>
              <w:spacing w:before="100" w:beforeAutospacing="1" w:after="100" w:afterAutospacing="1"/>
              <w:jc w:val="center"/>
              <w:rPr>
                <w:bCs/>
                <w:snapToGrid w:val="0"/>
                <w:color w:val="000000" w:themeColor="text1"/>
                <w:kern w:val="0"/>
                <w:sz w:val="18"/>
                <w:szCs w:val="18"/>
                <w14:textFill>
                  <w14:solidFill>
                    <w14:schemeClr w14:val="tx1"/>
                  </w14:solidFill>
                </w14:textFill>
              </w:rPr>
            </w:pPr>
            <w:r>
              <w:rPr>
                <w:bCs/>
                <w:snapToGrid w:val="0"/>
                <w:color w:val="000000" w:themeColor="text1"/>
                <w:kern w:val="0"/>
                <w:sz w:val="18"/>
                <w:szCs w:val="18"/>
                <w14:textFill>
                  <w14:solidFill>
                    <w14:schemeClr w14:val="tx1"/>
                  </w14:solidFill>
                </w14:textFill>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26" w:type="pct"/>
            <w:vAlign w:val="center"/>
          </w:tcPr>
          <w:p>
            <w:pPr>
              <w:widowControl/>
              <w:adjustRightInd w:val="0"/>
              <w:snapToGrid w:val="0"/>
              <w:spacing w:before="100" w:beforeAutospacing="1" w:after="100" w:afterAutospacing="1"/>
              <w:jc w:val="center"/>
              <w:rPr>
                <w:bCs/>
                <w:snapToGrid w:val="0"/>
                <w:color w:val="000000" w:themeColor="text1"/>
                <w:kern w:val="0"/>
                <w:sz w:val="18"/>
                <w:szCs w:val="18"/>
                <w14:textFill>
                  <w14:solidFill>
                    <w14:schemeClr w14:val="tx1"/>
                  </w14:solidFill>
                </w14:textFill>
              </w:rPr>
            </w:pPr>
            <w:r>
              <w:rPr>
                <w:bCs/>
                <w:snapToGrid w:val="0"/>
                <w:color w:val="000000" w:themeColor="text1"/>
                <w:kern w:val="0"/>
                <w:sz w:val="18"/>
                <w:szCs w:val="18"/>
                <w14:textFill>
                  <w14:solidFill>
                    <w14:schemeClr w14:val="tx1"/>
                  </w14:solidFill>
                </w14:textFill>
              </w:rPr>
              <w:t>2 微弱信号检测方法</w:t>
            </w:r>
          </w:p>
        </w:tc>
        <w:tc>
          <w:tcPr>
            <w:tcW w:w="1053" w:type="pct"/>
            <w:vAlign w:val="center"/>
          </w:tcPr>
          <w:p>
            <w:pPr>
              <w:widowControl/>
              <w:adjustRightInd w:val="0"/>
              <w:snapToGrid w:val="0"/>
              <w:spacing w:before="100" w:beforeAutospacing="1" w:after="100" w:afterAutospacing="1"/>
              <w:jc w:val="center"/>
              <w:rPr>
                <w:bCs/>
                <w:snapToGrid w:val="0"/>
                <w:color w:val="000000" w:themeColor="text1"/>
                <w:kern w:val="0"/>
                <w:sz w:val="18"/>
                <w:szCs w:val="18"/>
                <w14:textFill>
                  <w14:solidFill>
                    <w14:schemeClr w14:val="tx1"/>
                  </w14:solidFill>
                </w14:textFill>
              </w:rPr>
            </w:pPr>
            <w:r>
              <w:rPr>
                <w:bCs/>
                <w:snapToGrid w:val="0"/>
                <w:color w:val="000000" w:themeColor="text1"/>
                <w:kern w:val="0"/>
                <w:sz w:val="18"/>
                <w:szCs w:val="18"/>
                <w14:textFill>
                  <w14:solidFill>
                    <w14:schemeClr w14:val="tx1"/>
                  </w14:solidFill>
                </w14:textFill>
              </w:rPr>
              <w:t>10</w:t>
            </w:r>
          </w:p>
        </w:tc>
        <w:tc>
          <w:tcPr>
            <w:tcW w:w="1053" w:type="pct"/>
            <w:vAlign w:val="center"/>
          </w:tcPr>
          <w:p>
            <w:pPr>
              <w:widowControl/>
              <w:adjustRightInd w:val="0"/>
              <w:snapToGrid w:val="0"/>
              <w:spacing w:before="100" w:beforeAutospacing="1" w:after="100" w:afterAutospacing="1"/>
              <w:jc w:val="center"/>
              <w:rPr>
                <w:bCs/>
                <w:snapToGrid w:val="0"/>
                <w:color w:val="000000" w:themeColor="text1"/>
                <w:kern w:val="0"/>
                <w:sz w:val="18"/>
                <w:szCs w:val="18"/>
                <w14:textFill>
                  <w14:solidFill>
                    <w14:schemeClr w14:val="tx1"/>
                  </w14:solidFill>
                </w14:textFill>
              </w:rPr>
            </w:pPr>
            <w:r>
              <w:rPr>
                <w:bCs/>
                <w:snapToGrid w:val="0"/>
                <w:color w:val="000000" w:themeColor="text1"/>
                <w:kern w:val="0"/>
                <w:sz w:val="18"/>
                <w:szCs w:val="18"/>
                <w14:textFill>
                  <w14:solidFill>
                    <w14:schemeClr w14:val="tx1"/>
                  </w14:solidFill>
                </w14:textFill>
              </w:rPr>
              <w:t>2</w:t>
            </w:r>
          </w:p>
        </w:tc>
        <w:tc>
          <w:tcPr>
            <w:tcW w:w="468" w:type="pct"/>
            <w:vAlign w:val="center"/>
          </w:tcPr>
          <w:p>
            <w:pPr>
              <w:widowControl/>
              <w:adjustRightInd w:val="0"/>
              <w:snapToGrid w:val="0"/>
              <w:spacing w:before="100" w:beforeAutospacing="1" w:after="100" w:afterAutospacing="1"/>
              <w:jc w:val="center"/>
              <w:rPr>
                <w:bCs/>
                <w:snapToGrid w:val="0"/>
                <w:color w:val="000000" w:themeColor="text1"/>
                <w:kern w:val="0"/>
                <w:sz w:val="18"/>
                <w:szCs w:val="18"/>
                <w14:textFill>
                  <w14:solidFill>
                    <w14:schemeClr w14:val="tx1"/>
                  </w14:solidFill>
                </w14:textFill>
              </w:rPr>
            </w:pPr>
            <w:r>
              <w:rPr>
                <w:bCs/>
                <w:snapToGrid w:val="0"/>
                <w:color w:val="000000" w:themeColor="text1"/>
                <w:kern w:val="0"/>
                <w:sz w:val="18"/>
                <w:szCs w:val="18"/>
                <w14:textFill>
                  <w14:solidFill>
                    <w14:schemeClr w14:val="tx1"/>
                  </w14:solidFill>
                </w14:textFill>
              </w:rPr>
              <w:t>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26" w:type="pct"/>
            <w:vAlign w:val="center"/>
          </w:tcPr>
          <w:p>
            <w:pPr>
              <w:widowControl/>
              <w:adjustRightInd w:val="0"/>
              <w:snapToGrid w:val="0"/>
              <w:spacing w:before="100" w:beforeAutospacing="1" w:after="100" w:afterAutospacing="1"/>
              <w:jc w:val="center"/>
              <w:rPr>
                <w:bCs/>
                <w:snapToGrid w:val="0"/>
                <w:color w:val="000000" w:themeColor="text1"/>
                <w:kern w:val="0"/>
                <w:sz w:val="18"/>
                <w:szCs w:val="18"/>
                <w14:textFill>
                  <w14:solidFill>
                    <w14:schemeClr w14:val="tx1"/>
                  </w14:solidFill>
                </w14:textFill>
              </w:rPr>
            </w:pPr>
            <w:r>
              <w:rPr>
                <w:bCs/>
                <w:snapToGrid w:val="0"/>
                <w:color w:val="000000" w:themeColor="text1"/>
                <w:kern w:val="0"/>
                <w:sz w:val="18"/>
                <w:szCs w:val="18"/>
                <w14:textFill>
                  <w14:solidFill>
                    <w14:schemeClr w14:val="tx1"/>
                  </w14:solidFill>
                </w14:textFill>
              </w:rPr>
              <w:t>3 微弱信号检测电路</w:t>
            </w:r>
          </w:p>
        </w:tc>
        <w:tc>
          <w:tcPr>
            <w:tcW w:w="1053" w:type="pct"/>
            <w:vAlign w:val="center"/>
          </w:tcPr>
          <w:p>
            <w:pPr>
              <w:widowControl/>
              <w:adjustRightInd w:val="0"/>
              <w:snapToGrid w:val="0"/>
              <w:spacing w:before="100" w:beforeAutospacing="1" w:after="100" w:afterAutospacing="1"/>
              <w:jc w:val="center"/>
              <w:rPr>
                <w:bCs/>
                <w:snapToGrid w:val="0"/>
                <w:color w:val="000000" w:themeColor="text1"/>
                <w:kern w:val="0"/>
                <w:sz w:val="18"/>
                <w:szCs w:val="18"/>
                <w14:textFill>
                  <w14:solidFill>
                    <w14:schemeClr w14:val="tx1"/>
                  </w14:solidFill>
                </w14:textFill>
              </w:rPr>
            </w:pPr>
            <w:r>
              <w:rPr>
                <w:bCs/>
                <w:snapToGrid w:val="0"/>
                <w:color w:val="000000" w:themeColor="text1"/>
                <w:kern w:val="0"/>
                <w:sz w:val="18"/>
                <w:szCs w:val="18"/>
                <w14:textFill>
                  <w14:solidFill>
                    <w14:schemeClr w14:val="tx1"/>
                  </w14:solidFill>
                </w14:textFill>
              </w:rPr>
              <w:t>4</w:t>
            </w:r>
          </w:p>
        </w:tc>
        <w:tc>
          <w:tcPr>
            <w:tcW w:w="1053" w:type="pct"/>
            <w:vAlign w:val="center"/>
          </w:tcPr>
          <w:p>
            <w:pPr>
              <w:widowControl/>
              <w:adjustRightInd w:val="0"/>
              <w:snapToGrid w:val="0"/>
              <w:spacing w:before="100" w:beforeAutospacing="1" w:after="100" w:afterAutospacing="1"/>
              <w:jc w:val="center"/>
              <w:rPr>
                <w:bCs/>
                <w:snapToGrid w:val="0"/>
                <w:color w:val="000000" w:themeColor="text1"/>
                <w:kern w:val="0"/>
                <w:sz w:val="18"/>
                <w:szCs w:val="18"/>
                <w14:textFill>
                  <w14:solidFill>
                    <w14:schemeClr w14:val="tx1"/>
                  </w14:solidFill>
                </w14:textFill>
              </w:rPr>
            </w:pPr>
            <w:r>
              <w:rPr>
                <w:bCs/>
                <w:snapToGrid w:val="0"/>
                <w:color w:val="000000" w:themeColor="text1"/>
                <w:kern w:val="0"/>
                <w:sz w:val="18"/>
                <w:szCs w:val="18"/>
                <w14:textFill>
                  <w14:solidFill>
                    <w14:schemeClr w14:val="tx1"/>
                  </w14:solidFill>
                </w14:textFill>
              </w:rPr>
              <w:t>14</w:t>
            </w:r>
          </w:p>
        </w:tc>
        <w:tc>
          <w:tcPr>
            <w:tcW w:w="468" w:type="pct"/>
            <w:vAlign w:val="center"/>
          </w:tcPr>
          <w:p>
            <w:pPr>
              <w:widowControl/>
              <w:adjustRightInd w:val="0"/>
              <w:snapToGrid w:val="0"/>
              <w:spacing w:before="100" w:beforeAutospacing="1" w:after="100" w:afterAutospacing="1"/>
              <w:jc w:val="center"/>
              <w:rPr>
                <w:bCs/>
                <w:snapToGrid w:val="0"/>
                <w:color w:val="000000" w:themeColor="text1"/>
                <w:kern w:val="0"/>
                <w:sz w:val="18"/>
                <w:szCs w:val="18"/>
                <w14:textFill>
                  <w14:solidFill>
                    <w14:schemeClr w14:val="tx1"/>
                  </w14:solidFill>
                </w14:textFill>
              </w:rPr>
            </w:pPr>
            <w:r>
              <w:rPr>
                <w:bCs/>
                <w:snapToGrid w:val="0"/>
                <w:color w:val="000000" w:themeColor="text1"/>
                <w:kern w:val="0"/>
                <w:sz w:val="18"/>
                <w:szCs w:val="18"/>
                <w14:textFill>
                  <w14:solidFill>
                    <w14:schemeClr w14:val="tx1"/>
                  </w14:solidFill>
                </w14:textFill>
              </w:rPr>
              <w:t>18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26" w:type="pct"/>
            <w:vAlign w:val="center"/>
          </w:tcPr>
          <w:p>
            <w:pPr>
              <w:widowControl/>
              <w:adjustRightInd w:val="0"/>
              <w:snapToGrid w:val="0"/>
              <w:spacing w:before="100" w:beforeAutospacing="1" w:after="100" w:afterAutospacing="1"/>
              <w:jc w:val="center"/>
              <w:rPr>
                <w:bCs/>
                <w:snapToGrid w:val="0"/>
                <w:color w:val="000000" w:themeColor="text1"/>
                <w:kern w:val="0"/>
                <w:sz w:val="18"/>
                <w:szCs w:val="18"/>
                <w14:textFill>
                  <w14:solidFill>
                    <w14:schemeClr w14:val="tx1"/>
                  </w14:solidFill>
                </w14:textFill>
              </w:rPr>
            </w:pPr>
            <w:r>
              <w:rPr>
                <w:bCs/>
                <w:snapToGrid w:val="0"/>
                <w:color w:val="000000" w:themeColor="text1"/>
                <w:kern w:val="0"/>
                <w:sz w:val="18"/>
                <w:szCs w:val="18"/>
                <w14:textFill>
                  <w14:solidFill>
                    <w14:schemeClr w14:val="tx1"/>
                  </w14:solidFill>
                </w14:textFill>
              </w:rPr>
              <w:t>合计</w:t>
            </w:r>
          </w:p>
        </w:tc>
        <w:tc>
          <w:tcPr>
            <w:tcW w:w="1053" w:type="pct"/>
            <w:vAlign w:val="center"/>
          </w:tcPr>
          <w:p>
            <w:pPr>
              <w:widowControl/>
              <w:adjustRightInd w:val="0"/>
              <w:snapToGrid w:val="0"/>
              <w:spacing w:before="100" w:beforeAutospacing="1" w:after="100" w:afterAutospacing="1"/>
              <w:jc w:val="center"/>
              <w:rPr>
                <w:bCs/>
                <w:snapToGrid w:val="0"/>
                <w:color w:val="000000" w:themeColor="text1"/>
                <w:kern w:val="0"/>
                <w:sz w:val="18"/>
                <w:szCs w:val="18"/>
                <w14:textFill>
                  <w14:solidFill>
                    <w14:schemeClr w14:val="tx1"/>
                  </w14:solidFill>
                </w14:textFill>
              </w:rPr>
            </w:pPr>
            <w:r>
              <w:rPr>
                <w:bCs/>
                <w:snapToGrid w:val="0"/>
                <w:color w:val="000000" w:themeColor="text1"/>
                <w:kern w:val="0"/>
                <w:sz w:val="18"/>
                <w:szCs w:val="18"/>
                <w14:textFill>
                  <w14:solidFill>
                    <w14:schemeClr w14:val="tx1"/>
                  </w14:solidFill>
                </w14:textFill>
              </w:rPr>
              <w:t>16</w:t>
            </w:r>
          </w:p>
        </w:tc>
        <w:tc>
          <w:tcPr>
            <w:tcW w:w="1053" w:type="pct"/>
            <w:vAlign w:val="center"/>
          </w:tcPr>
          <w:p>
            <w:pPr>
              <w:widowControl/>
              <w:adjustRightInd w:val="0"/>
              <w:snapToGrid w:val="0"/>
              <w:spacing w:before="100" w:beforeAutospacing="1" w:after="100" w:afterAutospacing="1"/>
              <w:jc w:val="center"/>
              <w:rPr>
                <w:bCs/>
                <w:snapToGrid w:val="0"/>
                <w:color w:val="000000" w:themeColor="text1"/>
                <w:kern w:val="0"/>
                <w:sz w:val="18"/>
                <w:szCs w:val="18"/>
                <w14:textFill>
                  <w14:solidFill>
                    <w14:schemeClr w14:val="tx1"/>
                  </w14:solidFill>
                </w14:textFill>
              </w:rPr>
            </w:pPr>
            <w:r>
              <w:rPr>
                <w:bCs/>
                <w:snapToGrid w:val="0"/>
                <w:color w:val="000000" w:themeColor="text1"/>
                <w:kern w:val="0"/>
                <w:sz w:val="18"/>
                <w:szCs w:val="18"/>
                <w14:textFill>
                  <w14:solidFill>
                    <w14:schemeClr w14:val="tx1"/>
                  </w14:solidFill>
                </w14:textFill>
              </w:rPr>
              <w:t>16</w:t>
            </w:r>
          </w:p>
        </w:tc>
        <w:tc>
          <w:tcPr>
            <w:tcW w:w="468" w:type="pct"/>
            <w:vAlign w:val="center"/>
          </w:tcPr>
          <w:p>
            <w:pPr>
              <w:widowControl/>
              <w:adjustRightInd w:val="0"/>
              <w:snapToGrid w:val="0"/>
              <w:spacing w:before="100" w:beforeAutospacing="1" w:after="100" w:afterAutospacing="1"/>
              <w:jc w:val="center"/>
              <w:rPr>
                <w:bCs/>
                <w:snapToGrid w:val="0"/>
                <w:color w:val="000000" w:themeColor="text1"/>
                <w:kern w:val="0"/>
                <w:sz w:val="18"/>
                <w:szCs w:val="18"/>
                <w14:textFill>
                  <w14:solidFill>
                    <w14:schemeClr w14:val="tx1"/>
                  </w14:solidFill>
                </w14:textFill>
              </w:rPr>
            </w:pPr>
            <w:r>
              <w:rPr>
                <w:bCs/>
                <w:snapToGrid w:val="0"/>
                <w:color w:val="000000" w:themeColor="text1"/>
                <w:kern w:val="0"/>
                <w:sz w:val="18"/>
                <w:szCs w:val="18"/>
                <w14:textFill>
                  <w14:solidFill>
                    <w14:schemeClr w14:val="tx1"/>
                  </w14:solidFill>
                </w14:textFill>
              </w:rPr>
              <w:t>32</w:t>
            </w:r>
          </w:p>
        </w:tc>
      </w:tr>
    </w:tbl>
    <w:p>
      <w:pPr>
        <w:spacing w:line="360" w:lineRule="auto"/>
        <w:rPr>
          <w:b/>
          <w:color w:val="000000" w:themeColor="text1"/>
          <w:sz w:val="24"/>
          <w:szCs w:val="24"/>
          <w14:textFill>
            <w14:solidFill>
              <w14:schemeClr w14:val="tx1"/>
            </w14:solidFill>
          </w14:textFill>
        </w:rPr>
      </w:pPr>
    </w:p>
    <w:p>
      <w:pPr>
        <w:tabs>
          <w:tab w:val="left" w:pos="420"/>
        </w:tabs>
        <w:spacing w:line="360" w:lineRule="auto"/>
        <w:ind w:left="420" w:hanging="420"/>
        <w:rPr>
          <w:rFonts w:eastAsia="黑体"/>
          <w:color w:val="000000" w:themeColor="text1"/>
          <w:szCs w:val="24"/>
          <w14:textFill>
            <w14:solidFill>
              <w14:schemeClr w14:val="tx1"/>
            </w14:solidFill>
          </w14:textFill>
        </w:rPr>
      </w:pPr>
      <w:r>
        <w:rPr>
          <w:rFonts w:hint="eastAsia" w:eastAsia="黑体"/>
          <w:color w:val="000000" w:themeColor="text1"/>
          <w:szCs w:val="24"/>
          <w14:textFill>
            <w14:solidFill>
              <w14:schemeClr w14:val="tx1"/>
            </w14:solidFill>
          </w14:textFill>
        </w:rPr>
        <w:t>七、教材、补充教材及参考资料</w:t>
      </w:r>
    </w:p>
    <w:p>
      <w:pPr>
        <w:numPr>
          <w:ilvl w:val="0"/>
          <w:numId w:val="11"/>
        </w:numPr>
        <w:adjustRightInd w:val="0"/>
        <w:snapToGrid w:val="0"/>
        <w:spacing w:line="360" w:lineRule="auto"/>
        <w:ind w:left="420"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高晋占，《微弱信号检测</w:t>
      </w:r>
      <w:r>
        <w:rPr>
          <w:color w:val="000000" w:themeColor="text1"/>
          <w14:textFill>
            <w14:solidFill>
              <w14:schemeClr w14:val="tx1"/>
            </w14:solidFill>
          </w14:textFill>
        </w:rPr>
        <w:t>. 第 2 版</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北京</w:t>
      </w:r>
      <w:r>
        <w:rPr>
          <w:rFonts w:hint="eastAsia"/>
          <w:color w:val="000000" w:themeColor="text1"/>
          <w14:textFill>
            <w14:solidFill>
              <w14:schemeClr w14:val="tx1"/>
            </w14:solidFill>
          </w14:textFill>
        </w:rPr>
        <w:t>：清华大学出版社</w:t>
      </w:r>
      <w:r>
        <w:rPr>
          <w:color w:val="000000" w:themeColor="text1"/>
          <w14:textFill>
            <w14:solidFill>
              <w14:schemeClr w14:val="tx1"/>
            </w14:solidFill>
          </w14:textFill>
        </w:rPr>
        <w:t>. 20</w:t>
      </w:r>
      <w:r>
        <w:rPr>
          <w:rFonts w:hint="eastAsia"/>
          <w:color w:val="000000" w:themeColor="text1"/>
          <w14:textFill>
            <w14:solidFill>
              <w14:schemeClr w14:val="tx1"/>
            </w14:solidFill>
          </w14:textFill>
        </w:rPr>
        <w:t>11</w:t>
      </w:r>
      <w:r>
        <w:rPr>
          <w:color w:val="000000" w:themeColor="text1"/>
          <w14:textFill>
            <w14:solidFill>
              <w14:schemeClr w14:val="tx1"/>
            </w14:solidFill>
          </w14:textFill>
        </w:rPr>
        <w:t>年.</w:t>
      </w:r>
    </w:p>
    <w:p>
      <w:pPr>
        <w:numPr>
          <w:ilvl w:val="0"/>
          <w:numId w:val="11"/>
        </w:numPr>
        <w:adjustRightInd w:val="0"/>
        <w:snapToGrid w:val="0"/>
        <w:spacing w:line="360" w:lineRule="auto"/>
        <w:ind w:left="420" w:firstLine="0"/>
        <w:rPr>
          <w:color w:val="000000" w:themeColor="text1"/>
          <w14:textFill>
            <w14:solidFill>
              <w14:schemeClr w14:val="tx1"/>
            </w14:solidFill>
          </w14:textFill>
        </w:rPr>
      </w:pPr>
      <w:r>
        <w:fldChar w:fldCharType="begin"/>
      </w:r>
      <w:r>
        <w:instrText xml:space="preserve"> HYPERLINK "http://www.dangdang.com/author/%CB%EF%CA%BF%C6%BD_1" \t "_blank" </w:instrText>
      </w:r>
      <w:r>
        <w:fldChar w:fldCharType="separate"/>
      </w:r>
      <w:r>
        <w:rPr>
          <w:color w:val="000000" w:themeColor="text1"/>
          <w14:textFill>
            <w14:solidFill>
              <w14:schemeClr w14:val="tx1"/>
            </w14:solidFill>
          </w14:textFill>
        </w:rPr>
        <w:t>孙士平</w:t>
      </w:r>
      <w:r>
        <w:rPr>
          <w:color w:val="000000" w:themeColor="text1"/>
          <w14:textFill>
            <w14:solidFill>
              <w14:schemeClr w14:val="tx1"/>
            </w14:solidFill>
          </w14:textFill>
        </w:rPr>
        <w:fldChar w:fldCharType="end"/>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微弱信号检测与应</w:t>
      </w:r>
      <w:r>
        <w:rPr>
          <w:rFonts w:hint="eastAsia"/>
          <w:color w:val="000000" w:themeColor="text1"/>
          <w14:textFill>
            <w14:solidFill>
              <w14:schemeClr w14:val="tx1"/>
            </w14:solidFill>
          </w14:textFill>
        </w:rPr>
        <w:t>用》，</w:t>
      </w:r>
      <w:r>
        <w:rPr>
          <w:color w:val="000000" w:themeColor="text1"/>
          <w14:textFill>
            <w14:solidFill>
              <w14:schemeClr w14:val="tx1"/>
            </w14:solidFill>
          </w14:textFill>
        </w:rPr>
        <w:t>北京</w:t>
      </w:r>
      <w:r>
        <w:rPr>
          <w:rFonts w:hint="eastAsia"/>
          <w:color w:val="000000" w:themeColor="text1"/>
          <w14:textFill>
            <w14:solidFill>
              <w14:schemeClr w14:val="tx1"/>
            </w14:solidFill>
          </w14:textFill>
        </w:rPr>
        <w:t>：电子工业出版社</w:t>
      </w:r>
      <w:r>
        <w:rPr>
          <w:color w:val="000000" w:themeColor="text1"/>
          <w14:textFill>
            <w14:solidFill>
              <w14:schemeClr w14:val="tx1"/>
            </w14:solidFill>
          </w14:textFill>
        </w:rPr>
        <w:t>. 20</w:t>
      </w:r>
      <w:r>
        <w:rPr>
          <w:rFonts w:hint="eastAsia"/>
          <w:color w:val="000000" w:themeColor="text1"/>
          <w14:textFill>
            <w14:solidFill>
              <w14:schemeClr w14:val="tx1"/>
            </w14:solidFill>
          </w14:textFill>
        </w:rPr>
        <w:t>13</w:t>
      </w:r>
      <w:r>
        <w:rPr>
          <w:color w:val="000000" w:themeColor="text1"/>
          <w14:textFill>
            <w14:solidFill>
              <w14:schemeClr w14:val="tx1"/>
            </w14:solidFill>
          </w14:textFill>
        </w:rPr>
        <w:t>年.</w:t>
      </w:r>
    </w:p>
    <w:p>
      <w:pPr>
        <w:numPr>
          <w:ilvl w:val="0"/>
          <w:numId w:val="11"/>
        </w:numPr>
        <w:adjustRightInd w:val="0"/>
        <w:snapToGrid w:val="0"/>
        <w:spacing w:line="360" w:lineRule="auto"/>
        <w:ind w:left="420" w:firstLine="0"/>
        <w:rPr>
          <w:color w:val="000000" w:themeColor="text1"/>
          <w14:textFill>
            <w14:solidFill>
              <w14:schemeClr w14:val="tx1"/>
            </w14:solidFill>
          </w14:textFill>
        </w:rPr>
      </w:pPr>
      <w:r>
        <w:fldChar w:fldCharType="begin"/>
      </w:r>
      <w:r>
        <w:instrText xml:space="preserve"> HYPERLINK "http://www.dangdang.com/author/%C1%F5%B9%FA%B8%A3_1" \t "_blank" </w:instrText>
      </w:r>
      <w:r>
        <w:fldChar w:fldCharType="separate"/>
      </w:r>
      <w:r>
        <w:rPr>
          <w:color w:val="000000" w:themeColor="text1"/>
          <w14:textFill>
            <w14:solidFill>
              <w14:schemeClr w14:val="tx1"/>
            </w14:solidFill>
          </w14:textFill>
        </w:rPr>
        <w:t>刘国福</w:t>
      </w:r>
      <w:r>
        <w:rPr>
          <w:color w:val="000000" w:themeColor="text1"/>
          <w14:textFill>
            <w14:solidFill>
              <w14:schemeClr w14:val="tx1"/>
            </w14:solidFill>
          </w14:textFill>
        </w:rPr>
        <w:fldChar w:fldCharType="end"/>
      </w:r>
      <w:r>
        <w:rPr>
          <w:color w:val="000000" w:themeColor="text1"/>
          <w14:textFill>
            <w14:solidFill>
              <w14:schemeClr w14:val="tx1"/>
            </w14:solidFill>
          </w14:textFill>
        </w:rPr>
        <w:t>，</w:t>
      </w:r>
      <w:r>
        <w:fldChar w:fldCharType="begin"/>
      </w:r>
      <w:r>
        <w:instrText xml:space="preserve"> HYPERLINK "http://www.dangdang.com/author/%D1%EE%BF%A1_1" \t "_blank" </w:instrText>
      </w:r>
      <w:r>
        <w:fldChar w:fldCharType="separate"/>
      </w:r>
      <w:r>
        <w:rPr>
          <w:color w:val="000000" w:themeColor="text1"/>
          <w14:textFill>
            <w14:solidFill>
              <w14:schemeClr w14:val="tx1"/>
            </w14:solidFill>
          </w14:textFill>
        </w:rPr>
        <w:t>杨俊</w:t>
      </w:r>
      <w:r>
        <w:rPr>
          <w:color w:val="000000" w:themeColor="text1"/>
          <w14:textFill>
            <w14:solidFill>
              <w14:schemeClr w14:val="tx1"/>
            </w14:solidFill>
          </w14:textFill>
        </w:rPr>
        <w:fldChar w:fldCharType="end"/>
      </w:r>
      <w:r>
        <w:rPr>
          <w:color w:val="000000" w:themeColor="text1"/>
          <w14:textFill>
            <w14:solidFill>
              <w14:schemeClr w14:val="tx1"/>
            </w14:solidFill>
          </w14:textFill>
        </w:rPr>
        <w:t>等，</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微弱信号检测技</w:t>
      </w:r>
      <w:r>
        <w:rPr>
          <w:rFonts w:hint="eastAsia"/>
          <w:color w:val="000000" w:themeColor="text1"/>
          <w14:textFill>
            <w14:solidFill>
              <w14:schemeClr w14:val="tx1"/>
            </w14:solidFill>
          </w14:textFill>
        </w:rPr>
        <w:t>术》，</w:t>
      </w:r>
      <w:r>
        <w:rPr>
          <w:color w:val="000000" w:themeColor="text1"/>
          <w14:textFill>
            <w14:solidFill>
              <w14:schemeClr w14:val="tx1"/>
            </w14:solidFill>
          </w14:textFill>
        </w:rPr>
        <w:t>北京</w:t>
      </w:r>
      <w:r>
        <w:rPr>
          <w:rFonts w:hint="eastAsia"/>
          <w:color w:val="000000" w:themeColor="text1"/>
          <w14:textFill>
            <w14:solidFill>
              <w14:schemeClr w14:val="tx1"/>
            </w14:solidFill>
          </w14:textFill>
        </w:rPr>
        <w:t>：机械工业出版社</w:t>
      </w:r>
      <w:r>
        <w:rPr>
          <w:color w:val="000000" w:themeColor="text1"/>
          <w14:textFill>
            <w14:solidFill>
              <w14:schemeClr w14:val="tx1"/>
            </w14:solidFill>
          </w14:textFill>
        </w:rPr>
        <w:t>. 20</w:t>
      </w:r>
      <w:r>
        <w:rPr>
          <w:rFonts w:hint="eastAsia"/>
          <w:color w:val="000000" w:themeColor="text1"/>
          <w14:textFill>
            <w14:solidFill>
              <w14:schemeClr w14:val="tx1"/>
            </w14:solidFill>
          </w14:textFill>
        </w:rPr>
        <w:t>14</w:t>
      </w:r>
      <w:r>
        <w:rPr>
          <w:color w:val="000000" w:themeColor="text1"/>
          <w14:textFill>
            <w14:solidFill>
              <w14:schemeClr w14:val="tx1"/>
            </w14:solidFill>
          </w14:textFill>
        </w:rPr>
        <w:t>年.</w:t>
      </w:r>
    </w:p>
    <w:p>
      <w:pPr>
        <w:numPr>
          <w:ilvl w:val="0"/>
          <w:numId w:val="11"/>
        </w:numPr>
        <w:adjustRightInd w:val="0"/>
        <w:snapToGrid w:val="0"/>
        <w:spacing w:line="360" w:lineRule="auto"/>
        <w:ind w:left="420"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刘俊</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张斌珍</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微弱信号检测技</w:t>
      </w:r>
      <w:r>
        <w:rPr>
          <w:rFonts w:hint="eastAsia"/>
          <w:color w:val="000000" w:themeColor="text1"/>
          <w14:textFill>
            <w14:solidFill>
              <w14:schemeClr w14:val="tx1"/>
            </w14:solidFill>
          </w14:textFill>
        </w:rPr>
        <w:t>术》，</w:t>
      </w:r>
      <w:r>
        <w:rPr>
          <w:color w:val="000000" w:themeColor="text1"/>
          <w14:textFill>
            <w14:solidFill>
              <w14:schemeClr w14:val="tx1"/>
            </w14:solidFill>
          </w14:textFill>
        </w:rPr>
        <w:t>北京</w:t>
      </w:r>
      <w:r>
        <w:rPr>
          <w:rFonts w:hint="eastAsia"/>
          <w:color w:val="000000" w:themeColor="text1"/>
          <w14:textFill>
            <w14:solidFill>
              <w14:schemeClr w14:val="tx1"/>
            </w14:solidFill>
          </w14:textFill>
        </w:rPr>
        <w:t>：电子工业出版社</w:t>
      </w:r>
      <w:r>
        <w:rPr>
          <w:color w:val="000000" w:themeColor="text1"/>
          <w14:textFill>
            <w14:solidFill>
              <w14:schemeClr w14:val="tx1"/>
            </w14:solidFill>
          </w14:textFill>
        </w:rPr>
        <w:t>. 20</w:t>
      </w:r>
      <w:r>
        <w:rPr>
          <w:rFonts w:hint="eastAsia"/>
          <w:color w:val="000000" w:themeColor="text1"/>
          <w14:textFill>
            <w14:solidFill>
              <w14:schemeClr w14:val="tx1"/>
            </w14:solidFill>
          </w14:textFill>
        </w:rPr>
        <w:t>05</w:t>
      </w:r>
      <w:r>
        <w:rPr>
          <w:color w:val="000000" w:themeColor="text1"/>
          <w14:textFill>
            <w14:solidFill>
              <w14:schemeClr w14:val="tx1"/>
            </w14:solidFill>
          </w14:textFill>
        </w:rPr>
        <w:t>年.</w:t>
      </w:r>
    </w:p>
    <w:p>
      <w:pPr>
        <w:numPr>
          <w:ilvl w:val="0"/>
          <w:numId w:val="11"/>
        </w:numPr>
        <w:adjustRightInd w:val="0"/>
        <w:snapToGrid w:val="0"/>
        <w:spacing w:line="360" w:lineRule="auto"/>
        <w:ind w:left="420"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视频资料：《低噪声LNA放大器的制作与测试》，优酷视频，资料链接：</w:t>
      </w:r>
      <w:r>
        <w:rPr>
          <w:color w:val="000000" w:themeColor="text1"/>
          <w14:textFill>
            <w14:solidFill>
              <w14:schemeClr w14:val="tx1"/>
            </w14:solidFill>
          </w14:textFill>
        </w:rPr>
        <w:t>https://v.youku.com/v_show/id_XNDA4MjQ1MDI5Ng.html?refer=seo_operation.liuxiao.liux_00003303_3000_Qzu6ve_19042900</w:t>
      </w:r>
    </w:p>
    <w:p>
      <w:pPr>
        <w:tabs>
          <w:tab w:val="left" w:pos="420"/>
        </w:tabs>
        <w:spacing w:line="360" w:lineRule="auto"/>
        <w:ind w:left="420" w:hanging="420"/>
        <w:rPr>
          <w:rFonts w:eastAsia="黑体"/>
          <w:color w:val="000000" w:themeColor="text1"/>
          <w:szCs w:val="24"/>
          <w14:textFill>
            <w14:solidFill>
              <w14:schemeClr w14:val="tx1"/>
            </w14:solidFill>
          </w14:textFill>
        </w:rPr>
      </w:pPr>
    </w:p>
    <w:p>
      <w:pPr>
        <w:tabs>
          <w:tab w:val="left" w:pos="420"/>
        </w:tabs>
        <w:spacing w:line="360" w:lineRule="auto"/>
        <w:ind w:left="420" w:hanging="420"/>
        <w:rPr>
          <w:rFonts w:eastAsia="黑体"/>
          <w:color w:val="000000" w:themeColor="text1"/>
          <w:szCs w:val="24"/>
          <w14:textFill>
            <w14:solidFill>
              <w14:schemeClr w14:val="tx1"/>
            </w14:solidFill>
          </w14:textFill>
        </w:rPr>
      </w:pPr>
      <w:r>
        <w:rPr>
          <w:rFonts w:hint="eastAsia" w:eastAsia="黑体"/>
          <w:color w:val="000000" w:themeColor="text1"/>
          <w:szCs w:val="24"/>
          <w14:textFill>
            <w14:solidFill>
              <w14:schemeClr w14:val="tx1"/>
            </w14:solidFill>
          </w14:textFill>
        </w:rPr>
        <w:t>八、课程目标达成的途径和措施</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、考核方式：考试、实验及课堂提问</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、考核目标：在考核学生对微弱信号与系统的基本知识、基本原理和方法的基础上，重点考核学生对微弱信号检测方法的综合应用。</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、评价环节对课程目标达成贡献率及支撑材料：</w:t>
      </w:r>
    </w:p>
    <w:tbl>
      <w:tblPr>
        <w:tblStyle w:val="19"/>
        <w:tblW w:w="5000" w:type="pct"/>
        <w:jc w:val="center"/>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CED7E7"/>
        <w:tblLayout w:type="autofit"/>
        <w:tblCellMar>
          <w:top w:w="0" w:type="dxa"/>
          <w:left w:w="108" w:type="dxa"/>
          <w:bottom w:w="0" w:type="dxa"/>
          <w:right w:w="108" w:type="dxa"/>
        </w:tblCellMar>
      </w:tblPr>
      <w:tblGrid>
        <w:gridCol w:w="2784"/>
        <w:gridCol w:w="2011"/>
        <w:gridCol w:w="1947"/>
        <w:gridCol w:w="1730"/>
      </w:tblGrid>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CED7E7"/>
          <w:tblCellMar>
            <w:top w:w="0" w:type="dxa"/>
            <w:left w:w="108" w:type="dxa"/>
            <w:bottom w:w="0" w:type="dxa"/>
            <w:right w:w="108" w:type="dxa"/>
          </w:tblCellMar>
        </w:tblPrEx>
        <w:trPr>
          <w:trHeight w:val="541" w:hRule="atLeast"/>
          <w:jc w:val="center"/>
        </w:trPr>
        <w:tc>
          <w:tcPr>
            <w:tcW w:w="1643" w:type="pct"/>
            <w:tcBorders>
              <w:top w:val="single" w:color="000000" w:sz="4" w:space="0"/>
              <w:left w:val="nil"/>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color w:val="000000" w:themeColor="text1"/>
                <w:sz w:val="18"/>
                <w:szCs w:val="18"/>
                <w14:textFill>
                  <w14:solidFill>
                    <w14:schemeClr w14:val="tx1"/>
                  </w14:solidFill>
                </w14:textFill>
              </w:rPr>
            </w:pPr>
            <w:r>
              <w:rPr>
                <w:rFonts w:ascii="宋体" w:hAnsi="宋体" w:cs="宋体"/>
                <w:color w:val="000000" w:themeColor="text1"/>
                <w:kern w:val="0"/>
                <w:sz w:val="18"/>
                <w:szCs w:val="18"/>
                <w:lang w:val="zh-TW" w:eastAsia="zh-TW"/>
                <w14:textFill>
                  <w14:solidFill>
                    <w14:schemeClr w14:val="tx1"/>
                  </w14:solidFill>
                </w14:textFill>
              </w:rPr>
              <w:t>考察环节</w:t>
            </w:r>
          </w:p>
        </w:tc>
        <w:tc>
          <w:tcPr>
            <w:tcW w:w="1187"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color w:val="000000" w:themeColor="text1"/>
                <w:sz w:val="18"/>
                <w:szCs w:val="18"/>
                <w14:textFill>
                  <w14:solidFill>
                    <w14:schemeClr w14:val="tx1"/>
                  </w14:solidFill>
                </w14:textFill>
              </w:rPr>
            </w:pPr>
            <w:r>
              <w:rPr>
                <w:rFonts w:ascii="宋体" w:hAnsi="宋体" w:cs="宋体"/>
                <w:color w:val="000000" w:themeColor="text1"/>
                <w:kern w:val="0"/>
                <w:sz w:val="18"/>
                <w:szCs w:val="18"/>
                <w:lang w:val="zh-TW" w:eastAsia="zh-TW"/>
                <w14:textFill>
                  <w14:solidFill>
                    <w14:schemeClr w14:val="tx1"/>
                  </w14:solidFill>
                </w14:textFill>
              </w:rPr>
              <w:t>课堂情况</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color w:val="000000" w:themeColor="text1"/>
                <w:sz w:val="18"/>
                <w:szCs w:val="18"/>
                <w14:textFill>
                  <w14:solidFill>
                    <w14:schemeClr w14:val="tx1"/>
                  </w14:solidFill>
                </w14:textFill>
              </w:rPr>
            </w:pPr>
            <w:r>
              <w:rPr>
                <w:rFonts w:ascii="宋体" w:hAnsi="宋体" w:cs="宋体"/>
                <w:color w:val="000000" w:themeColor="text1"/>
                <w:kern w:val="0"/>
                <w:sz w:val="18"/>
                <w:szCs w:val="18"/>
                <w:lang w:val="zh-TW" w:eastAsia="zh-TW"/>
                <w14:textFill>
                  <w14:solidFill>
                    <w14:schemeClr w14:val="tx1"/>
                  </w14:solidFill>
                </w14:textFill>
              </w:rPr>
              <w:t>实验</w:t>
            </w:r>
          </w:p>
        </w:tc>
        <w:tc>
          <w:tcPr>
            <w:tcW w:w="1021" w:type="pct"/>
            <w:tcBorders>
              <w:top w:val="single" w:color="000000" w:sz="4" w:space="0"/>
              <w:left w:val="single" w:color="000000" w:sz="4" w:space="0"/>
              <w:bottom w:val="single" w:color="000000" w:sz="4" w:space="0"/>
              <w:right w:val="nil"/>
            </w:tcBorders>
            <w:shd w:val="clear" w:color="auto" w:fill="auto"/>
            <w:tcMar>
              <w:top w:w="80" w:type="dxa"/>
              <w:left w:w="80" w:type="dxa"/>
              <w:bottom w:w="80" w:type="dxa"/>
              <w:right w:w="80" w:type="dxa"/>
            </w:tcMar>
            <w:vAlign w:val="center"/>
          </w:tcPr>
          <w:p>
            <w:pPr>
              <w:widowControl/>
              <w:jc w:val="center"/>
              <w:rPr>
                <w:color w:val="000000" w:themeColor="text1"/>
                <w:sz w:val="18"/>
                <w:szCs w:val="18"/>
                <w14:textFill>
                  <w14:solidFill>
                    <w14:schemeClr w14:val="tx1"/>
                  </w14:solidFill>
                </w14:textFill>
              </w:rPr>
            </w:pPr>
            <w:r>
              <w:rPr>
                <w:rFonts w:ascii="宋体" w:hAnsi="宋体" w:cs="宋体"/>
                <w:color w:val="000000" w:themeColor="text1"/>
                <w:kern w:val="0"/>
                <w:sz w:val="18"/>
                <w:szCs w:val="18"/>
                <w:lang w:val="zh-TW" w:eastAsia="zh-TW"/>
                <w14:textFill>
                  <w14:solidFill>
                    <w14:schemeClr w14:val="tx1"/>
                  </w14:solidFill>
                </w14:textFill>
              </w:rPr>
              <w:t>期末考试</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CED7E7"/>
          <w:tblCellMar>
            <w:top w:w="0" w:type="dxa"/>
            <w:left w:w="108" w:type="dxa"/>
            <w:bottom w:w="0" w:type="dxa"/>
            <w:right w:w="108" w:type="dxa"/>
          </w:tblCellMar>
        </w:tblPrEx>
        <w:trPr>
          <w:trHeight w:val="598" w:hRule="atLeast"/>
          <w:jc w:val="center"/>
        </w:trPr>
        <w:tc>
          <w:tcPr>
            <w:tcW w:w="1643" w:type="pct"/>
            <w:tcBorders>
              <w:top w:val="single" w:color="000000" w:sz="4" w:space="0"/>
              <w:left w:val="nil"/>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color w:val="000000" w:themeColor="text1"/>
                <w:kern w:val="0"/>
                <w:sz w:val="18"/>
                <w:szCs w:val="18"/>
                <w14:textFill>
                  <w14:solidFill>
                    <w14:schemeClr w14:val="tx1"/>
                  </w14:solidFill>
                </w14:textFill>
              </w:rPr>
            </w:pPr>
            <w:r>
              <w:rPr>
                <w:rFonts w:ascii="宋体" w:hAnsi="宋体" w:cs="宋体"/>
                <w:color w:val="000000" w:themeColor="text1"/>
                <w:kern w:val="0"/>
                <w:sz w:val="18"/>
                <w:szCs w:val="18"/>
                <w:lang w:val="zh-TW" w:eastAsia="zh-TW"/>
                <w14:textFill>
                  <w14:solidFill>
                    <w14:schemeClr w14:val="tx1"/>
                  </w14:solidFill>
                </w14:textFill>
              </w:rPr>
              <w:t>课程目标达成</w:t>
            </w:r>
          </w:p>
          <w:p>
            <w:pPr>
              <w:widowControl/>
              <w:jc w:val="center"/>
              <w:rPr>
                <w:color w:val="000000" w:themeColor="text1"/>
                <w:sz w:val="18"/>
                <w:szCs w:val="18"/>
                <w14:textFill>
                  <w14:solidFill>
                    <w14:schemeClr w14:val="tx1"/>
                  </w14:solidFill>
                </w14:textFill>
              </w:rPr>
            </w:pPr>
            <w:r>
              <w:rPr>
                <w:rFonts w:ascii="宋体" w:hAnsi="宋体" w:cs="宋体"/>
                <w:color w:val="000000" w:themeColor="text1"/>
                <w:kern w:val="0"/>
                <w:sz w:val="18"/>
                <w:szCs w:val="18"/>
                <w:lang w:val="zh-TW" w:eastAsia="zh-TW"/>
                <w14:textFill>
                  <w14:solidFill>
                    <w14:schemeClr w14:val="tx1"/>
                  </w14:solidFill>
                </w14:textFill>
              </w:rPr>
              <w:t>的贡献率</w:t>
            </w:r>
          </w:p>
        </w:tc>
        <w:tc>
          <w:tcPr>
            <w:tcW w:w="1187"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color w:val="000000" w:themeColor="text1"/>
                <w:sz w:val="18"/>
                <w:szCs w:val="18"/>
                <w14:textFill>
                  <w14:solidFill>
                    <w14:schemeClr w14:val="tx1"/>
                  </w14:solidFill>
                </w14:textFill>
              </w:rPr>
            </w:pPr>
            <w:r>
              <w:rPr>
                <w:color w:val="000000" w:themeColor="text1"/>
                <w:kern w:val="0"/>
                <w:sz w:val="18"/>
                <w:szCs w:val="18"/>
                <w14:textFill>
                  <w14:solidFill>
                    <w14:schemeClr w14:val="tx1"/>
                  </w14:solidFill>
                </w14:textFill>
              </w:rPr>
              <w:t>0.</w:t>
            </w:r>
            <w:r>
              <w:rPr>
                <w:rFonts w:hint="eastAsia"/>
                <w:color w:val="000000" w:themeColor="text1"/>
                <w:kern w:val="0"/>
                <w:sz w:val="18"/>
                <w:szCs w:val="18"/>
                <w14:textFill>
                  <w14:solidFill>
                    <w14:schemeClr w14:val="tx1"/>
                  </w14:solidFill>
                </w14:textFill>
              </w:rPr>
              <w:t>1</w:t>
            </w:r>
            <w:r>
              <w:rPr>
                <w:color w:val="000000" w:themeColor="text1"/>
                <w:kern w:val="0"/>
                <w:sz w:val="18"/>
                <w:szCs w:val="18"/>
                <w14:textFill>
                  <w14:solidFill>
                    <w14:schemeClr w14:val="tx1"/>
                  </w14:solidFill>
                </w14:textFill>
              </w:rPr>
              <w:t>0</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color w:val="000000" w:themeColor="text1"/>
                <w:sz w:val="18"/>
                <w:szCs w:val="18"/>
                <w14:textFill>
                  <w14:solidFill>
                    <w14:schemeClr w14:val="tx1"/>
                  </w14:solidFill>
                </w14:textFill>
              </w:rPr>
            </w:pPr>
            <w:r>
              <w:rPr>
                <w:color w:val="000000" w:themeColor="text1"/>
                <w:kern w:val="0"/>
                <w:sz w:val="18"/>
                <w:szCs w:val="18"/>
                <w14:textFill>
                  <w14:solidFill>
                    <w14:schemeClr w14:val="tx1"/>
                  </w14:solidFill>
                </w14:textFill>
              </w:rPr>
              <w:t>0.</w:t>
            </w:r>
            <w:r>
              <w:rPr>
                <w:rFonts w:hint="eastAsia"/>
                <w:color w:val="000000" w:themeColor="text1"/>
                <w:kern w:val="0"/>
                <w:sz w:val="18"/>
                <w:szCs w:val="18"/>
                <w14:textFill>
                  <w14:solidFill>
                    <w14:schemeClr w14:val="tx1"/>
                  </w14:solidFill>
                </w14:textFill>
              </w:rPr>
              <w:t>2</w:t>
            </w:r>
            <w:r>
              <w:rPr>
                <w:color w:val="000000" w:themeColor="text1"/>
                <w:kern w:val="0"/>
                <w:sz w:val="18"/>
                <w:szCs w:val="18"/>
                <w14:textFill>
                  <w14:solidFill>
                    <w14:schemeClr w14:val="tx1"/>
                  </w14:solidFill>
                </w14:textFill>
              </w:rPr>
              <w:t>0</w:t>
            </w:r>
          </w:p>
        </w:tc>
        <w:tc>
          <w:tcPr>
            <w:tcW w:w="1021" w:type="pct"/>
            <w:tcBorders>
              <w:top w:val="single" w:color="000000" w:sz="4" w:space="0"/>
              <w:left w:val="single" w:color="000000" w:sz="4" w:space="0"/>
              <w:bottom w:val="single" w:color="000000" w:sz="4" w:space="0"/>
              <w:right w:val="nil"/>
            </w:tcBorders>
            <w:shd w:val="clear" w:color="auto" w:fill="auto"/>
            <w:tcMar>
              <w:top w:w="80" w:type="dxa"/>
              <w:left w:w="80" w:type="dxa"/>
              <w:bottom w:w="80" w:type="dxa"/>
              <w:right w:w="80" w:type="dxa"/>
            </w:tcMar>
            <w:vAlign w:val="center"/>
          </w:tcPr>
          <w:p>
            <w:pPr>
              <w:widowControl/>
              <w:jc w:val="center"/>
              <w:rPr>
                <w:color w:val="000000" w:themeColor="text1"/>
                <w:sz w:val="18"/>
                <w:szCs w:val="18"/>
                <w14:textFill>
                  <w14:solidFill>
                    <w14:schemeClr w14:val="tx1"/>
                  </w14:solidFill>
                </w14:textFill>
              </w:rPr>
            </w:pPr>
            <w:r>
              <w:rPr>
                <w:color w:val="000000" w:themeColor="text1"/>
                <w:kern w:val="0"/>
                <w:sz w:val="18"/>
                <w:szCs w:val="18"/>
                <w14:textFill>
                  <w14:solidFill>
                    <w14:schemeClr w14:val="tx1"/>
                  </w14:solidFill>
                </w14:textFill>
              </w:rPr>
              <w:t>0.</w:t>
            </w:r>
            <w:r>
              <w:rPr>
                <w:rFonts w:hint="eastAsia"/>
                <w:color w:val="000000" w:themeColor="text1"/>
                <w:kern w:val="0"/>
                <w:sz w:val="18"/>
                <w:szCs w:val="18"/>
                <w14:textFill>
                  <w14:solidFill>
                    <w14:schemeClr w14:val="tx1"/>
                  </w14:solidFill>
                </w14:textFill>
              </w:rPr>
              <w:t>7</w:t>
            </w:r>
            <w:r>
              <w:rPr>
                <w:color w:val="000000" w:themeColor="text1"/>
                <w:kern w:val="0"/>
                <w:sz w:val="18"/>
                <w:szCs w:val="18"/>
                <w14:textFill>
                  <w14:solidFill>
                    <w14:schemeClr w14:val="tx1"/>
                  </w14:solidFill>
                </w14:textFill>
              </w:rPr>
              <w:t>0</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CellMar>
            <w:top w:w="0" w:type="dxa"/>
            <w:left w:w="108" w:type="dxa"/>
            <w:bottom w:w="0" w:type="dxa"/>
            <w:right w:w="108" w:type="dxa"/>
          </w:tblCellMar>
        </w:tblPrEx>
        <w:trPr>
          <w:trHeight w:val="524" w:hRule="atLeast"/>
          <w:jc w:val="center"/>
        </w:trPr>
        <w:tc>
          <w:tcPr>
            <w:tcW w:w="1643" w:type="pct"/>
            <w:tcBorders>
              <w:top w:val="single" w:color="000000" w:sz="4" w:space="0"/>
              <w:left w:val="nil"/>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color w:val="000000" w:themeColor="text1"/>
                <w:sz w:val="18"/>
                <w:szCs w:val="18"/>
                <w14:textFill>
                  <w14:solidFill>
                    <w14:schemeClr w14:val="tx1"/>
                  </w14:solidFill>
                </w14:textFill>
              </w:rPr>
            </w:pPr>
            <w:r>
              <w:rPr>
                <w:rFonts w:ascii="宋体" w:hAnsi="宋体" w:cs="宋体"/>
                <w:color w:val="000000" w:themeColor="text1"/>
                <w:kern w:val="0"/>
                <w:sz w:val="18"/>
                <w:szCs w:val="18"/>
                <w:lang w:val="zh-TW" w:eastAsia="zh-TW"/>
                <w14:textFill>
                  <w14:solidFill>
                    <w14:schemeClr w14:val="tx1"/>
                  </w14:solidFill>
                </w14:textFill>
              </w:rPr>
              <w:t>支撑材料</w:t>
            </w:r>
          </w:p>
        </w:tc>
        <w:tc>
          <w:tcPr>
            <w:tcW w:w="1187"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color w:val="000000" w:themeColor="text1"/>
                <w:sz w:val="18"/>
                <w:szCs w:val="18"/>
                <w14:textFill>
                  <w14:solidFill>
                    <w14:schemeClr w14:val="tx1"/>
                  </w14:solidFill>
                </w14:textFill>
              </w:rPr>
            </w:pPr>
            <w:r>
              <w:rPr>
                <w:rFonts w:ascii="宋体" w:hAnsi="宋体" w:cs="宋体"/>
                <w:color w:val="000000" w:themeColor="text1"/>
                <w:kern w:val="0"/>
                <w:sz w:val="18"/>
                <w:szCs w:val="18"/>
                <w:lang w:val="zh-TW" w:eastAsia="zh-TW"/>
                <w14:textFill>
                  <w14:solidFill>
                    <w14:schemeClr w14:val="tx1"/>
                  </w14:solidFill>
                </w14:textFill>
              </w:rPr>
              <w:t>课堂评价标准，课堂提问记录或随堂考试，结合出勤率等</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color w:val="000000" w:themeColor="text1"/>
                <w:sz w:val="18"/>
                <w:szCs w:val="18"/>
                <w14:textFill>
                  <w14:solidFill>
                    <w14:schemeClr w14:val="tx1"/>
                  </w14:solidFill>
                </w14:textFill>
              </w:rPr>
            </w:pPr>
            <w:r>
              <w:rPr>
                <w:rFonts w:ascii="宋体" w:hAnsi="宋体" w:cs="宋体"/>
                <w:color w:val="000000" w:themeColor="text1"/>
                <w:kern w:val="0"/>
                <w:sz w:val="18"/>
                <w:szCs w:val="18"/>
                <w:lang w:val="zh-TW" w:eastAsia="zh-TW"/>
                <w14:textFill>
                  <w14:solidFill>
                    <w14:schemeClr w14:val="tx1"/>
                  </w14:solidFill>
                </w14:textFill>
              </w:rPr>
              <w:t>课内实验评价标准，实验课堂记录，典型实验报告</w:t>
            </w:r>
          </w:p>
        </w:tc>
        <w:tc>
          <w:tcPr>
            <w:tcW w:w="1021" w:type="pct"/>
            <w:tcBorders>
              <w:top w:val="single" w:color="000000" w:sz="4" w:space="0"/>
              <w:left w:val="single" w:color="000000" w:sz="4" w:space="0"/>
              <w:bottom w:val="single" w:color="000000" w:sz="4" w:space="0"/>
              <w:right w:val="nil"/>
            </w:tcBorders>
            <w:shd w:val="clear" w:color="auto" w:fill="auto"/>
            <w:tcMar>
              <w:top w:w="80" w:type="dxa"/>
              <w:left w:w="80" w:type="dxa"/>
              <w:bottom w:w="80" w:type="dxa"/>
              <w:right w:w="80" w:type="dxa"/>
            </w:tcMar>
            <w:vAlign w:val="center"/>
          </w:tcPr>
          <w:p>
            <w:pPr>
              <w:widowControl/>
              <w:jc w:val="center"/>
              <w:rPr>
                <w:color w:val="000000" w:themeColor="text1"/>
                <w:sz w:val="18"/>
                <w:szCs w:val="18"/>
                <w14:textFill>
                  <w14:solidFill>
                    <w14:schemeClr w14:val="tx1"/>
                  </w14:solidFill>
                </w14:textFill>
              </w:rPr>
            </w:pPr>
            <w:r>
              <w:rPr>
                <w:rFonts w:ascii="宋体" w:hAnsi="宋体" w:cs="宋体"/>
                <w:color w:val="000000" w:themeColor="text1"/>
                <w:kern w:val="0"/>
                <w:sz w:val="18"/>
                <w:szCs w:val="18"/>
                <w:lang w:val="zh-TW" w:eastAsia="zh-TW"/>
                <w14:textFill>
                  <w14:solidFill>
                    <w14:schemeClr w14:val="tx1"/>
                  </w14:solidFill>
                </w14:textFill>
              </w:rPr>
              <w:t>试题评分标准，试卷，</w:t>
            </w:r>
          </w:p>
        </w:tc>
      </w:tr>
    </w:tbl>
    <w:p>
      <w:pPr>
        <w:tabs>
          <w:tab w:val="left" w:pos="420"/>
        </w:tabs>
        <w:adjustRightInd w:val="0"/>
        <w:snapToGrid w:val="0"/>
        <w:spacing w:line="360" w:lineRule="auto"/>
        <w:ind w:left="420" w:hanging="420"/>
        <w:rPr>
          <w:color w:val="000000" w:themeColor="text1"/>
          <w14:textFill>
            <w14:solidFill>
              <w14:schemeClr w14:val="tx1"/>
            </w14:solidFill>
          </w14:textFill>
        </w:rPr>
      </w:pPr>
    </w:p>
    <w:p>
      <w:pPr>
        <w:tabs>
          <w:tab w:val="left" w:pos="420"/>
        </w:tabs>
        <w:adjustRightInd w:val="0"/>
        <w:snapToGrid w:val="0"/>
        <w:spacing w:line="360" w:lineRule="auto"/>
        <w:ind w:left="420" w:hanging="420"/>
        <w:rPr>
          <w:rFonts w:ascii="宋体" w:hAnsi="宋体"/>
          <w:color w:val="000000" w:themeColor="text1"/>
          <w:sz w:val="18"/>
          <w:szCs w:val="18"/>
          <w14:textFill>
            <w14:solidFill>
              <w14:schemeClr w14:val="tx1"/>
            </w14:solidFill>
          </w14:textFill>
        </w:rPr>
      </w:pPr>
      <w:r>
        <w:rPr>
          <w:rFonts w:eastAsia="黑体"/>
          <w:color w:val="000000" w:themeColor="text1"/>
          <w:szCs w:val="24"/>
          <w14:textFill>
            <w14:solidFill>
              <w14:schemeClr w14:val="tx1"/>
            </w14:solidFill>
          </w14:textFill>
        </w:rPr>
        <w:t>九</w:t>
      </w:r>
      <w:r>
        <w:rPr>
          <w:rFonts w:hint="eastAsia" w:eastAsia="黑体"/>
          <w:color w:val="000000" w:themeColor="text1"/>
          <w:szCs w:val="24"/>
          <w14:textFill>
            <w14:solidFill>
              <w14:schemeClr w14:val="tx1"/>
            </w14:solidFill>
          </w14:textFill>
        </w:rPr>
        <w:t>、覆盖课程目标达成评价的知识点及权重</w:t>
      </w:r>
    </w:p>
    <w:tbl>
      <w:tblPr>
        <w:tblStyle w:val="20"/>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562"/>
        <w:gridCol w:w="1179"/>
        <w:gridCol w:w="178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261"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知识点</w:t>
            </w:r>
          </w:p>
        </w:tc>
        <w:tc>
          <w:tcPr>
            <w:tcW w:w="691"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权重</w:t>
            </w:r>
          </w:p>
        </w:tc>
        <w:tc>
          <w:tcPr>
            <w:tcW w:w="1048"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支撑课程目标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261" w:type="pct"/>
            <w:vAlign w:val="center"/>
          </w:tcPr>
          <w:p>
            <w:pPr>
              <w:widowControl/>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1</w:t>
            </w:r>
            <w:r>
              <w:rPr>
                <w:rFonts w:hint="eastAsia"/>
                <w:color w:val="000000" w:themeColor="text1"/>
                <w:sz w:val="18"/>
                <w:szCs w:val="18"/>
                <w14:textFill>
                  <w14:solidFill>
                    <w14:schemeClr w14:val="tx1"/>
                  </w14:solidFill>
                </w14:textFill>
              </w:rPr>
              <w:t>、微弱信号和噪声的特性、常见噪声的类型及来源</w:t>
            </w:r>
          </w:p>
        </w:tc>
        <w:tc>
          <w:tcPr>
            <w:tcW w:w="691"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w:t>
            </w:r>
          </w:p>
        </w:tc>
        <w:tc>
          <w:tcPr>
            <w:tcW w:w="1048"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261" w:type="pct"/>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r>
              <w:rPr>
                <w:rFonts w:hint="eastAsia"/>
                <w:color w:val="000000" w:themeColor="text1"/>
                <w:sz w:val="18"/>
                <w:szCs w:val="18"/>
                <w14:textFill>
                  <w14:solidFill>
                    <w14:schemeClr w14:val="tx1"/>
                  </w14:solidFill>
                </w14:textFill>
              </w:rPr>
              <w:t>、噪声的统计特性和通过电路的响应；</w:t>
            </w:r>
          </w:p>
        </w:tc>
        <w:tc>
          <w:tcPr>
            <w:tcW w:w="691"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0.15</w:t>
            </w:r>
          </w:p>
        </w:tc>
        <w:tc>
          <w:tcPr>
            <w:tcW w:w="1048"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261" w:type="pct"/>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hint="eastAsia"/>
                <w:color w:val="000000" w:themeColor="text1"/>
                <w:sz w:val="18"/>
                <w:szCs w:val="18"/>
                <w14:textFill>
                  <w14:solidFill>
                    <w14:schemeClr w14:val="tx1"/>
                  </w14:solidFill>
                </w14:textFill>
              </w:rPr>
              <w:t>、放大器的噪声源和噪声特性以及低噪声前置放大器设计；</w:t>
            </w:r>
          </w:p>
        </w:tc>
        <w:tc>
          <w:tcPr>
            <w:tcW w:w="691"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0.15</w:t>
            </w:r>
          </w:p>
        </w:tc>
        <w:tc>
          <w:tcPr>
            <w:tcW w:w="1048"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261" w:type="pct"/>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hint="eastAsia"/>
                <w:color w:val="000000" w:themeColor="text1"/>
                <w:sz w:val="18"/>
                <w:szCs w:val="18"/>
                <w14:textFill>
                  <w14:solidFill>
                    <w14:schemeClr w14:val="tx1"/>
                  </w14:solidFill>
                </w14:textFill>
              </w:rPr>
              <w:t>、干扰噪声类型及其频谱分布、干扰噪声抑制方法和抑制电路；</w:t>
            </w:r>
          </w:p>
        </w:tc>
        <w:tc>
          <w:tcPr>
            <w:tcW w:w="691"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0.2</w:t>
            </w:r>
          </w:p>
        </w:tc>
        <w:tc>
          <w:tcPr>
            <w:tcW w:w="1048"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261" w:type="pct"/>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hint="eastAsia"/>
                <w:color w:val="000000" w:themeColor="text1"/>
                <w:sz w:val="18"/>
                <w:szCs w:val="18"/>
                <w14:textFill>
                  <w14:solidFill>
                    <w14:schemeClr w14:val="tx1"/>
                  </w14:solidFill>
                </w14:textFill>
              </w:rPr>
              <w:t>、锁定放大器的特点、结构和工作原理；</w:t>
            </w:r>
          </w:p>
        </w:tc>
        <w:tc>
          <w:tcPr>
            <w:tcW w:w="691"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w:t>
            </w:r>
          </w:p>
        </w:tc>
        <w:tc>
          <w:tcPr>
            <w:tcW w:w="1048"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261" w:type="pct"/>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hint="eastAsia"/>
                <w:color w:val="000000" w:themeColor="text1"/>
                <w:sz w:val="18"/>
                <w:szCs w:val="18"/>
                <w14:textFill>
                  <w14:solidFill>
                    <w14:schemeClr w14:val="tx1"/>
                  </w14:solidFill>
                </w14:textFill>
              </w:rPr>
              <w:t>、取样积分的基本原理和工作方式</w:t>
            </w:r>
          </w:p>
        </w:tc>
        <w:tc>
          <w:tcPr>
            <w:tcW w:w="691"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w:t>
            </w:r>
          </w:p>
        </w:tc>
        <w:tc>
          <w:tcPr>
            <w:tcW w:w="1048"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261" w:type="pct"/>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r>
              <w:rPr>
                <w:rFonts w:hint="eastAsia"/>
                <w:color w:val="000000" w:themeColor="text1"/>
                <w:sz w:val="18"/>
                <w:szCs w:val="18"/>
                <w14:textFill>
                  <w14:solidFill>
                    <w14:schemeClr w14:val="tx1"/>
                  </w14:solidFill>
                </w14:textFill>
              </w:rPr>
              <w:t>、相关检测技术原理</w:t>
            </w:r>
          </w:p>
        </w:tc>
        <w:tc>
          <w:tcPr>
            <w:tcW w:w="691"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w:t>
            </w:r>
          </w:p>
        </w:tc>
        <w:tc>
          <w:tcPr>
            <w:tcW w:w="1048"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261" w:type="pct"/>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w:t>
            </w:r>
            <w:r>
              <w:rPr>
                <w:rFonts w:hint="eastAsia"/>
                <w:color w:val="000000" w:themeColor="text1"/>
                <w:sz w:val="18"/>
                <w:szCs w:val="18"/>
                <w14:textFill>
                  <w14:solidFill>
                    <w14:schemeClr w14:val="tx1"/>
                  </w14:solidFill>
                </w14:textFill>
              </w:rPr>
              <w:t>、自适应噪声消除原理和方法</w:t>
            </w:r>
          </w:p>
        </w:tc>
        <w:tc>
          <w:tcPr>
            <w:tcW w:w="691"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w:t>
            </w:r>
          </w:p>
        </w:tc>
        <w:tc>
          <w:tcPr>
            <w:tcW w:w="1048"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bl>
    <w:p>
      <w:pPr>
        <w:spacing w:before="120" w:beforeLines="50" w:line="360" w:lineRule="auto"/>
        <w:ind w:firstLine="420" w:firstLineChars="200"/>
        <w:rPr>
          <w:rFonts w:ascii="宋体" w:hAnsi="宋体"/>
          <w:color w:val="000000" w:themeColor="text1"/>
          <w:szCs w:val="21"/>
          <w14:textFill>
            <w14:solidFill>
              <w14:schemeClr w14:val="tx1"/>
            </w14:solidFill>
          </w14:textFill>
        </w:rPr>
        <w:sectPr>
          <w:type w:val="continuous"/>
          <w:pgSz w:w="11906" w:h="16838"/>
          <w:pgMar w:top="1440" w:right="1797" w:bottom="1440" w:left="1797" w:header="851" w:footer="992" w:gutter="0"/>
          <w:pgNumType w:fmt="decimal"/>
          <w:cols w:space="425" w:num="1"/>
          <w:docGrid w:linePitch="312" w:charSpace="0"/>
        </w:sectPr>
      </w:pPr>
      <w:r>
        <w:rPr>
          <w:rFonts w:ascii="宋体" w:hAnsi="宋体"/>
          <w:color w:val="000000" w:themeColor="text1"/>
          <w:szCs w:val="21"/>
          <w14:textFill>
            <w14:solidFill>
              <w14:schemeClr w14:val="tx1"/>
            </w14:solidFill>
          </w14:textFill>
        </w:rPr>
        <w:t>学生可以依据仪器与电子学院相关文件，以允许的第二课堂成果折算单项成绩，与对应知识点加权累计达到</w:t>
      </w:r>
      <w:r>
        <w:rPr>
          <w:rFonts w:hint="eastAsia" w:ascii="宋体" w:hAnsi="宋体"/>
          <w:color w:val="000000" w:themeColor="text1"/>
          <w:szCs w:val="21"/>
          <w14:textFill>
            <w14:solidFill>
              <w14:schemeClr w14:val="tx1"/>
            </w14:solidFill>
          </w14:textFill>
        </w:rPr>
        <w:t>7</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（含）以上，且对所有课程目标的支撑不能有缺项，即可申请本门课程免修。</w:t>
      </w:r>
    </w:p>
    <w:p>
      <w:pPr>
        <w:tabs>
          <w:tab w:val="left" w:pos="420"/>
        </w:tabs>
        <w:adjustRightInd w:val="0"/>
        <w:snapToGrid w:val="0"/>
        <w:spacing w:line="360" w:lineRule="auto"/>
        <w:ind w:left="420" w:hanging="420"/>
        <w:rPr>
          <w:rFonts w:eastAsia="黑体"/>
          <w:color w:val="000000" w:themeColor="text1"/>
          <w:szCs w:val="24"/>
          <w14:textFill>
            <w14:solidFill>
              <w14:schemeClr w14:val="tx1"/>
            </w14:solidFill>
          </w14:textFill>
        </w:rPr>
      </w:pPr>
      <w:r>
        <w:rPr>
          <w:rFonts w:hint="eastAsia" w:eastAsia="黑体"/>
          <w:color w:val="000000" w:themeColor="text1"/>
          <w:szCs w:val="24"/>
          <w14:textFill>
            <w14:solidFill>
              <w14:schemeClr w14:val="tx1"/>
            </w14:solidFill>
          </w14:textFill>
        </w:rPr>
        <w:t>十、课程目标达成评</w:t>
      </w:r>
      <w:r>
        <w:rPr>
          <w:rFonts w:eastAsia="黑体"/>
          <w:color w:val="000000" w:themeColor="text1"/>
          <w:szCs w:val="24"/>
          <w14:textFill>
            <w14:solidFill>
              <w14:schemeClr w14:val="tx1"/>
            </w14:solidFill>
          </w14:textFill>
        </w:rPr>
        <w:t>价</w:t>
      </w:r>
    </w:p>
    <w:p>
      <w:pPr>
        <w:spacing w:line="360" w:lineRule="auto"/>
        <w:ind w:firstLine="420" w:firstLineChars="20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各环节对课程目标达成评价所使用到的权重占比分配及考核权重分配</w:t>
      </w:r>
    </w:p>
    <w:tbl>
      <w:tblPr>
        <w:tblStyle w:val="19"/>
        <w:tblW w:w="5000" w:type="pct"/>
        <w:jc w:val="center"/>
        <w:tblLayout w:type="autofit"/>
        <w:tblCellMar>
          <w:top w:w="0" w:type="dxa"/>
          <w:left w:w="108" w:type="dxa"/>
          <w:bottom w:w="0" w:type="dxa"/>
          <w:right w:w="108" w:type="dxa"/>
        </w:tblCellMar>
      </w:tblPr>
      <w:tblGrid>
        <w:gridCol w:w="1422"/>
        <w:gridCol w:w="2451"/>
        <w:gridCol w:w="932"/>
        <w:gridCol w:w="933"/>
        <w:gridCol w:w="933"/>
        <w:gridCol w:w="1205"/>
        <w:gridCol w:w="1205"/>
        <w:gridCol w:w="1205"/>
        <w:gridCol w:w="1296"/>
        <w:gridCol w:w="1296"/>
        <w:gridCol w:w="1296"/>
      </w:tblGrid>
      <w:tr>
        <w:tblPrEx>
          <w:tblCellMar>
            <w:top w:w="0" w:type="dxa"/>
            <w:left w:w="108" w:type="dxa"/>
            <w:bottom w:w="0" w:type="dxa"/>
            <w:right w:w="108" w:type="dxa"/>
          </w:tblCellMar>
        </w:tblPrEx>
        <w:trPr>
          <w:trHeight w:val="1015" w:hRule="atLeast"/>
          <w:jc w:val="center"/>
        </w:trPr>
        <w:tc>
          <w:tcPr>
            <w:tcW w:w="5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课程目标</w:t>
            </w:r>
          </w:p>
        </w:tc>
        <w:tc>
          <w:tcPr>
            <w:tcW w:w="86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知识面比例</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（本列总和为1）</w:t>
            </w:r>
          </w:p>
          <w:p>
            <w:pPr>
              <w:widowControl/>
              <w:jc w:val="center"/>
              <w:rPr>
                <w:i/>
                <w:color w:val="000000" w:themeColor="text1"/>
                <w:kern w:val="0"/>
                <w:sz w:val="18"/>
                <w:szCs w:val="18"/>
                <w14:textFill>
                  <w14:solidFill>
                    <w14:schemeClr w14:val="tx1"/>
                  </w14:solidFill>
                </w14:textFill>
              </w:rPr>
            </w:pPr>
            <w:r>
              <w:rPr>
                <w:i/>
                <w:color w:val="000000" w:themeColor="text1"/>
                <w:kern w:val="0"/>
                <w:sz w:val="18"/>
                <w:szCs w:val="18"/>
                <w14:textFill>
                  <w14:solidFill>
                    <w14:schemeClr w14:val="tx1"/>
                  </w14:solidFill>
                </w14:textFill>
              </w:rPr>
              <w:t>P</w:t>
            </w:r>
            <w:r>
              <w:rPr>
                <w:i/>
                <w:color w:val="000000" w:themeColor="text1"/>
                <w:kern w:val="0"/>
                <w:sz w:val="18"/>
                <w:szCs w:val="18"/>
                <w:vertAlign w:val="subscript"/>
                <w14:textFill>
                  <w14:solidFill>
                    <w14:schemeClr w14:val="tx1"/>
                  </w14:solidFill>
                </w14:textFill>
              </w:rPr>
              <w:t>i</w:t>
            </w:r>
          </w:p>
        </w:tc>
        <w:tc>
          <w:tcPr>
            <w:tcW w:w="986"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各环节评价比例分配</w:t>
            </w:r>
            <w:r>
              <w:rPr>
                <w:color w:val="000000" w:themeColor="text1"/>
                <w:sz w:val="18"/>
                <w:szCs w:val="18"/>
                <w14:textFill>
                  <w14:solidFill>
                    <w14:schemeClr w14:val="tx1"/>
                  </w14:solidFill>
                </w14:textFill>
              </w:rPr>
              <w:br w:type="textWrapping"/>
            </w:r>
            <w:r>
              <w:rPr>
                <w:color w:val="000000" w:themeColor="text1"/>
                <w:sz w:val="18"/>
                <w:szCs w:val="18"/>
                <w14:textFill>
                  <w14:solidFill>
                    <w14:schemeClr w14:val="tx1"/>
                  </w14:solidFill>
                </w14:textFill>
              </w:rPr>
              <w:t>（每行总和为1）</w:t>
            </w:r>
            <w:r>
              <w:rPr>
                <w:color w:val="000000" w:themeColor="text1"/>
                <w:sz w:val="18"/>
                <w:szCs w:val="18"/>
                <w14:textFill>
                  <w14:solidFill>
                    <w14:schemeClr w14:val="tx1"/>
                  </w14:solidFill>
                </w14:textFill>
              </w:rPr>
              <w:br w:type="textWrapping"/>
            </w:r>
            <w:r>
              <w:rPr>
                <w:i/>
                <w:color w:val="000000" w:themeColor="text1"/>
                <w:sz w:val="18"/>
                <w:szCs w:val="18"/>
                <w14:textFill>
                  <w14:solidFill>
                    <w14:schemeClr w14:val="tx1"/>
                  </w14:solidFill>
                </w14:textFill>
              </w:rPr>
              <w:t>W</w:t>
            </w:r>
            <w:r>
              <w:rPr>
                <w:i/>
                <w:color w:val="000000" w:themeColor="text1"/>
                <w:sz w:val="18"/>
                <w:szCs w:val="18"/>
                <w:vertAlign w:val="subscript"/>
                <w14:textFill>
                  <w14:solidFill>
                    <w14:schemeClr w14:val="tx1"/>
                  </w14:solidFill>
                </w14:textFill>
              </w:rPr>
              <w:t>ik</w:t>
            </w:r>
          </w:p>
        </w:tc>
        <w:tc>
          <w:tcPr>
            <w:tcW w:w="1275" w:type="pct"/>
            <w:gridSpan w:val="3"/>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各环节在课程达成中的占比</w:t>
            </w:r>
            <w:r>
              <w:rPr>
                <w:color w:val="000000" w:themeColor="text1"/>
                <w:sz w:val="18"/>
                <w:szCs w:val="18"/>
                <w14:textFill>
                  <w14:solidFill>
                    <w14:schemeClr w14:val="tx1"/>
                  </w14:solidFill>
                </w14:textFill>
              </w:rPr>
              <w:br w:type="textWrapping"/>
            </w:r>
            <w:r>
              <w:rPr>
                <w:color w:val="000000" w:themeColor="text1"/>
                <w:sz w:val="18"/>
                <w:szCs w:val="18"/>
                <w14:textFill>
                  <w14:solidFill>
                    <w14:schemeClr w14:val="tx1"/>
                  </w14:solidFill>
                </w14:textFill>
              </w:rPr>
              <w:t>（所有行列总和为1）</w:t>
            </w:r>
            <w:r>
              <w:rPr>
                <w:color w:val="000000" w:themeColor="text1"/>
                <w:sz w:val="18"/>
                <w:szCs w:val="18"/>
                <w14:textFill>
                  <w14:solidFill>
                    <w14:schemeClr w14:val="tx1"/>
                  </w14:solidFill>
                </w14:textFill>
              </w:rPr>
              <w:br w:type="textWrapping"/>
            </w:r>
            <w:r>
              <w:rPr>
                <w:i/>
                <w:color w:val="000000" w:themeColor="text1"/>
                <w:sz w:val="18"/>
                <w:szCs w:val="18"/>
                <w14:textFill>
                  <w14:solidFill>
                    <w14:schemeClr w14:val="tx1"/>
                  </w14:solidFill>
                </w14:textFill>
              </w:rPr>
              <w:t>S</w:t>
            </w:r>
            <w:r>
              <w:rPr>
                <w:i/>
                <w:color w:val="000000" w:themeColor="text1"/>
                <w:sz w:val="18"/>
                <w:szCs w:val="18"/>
                <w:vertAlign w:val="subscript"/>
                <w14:textFill>
                  <w14:solidFill>
                    <w14:schemeClr w14:val="tx1"/>
                  </w14:solidFill>
                </w14:textFill>
              </w:rPr>
              <w:t>ik</w:t>
            </w:r>
            <w:r>
              <w:rPr>
                <w:i/>
                <w:color w:val="000000" w:themeColor="text1"/>
                <w:sz w:val="18"/>
                <w:szCs w:val="18"/>
                <w14:textFill>
                  <w14:solidFill>
                    <w14:schemeClr w14:val="tx1"/>
                  </w14:solidFill>
                </w14:textFill>
              </w:rPr>
              <w:t>=P</w:t>
            </w:r>
            <w:r>
              <w:rPr>
                <w:i/>
                <w:color w:val="000000" w:themeColor="text1"/>
                <w:sz w:val="18"/>
                <w:szCs w:val="18"/>
                <w:vertAlign w:val="subscript"/>
                <w14:textFill>
                  <w14:solidFill>
                    <w14:schemeClr w14:val="tx1"/>
                  </w14:solidFill>
                </w14:textFill>
              </w:rPr>
              <w:t>i</w:t>
            </w:r>
            <w:r>
              <w:rPr>
                <w:i/>
                <w:color w:val="000000" w:themeColor="text1"/>
                <w:sz w:val="18"/>
                <w:szCs w:val="18"/>
                <w14:textFill>
                  <w14:solidFill>
                    <w14:schemeClr w14:val="tx1"/>
                  </w14:solidFill>
                </w14:textFill>
              </w:rPr>
              <w:t>*W</w:t>
            </w:r>
            <w:r>
              <w:rPr>
                <w:i/>
                <w:color w:val="000000" w:themeColor="text1"/>
                <w:sz w:val="18"/>
                <w:szCs w:val="18"/>
                <w:vertAlign w:val="subscript"/>
                <w14:textFill>
                  <w14:solidFill>
                    <w14:schemeClr w14:val="tx1"/>
                  </w14:solidFill>
                </w14:textFill>
              </w:rPr>
              <w:t>ik</w:t>
            </w:r>
          </w:p>
        </w:tc>
        <w:tc>
          <w:tcPr>
            <w:tcW w:w="137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各环节课程目标考核权重分布</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（每一列总和为1）</w:t>
            </w:r>
          </w:p>
          <w:p>
            <w:pPr>
              <w:jc w:val="center"/>
              <w:rPr>
                <w:i/>
                <w:color w:val="000000" w:themeColor="text1"/>
                <w:sz w:val="18"/>
                <w:szCs w:val="18"/>
                <w14:textFill>
                  <w14:solidFill>
                    <w14:schemeClr w14:val="tx1"/>
                  </w14:solidFill>
                </w14:textFill>
              </w:rPr>
            </w:pPr>
            <w:r>
              <w:rPr>
                <w:i/>
                <w:color w:val="000000" w:themeColor="text1"/>
                <w:sz w:val="18"/>
                <w:szCs w:val="18"/>
                <w14:textFill>
                  <w14:solidFill>
                    <w14:schemeClr w14:val="tx1"/>
                  </w14:solidFill>
                </w14:textFill>
              </w:rPr>
              <w:t>E</w:t>
            </w:r>
            <w:r>
              <w:rPr>
                <w:i/>
                <w:color w:val="000000" w:themeColor="text1"/>
                <w:sz w:val="18"/>
                <w:szCs w:val="18"/>
                <w:vertAlign w:val="subscript"/>
                <w14:textFill>
                  <w14:solidFill>
                    <w14:schemeClr w14:val="tx1"/>
                  </w14:solidFill>
                </w14:textFill>
              </w:rPr>
              <w:t>ik</w:t>
            </w:r>
            <w:r>
              <w:rPr>
                <w:i/>
                <w:color w:val="000000" w:themeColor="text1"/>
                <w:sz w:val="18"/>
                <w:szCs w:val="18"/>
                <w14:textFill>
                  <w14:solidFill>
                    <w14:schemeClr w14:val="tx1"/>
                  </w14:solidFill>
                </w14:textFill>
              </w:rPr>
              <w:t>=S</w:t>
            </w:r>
            <w:r>
              <w:rPr>
                <w:i/>
                <w:color w:val="000000" w:themeColor="text1"/>
                <w:sz w:val="18"/>
                <w:szCs w:val="18"/>
                <w:vertAlign w:val="subscript"/>
                <w14:textFill>
                  <w14:solidFill>
                    <w14:schemeClr w14:val="tx1"/>
                  </w14:solidFill>
                </w14:textFill>
              </w:rPr>
              <w:t>ik</w:t>
            </w:r>
            <w:r>
              <w:rPr>
                <w:i/>
                <w:color w:val="000000" w:themeColor="text1"/>
                <w:sz w:val="18"/>
                <w:szCs w:val="18"/>
                <w14:textFill>
                  <w14:solidFill>
                    <w14:schemeClr w14:val="tx1"/>
                  </w14:solidFill>
                </w14:textFill>
              </w:rPr>
              <w:t>/M</w:t>
            </w:r>
            <w:r>
              <w:rPr>
                <w:i/>
                <w:color w:val="000000" w:themeColor="text1"/>
                <w:sz w:val="18"/>
                <w:szCs w:val="18"/>
                <w:vertAlign w:val="subscript"/>
                <w14:textFill>
                  <w14:solidFill>
                    <w14:schemeClr w14:val="tx1"/>
                  </w14:solidFill>
                </w14:textFill>
              </w:rPr>
              <w:t>ik</w:t>
            </w:r>
          </w:p>
        </w:tc>
      </w:tr>
      <w:tr>
        <w:tblPrEx>
          <w:tblCellMar>
            <w:top w:w="0" w:type="dxa"/>
            <w:left w:w="108" w:type="dxa"/>
            <w:bottom w:w="0" w:type="dxa"/>
            <w:right w:w="108" w:type="dxa"/>
          </w:tblCellMar>
        </w:tblPrEx>
        <w:trPr>
          <w:trHeight w:val="986" w:hRule="atLeast"/>
          <w:jc w:val="center"/>
        </w:trPr>
        <w:tc>
          <w:tcPr>
            <w:tcW w:w="5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8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329" w:type="pct"/>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课堂</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情况</w:t>
            </w:r>
          </w:p>
        </w:tc>
        <w:tc>
          <w:tcPr>
            <w:tcW w:w="329" w:type="pct"/>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实验</w:t>
            </w:r>
          </w:p>
        </w:tc>
        <w:tc>
          <w:tcPr>
            <w:tcW w:w="329" w:type="pct"/>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期末</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考试</w:t>
            </w:r>
          </w:p>
        </w:tc>
        <w:tc>
          <w:tcPr>
            <w:tcW w:w="425" w:type="pct"/>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课堂</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情况</w:t>
            </w:r>
          </w:p>
        </w:tc>
        <w:tc>
          <w:tcPr>
            <w:tcW w:w="425" w:type="pct"/>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实验</w:t>
            </w:r>
          </w:p>
        </w:tc>
        <w:tc>
          <w:tcPr>
            <w:tcW w:w="425" w:type="pct"/>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期末</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考试</w:t>
            </w:r>
          </w:p>
        </w:tc>
        <w:tc>
          <w:tcPr>
            <w:tcW w:w="4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课堂</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情况</w:t>
            </w:r>
          </w:p>
        </w:tc>
        <w:tc>
          <w:tcPr>
            <w:tcW w:w="4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实验</w:t>
            </w:r>
          </w:p>
        </w:tc>
        <w:tc>
          <w:tcPr>
            <w:tcW w:w="4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期末</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考试</w:t>
            </w:r>
          </w:p>
        </w:tc>
      </w:tr>
      <w:tr>
        <w:tblPrEx>
          <w:tblCellMar>
            <w:top w:w="0" w:type="dxa"/>
            <w:left w:w="108" w:type="dxa"/>
            <w:bottom w:w="0" w:type="dxa"/>
            <w:right w:w="108" w:type="dxa"/>
          </w:tblCellMar>
        </w:tblPrEx>
        <w:trPr>
          <w:trHeight w:val="1020" w:hRule="atLeast"/>
          <w:jc w:val="center"/>
        </w:trPr>
        <w:tc>
          <w:tcPr>
            <w:tcW w:w="502" w:type="pct"/>
            <w:tcBorders>
              <w:top w:val="nil"/>
              <w:left w:val="single" w:color="auto" w:sz="4" w:space="0"/>
              <w:bottom w:val="single" w:color="auto" w:sz="4" w:space="0"/>
              <w:right w:val="single" w:color="auto" w:sz="4" w:space="0"/>
            </w:tcBorders>
            <w:shd w:val="clear" w:color="auto" w:fill="auto"/>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w:t>
            </w:r>
          </w:p>
        </w:tc>
        <w:tc>
          <w:tcPr>
            <w:tcW w:w="86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0.15</w:t>
            </w:r>
          </w:p>
        </w:tc>
        <w:tc>
          <w:tcPr>
            <w:tcW w:w="32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0.23</w:t>
            </w:r>
          </w:p>
        </w:tc>
        <w:tc>
          <w:tcPr>
            <w:tcW w:w="32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0.17</w:t>
            </w:r>
          </w:p>
        </w:tc>
        <w:tc>
          <w:tcPr>
            <w:tcW w:w="32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0.60</w:t>
            </w:r>
          </w:p>
        </w:tc>
        <w:tc>
          <w:tcPr>
            <w:tcW w:w="4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0.035</w:t>
            </w:r>
          </w:p>
        </w:tc>
        <w:tc>
          <w:tcPr>
            <w:tcW w:w="4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0.025</w:t>
            </w:r>
          </w:p>
        </w:tc>
        <w:tc>
          <w:tcPr>
            <w:tcW w:w="4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0.09</w:t>
            </w:r>
          </w:p>
        </w:tc>
        <w:tc>
          <w:tcPr>
            <w:tcW w:w="45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0.35</w:t>
            </w:r>
          </w:p>
        </w:tc>
        <w:tc>
          <w:tcPr>
            <w:tcW w:w="45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0.12</w:t>
            </w:r>
          </w:p>
        </w:tc>
        <w:tc>
          <w:tcPr>
            <w:tcW w:w="45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0.13</w:t>
            </w:r>
          </w:p>
        </w:tc>
      </w:tr>
      <w:tr>
        <w:tblPrEx>
          <w:tblCellMar>
            <w:top w:w="0" w:type="dxa"/>
            <w:left w:w="108" w:type="dxa"/>
            <w:bottom w:w="0" w:type="dxa"/>
            <w:right w:w="108" w:type="dxa"/>
          </w:tblCellMar>
        </w:tblPrEx>
        <w:trPr>
          <w:trHeight w:val="694" w:hRule="atLeast"/>
          <w:jc w:val="center"/>
        </w:trPr>
        <w:tc>
          <w:tcPr>
            <w:tcW w:w="502" w:type="pct"/>
            <w:tcBorders>
              <w:top w:val="nil"/>
              <w:left w:val="single" w:color="auto" w:sz="4" w:space="0"/>
              <w:bottom w:val="single" w:color="auto" w:sz="4" w:space="0"/>
              <w:right w:val="single" w:color="auto" w:sz="4" w:space="0"/>
            </w:tcBorders>
            <w:shd w:val="clear" w:color="auto" w:fill="auto"/>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2</w:t>
            </w:r>
          </w:p>
        </w:tc>
        <w:tc>
          <w:tcPr>
            <w:tcW w:w="865" w:type="pct"/>
            <w:tcBorders>
              <w:top w:val="nil"/>
              <w:left w:val="single" w:color="auto" w:sz="4" w:space="0"/>
              <w:bottom w:val="single" w:color="auto" w:sz="4" w:space="0"/>
              <w:right w:val="single" w:color="auto" w:sz="4" w:space="0"/>
            </w:tcBorders>
            <w:shd w:val="clear" w:color="auto" w:fill="auto"/>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0.15</w:t>
            </w:r>
          </w:p>
        </w:tc>
        <w:tc>
          <w:tcPr>
            <w:tcW w:w="329" w:type="pct"/>
            <w:tcBorders>
              <w:top w:val="nil"/>
              <w:left w:val="nil"/>
              <w:bottom w:val="single" w:color="auto" w:sz="4" w:space="0"/>
              <w:right w:val="single" w:color="auto" w:sz="4"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0.13</w:t>
            </w:r>
          </w:p>
        </w:tc>
        <w:tc>
          <w:tcPr>
            <w:tcW w:w="329" w:type="pct"/>
            <w:tcBorders>
              <w:top w:val="nil"/>
              <w:left w:val="nil"/>
              <w:bottom w:val="single" w:color="auto" w:sz="4" w:space="0"/>
              <w:right w:val="single" w:color="auto" w:sz="4"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0.17</w:t>
            </w:r>
          </w:p>
        </w:tc>
        <w:tc>
          <w:tcPr>
            <w:tcW w:w="329" w:type="pct"/>
            <w:tcBorders>
              <w:top w:val="nil"/>
              <w:left w:val="nil"/>
              <w:bottom w:val="single" w:color="auto" w:sz="4" w:space="0"/>
              <w:right w:val="single" w:color="auto" w:sz="4"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0.70</w:t>
            </w:r>
          </w:p>
        </w:tc>
        <w:tc>
          <w:tcPr>
            <w:tcW w:w="425" w:type="pct"/>
            <w:tcBorders>
              <w:top w:val="nil"/>
              <w:left w:val="nil"/>
              <w:bottom w:val="single" w:color="auto" w:sz="4" w:space="0"/>
              <w:right w:val="single" w:color="auto" w:sz="4"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0.020</w:t>
            </w:r>
          </w:p>
        </w:tc>
        <w:tc>
          <w:tcPr>
            <w:tcW w:w="425" w:type="pct"/>
            <w:tcBorders>
              <w:top w:val="nil"/>
              <w:left w:val="nil"/>
              <w:bottom w:val="single" w:color="auto" w:sz="4" w:space="0"/>
              <w:right w:val="single" w:color="auto" w:sz="4"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0.025</w:t>
            </w:r>
          </w:p>
        </w:tc>
        <w:tc>
          <w:tcPr>
            <w:tcW w:w="425" w:type="pct"/>
            <w:tcBorders>
              <w:top w:val="nil"/>
              <w:left w:val="nil"/>
              <w:bottom w:val="single" w:color="auto" w:sz="4" w:space="0"/>
              <w:right w:val="single" w:color="auto" w:sz="4"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0.105</w:t>
            </w:r>
          </w:p>
        </w:tc>
        <w:tc>
          <w:tcPr>
            <w:tcW w:w="45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0.20</w:t>
            </w:r>
          </w:p>
        </w:tc>
        <w:tc>
          <w:tcPr>
            <w:tcW w:w="45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0.12</w:t>
            </w:r>
          </w:p>
        </w:tc>
        <w:tc>
          <w:tcPr>
            <w:tcW w:w="45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0.15</w:t>
            </w:r>
          </w:p>
        </w:tc>
      </w:tr>
      <w:tr>
        <w:tblPrEx>
          <w:tblCellMar>
            <w:top w:w="0" w:type="dxa"/>
            <w:left w:w="108" w:type="dxa"/>
            <w:bottom w:w="0" w:type="dxa"/>
            <w:right w:w="108" w:type="dxa"/>
          </w:tblCellMar>
        </w:tblPrEx>
        <w:trPr>
          <w:trHeight w:val="690" w:hRule="atLeast"/>
          <w:jc w:val="center"/>
        </w:trPr>
        <w:tc>
          <w:tcPr>
            <w:tcW w:w="502" w:type="pct"/>
            <w:tcBorders>
              <w:top w:val="nil"/>
              <w:left w:val="single" w:color="auto" w:sz="4" w:space="0"/>
              <w:bottom w:val="single" w:color="auto" w:sz="4" w:space="0"/>
              <w:right w:val="single" w:color="auto" w:sz="4" w:space="0"/>
            </w:tcBorders>
            <w:shd w:val="clear" w:color="auto" w:fill="auto"/>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3</w:t>
            </w:r>
          </w:p>
        </w:tc>
        <w:tc>
          <w:tcPr>
            <w:tcW w:w="865" w:type="pct"/>
            <w:tcBorders>
              <w:top w:val="nil"/>
              <w:left w:val="single" w:color="auto" w:sz="4" w:space="0"/>
              <w:bottom w:val="single" w:color="auto" w:sz="4" w:space="0"/>
              <w:right w:val="single" w:color="auto" w:sz="4" w:space="0"/>
            </w:tcBorders>
            <w:shd w:val="clear" w:color="auto" w:fill="auto"/>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0.55</w:t>
            </w:r>
          </w:p>
        </w:tc>
        <w:tc>
          <w:tcPr>
            <w:tcW w:w="329" w:type="pct"/>
            <w:tcBorders>
              <w:top w:val="nil"/>
              <w:left w:val="nil"/>
              <w:bottom w:val="single" w:color="auto" w:sz="4" w:space="0"/>
              <w:right w:val="single" w:color="auto" w:sz="4"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0.08</w:t>
            </w:r>
          </w:p>
        </w:tc>
        <w:tc>
          <w:tcPr>
            <w:tcW w:w="329" w:type="pct"/>
            <w:tcBorders>
              <w:top w:val="nil"/>
              <w:left w:val="nil"/>
              <w:bottom w:val="single" w:color="auto" w:sz="4" w:space="0"/>
              <w:right w:val="single" w:color="auto" w:sz="4"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0.19</w:t>
            </w:r>
          </w:p>
        </w:tc>
        <w:tc>
          <w:tcPr>
            <w:tcW w:w="329" w:type="pct"/>
            <w:tcBorders>
              <w:top w:val="nil"/>
              <w:left w:val="nil"/>
              <w:bottom w:val="single" w:color="auto" w:sz="4" w:space="0"/>
              <w:right w:val="single" w:color="auto" w:sz="4"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0.73</w:t>
            </w:r>
          </w:p>
        </w:tc>
        <w:tc>
          <w:tcPr>
            <w:tcW w:w="425" w:type="pct"/>
            <w:tcBorders>
              <w:top w:val="nil"/>
              <w:left w:val="nil"/>
              <w:bottom w:val="single" w:color="auto" w:sz="4" w:space="0"/>
              <w:right w:val="single" w:color="auto" w:sz="4"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0.045</w:t>
            </w:r>
          </w:p>
        </w:tc>
        <w:tc>
          <w:tcPr>
            <w:tcW w:w="425" w:type="pct"/>
            <w:tcBorders>
              <w:top w:val="nil"/>
              <w:left w:val="nil"/>
              <w:bottom w:val="single" w:color="auto" w:sz="4" w:space="0"/>
              <w:right w:val="single" w:color="auto" w:sz="4"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0.105</w:t>
            </w:r>
          </w:p>
        </w:tc>
        <w:tc>
          <w:tcPr>
            <w:tcW w:w="425" w:type="pct"/>
            <w:tcBorders>
              <w:top w:val="nil"/>
              <w:left w:val="nil"/>
              <w:bottom w:val="single" w:color="auto" w:sz="4" w:space="0"/>
              <w:right w:val="single" w:color="auto" w:sz="4"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0.40</w:t>
            </w:r>
          </w:p>
        </w:tc>
        <w:tc>
          <w:tcPr>
            <w:tcW w:w="45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0.45</w:t>
            </w:r>
          </w:p>
        </w:tc>
        <w:tc>
          <w:tcPr>
            <w:tcW w:w="45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0.53</w:t>
            </w:r>
          </w:p>
        </w:tc>
        <w:tc>
          <w:tcPr>
            <w:tcW w:w="45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0.57</w:t>
            </w:r>
          </w:p>
        </w:tc>
      </w:tr>
      <w:tr>
        <w:tblPrEx>
          <w:tblCellMar>
            <w:top w:w="0" w:type="dxa"/>
            <w:left w:w="108" w:type="dxa"/>
            <w:bottom w:w="0" w:type="dxa"/>
            <w:right w:w="108" w:type="dxa"/>
          </w:tblCellMar>
        </w:tblPrEx>
        <w:trPr>
          <w:trHeight w:val="1092" w:hRule="atLeast"/>
          <w:jc w:val="center"/>
        </w:trPr>
        <w:tc>
          <w:tcPr>
            <w:tcW w:w="502" w:type="pct"/>
            <w:tcBorders>
              <w:top w:val="nil"/>
              <w:left w:val="single" w:color="auto" w:sz="4" w:space="0"/>
              <w:bottom w:val="single" w:color="auto" w:sz="4" w:space="0"/>
              <w:right w:val="single" w:color="auto" w:sz="4" w:space="0"/>
            </w:tcBorders>
            <w:shd w:val="clear" w:color="auto" w:fill="auto"/>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4</w:t>
            </w:r>
          </w:p>
        </w:tc>
        <w:tc>
          <w:tcPr>
            <w:tcW w:w="865" w:type="pct"/>
            <w:tcBorders>
              <w:top w:val="nil"/>
              <w:left w:val="single" w:color="auto" w:sz="4" w:space="0"/>
              <w:bottom w:val="single" w:color="auto" w:sz="4" w:space="0"/>
              <w:right w:val="single" w:color="auto" w:sz="4" w:space="0"/>
            </w:tcBorders>
            <w:shd w:val="clear" w:color="auto" w:fill="auto"/>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0.15</w:t>
            </w:r>
          </w:p>
        </w:tc>
        <w:tc>
          <w:tcPr>
            <w:tcW w:w="329" w:type="pct"/>
            <w:tcBorders>
              <w:top w:val="nil"/>
              <w:left w:val="nil"/>
              <w:bottom w:val="single" w:color="auto" w:sz="4" w:space="0"/>
              <w:right w:val="single" w:color="auto" w:sz="4"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0.00</w:t>
            </w:r>
          </w:p>
        </w:tc>
        <w:tc>
          <w:tcPr>
            <w:tcW w:w="329" w:type="pct"/>
            <w:tcBorders>
              <w:top w:val="nil"/>
              <w:left w:val="nil"/>
              <w:bottom w:val="single" w:color="auto" w:sz="4" w:space="0"/>
              <w:right w:val="single" w:color="auto" w:sz="4"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0.30</w:t>
            </w:r>
          </w:p>
        </w:tc>
        <w:tc>
          <w:tcPr>
            <w:tcW w:w="329" w:type="pct"/>
            <w:tcBorders>
              <w:top w:val="nil"/>
              <w:left w:val="nil"/>
              <w:bottom w:val="single" w:color="auto" w:sz="4" w:space="0"/>
              <w:right w:val="single" w:color="auto" w:sz="4"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0.70</w:t>
            </w:r>
          </w:p>
        </w:tc>
        <w:tc>
          <w:tcPr>
            <w:tcW w:w="425" w:type="pct"/>
            <w:tcBorders>
              <w:top w:val="nil"/>
              <w:left w:val="nil"/>
              <w:bottom w:val="single" w:color="auto" w:sz="4" w:space="0"/>
              <w:right w:val="single" w:color="auto" w:sz="4"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425" w:type="pct"/>
            <w:tcBorders>
              <w:top w:val="nil"/>
              <w:left w:val="nil"/>
              <w:bottom w:val="single" w:color="auto" w:sz="4" w:space="0"/>
              <w:right w:val="single" w:color="auto" w:sz="4"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0.045</w:t>
            </w:r>
          </w:p>
        </w:tc>
        <w:tc>
          <w:tcPr>
            <w:tcW w:w="425" w:type="pct"/>
            <w:tcBorders>
              <w:top w:val="nil"/>
              <w:left w:val="nil"/>
              <w:bottom w:val="single" w:color="auto" w:sz="4" w:space="0"/>
              <w:right w:val="single" w:color="auto" w:sz="4"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0.105</w:t>
            </w:r>
          </w:p>
        </w:tc>
        <w:tc>
          <w:tcPr>
            <w:tcW w:w="45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0.00</w:t>
            </w:r>
          </w:p>
        </w:tc>
        <w:tc>
          <w:tcPr>
            <w:tcW w:w="45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0.23</w:t>
            </w:r>
          </w:p>
        </w:tc>
        <w:tc>
          <w:tcPr>
            <w:tcW w:w="45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0.15</w:t>
            </w:r>
          </w:p>
        </w:tc>
      </w:tr>
      <w:tr>
        <w:tblPrEx>
          <w:tblCellMar>
            <w:top w:w="0" w:type="dxa"/>
            <w:left w:w="108" w:type="dxa"/>
            <w:bottom w:w="0" w:type="dxa"/>
            <w:right w:w="108" w:type="dxa"/>
          </w:tblCellMar>
        </w:tblPrEx>
        <w:trPr>
          <w:trHeight w:val="1026" w:hRule="atLeast"/>
          <w:jc w:val="center"/>
        </w:trPr>
        <w:tc>
          <w:tcPr>
            <w:tcW w:w="2353" w:type="pct"/>
            <w:gridSpan w:val="5"/>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各环节对课程目标达成的贡献率（</w:t>
            </w:r>
            <w:r>
              <w:rPr>
                <w:i/>
                <w:color w:val="000000" w:themeColor="text1"/>
                <w:kern w:val="0"/>
                <w:sz w:val="18"/>
                <w:szCs w:val="18"/>
                <w14:textFill>
                  <w14:solidFill>
                    <w14:schemeClr w14:val="tx1"/>
                  </w14:solidFill>
                </w14:textFill>
              </w:rPr>
              <w:t>M</w:t>
            </w:r>
            <w:r>
              <w:rPr>
                <w:i/>
                <w:color w:val="000000" w:themeColor="text1"/>
                <w:kern w:val="0"/>
                <w:sz w:val="18"/>
                <w:szCs w:val="18"/>
                <w:vertAlign w:val="subscript"/>
                <w14:textFill>
                  <w14:solidFill>
                    <w14:schemeClr w14:val="tx1"/>
                  </w14:solidFill>
                </w14:textFill>
              </w:rPr>
              <w:t>k</w:t>
            </w:r>
            <w:r>
              <w:rPr>
                <w:color w:val="000000" w:themeColor="text1"/>
                <w:kern w:val="0"/>
                <w:sz w:val="18"/>
                <w:szCs w:val="18"/>
                <w14:textFill>
                  <w14:solidFill>
                    <w14:schemeClr w14:val="tx1"/>
                  </w14:solidFill>
                </w14:textFill>
              </w:rPr>
              <w:t>）</w:t>
            </w:r>
          </w:p>
        </w:tc>
        <w:tc>
          <w:tcPr>
            <w:tcW w:w="42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0.10</w:t>
            </w:r>
          </w:p>
        </w:tc>
        <w:tc>
          <w:tcPr>
            <w:tcW w:w="42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0.20</w:t>
            </w:r>
          </w:p>
        </w:tc>
        <w:tc>
          <w:tcPr>
            <w:tcW w:w="425" w:type="pct"/>
            <w:tcBorders>
              <w:top w:val="single" w:color="auto" w:sz="4" w:space="0"/>
              <w:left w:val="nil"/>
              <w:bottom w:val="single" w:color="auto" w:sz="4" w:space="0"/>
              <w:right w:val="single" w:color="auto" w:sz="4" w:space="0"/>
            </w:tcBorders>
            <w:shd w:val="clear" w:color="auto" w:fill="auto"/>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0.70</w:t>
            </w:r>
          </w:p>
        </w:tc>
        <w:tc>
          <w:tcPr>
            <w:tcW w:w="137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教师出题或布置作业时</w:t>
            </w:r>
          </w:p>
          <w:p>
            <w:pPr>
              <w:widowControl/>
              <w:jc w:val="center"/>
              <w:rPr>
                <w:color w:val="000000" w:themeColor="text1"/>
                <w:kern w:val="0"/>
                <w:sz w:val="18"/>
                <w:szCs w:val="18"/>
                <w14:textFill>
                  <w14:solidFill>
                    <w14:schemeClr w14:val="tx1"/>
                  </w14:solidFill>
                </w14:textFill>
              </w:rPr>
            </w:pPr>
            <w:r>
              <w:rPr>
                <w:sz w:val="18"/>
                <w:szCs w:val="18"/>
              </w:rPr>
              <w:t>要尽量做到按照以上比例布局</w:t>
            </w:r>
          </w:p>
        </w:tc>
      </w:tr>
    </w:tbl>
    <w:p>
      <w:pPr>
        <w:spacing w:line="360" w:lineRule="auto"/>
        <w:jc w:val="left"/>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sectPr>
          <w:pgSz w:w="16838" w:h="11906" w:orient="landscape"/>
          <w:pgMar w:top="1797" w:right="1440" w:bottom="1797" w:left="1440" w:header="851" w:footer="992" w:gutter="0"/>
          <w:pgNumType w:fmt="decimal"/>
          <w:cols w:space="425" w:num="1"/>
          <w:docGrid w:linePitch="312" w:charSpace="0"/>
        </w:sectPr>
      </w:pPr>
    </w:p>
    <w:p>
      <w:pPr>
        <w:spacing w:line="360" w:lineRule="auto"/>
        <w:ind w:firstLine="420" w:firstLineChars="200"/>
        <w:rPr>
          <w:szCs w:val="21"/>
        </w:rPr>
      </w:pPr>
      <w:r>
        <w:rPr>
          <w:rFonts w:hint="eastAsia"/>
          <w:szCs w:val="21"/>
        </w:rPr>
        <w:t>采用达成值计算法，辅以对学生的问卷调查法。</w:t>
      </w:r>
    </w:p>
    <w:p>
      <w:pPr>
        <w:spacing w:line="360" w:lineRule="auto"/>
        <w:ind w:firstLine="422" w:firstLineChars="200"/>
        <w:rPr>
          <w:b/>
          <w:bCs/>
          <w:szCs w:val="21"/>
        </w:rPr>
      </w:pPr>
      <w:r>
        <w:rPr>
          <w:rFonts w:hint="eastAsia"/>
          <w:b/>
          <w:bCs/>
          <w:szCs w:val="21"/>
        </w:rPr>
        <w:t>课程目标定量评价：</w:t>
      </w:r>
    </w:p>
    <w:p>
      <w:pPr>
        <w:spacing w:line="360" w:lineRule="auto"/>
        <w:ind w:firstLine="420" w:firstLineChars="200"/>
        <w:rPr>
          <w:szCs w:val="21"/>
        </w:rPr>
      </w:pPr>
      <w:r>
        <w:rPr>
          <w:szCs w:val="21"/>
        </w:rPr>
        <w:t>达成值计算法结合上表权重分配，采用</w:t>
      </w:r>
      <w:r>
        <w:rPr>
          <w:rFonts w:hint="eastAsia"/>
          <w:szCs w:val="21"/>
        </w:rPr>
        <w:t>下表进行计算。</w:t>
      </w:r>
    </w:p>
    <w:p>
      <w:pPr>
        <w:spacing w:line="360" w:lineRule="auto"/>
        <w:ind w:firstLine="420" w:firstLineChars="200"/>
        <w:rPr>
          <w:szCs w:val="21"/>
        </w:rPr>
      </w:pPr>
      <w:r>
        <w:rPr>
          <w:szCs w:val="21"/>
        </w:rPr>
        <w:t>单一课程目标达成度评价采用下式：</w:t>
      </w:r>
    </w:p>
    <w:p>
      <w:pPr>
        <w:spacing w:line="360" w:lineRule="auto"/>
        <w:ind w:firstLine="420" w:firstLineChars="200"/>
        <w:rPr>
          <w:szCs w:val="21"/>
        </w:rPr>
      </w:pPr>
      <w:r>
        <w:rPr>
          <w:position w:val="-30"/>
          <w:szCs w:val="21"/>
        </w:rPr>
        <w:object>
          <v:shape id="_x0000_i1133" o:spt="75" type="#_x0000_t75" style="height:36pt;width:165.5pt;" o:ole="t" filled="f" o:preferrelative="t" stroked="f" coordsize="21600,21600">
            <v:path/>
            <v:fill on="f" focussize="0,0"/>
            <v:stroke on="f" joinstyle="miter"/>
            <v:imagedata r:id="rId145" o:title=""/>
            <o:lock v:ext="edit" aspectratio="t"/>
            <w10:wrap type="none"/>
            <w10:anchorlock/>
          </v:shape>
          <o:OLEObject Type="Embed" ProgID="Equation.3" ShapeID="_x0000_i1133" DrawAspect="Content" ObjectID="_1468075833" r:id="rId271">
            <o:LockedField>false</o:LockedField>
          </o:OLEObject>
        </w:object>
      </w:r>
    </w:p>
    <w:p>
      <w:pPr>
        <w:spacing w:line="360" w:lineRule="auto"/>
        <w:ind w:firstLine="420" w:firstLineChars="200"/>
        <w:rPr>
          <w:szCs w:val="21"/>
        </w:rPr>
      </w:pPr>
      <w:r>
        <w:rPr>
          <w:szCs w:val="21"/>
        </w:rPr>
        <w:t>总的课程目标达成度评价采用下式：</w:t>
      </w:r>
    </w:p>
    <w:p>
      <w:pPr>
        <w:spacing w:line="360" w:lineRule="auto"/>
        <w:ind w:firstLine="420" w:firstLineChars="200"/>
        <w:rPr>
          <w:szCs w:val="21"/>
        </w:rPr>
      </w:pPr>
      <w:r>
        <w:rPr>
          <w:position w:val="-30"/>
          <w:szCs w:val="21"/>
        </w:rPr>
        <w:object>
          <v:shape id="_x0000_i1134" o:spt="75" type="#_x0000_t75" style="height:36pt;width:150pt;" o:ole="t" filled="f" o:preferrelative="t" stroked="f" coordsize="21600,21600">
            <v:path/>
            <v:fill on="f" focussize="0,0"/>
            <v:stroke on="f" joinstyle="miter"/>
            <v:imagedata r:id="rId147" o:title=""/>
            <o:lock v:ext="edit" aspectratio="t"/>
            <w10:wrap type="none"/>
            <w10:anchorlock/>
          </v:shape>
          <o:OLEObject Type="Embed" ProgID="Equation.3" ShapeID="_x0000_i1134" DrawAspect="Content" ObjectID="_1468075834" r:id="rId272">
            <o:LockedField>false</o:LockedField>
          </o:OLEObject>
        </w:object>
      </w:r>
    </w:p>
    <w:p>
      <w:pPr>
        <w:spacing w:line="360" w:lineRule="auto"/>
        <w:ind w:firstLine="420" w:firstLineChars="200"/>
        <w:rPr>
          <w:szCs w:val="21"/>
        </w:rPr>
      </w:pPr>
      <w:r>
        <w:rPr>
          <w:szCs w:val="21"/>
        </w:rPr>
        <w:t>以上公式中：</w:t>
      </w:r>
    </w:p>
    <w:p>
      <w:pPr>
        <w:spacing w:line="360" w:lineRule="auto"/>
        <w:ind w:firstLine="420" w:firstLineChars="200"/>
        <w:rPr>
          <w:szCs w:val="21"/>
        </w:rPr>
      </w:pPr>
      <w:r>
        <w:rPr>
          <w:i/>
          <w:szCs w:val="21"/>
        </w:rPr>
        <w:t>k</w:t>
      </w:r>
      <w:r>
        <w:rPr>
          <w:szCs w:val="21"/>
        </w:rPr>
        <w:t>表示不同的评价方式，</w:t>
      </w:r>
      <w:r>
        <w:rPr>
          <w:i/>
          <w:szCs w:val="21"/>
        </w:rPr>
        <w:t>i</w:t>
      </w:r>
      <w:r>
        <w:rPr>
          <w:szCs w:val="21"/>
        </w:rPr>
        <w:t>表示不同的课程目标。</w:t>
      </w:r>
    </w:p>
    <w:p>
      <w:pPr>
        <w:spacing w:line="360" w:lineRule="auto"/>
        <w:ind w:firstLine="420" w:firstLineChars="200"/>
      </w:pPr>
      <w:r>
        <w:rPr>
          <w:position w:val="-10"/>
        </w:rPr>
        <w:object>
          <v:shape id="_x0000_i1135" o:spt="75" type="#_x0000_t75" style="height:17.5pt;width:14.5pt;" o:ole="t" filled="f" o:preferrelative="t" stroked="f" coordsize="21600,21600">
            <v:path/>
            <v:fill on="f" focussize="0,0"/>
            <v:stroke on="f" joinstyle="miter"/>
            <v:imagedata r:id="rId149" o:title=""/>
            <o:lock v:ext="edit" aspectratio="t"/>
            <w10:wrap type="none"/>
            <w10:anchorlock/>
          </v:shape>
          <o:OLEObject Type="Embed" ProgID="Equation.3" ShapeID="_x0000_i1135" DrawAspect="Content" ObjectID="_1468075835" r:id="rId273">
            <o:LockedField>false</o:LockedField>
          </o:OLEObject>
        </w:object>
      </w:r>
      <w:r>
        <w:t>表示第</w:t>
      </w:r>
      <w:r>
        <w:rPr>
          <w:i/>
        </w:rPr>
        <w:t>k</w:t>
      </w:r>
      <w:r>
        <w:t>种评价方式期末评价成绩平均分，均为百分制；</w:t>
      </w:r>
    </w:p>
    <w:p>
      <w:pPr>
        <w:spacing w:line="360" w:lineRule="auto"/>
        <w:ind w:firstLine="420" w:firstLineChars="200"/>
      </w:pPr>
      <w:r>
        <w:rPr>
          <w:position w:val="-10"/>
        </w:rPr>
        <w:object>
          <v:shape id="_x0000_i1136" o:spt="75" type="#_x0000_t75" style="height:17.5pt;width:74.5pt;" o:ole="t" filled="f" o:preferrelative="t" stroked="f" coordsize="21600,21600">
            <v:path/>
            <v:fill on="f" focussize="0,0"/>
            <v:stroke on="f" joinstyle="miter"/>
            <v:imagedata r:id="rId151" o:title=""/>
            <o:lock v:ext="edit" aspectratio="t"/>
            <w10:wrap type="none"/>
            <w10:anchorlock/>
          </v:shape>
          <o:OLEObject Type="Embed" ProgID="Equation.3" ShapeID="_x0000_i1136" DrawAspect="Content" ObjectID="_1468075836" r:id="rId274">
            <o:LockedField>false</o:LockedField>
          </o:OLEObject>
        </w:object>
      </w:r>
      <w:r>
        <w:t>是第</w:t>
      </w:r>
      <w:r>
        <w:rPr>
          <w:i/>
        </w:rPr>
        <w:t>k</w:t>
      </w:r>
      <w:r>
        <w:t>种评价方式通过第</w:t>
      </w:r>
      <w:r>
        <w:rPr>
          <w:i/>
        </w:rPr>
        <w:t>i</w:t>
      </w:r>
      <w:r>
        <w:t>个课程目标反映在总的课程目标评分占比；</w:t>
      </w:r>
    </w:p>
    <w:p>
      <w:pPr>
        <w:spacing w:line="360" w:lineRule="auto"/>
        <w:ind w:firstLine="420" w:firstLineChars="200"/>
        <w:rPr>
          <w:szCs w:val="21"/>
        </w:rPr>
      </w:pPr>
      <w:r>
        <w:rPr>
          <w:position w:val="-10"/>
        </w:rPr>
        <w:object>
          <v:shape id="_x0000_i1137" o:spt="75" type="#_x0000_t75" style="height:17.5pt;width:17.5pt;" o:ole="t" filled="f" o:preferrelative="t" stroked="f" coordsize="21600,21600">
            <v:path/>
            <v:fill on="f" focussize="0,0"/>
            <v:stroke on="f" joinstyle="miter"/>
            <v:imagedata r:id="rId153" o:title=""/>
            <o:lock v:ext="edit" aspectratio="t"/>
            <w10:wrap type="none"/>
            <w10:anchorlock/>
          </v:shape>
          <o:OLEObject Type="Embed" ProgID="Equation.3" ShapeID="_x0000_i1137" DrawAspect="Content" ObjectID="_1468075837" r:id="rId275">
            <o:LockedField>false</o:LockedField>
          </o:OLEObject>
        </w:object>
      </w:r>
      <w:r>
        <w:t>表示第</w:t>
      </w:r>
      <w:r>
        <w:rPr>
          <w:i/>
        </w:rPr>
        <w:t>k</w:t>
      </w:r>
      <w:r>
        <w:t>种评价方式对第</w:t>
      </w:r>
      <w:r>
        <w:rPr>
          <w:i/>
        </w:rPr>
        <w:t>i</w:t>
      </w:r>
      <w:r>
        <w:t>个课程目标百分占比；</w:t>
      </w:r>
    </w:p>
    <w:p>
      <w:pPr>
        <w:spacing w:line="360" w:lineRule="auto"/>
        <w:ind w:firstLine="420" w:firstLineChars="200"/>
      </w:pPr>
      <w:r>
        <w:rPr>
          <w:position w:val="-10"/>
        </w:rPr>
        <w:object>
          <v:shape id="_x0000_i1138" o:spt="75" type="#_x0000_t75" style="height:17.5pt;width:13pt;" o:ole="t" filled="f" o:preferrelative="t" stroked="f" coordsize="21600,21600">
            <v:path/>
            <v:fill on="f" focussize="0,0"/>
            <v:stroke on="f" joinstyle="miter"/>
            <v:imagedata r:id="rId155" o:title=""/>
            <o:lock v:ext="edit" aspectratio="t"/>
            <w10:wrap type="none"/>
            <w10:anchorlock/>
          </v:shape>
          <o:OLEObject Type="Embed" ProgID="Equation.3" ShapeID="_x0000_i1138" DrawAspect="Content" ObjectID="_1468075838" r:id="rId276">
            <o:LockedField>false</o:LockedField>
          </o:OLEObject>
        </w:object>
      </w:r>
      <w:r>
        <w:t>表示第</w:t>
      </w:r>
      <w:r>
        <w:rPr>
          <w:i/>
        </w:rPr>
        <w:t>i</w:t>
      </w:r>
      <w:r>
        <w:t>个课程目标在课程总评价中的占比；</w:t>
      </w:r>
    </w:p>
    <w:p>
      <w:pPr>
        <w:spacing w:line="360" w:lineRule="auto"/>
        <w:ind w:firstLine="422" w:firstLineChars="200"/>
        <w:rPr>
          <w:b/>
          <w:bCs/>
          <w:position w:val="-10"/>
          <w:szCs w:val="22"/>
        </w:rPr>
      </w:pPr>
      <w:r>
        <w:rPr>
          <w:rFonts w:hint="eastAsia"/>
          <w:b/>
          <w:bCs/>
          <w:position w:val="-10"/>
          <w:szCs w:val="22"/>
        </w:rPr>
        <w:t>课程目标定性评价：</w:t>
      </w:r>
    </w:p>
    <w:p>
      <w:pPr>
        <w:spacing w:line="360" w:lineRule="auto"/>
        <w:ind w:firstLine="420" w:firstLineChars="200"/>
        <w:rPr>
          <w:rFonts w:ascii="宋体" w:hAnsi="宋体" w:cs="宋体"/>
          <w:szCs w:val="21"/>
        </w:rPr>
      </w:pPr>
      <w:r>
        <w:rPr>
          <w:rFonts w:hint="eastAsia" w:ascii="宋体" w:hAnsi="宋体" w:cs="宋体"/>
          <w:szCs w:val="21"/>
        </w:rPr>
        <w:t>针对每门课的课程目标，直接设计问题，并要求学生明确给出目标能力达到的程度“很好（0.95）、较好（0.75）、中（0.60）、较差（0.45）、很差（0.25）”，根据各区段统计比例与括号中的目标分值加权后求和得出定性评价的结果。</w:t>
      </w:r>
    </w:p>
    <w:p>
      <w:pPr>
        <w:spacing w:line="360" w:lineRule="auto"/>
        <w:ind w:firstLine="422" w:firstLineChars="200"/>
        <w:rPr>
          <w:b/>
          <w:bCs/>
          <w:position w:val="-10"/>
          <w:szCs w:val="22"/>
        </w:rPr>
      </w:pPr>
      <w:r>
        <w:rPr>
          <w:rFonts w:hint="eastAsia"/>
          <w:b/>
          <w:bCs/>
          <w:position w:val="-10"/>
          <w:szCs w:val="22"/>
        </w:rPr>
        <w:t>课程目标达成结果：</w:t>
      </w:r>
    </w:p>
    <w:p>
      <w:pPr>
        <w:spacing w:line="360" w:lineRule="auto"/>
        <w:ind w:firstLine="420" w:firstLineChars="200"/>
        <w:rPr>
          <w:rFonts w:ascii="宋体" w:hAnsi="宋体" w:cs="宋体"/>
          <w:szCs w:val="21"/>
        </w:rPr>
      </w:pPr>
      <w:r>
        <w:rPr>
          <w:rFonts w:hint="eastAsia" w:ascii="宋体" w:hAnsi="宋体" w:cs="宋体"/>
          <w:szCs w:val="21"/>
        </w:rPr>
        <w:t>同一课程目标的评价，取定性评价和定量评价的平均值，作为最终评价结果。</w:t>
      </w:r>
    </w:p>
    <w:p>
      <w:pPr>
        <w:spacing w:line="360" w:lineRule="auto"/>
        <w:ind w:firstLine="420" w:firstLineChars="200"/>
        <w:rPr>
          <w:position w:val="-10"/>
          <w:szCs w:val="22"/>
        </w:rPr>
      </w:pPr>
      <w:r>
        <w:rPr>
          <w:rFonts w:hint="eastAsia"/>
          <w:position w:val="-10"/>
          <w:szCs w:val="22"/>
        </w:rPr>
        <w:t>课程目标达成度大于等于0.71为一级达成，大于等于0.65为二级达成。</w:t>
      </w:r>
    </w:p>
    <w:p>
      <w:pPr>
        <w:widowControl/>
        <w:jc w:val="left"/>
        <w:rPr>
          <w:rFonts w:eastAsia="黑体"/>
          <w:szCs w:val="24"/>
        </w:rPr>
      </w:pPr>
    </w:p>
    <w:p>
      <w:pPr>
        <w:tabs>
          <w:tab w:val="left" w:pos="420"/>
        </w:tabs>
        <w:adjustRightInd w:val="0"/>
        <w:snapToGrid w:val="0"/>
        <w:spacing w:line="360" w:lineRule="auto"/>
        <w:ind w:left="420" w:hanging="420"/>
        <w:rPr>
          <w:rFonts w:eastAsia="黑体"/>
          <w:szCs w:val="24"/>
        </w:rPr>
      </w:pPr>
      <w:r>
        <w:rPr>
          <w:rFonts w:hint="eastAsia" w:eastAsia="黑体"/>
          <w:szCs w:val="24"/>
        </w:rPr>
        <w:t>十一、各环节评价标准</w:t>
      </w:r>
    </w:p>
    <w:p>
      <w:pPr>
        <w:spacing w:line="360" w:lineRule="auto"/>
        <w:ind w:firstLine="420" w:firstLineChars="200"/>
        <w:rPr>
          <w:szCs w:val="21"/>
        </w:rPr>
      </w:pPr>
      <w:r>
        <w:rPr>
          <w:rFonts w:hint="eastAsia"/>
          <w:szCs w:val="21"/>
        </w:rPr>
        <w:t>本课程允许教师在各评价环节根据具体情况采取多样化、个性化的考核手段，其评价标准应当在《</w:t>
      </w:r>
      <w:r>
        <w:rPr>
          <w:rFonts w:hint="eastAsia" w:ascii="宋体" w:hAnsi="宋体"/>
          <w:szCs w:val="21"/>
        </w:rPr>
        <w:t>SIE-CT-01：</w:t>
      </w:r>
      <w:r>
        <w:rPr>
          <w:rFonts w:hint="eastAsia"/>
          <w:szCs w:val="21"/>
        </w:rPr>
        <w:t>授课计划》中明确并向学生公布，教学过程中的考核评价应当严格按照标准完成。</w:t>
      </w:r>
    </w:p>
    <w:p>
      <w:pPr>
        <w:tabs>
          <w:tab w:val="left" w:pos="420"/>
        </w:tabs>
        <w:adjustRightInd w:val="0"/>
        <w:snapToGrid w:val="0"/>
        <w:spacing w:line="360" w:lineRule="auto"/>
        <w:ind w:left="420" w:hanging="420"/>
        <w:rPr>
          <w:color w:val="0000FF"/>
        </w:rPr>
      </w:pPr>
    </w:p>
    <w:p>
      <w:pPr>
        <w:tabs>
          <w:tab w:val="left" w:pos="420"/>
        </w:tabs>
        <w:adjustRightInd w:val="0"/>
        <w:snapToGrid w:val="0"/>
        <w:spacing w:line="360" w:lineRule="auto"/>
        <w:ind w:left="420" w:hanging="420"/>
        <w:rPr>
          <w:rFonts w:eastAsia="黑体"/>
          <w:szCs w:val="24"/>
        </w:rPr>
      </w:pPr>
      <w:r>
        <w:rPr>
          <w:rFonts w:hint="eastAsia" w:eastAsia="黑体"/>
          <w:szCs w:val="24"/>
        </w:rPr>
        <w:t>十二、课程目标达成评价结果用于持续改进</w:t>
      </w:r>
    </w:p>
    <w:p>
      <w:pPr>
        <w:spacing w:line="360" w:lineRule="auto"/>
        <w:ind w:firstLine="420" w:firstLineChars="200"/>
        <w:rPr>
          <w:szCs w:val="21"/>
        </w:rPr>
      </w:pPr>
      <w:r>
        <w:rPr>
          <w:rFonts w:hint="eastAsia"/>
          <w:szCs w:val="21"/>
        </w:rPr>
        <w:t>课程目标达成评价结果将用于后续教学过程的持续改进。</w:t>
      </w:r>
    </w:p>
    <w:p>
      <w:pPr>
        <w:spacing w:line="360" w:lineRule="auto"/>
        <w:ind w:firstLine="420" w:firstLineChars="200"/>
        <w:rPr>
          <w:szCs w:val="21"/>
        </w:rPr>
      </w:pPr>
      <w:r>
        <w:rPr>
          <w:rFonts w:hint="eastAsia"/>
          <w:szCs w:val="21"/>
        </w:rPr>
        <w:t>针对课程目标达成评价中发现的问题与不足，重点是达成值相对较低的项，在本次授课总结中应由授课教师分析具体原因，并给出改进建议。后续任课教师应当针对以前的问题和建议，在授课计划中做好落实改进计划，并在授课过程中予以落实。</w:t>
      </w:r>
    </w:p>
    <w:p>
      <w:pPr>
        <w:spacing w:line="360" w:lineRule="auto"/>
        <w:rPr>
          <w:sz w:val="24"/>
        </w:rPr>
        <w:sectPr>
          <w:headerReference r:id="rId102" w:type="first"/>
          <w:footerReference r:id="rId105" w:type="first"/>
          <w:headerReference r:id="rId100" w:type="default"/>
          <w:footerReference r:id="rId103" w:type="default"/>
          <w:headerReference r:id="rId101" w:type="even"/>
          <w:footerReference r:id="rId104" w:type="even"/>
          <w:pgSz w:w="11906" w:h="16838"/>
          <w:pgMar w:top="1440" w:right="1797" w:bottom="1440" w:left="1797" w:header="851" w:footer="992" w:gutter="0"/>
          <w:pgNumType w:fmt="decimal"/>
          <w:cols w:space="720" w:num="1"/>
          <w:docGrid w:linePitch="312" w:charSpace="0"/>
        </w:sectPr>
      </w:pPr>
    </w:p>
    <w:p>
      <w:pPr>
        <w:pStyle w:val="18"/>
        <w:spacing w:before="240" w:after="360"/>
      </w:pPr>
      <w:bookmarkStart w:id="38" w:name="_Toc11441"/>
      <w:r>
        <w:rPr>
          <w:rFonts w:hint="eastAsia"/>
        </w:rPr>
        <w:t>《虚拟仪器设计》教学大纲</w:t>
      </w:r>
      <w:bookmarkEnd w:id="38"/>
    </w:p>
    <w:p>
      <w:pPr>
        <w:adjustRightInd w:val="0"/>
        <w:snapToGrid w:val="0"/>
        <w:spacing w:line="360" w:lineRule="auto"/>
        <w:rPr>
          <w:bCs/>
          <w:kern w:val="0"/>
        </w:rPr>
      </w:pPr>
      <w:r>
        <w:rPr>
          <w:rFonts w:hint="eastAsia" w:eastAsia="黑体"/>
          <w:szCs w:val="21"/>
        </w:rPr>
        <w:t>课程编号：</w:t>
      </w:r>
      <w:r>
        <w:rPr>
          <w:bCs/>
          <w:kern w:val="0"/>
        </w:rPr>
        <w:t>Z06060105</w:t>
      </w:r>
    </w:p>
    <w:p>
      <w:pPr>
        <w:adjustRightInd w:val="0"/>
        <w:snapToGrid w:val="0"/>
        <w:spacing w:line="360" w:lineRule="auto"/>
        <w:rPr>
          <w:snapToGrid w:val="0"/>
          <w:kern w:val="0"/>
          <w:szCs w:val="21"/>
        </w:rPr>
      </w:pPr>
      <w:r>
        <w:rPr>
          <w:rFonts w:hint="eastAsia" w:eastAsia="黑体"/>
          <w:szCs w:val="21"/>
        </w:rPr>
        <w:t>课程名称：</w:t>
      </w:r>
      <w:r>
        <w:rPr>
          <w:rFonts w:hint="eastAsia"/>
          <w:szCs w:val="21"/>
        </w:rPr>
        <w:t>虚拟仪器设计</w:t>
      </w:r>
      <w:r>
        <w:rPr>
          <w:szCs w:val="21"/>
        </w:rPr>
        <w:tab/>
      </w:r>
      <w:r>
        <w:rPr>
          <w:szCs w:val="21"/>
        </w:rPr>
        <w:tab/>
      </w:r>
      <w:r>
        <w:rPr>
          <w:szCs w:val="21"/>
        </w:rPr>
        <w:tab/>
      </w:r>
      <w:r>
        <w:rPr>
          <w:szCs w:val="21"/>
        </w:rPr>
        <w:tab/>
      </w:r>
      <w:r>
        <w:rPr>
          <w:szCs w:val="21"/>
        </w:rPr>
        <w:tab/>
      </w:r>
      <w:r>
        <w:rPr>
          <w:rFonts w:hint="eastAsia" w:eastAsia="黑体"/>
          <w:szCs w:val="21"/>
        </w:rPr>
        <w:t>开课单位：</w:t>
      </w:r>
      <w:r>
        <w:rPr>
          <w:rFonts w:hint="eastAsia"/>
          <w:szCs w:val="21"/>
        </w:rPr>
        <w:t>仪器与电子学院</w:t>
      </w:r>
      <w:r>
        <w:rPr>
          <w:rFonts w:eastAsia="黑体"/>
          <w:szCs w:val="21"/>
        </w:rPr>
        <w:tab/>
      </w:r>
    </w:p>
    <w:p>
      <w:pPr>
        <w:adjustRightInd w:val="0"/>
        <w:snapToGrid w:val="0"/>
        <w:spacing w:line="360" w:lineRule="auto"/>
        <w:rPr>
          <w:rFonts w:eastAsia="黑体"/>
          <w:szCs w:val="21"/>
        </w:rPr>
      </w:pPr>
      <w:r>
        <w:rPr>
          <w:rFonts w:hint="eastAsia" w:eastAsia="黑体"/>
          <w:szCs w:val="21"/>
        </w:rPr>
        <w:t>总学时：</w:t>
      </w:r>
      <w:r>
        <w:rPr>
          <w:rFonts w:hint="eastAsia"/>
          <w:szCs w:val="21"/>
        </w:rPr>
        <w:t>32</w:t>
      </w:r>
      <w:r>
        <w:rPr>
          <w:szCs w:val="21"/>
        </w:rPr>
        <w:t xml:space="preserve"> (</w:t>
      </w:r>
      <w:r>
        <w:rPr>
          <w:rFonts w:hint="eastAsia"/>
          <w:szCs w:val="21"/>
        </w:rPr>
        <w:t>实验</w:t>
      </w:r>
      <w:r>
        <w:rPr>
          <w:szCs w:val="21"/>
        </w:rPr>
        <w:t>1</w:t>
      </w:r>
      <w:r>
        <w:rPr>
          <w:rFonts w:hint="eastAsia"/>
          <w:szCs w:val="21"/>
        </w:rPr>
        <w:t>2学时</w:t>
      </w:r>
      <w:r>
        <w:rPr>
          <w:szCs w:val="21"/>
        </w:rPr>
        <w:t>)</w:t>
      </w:r>
      <w:r>
        <w:rPr>
          <w:rFonts w:eastAsia="黑体"/>
          <w:szCs w:val="21"/>
        </w:rPr>
        <w:tab/>
      </w:r>
      <w:r>
        <w:rPr>
          <w:rFonts w:eastAsia="黑体"/>
          <w:szCs w:val="21"/>
        </w:rPr>
        <w:tab/>
      </w:r>
      <w:r>
        <w:rPr>
          <w:rFonts w:eastAsia="黑体"/>
          <w:szCs w:val="21"/>
        </w:rPr>
        <w:tab/>
      </w:r>
      <w:r>
        <w:rPr>
          <w:rFonts w:eastAsia="黑体"/>
          <w:szCs w:val="21"/>
        </w:rPr>
        <w:tab/>
      </w:r>
      <w:r>
        <w:rPr>
          <w:rFonts w:hint="eastAsia" w:eastAsia="黑体"/>
          <w:szCs w:val="21"/>
        </w:rPr>
        <w:t>学分：</w:t>
      </w:r>
      <w:r>
        <w:rPr>
          <w:rFonts w:eastAsia="黑体"/>
          <w:szCs w:val="21"/>
        </w:rPr>
        <w:t>2</w:t>
      </w:r>
    </w:p>
    <w:p>
      <w:pPr>
        <w:adjustRightInd w:val="0"/>
        <w:snapToGrid w:val="0"/>
        <w:spacing w:line="360" w:lineRule="auto"/>
        <w:rPr>
          <w:rFonts w:hint="eastAsia" w:eastAsia="宋体"/>
          <w:lang w:eastAsia="zh-CN"/>
        </w:rPr>
      </w:pPr>
      <w:r>
        <w:rPr>
          <w:rFonts w:hint="eastAsia" w:eastAsia="黑体"/>
          <w:szCs w:val="21"/>
        </w:rPr>
        <w:t>适用专业：</w:t>
      </w:r>
      <w:r>
        <w:t>测控技术及仪器</w:t>
      </w:r>
      <w:r>
        <w:rPr>
          <w:rFonts w:hint="eastAsia"/>
          <w:szCs w:val="21"/>
        </w:rPr>
        <w:t>专业</w:t>
      </w:r>
      <w:r>
        <w:rPr>
          <w:rFonts w:hint="eastAsia"/>
          <w:szCs w:val="21"/>
          <w:lang w:eastAsia="zh-CN"/>
        </w:rPr>
        <w:t>、智能感知工程</w:t>
      </w:r>
    </w:p>
    <w:p>
      <w:pPr>
        <w:adjustRightInd w:val="0"/>
        <w:snapToGrid w:val="0"/>
        <w:spacing w:line="360" w:lineRule="auto"/>
      </w:pPr>
      <w:r>
        <w:rPr>
          <w:rFonts w:hint="eastAsia" w:eastAsia="黑体"/>
          <w:szCs w:val="21"/>
        </w:rPr>
        <w:t>先修课程：</w:t>
      </w:r>
      <w:r>
        <w:t>传感器原理及设计</w:t>
      </w:r>
      <w:r>
        <w:rPr>
          <w:rFonts w:hint="eastAsia"/>
        </w:rPr>
        <w:t>、</w:t>
      </w:r>
      <w:r>
        <w:t>信号与系统</w:t>
      </w:r>
      <w:r>
        <w:rPr>
          <w:rFonts w:hint="eastAsia"/>
        </w:rPr>
        <w:t>、</w:t>
      </w:r>
      <w:r>
        <w:t>C语言程序设计</w:t>
      </w:r>
    </w:p>
    <w:p>
      <w:pPr>
        <w:adjustRightInd w:val="0"/>
        <w:snapToGrid w:val="0"/>
        <w:spacing w:line="360" w:lineRule="auto"/>
        <w:rPr>
          <w:szCs w:val="21"/>
        </w:rPr>
      </w:pPr>
      <w:r>
        <w:rPr>
          <w:rFonts w:hint="eastAsia" w:eastAsia="黑体"/>
          <w:szCs w:val="21"/>
        </w:rPr>
        <w:t>大纲撰写人：</w:t>
      </w:r>
      <w:r>
        <w:rPr>
          <w:rFonts w:hint="eastAsia"/>
          <w:szCs w:val="21"/>
        </w:rPr>
        <w:t>葛双超</w:t>
      </w:r>
    </w:p>
    <w:p>
      <w:pPr>
        <w:adjustRightInd w:val="0"/>
        <w:snapToGrid w:val="0"/>
        <w:spacing w:line="360" w:lineRule="auto"/>
        <w:rPr>
          <w:szCs w:val="21"/>
        </w:rPr>
      </w:pPr>
      <w:r>
        <w:rPr>
          <w:rFonts w:hint="eastAsia" w:eastAsia="黑体"/>
          <w:szCs w:val="21"/>
        </w:rPr>
        <w:t>大纲编写（修订）时间</w:t>
      </w:r>
      <w:r>
        <w:rPr>
          <w:rFonts w:eastAsia="黑体"/>
          <w:szCs w:val="21"/>
        </w:rPr>
        <w:t>：</w:t>
      </w:r>
      <w:r>
        <w:rPr>
          <w:szCs w:val="21"/>
        </w:rPr>
        <w:t>2019年5月</w:t>
      </w:r>
    </w:p>
    <w:p>
      <w:pPr>
        <w:rPr>
          <w:b/>
          <w:szCs w:val="21"/>
        </w:rPr>
      </w:pPr>
    </w:p>
    <w:p>
      <w:pPr>
        <w:tabs>
          <w:tab w:val="left" w:pos="562"/>
        </w:tabs>
        <w:adjustRightInd w:val="0"/>
        <w:snapToGrid w:val="0"/>
        <w:spacing w:line="360" w:lineRule="auto"/>
        <w:ind w:left="142"/>
        <w:rPr>
          <w:rFonts w:eastAsia="黑体"/>
          <w:szCs w:val="21"/>
        </w:rPr>
      </w:pPr>
      <w:r>
        <w:rPr>
          <w:rFonts w:hint="eastAsia" w:ascii="黑体" w:hAnsi="黑体" w:eastAsia="黑体"/>
          <w:szCs w:val="21"/>
        </w:rPr>
        <w:t>一、</w:t>
      </w:r>
      <w:r>
        <w:rPr>
          <w:rFonts w:hint="eastAsia" w:eastAsia="黑体"/>
          <w:szCs w:val="21"/>
        </w:rPr>
        <w:t>课程在教学计划中的地位、作用</w:t>
      </w:r>
    </w:p>
    <w:p>
      <w:pPr>
        <w:pStyle w:val="12"/>
        <w:spacing w:line="360" w:lineRule="auto"/>
        <w:ind w:firstLine="420" w:firstLineChars="200"/>
        <w:rPr>
          <w:rFonts w:ascii="Times New Roman" w:hAnsi="Times New Roman"/>
          <w:szCs w:val="21"/>
        </w:rPr>
      </w:pPr>
      <w:r>
        <w:rPr>
          <w:rFonts w:hint="eastAsia" w:ascii="Times New Roman" w:hAnsi="Times New Roman"/>
          <w:szCs w:val="21"/>
        </w:rPr>
        <w:t>本</w:t>
      </w:r>
      <w:r>
        <w:rPr>
          <w:rFonts w:ascii="Times New Roman" w:hAnsi="Times New Roman"/>
          <w:szCs w:val="21"/>
        </w:rPr>
        <w:t>课程是测控技术及仪器</w:t>
      </w:r>
      <w:r>
        <w:rPr>
          <w:rFonts w:hint="eastAsia" w:ascii="Times New Roman" w:hAnsi="Times New Roman"/>
          <w:szCs w:val="21"/>
          <w:lang w:eastAsia="zh-CN"/>
        </w:rPr>
        <w:t>、智能感知工程</w:t>
      </w:r>
      <w:r>
        <w:rPr>
          <w:rFonts w:ascii="Times New Roman" w:hAnsi="Times New Roman"/>
          <w:szCs w:val="21"/>
        </w:rPr>
        <w:t>专业的一门专业</w:t>
      </w:r>
      <w:r>
        <w:rPr>
          <w:rFonts w:hint="eastAsia" w:ascii="Times New Roman" w:hAnsi="Times New Roman"/>
          <w:szCs w:val="21"/>
        </w:rPr>
        <w:t>选修</w:t>
      </w:r>
      <w:r>
        <w:rPr>
          <w:rFonts w:ascii="Times New Roman" w:hAnsi="Times New Roman"/>
          <w:szCs w:val="21"/>
        </w:rPr>
        <w:t>课。虚拟仪器技术是计算机系统和仪器系统相结合产生的“计算机仪器系统”，是测控专业学生及工程师所必需掌握的专业技术。通过课程的学习，使学生</w:t>
      </w:r>
      <w:r>
        <w:rPr>
          <w:rFonts w:hint="eastAsia" w:ascii="Times New Roman" w:hAnsi="Times New Roman"/>
          <w:szCs w:val="21"/>
        </w:rPr>
        <w:t>了解</w:t>
      </w:r>
      <w:r>
        <w:rPr>
          <w:rFonts w:ascii="Times New Roman" w:hAnsi="Times New Roman"/>
          <w:szCs w:val="21"/>
        </w:rPr>
        <w:t>虚拟仪器设计的基本原理</w:t>
      </w:r>
      <w:r>
        <w:rPr>
          <w:rFonts w:hint="eastAsia" w:ascii="Times New Roman" w:hAnsi="Times New Roman"/>
          <w:szCs w:val="21"/>
        </w:rPr>
        <w:t>、</w:t>
      </w:r>
      <w:r>
        <w:rPr>
          <w:rFonts w:ascii="Times New Roman" w:hAnsi="Times New Roman"/>
          <w:szCs w:val="21"/>
        </w:rPr>
        <w:t>体系结构及其软、硬件系统</w:t>
      </w:r>
      <w:r>
        <w:rPr>
          <w:rFonts w:hint="eastAsia" w:ascii="Times New Roman" w:hAnsi="Times New Roman"/>
          <w:szCs w:val="21"/>
        </w:rPr>
        <w:t>；能够熟练运用</w:t>
      </w:r>
      <w:r>
        <w:rPr>
          <w:rFonts w:ascii="Times New Roman" w:hAnsi="Times New Roman"/>
          <w:szCs w:val="21"/>
        </w:rPr>
        <w:t>虚拟仪器</w:t>
      </w:r>
      <w:r>
        <w:rPr>
          <w:rFonts w:hint="eastAsia" w:ascii="Times New Roman" w:hAnsi="Times New Roman"/>
          <w:szCs w:val="21"/>
        </w:rPr>
        <w:t>设计相关</w:t>
      </w:r>
      <w:r>
        <w:rPr>
          <w:rFonts w:ascii="Times New Roman" w:hAnsi="Times New Roman"/>
          <w:szCs w:val="21"/>
        </w:rPr>
        <w:t>的数据采集、信号分析</w:t>
      </w:r>
      <w:r>
        <w:rPr>
          <w:rFonts w:hint="eastAsia" w:ascii="Times New Roman" w:hAnsi="Times New Roman"/>
          <w:szCs w:val="21"/>
        </w:rPr>
        <w:t>、硬件选型</w:t>
      </w:r>
      <w:r>
        <w:rPr>
          <w:rFonts w:ascii="Times New Roman" w:hAnsi="Times New Roman"/>
          <w:szCs w:val="21"/>
        </w:rPr>
        <w:t>等知识</w:t>
      </w:r>
      <w:r>
        <w:rPr>
          <w:rFonts w:hint="eastAsia" w:ascii="Times New Roman" w:hAnsi="Times New Roman"/>
          <w:szCs w:val="21"/>
        </w:rPr>
        <w:t>和技能，</w:t>
      </w:r>
      <w:r>
        <w:rPr>
          <w:rFonts w:ascii="Times New Roman" w:hAnsi="Times New Roman"/>
          <w:szCs w:val="21"/>
        </w:rPr>
        <w:t>搭建虚拟仪器系统</w:t>
      </w:r>
      <w:r>
        <w:rPr>
          <w:rFonts w:hint="eastAsia" w:ascii="Times New Roman" w:hAnsi="Times New Roman"/>
          <w:szCs w:val="21"/>
        </w:rPr>
        <w:t>；能够利用所学知识和专业工具实现按需</w:t>
      </w:r>
      <w:r>
        <w:rPr>
          <w:rFonts w:ascii="Times New Roman" w:hAnsi="Times New Roman"/>
          <w:szCs w:val="21"/>
        </w:rPr>
        <w:t>设计</w:t>
      </w:r>
      <w:r>
        <w:rPr>
          <w:rFonts w:hint="eastAsia" w:ascii="Times New Roman" w:hAnsi="Times New Roman"/>
          <w:szCs w:val="21"/>
        </w:rPr>
        <w:t>并对系统进行调试改进</w:t>
      </w:r>
      <w:r>
        <w:rPr>
          <w:rFonts w:ascii="Times New Roman" w:hAnsi="Times New Roman"/>
          <w:szCs w:val="21"/>
        </w:rPr>
        <w:t>。</w:t>
      </w:r>
      <w:r>
        <w:rPr>
          <w:rFonts w:hint="eastAsia" w:ascii="Times New Roman" w:hAnsi="Times New Roman"/>
          <w:szCs w:val="21"/>
        </w:rPr>
        <w:t>另外，通过课程学习使学生在</w:t>
      </w:r>
      <w:r>
        <w:rPr>
          <w:rFonts w:ascii="Times New Roman" w:hAnsi="Times New Roman"/>
          <w:szCs w:val="21"/>
        </w:rPr>
        <w:t>熟悉</w:t>
      </w:r>
      <w:r>
        <w:rPr>
          <w:rFonts w:hint="eastAsia" w:ascii="Times New Roman" w:hAnsi="Times New Roman"/>
          <w:szCs w:val="21"/>
        </w:rPr>
        <w:t>美国N</w:t>
      </w:r>
      <w:r>
        <w:rPr>
          <w:rFonts w:ascii="Times New Roman" w:hAnsi="Times New Roman"/>
          <w:szCs w:val="21"/>
        </w:rPr>
        <w:t>I</w:t>
      </w:r>
      <w:r>
        <w:rPr>
          <w:rFonts w:hint="eastAsia" w:ascii="Times New Roman" w:hAnsi="Times New Roman"/>
          <w:szCs w:val="21"/>
        </w:rPr>
        <w:t>开发的</w:t>
      </w:r>
      <w:r>
        <w:rPr>
          <w:rFonts w:ascii="Times New Roman" w:hAnsi="Times New Roman"/>
          <w:szCs w:val="21"/>
        </w:rPr>
        <w:t>虚拟仪器软件开发平台-LabVIEW图形化编程语言的基础上，</w:t>
      </w:r>
      <w:r>
        <w:rPr>
          <w:rFonts w:hint="eastAsia" w:ascii="Times New Roman" w:hAnsi="Times New Roman"/>
          <w:szCs w:val="21"/>
        </w:rPr>
        <w:t>了解和学习国内先进企业开发的免费开源软件平台，提高学生的综合能力的同时培养学生家国情怀。</w:t>
      </w:r>
    </w:p>
    <w:p>
      <w:pPr>
        <w:spacing w:line="360" w:lineRule="auto"/>
        <w:rPr>
          <w:szCs w:val="21"/>
        </w:rPr>
      </w:pPr>
    </w:p>
    <w:p>
      <w:pPr>
        <w:tabs>
          <w:tab w:val="left" w:pos="420"/>
        </w:tabs>
        <w:adjustRightInd w:val="0"/>
        <w:snapToGrid w:val="0"/>
        <w:spacing w:line="360" w:lineRule="auto"/>
        <w:ind w:left="420" w:hanging="420"/>
        <w:rPr>
          <w:rFonts w:hint="eastAsia" w:eastAsia="黑体"/>
          <w:szCs w:val="21"/>
        </w:rPr>
      </w:pPr>
      <w:r>
        <w:rPr>
          <w:rFonts w:hint="eastAsia" w:eastAsia="黑体"/>
          <w:szCs w:val="21"/>
        </w:rPr>
        <w:t>二、课程目标</w:t>
      </w:r>
    </w:p>
    <w:p>
      <w:pPr>
        <w:tabs>
          <w:tab w:val="left" w:pos="420"/>
        </w:tabs>
        <w:adjustRightInd w:val="0"/>
        <w:snapToGrid w:val="0"/>
        <w:spacing w:line="360" w:lineRule="auto"/>
        <w:rPr>
          <w:rFonts w:ascii="宋体" w:hAnsi="宋体"/>
          <w:szCs w:val="21"/>
        </w:rPr>
      </w:pPr>
      <w:r>
        <w:rPr>
          <w:rFonts w:hint="eastAsia" w:ascii="宋体" w:hAnsi="宋体"/>
          <w:szCs w:val="21"/>
        </w:rPr>
        <w:t>测控技术与仪器专业：</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5"/>
        <w:gridCol w:w="4302"/>
        <w:gridCol w:w="360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sz w:val="18"/>
                <w:szCs w:val="18"/>
              </w:rPr>
              <w:t>序号</w:t>
            </w:r>
          </w:p>
        </w:tc>
        <w:tc>
          <w:tcPr>
            <w:tcW w:w="2522" w:type="pct"/>
            <w:vAlign w:val="center"/>
          </w:tcPr>
          <w:p>
            <w:pPr>
              <w:spacing w:line="360" w:lineRule="auto"/>
              <w:jc w:val="center"/>
              <w:rPr>
                <w:sz w:val="18"/>
                <w:szCs w:val="18"/>
              </w:rPr>
            </w:pPr>
            <w:r>
              <w:rPr>
                <w:sz w:val="18"/>
                <w:szCs w:val="18"/>
              </w:rPr>
              <w:t>课程目标</w:t>
            </w:r>
          </w:p>
        </w:tc>
        <w:tc>
          <w:tcPr>
            <w:tcW w:w="2111" w:type="pct"/>
            <w:vAlign w:val="center"/>
          </w:tcPr>
          <w:p>
            <w:pPr>
              <w:spacing w:line="360" w:lineRule="auto"/>
              <w:jc w:val="center"/>
              <w:rPr>
                <w:sz w:val="18"/>
                <w:szCs w:val="18"/>
              </w:rPr>
            </w:pPr>
            <w:r>
              <w:rPr>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1</w:t>
            </w:r>
          </w:p>
        </w:tc>
        <w:tc>
          <w:tcPr>
            <w:tcW w:w="2522" w:type="pct"/>
          </w:tcPr>
          <w:p>
            <w:pPr>
              <w:spacing w:line="360" w:lineRule="auto"/>
              <w:rPr>
                <w:sz w:val="18"/>
                <w:szCs w:val="18"/>
              </w:rPr>
            </w:pPr>
            <w:r>
              <w:rPr>
                <w:rFonts w:hint="eastAsia"/>
                <w:sz w:val="18"/>
                <w:szCs w:val="18"/>
              </w:rPr>
              <w:t>能够灵活应用虚拟仪器设计的基本原理与方法，对复杂工程问题进行自顶而下的分解和描述；能够将工程问题转化为虚拟仪器特征参数选择、建模分析等技术问题。</w:t>
            </w:r>
          </w:p>
        </w:tc>
        <w:tc>
          <w:tcPr>
            <w:tcW w:w="2111" w:type="pct"/>
          </w:tcPr>
          <w:p>
            <w:pPr>
              <w:spacing w:line="360" w:lineRule="auto"/>
              <w:rPr>
                <w:sz w:val="18"/>
                <w:szCs w:val="18"/>
              </w:rPr>
            </w:pPr>
            <w:r>
              <w:rPr>
                <w:rFonts w:hint="eastAsia"/>
                <w:b/>
                <w:sz w:val="18"/>
                <w:szCs w:val="18"/>
              </w:rPr>
              <w:t>指标点2-1 问题识别：</w:t>
            </w:r>
            <w:r>
              <w:rPr>
                <w:rFonts w:hint="eastAsia"/>
                <w:sz w:val="18"/>
                <w:szCs w:val="18"/>
              </w:rPr>
              <w:t>能应用科学原理对测控技术与仪器专业复杂工程问题进行分解，并识别其中的关键特征和参数。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2</w:t>
            </w:r>
          </w:p>
        </w:tc>
        <w:tc>
          <w:tcPr>
            <w:tcW w:w="2522" w:type="pct"/>
          </w:tcPr>
          <w:p>
            <w:pPr>
              <w:spacing w:line="360" w:lineRule="auto"/>
              <w:rPr>
                <w:sz w:val="18"/>
                <w:szCs w:val="18"/>
              </w:rPr>
            </w:pPr>
            <w:r>
              <w:rPr>
                <w:rFonts w:hint="eastAsia"/>
                <w:sz w:val="18"/>
                <w:szCs w:val="18"/>
              </w:rPr>
              <w:t>能够应用</w:t>
            </w:r>
            <w:r>
              <w:rPr>
                <w:sz w:val="18"/>
                <w:szCs w:val="18"/>
              </w:rPr>
              <w:t>基于虚拟仪器的数据采集、信号分析与处理的基本</w:t>
            </w:r>
            <w:r>
              <w:rPr>
                <w:rFonts w:hint="eastAsia"/>
                <w:sz w:val="18"/>
                <w:szCs w:val="18"/>
              </w:rPr>
              <w:t>原理和</w:t>
            </w:r>
            <w:r>
              <w:rPr>
                <w:sz w:val="18"/>
                <w:szCs w:val="18"/>
              </w:rPr>
              <w:t>方法</w:t>
            </w:r>
            <w:r>
              <w:rPr>
                <w:rFonts w:hint="eastAsia"/>
                <w:sz w:val="18"/>
                <w:szCs w:val="18"/>
              </w:rPr>
              <w:t>准确分析和量化用户需求并设计解决方案；能够根据虚拟仪器</w:t>
            </w:r>
            <w:r>
              <w:rPr>
                <w:sz w:val="18"/>
                <w:szCs w:val="18"/>
              </w:rPr>
              <w:t>软、硬件系统</w:t>
            </w:r>
            <w:r>
              <w:rPr>
                <w:rFonts w:hint="eastAsia"/>
                <w:sz w:val="18"/>
                <w:szCs w:val="18"/>
              </w:rPr>
              <w:t>设计原则和方法，选择合适和硬件设备和软件开发平台，完成虚拟仪器系统开发和优化。</w:t>
            </w:r>
          </w:p>
        </w:tc>
        <w:tc>
          <w:tcPr>
            <w:tcW w:w="2111" w:type="pct"/>
          </w:tcPr>
          <w:p>
            <w:pPr>
              <w:spacing w:line="360" w:lineRule="auto"/>
              <w:rPr>
                <w:sz w:val="18"/>
                <w:szCs w:val="18"/>
              </w:rPr>
            </w:pPr>
            <w:r>
              <w:rPr>
                <w:rFonts w:hint="eastAsia"/>
                <w:b/>
                <w:sz w:val="18"/>
                <w:szCs w:val="18"/>
              </w:rPr>
              <w:t>指标点3-1 按需设计：</w:t>
            </w:r>
            <w:r>
              <w:rPr>
                <w:rFonts w:hint="eastAsia"/>
                <w:sz w:val="18"/>
                <w:szCs w:val="18"/>
              </w:rPr>
              <w:t>能够根据用户特定需求设计复杂工程问题的解决方案，设计相关的传感器、测控系统以及工艺流程，并能够针对方案进行优化选择。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sz w:val="18"/>
                <w:szCs w:val="18"/>
              </w:rPr>
              <w:t>3</w:t>
            </w:r>
          </w:p>
        </w:tc>
        <w:tc>
          <w:tcPr>
            <w:tcW w:w="2522" w:type="pct"/>
          </w:tcPr>
          <w:p>
            <w:pPr>
              <w:spacing w:line="360" w:lineRule="auto"/>
              <w:rPr>
                <w:sz w:val="18"/>
                <w:szCs w:val="18"/>
              </w:rPr>
            </w:pPr>
            <w:r>
              <w:rPr>
                <w:rFonts w:hint="eastAsia"/>
                <w:sz w:val="18"/>
                <w:szCs w:val="18"/>
              </w:rPr>
              <w:t>熟悉</w:t>
            </w:r>
            <w:r>
              <w:rPr>
                <w:sz w:val="18"/>
                <w:szCs w:val="18"/>
              </w:rPr>
              <w:t>虚拟仪器软件开发平台及设计基础</w:t>
            </w:r>
            <w:r>
              <w:rPr>
                <w:rFonts w:hint="eastAsia"/>
                <w:sz w:val="18"/>
                <w:szCs w:val="18"/>
              </w:rPr>
              <w:t>；能够</w:t>
            </w:r>
            <w:r>
              <w:rPr>
                <w:sz w:val="18"/>
                <w:szCs w:val="18"/>
              </w:rPr>
              <w:t>综合应用</w:t>
            </w:r>
            <w:r>
              <w:rPr>
                <w:rFonts w:hint="eastAsia"/>
                <w:sz w:val="18"/>
                <w:szCs w:val="18"/>
              </w:rPr>
              <w:t>Lab</w:t>
            </w:r>
            <w:r>
              <w:rPr>
                <w:sz w:val="18"/>
                <w:szCs w:val="18"/>
              </w:rPr>
              <w:t>VIEW、</w:t>
            </w:r>
            <w:r>
              <w:rPr>
                <w:rFonts w:hint="eastAsia"/>
                <w:sz w:val="18"/>
                <w:szCs w:val="18"/>
              </w:rPr>
              <w:t>C</w:t>
            </w:r>
            <w:r>
              <w:rPr>
                <w:sz w:val="18"/>
                <w:szCs w:val="18"/>
              </w:rPr>
              <w:t>#</w:t>
            </w:r>
            <w:r>
              <w:rPr>
                <w:rFonts w:hint="eastAsia"/>
                <w:sz w:val="18"/>
                <w:szCs w:val="18"/>
              </w:rPr>
              <w:t>等不同的软件开发平台对虚拟仪器系统进行仿真设计；能够综合运用所学软硬件相关知识对系统参数和功能进行调试和改进。</w:t>
            </w:r>
          </w:p>
        </w:tc>
        <w:tc>
          <w:tcPr>
            <w:tcW w:w="2111" w:type="pct"/>
          </w:tcPr>
          <w:p>
            <w:pPr>
              <w:spacing w:line="360" w:lineRule="auto"/>
              <w:rPr>
                <w:sz w:val="18"/>
                <w:szCs w:val="18"/>
              </w:rPr>
            </w:pPr>
            <w:r>
              <w:rPr>
                <w:rFonts w:hint="eastAsia"/>
                <w:b/>
                <w:sz w:val="18"/>
                <w:szCs w:val="18"/>
              </w:rPr>
              <w:t>指标点5-2 专业工具使用：</w:t>
            </w:r>
            <w:r>
              <w:rPr>
                <w:rFonts w:hint="eastAsia"/>
                <w:sz w:val="18"/>
                <w:szCs w:val="18"/>
              </w:rPr>
              <w:t>能使用工具对测控电路或系统进行设计和仿真，确定功能和相关设计参数。</w:t>
            </w:r>
          </w:p>
        </w:tc>
      </w:tr>
    </w:tbl>
    <w:p>
      <w:pPr>
        <w:tabs>
          <w:tab w:val="left" w:pos="420"/>
        </w:tabs>
        <w:adjustRightInd w:val="0"/>
        <w:snapToGrid w:val="0"/>
        <w:spacing w:line="360" w:lineRule="auto"/>
        <w:rPr>
          <w:rFonts w:hint="eastAsia" w:ascii="宋体" w:hAnsi="宋体"/>
          <w:szCs w:val="21"/>
        </w:rPr>
      </w:pPr>
    </w:p>
    <w:p>
      <w:pPr>
        <w:tabs>
          <w:tab w:val="left" w:pos="420"/>
        </w:tabs>
        <w:adjustRightInd w:val="0"/>
        <w:snapToGrid w:val="0"/>
        <w:spacing w:line="360" w:lineRule="auto"/>
        <w:rPr>
          <w:rFonts w:ascii="宋体" w:hAnsi="宋体"/>
          <w:szCs w:val="21"/>
        </w:rPr>
      </w:pPr>
      <w:r>
        <w:rPr>
          <w:rFonts w:hint="eastAsia" w:ascii="宋体" w:hAnsi="宋体"/>
          <w:szCs w:val="21"/>
          <w:lang w:eastAsia="zh-CN"/>
        </w:rPr>
        <w:t>智能感知工程</w:t>
      </w:r>
      <w:r>
        <w:rPr>
          <w:rFonts w:hint="eastAsia" w:ascii="宋体" w:hAnsi="宋体"/>
          <w:szCs w:val="21"/>
        </w:rPr>
        <w:t>专业：</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5"/>
        <w:gridCol w:w="4302"/>
        <w:gridCol w:w="360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sz w:val="18"/>
                <w:szCs w:val="18"/>
              </w:rPr>
              <w:t>序号</w:t>
            </w:r>
          </w:p>
        </w:tc>
        <w:tc>
          <w:tcPr>
            <w:tcW w:w="2522" w:type="pct"/>
            <w:vAlign w:val="center"/>
          </w:tcPr>
          <w:p>
            <w:pPr>
              <w:spacing w:line="360" w:lineRule="auto"/>
              <w:jc w:val="center"/>
              <w:rPr>
                <w:sz w:val="18"/>
                <w:szCs w:val="18"/>
              </w:rPr>
            </w:pPr>
            <w:r>
              <w:rPr>
                <w:sz w:val="18"/>
                <w:szCs w:val="18"/>
              </w:rPr>
              <w:t>课程目标</w:t>
            </w:r>
          </w:p>
        </w:tc>
        <w:tc>
          <w:tcPr>
            <w:tcW w:w="2111" w:type="pct"/>
            <w:vAlign w:val="center"/>
          </w:tcPr>
          <w:p>
            <w:pPr>
              <w:spacing w:line="360" w:lineRule="auto"/>
              <w:jc w:val="center"/>
              <w:rPr>
                <w:sz w:val="18"/>
                <w:szCs w:val="18"/>
              </w:rPr>
            </w:pPr>
            <w:r>
              <w:rPr>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1</w:t>
            </w:r>
          </w:p>
        </w:tc>
        <w:tc>
          <w:tcPr>
            <w:tcW w:w="2522" w:type="pct"/>
          </w:tcPr>
          <w:p>
            <w:pPr>
              <w:spacing w:line="360" w:lineRule="auto"/>
              <w:rPr>
                <w:sz w:val="18"/>
                <w:szCs w:val="18"/>
              </w:rPr>
            </w:pPr>
            <w:r>
              <w:rPr>
                <w:rFonts w:hint="eastAsia"/>
                <w:sz w:val="18"/>
                <w:szCs w:val="18"/>
              </w:rPr>
              <w:t>能够灵活应用虚拟仪器设计的基本原理与方法，对复杂工程问题进行自顶而下的分解和描述；能够将工程问题转化为虚拟仪器特征参数选择、建模分析等技术问题。</w:t>
            </w:r>
          </w:p>
        </w:tc>
        <w:tc>
          <w:tcPr>
            <w:tcW w:w="2111" w:type="pct"/>
          </w:tcPr>
          <w:p>
            <w:pPr>
              <w:spacing w:line="360" w:lineRule="auto"/>
              <w:rPr>
                <w:sz w:val="18"/>
                <w:szCs w:val="18"/>
              </w:rPr>
            </w:pPr>
            <w:r>
              <w:rPr>
                <w:rFonts w:hint="eastAsia"/>
                <w:b/>
                <w:sz w:val="18"/>
                <w:szCs w:val="18"/>
              </w:rPr>
              <w:t>指标点2-1 问题识别：</w:t>
            </w:r>
            <w:r>
              <w:rPr>
                <w:bCs/>
                <w:sz w:val="18"/>
                <w:szCs w:val="18"/>
              </w:rPr>
              <w:t>能应用科学原理对智能感知工程专业复杂工程问题进行分解，并识别其中的关键特征和参数。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rFonts w:hint="eastAsia"/>
                <w:sz w:val="18"/>
                <w:szCs w:val="18"/>
              </w:rPr>
              <w:t>2</w:t>
            </w:r>
          </w:p>
        </w:tc>
        <w:tc>
          <w:tcPr>
            <w:tcW w:w="2522" w:type="pct"/>
          </w:tcPr>
          <w:p>
            <w:pPr>
              <w:spacing w:line="360" w:lineRule="auto"/>
              <w:rPr>
                <w:sz w:val="18"/>
                <w:szCs w:val="18"/>
              </w:rPr>
            </w:pPr>
            <w:r>
              <w:rPr>
                <w:rFonts w:hint="eastAsia"/>
                <w:sz w:val="18"/>
                <w:szCs w:val="18"/>
              </w:rPr>
              <w:t>能够应用</w:t>
            </w:r>
            <w:r>
              <w:rPr>
                <w:sz w:val="18"/>
                <w:szCs w:val="18"/>
              </w:rPr>
              <w:t>基于虚拟仪器的数据采集、信号分析与处理的基本</w:t>
            </w:r>
            <w:r>
              <w:rPr>
                <w:rFonts w:hint="eastAsia"/>
                <w:sz w:val="18"/>
                <w:szCs w:val="18"/>
              </w:rPr>
              <w:t>原理和</w:t>
            </w:r>
            <w:r>
              <w:rPr>
                <w:sz w:val="18"/>
                <w:szCs w:val="18"/>
              </w:rPr>
              <w:t>方法</w:t>
            </w:r>
            <w:r>
              <w:rPr>
                <w:rFonts w:hint="eastAsia"/>
                <w:sz w:val="18"/>
                <w:szCs w:val="18"/>
              </w:rPr>
              <w:t>准确分析和量化用户需求并设计解决方案；能够根据虚拟仪器</w:t>
            </w:r>
            <w:r>
              <w:rPr>
                <w:sz w:val="18"/>
                <w:szCs w:val="18"/>
              </w:rPr>
              <w:t>软、硬件系统</w:t>
            </w:r>
            <w:r>
              <w:rPr>
                <w:rFonts w:hint="eastAsia"/>
                <w:sz w:val="18"/>
                <w:szCs w:val="18"/>
              </w:rPr>
              <w:t>设计原则和方法，选择合适和硬件设备和软件开发平台，完成虚拟仪器系统开发和优化。</w:t>
            </w:r>
          </w:p>
        </w:tc>
        <w:tc>
          <w:tcPr>
            <w:tcW w:w="2111" w:type="pct"/>
          </w:tcPr>
          <w:p>
            <w:pPr>
              <w:spacing w:line="360" w:lineRule="auto"/>
              <w:rPr>
                <w:sz w:val="18"/>
                <w:szCs w:val="18"/>
              </w:rPr>
            </w:pPr>
            <w:r>
              <w:rPr>
                <w:rFonts w:hint="eastAsia"/>
                <w:b/>
                <w:sz w:val="18"/>
                <w:szCs w:val="18"/>
              </w:rPr>
              <w:t>指标点3-1 按需设计：</w:t>
            </w:r>
            <w:r>
              <w:rPr>
                <w:bCs/>
                <w:sz w:val="18"/>
                <w:szCs w:val="18"/>
              </w:rPr>
              <w:t>能够根据用户特定需求设计复杂工程问题的解决方案，设计相关的信息处理系统、智能控制系统以及工艺流程，并能够针对方案进行优化选择。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sz w:val="18"/>
                <w:szCs w:val="18"/>
              </w:rPr>
              <w:t>3</w:t>
            </w:r>
          </w:p>
        </w:tc>
        <w:tc>
          <w:tcPr>
            <w:tcW w:w="2522" w:type="pct"/>
          </w:tcPr>
          <w:p>
            <w:pPr>
              <w:spacing w:line="360" w:lineRule="auto"/>
              <w:rPr>
                <w:sz w:val="18"/>
                <w:szCs w:val="18"/>
              </w:rPr>
            </w:pPr>
            <w:r>
              <w:rPr>
                <w:rFonts w:hint="eastAsia"/>
                <w:sz w:val="18"/>
                <w:szCs w:val="18"/>
              </w:rPr>
              <w:t>熟悉</w:t>
            </w:r>
            <w:r>
              <w:rPr>
                <w:sz w:val="18"/>
                <w:szCs w:val="18"/>
              </w:rPr>
              <w:t>虚拟仪器软件开发平台及设计基础</w:t>
            </w:r>
            <w:r>
              <w:rPr>
                <w:rFonts w:hint="eastAsia"/>
                <w:sz w:val="18"/>
                <w:szCs w:val="18"/>
              </w:rPr>
              <w:t>；能够</w:t>
            </w:r>
            <w:r>
              <w:rPr>
                <w:sz w:val="18"/>
                <w:szCs w:val="18"/>
              </w:rPr>
              <w:t>综合应用</w:t>
            </w:r>
            <w:r>
              <w:rPr>
                <w:rFonts w:hint="eastAsia"/>
                <w:sz w:val="18"/>
                <w:szCs w:val="18"/>
              </w:rPr>
              <w:t>Lab</w:t>
            </w:r>
            <w:r>
              <w:rPr>
                <w:sz w:val="18"/>
                <w:szCs w:val="18"/>
              </w:rPr>
              <w:t>VIEW、</w:t>
            </w:r>
            <w:r>
              <w:rPr>
                <w:rFonts w:hint="eastAsia"/>
                <w:sz w:val="18"/>
                <w:szCs w:val="18"/>
              </w:rPr>
              <w:t>C</w:t>
            </w:r>
            <w:r>
              <w:rPr>
                <w:sz w:val="18"/>
                <w:szCs w:val="18"/>
              </w:rPr>
              <w:t>#</w:t>
            </w:r>
            <w:r>
              <w:rPr>
                <w:rFonts w:hint="eastAsia"/>
                <w:sz w:val="18"/>
                <w:szCs w:val="18"/>
              </w:rPr>
              <w:t>等不同的软件开发平台对虚拟仪器系统进行仿真设计；能够综合运用所学软硬件相关知识对系统参数和功能进行调试和改进。</w:t>
            </w:r>
          </w:p>
        </w:tc>
        <w:tc>
          <w:tcPr>
            <w:tcW w:w="2111" w:type="pct"/>
          </w:tcPr>
          <w:p>
            <w:pPr>
              <w:spacing w:line="360" w:lineRule="auto"/>
              <w:rPr>
                <w:sz w:val="18"/>
                <w:szCs w:val="18"/>
              </w:rPr>
            </w:pPr>
            <w:r>
              <w:rPr>
                <w:rFonts w:hint="eastAsia"/>
                <w:b/>
                <w:sz w:val="18"/>
                <w:szCs w:val="18"/>
              </w:rPr>
              <w:t>指标点5-2 专业工具使用：</w:t>
            </w:r>
            <w:r>
              <w:rPr>
                <w:bCs/>
                <w:sz w:val="18"/>
                <w:szCs w:val="18"/>
              </w:rPr>
              <w:t>能使用工具对智能信息处理或控制系统进行设计和仿真，确定功能和相关设计参数。</w:t>
            </w:r>
          </w:p>
        </w:tc>
      </w:tr>
    </w:tbl>
    <w:p>
      <w:pPr>
        <w:spacing w:line="360" w:lineRule="auto"/>
        <w:rPr>
          <w:szCs w:val="21"/>
        </w:rPr>
      </w:pPr>
    </w:p>
    <w:p>
      <w:pPr>
        <w:tabs>
          <w:tab w:val="left" w:pos="420"/>
        </w:tabs>
        <w:adjustRightInd w:val="0"/>
        <w:snapToGrid w:val="0"/>
        <w:spacing w:line="360" w:lineRule="auto"/>
        <w:ind w:left="420" w:hanging="420"/>
        <w:rPr>
          <w:rFonts w:eastAsia="黑体"/>
          <w:szCs w:val="21"/>
        </w:rPr>
      </w:pPr>
      <w:r>
        <w:rPr>
          <w:rFonts w:hint="eastAsia" w:eastAsia="黑体"/>
          <w:szCs w:val="21"/>
        </w:rPr>
        <w:t>三、基本要求</w:t>
      </w:r>
    </w:p>
    <w:p>
      <w:pPr>
        <w:spacing w:line="360" w:lineRule="auto"/>
        <w:ind w:firstLine="420" w:firstLineChars="200"/>
        <w:rPr>
          <w:szCs w:val="21"/>
        </w:rPr>
      </w:pPr>
      <w:r>
        <w:rPr>
          <w:szCs w:val="21"/>
        </w:rPr>
        <w:t>1、本课程为专业</w:t>
      </w:r>
      <w:r>
        <w:rPr>
          <w:rFonts w:hint="eastAsia"/>
          <w:szCs w:val="21"/>
        </w:rPr>
        <w:t>教育</w:t>
      </w:r>
      <w:r>
        <w:rPr>
          <w:szCs w:val="21"/>
        </w:rPr>
        <w:t>课</w:t>
      </w:r>
      <w:r>
        <w:rPr>
          <w:rFonts w:hint="eastAsia"/>
          <w:szCs w:val="21"/>
        </w:rPr>
        <w:t>程</w:t>
      </w:r>
      <w:r>
        <w:rPr>
          <w:szCs w:val="21"/>
        </w:rPr>
        <w:t>，要求先修传感器原理及设计、信号与系统及</w:t>
      </w:r>
      <w:r>
        <w:t>C语言程序设计</w:t>
      </w:r>
      <w:r>
        <w:rPr>
          <w:szCs w:val="21"/>
        </w:rPr>
        <w:t>课程，在教学中应</w:t>
      </w:r>
      <w:r>
        <w:rPr>
          <w:rFonts w:hint="eastAsia"/>
          <w:szCs w:val="21"/>
        </w:rPr>
        <w:t>注意</w:t>
      </w:r>
      <w:r>
        <w:rPr>
          <w:szCs w:val="21"/>
        </w:rPr>
        <w:t>基础知识、基本概念和思维方法的传授，同时</w:t>
      </w:r>
      <w:r>
        <w:rPr>
          <w:rFonts w:hint="eastAsia"/>
          <w:szCs w:val="21"/>
        </w:rPr>
        <w:t>应采用多元化引导式</w:t>
      </w:r>
      <w:r>
        <w:rPr>
          <w:szCs w:val="21"/>
        </w:rPr>
        <w:t>教学</w:t>
      </w:r>
      <w:r>
        <w:rPr>
          <w:rFonts w:hint="eastAsia"/>
          <w:szCs w:val="21"/>
        </w:rPr>
        <w:t>手段，强化和提升实践教学效果</w:t>
      </w:r>
      <w:r>
        <w:rPr>
          <w:szCs w:val="21"/>
        </w:rPr>
        <w:t>，使学生能将各科知识融会贯通，</w:t>
      </w:r>
      <w:r>
        <w:rPr>
          <w:rFonts w:hint="eastAsia"/>
          <w:szCs w:val="21"/>
        </w:rPr>
        <w:t>学会</w:t>
      </w:r>
      <w:r>
        <w:rPr>
          <w:szCs w:val="21"/>
        </w:rPr>
        <w:t>虚拟仪器设计的一般方法，培养解决工程问题的分析和设计能力。</w:t>
      </w:r>
    </w:p>
    <w:p>
      <w:pPr>
        <w:spacing w:line="360" w:lineRule="auto"/>
        <w:ind w:firstLine="420" w:firstLineChars="200"/>
        <w:rPr>
          <w:szCs w:val="21"/>
        </w:rPr>
      </w:pPr>
      <w:r>
        <w:rPr>
          <w:szCs w:val="21"/>
        </w:rPr>
        <w:t>2、教师通过一般测试系统功能模块及设计方法讲解，结合</w:t>
      </w:r>
      <w:r>
        <w:rPr>
          <w:rFonts w:hint="eastAsia"/>
          <w:szCs w:val="21"/>
        </w:rPr>
        <w:t>国内外最新进展和科研</w:t>
      </w:r>
      <w:r>
        <w:rPr>
          <w:szCs w:val="21"/>
        </w:rPr>
        <w:t>实例，提高学生对工程问题解决步骤的认知及设计能力，具有灵活运用知识设计、开发不同系统的能力，并且具有计算机综合应用编程的能力。</w:t>
      </w:r>
    </w:p>
    <w:p>
      <w:pPr>
        <w:spacing w:line="360" w:lineRule="auto"/>
        <w:ind w:firstLine="420" w:firstLineChars="200"/>
        <w:rPr>
          <w:szCs w:val="21"/>
        </w:rPr>
      </w:pPr>
      <w:r>
        <w:rPr>
          <w:szCs w:val="21"/>
        </w:rPr>
        <w:t>3、学生通过</w:t>
      </w:r>
      <w:r>
        <w:rPr>
          <w:rFonts w:hint="eastAsia"/>
          <w:szCs w:val="21"/>
        </w:rPr>
        <w:t>课堂实践操作和</w:t>
      </w:r>
      <w:r>
        <w:rPr>
          <w:szCs w:val="21"/>
        </w:rPr>
        <w:t>实验课，</w:t>
      </w:r>
      <w:r>
        <w:rPr>
          <w:rFonts w:hint="eastAsia"/>
          <w:szCs w:val="21"/>
        </w:rPr>
        <w:t>掌握</w:t>
      </w:r>
      <w:r>
        <w:rPr>
          <w:szCs w:val="21"/>
        </w:rPr>
        <w:t>虚拟仪器</w:t>
      </w:r>
      <w:r>
        <w:rPr>
          <w:rFonts w:hint="eastAsia"/>
          <w:szCs w:val="21"/>
        </w:rPr>
        <w:t>软件开发平台的操作方法，会选择、运用不同接口的硬件设备来设计虚拟仪器系统，掌握虚拟仪器系统设计和调试技巧。</w:t>
      </w:r>
    </w:p>
    <w:p>
      <w:pPr>
        <w:spacing w:line="360" w:lineRule="auto"/>
        <w:ind w:firstLine="420" w:firstLineChars="200"/>
        <w:rPr>
          <w:szCs w:val="21"/>
        </w:rPr>
      </w:pPr>
      <w:r>
        <w:rPr>
          <w:rFonts w:hint="eastAsia"/>
          <w:szCs w:val="21"/>
        </w:rPr>
        <w:t>4、虚拟仪器的特点是硬件功能软件化，许多软件逻辑的设计与实际硬件密切相关，因此应重点培养学生实际操作、灵活运用知识的能力，把理论知识运用到实际设计中去的技能。</w:t>
      </w:r>
    </w:p>
    <w:p>
      <w:pPr>
        <w:spacing w:line="360" w:lineRule="auto"/>
        <w:ind w:firstLine="420" w:firstLineChars="200"/>
        <w:rPr>
          <w:szCs w:val="21"/>
        </w:rPr>
      </w:pPr>
      <w:r>
        <w:rPr>
          <w:szCs w:val="21"/>
        </w:rPr>
        <w:t>5、本课程</w:t>
      </w:r>
      <w:r>
        <w:rPr>
          <w:rFonts w:hint="eastAsia"/>
          <w:szCs w:val="21"/>
        </w:rPr>
        <w:t>是一门实践性很强的课程，</w:t>
      </w:r>
      <w:r>
        <w:rPr>
          <w:szCs w:val="21"/>
        </w:rPr>
        <w:t>要求学生通过实验环节把所学的内容巩固和掌握，要求在CAI教室进行授课，并且教学和实验交替进行。</w:t>
      </w:r>
    </w:p>
    <w:p>
      <w:pPr>
        <w:spacing w:line="360" w:lineRule="auto"/>
        <w:ind w:firstLine="420" w:firstLineChars="200"/>
        <w:rPr>
          <w:szCs w:val="21"/>
        </w:rPr>
      </w:pPr>
      <w:r>
        <w:rPr>
          <w:szCs w:val="21"/>
        </w:rPr>
        <w:t>6</w:t>
      </w:r>
      <w:r>
        <w:rPr>
          <w:rFonts w:hint="eastAsia"/>
          <w:szCs w:val="21"/>
        </w:rPr>
        <w:t>、深度和广度说明：对虚拟仪器系统软硬件架构要深入讲解，对虚拟仪器网络通信只做简单介绍，对虚拟仪器在各领域的应用和发展介绍应涵盖广些；同步数据传递技术了解即可，虚拟仪器系统设计原则和方法的掌握和使用是重点。</w:t>
      </w:r>
    </w:p>
    <w:p>
      <w:pPr>
        <w:spacing w:line="360" w:lineRule="auto"/>
        <w:ind w:firstLine="420" w:firstLineChars="200"/>
        <w:rPr>
          <w:szCs w:val="21"/>
        </w:rPr>
      </w:pPr>
      <w:r>
        <w:rPr>
          <w:szCs w:val="21"/>
        </w:rPr>
        <w:t>7、偏差说明：为了鼓励教师引入个人授课风格或者适应技术发展的紧迫性，本课程允许教师授课内容做适当调整，最大正偏差为</w:t>
      </w:r>
      <w:r>
        <w:rPr>
          <w:rFonts w:hint="eastAsia"/>
          <w:szCs w:val="21"/>
        </w:rPr>
        <w:t>10%，不允许负偏差。正偏差通过压缩同等内容的学时数来完成。特殊情况，最大正偏差和置换偏差累计可达到20%，但在开课前要申请专业责任人批准。（正偏差指大纲知识点不变，新增知识点；负偏差是大纲知识点减少；置换偏差是指大纲中部分知识点被其它类似知识点替换）。</w:t>
      </w:r>
    </w:p>
    <w:p>
      <w:pPr>
        <w:spacing w:line="360" w:lineRule="auto"/>
        <w:ind w:firstLine="420" w:firstLineChars="200"/>
        <w:rPr>
          <w:szCs w:val="21"/>
        </w:rPr>
      </w:pPr>
    </w:p>
    <w:p>
      <w:pPr>
        <w:tabs>
          <w:tab w:val="left" w:pos="420"/>
        </w:tabs>
        <w:spacing w:line="360" w:lineRule="auto"/>
        <w:ind w:left="420" w:hanging="420"/>
        <w:rPr>
          <w:rFonts w:eastAsia="黑体"/>
          <w:szCs w:val="21"/>
        </w:rPr>
      </w:pPr>
      <w:r>
        <w:rPr>
          <w:rFonts w:hint="eastAsia" w:eastAsia="黑体"/>
          <w:szCs w:val="21"/>
        </w:rPr>
        <w:t>四、教学内容和教学方法</w:t>
      </w:r>
    </w:p>
    <w:p>
      <w:pPr>
        <w:widowControl/>
        <w:spacing w:line="360" w:lineRule="auto"/>
        <w:ind w:firstLine="420" w:firstLineChars="200"/>
        <w:jc w:val="left"/>
      </w:pPr>
      <w:r>
        <w:t>本课程重点讲授的内容包括：虚拟仪器的体系结构</w:t>
      </w:r>
      <w:r>
        <w:rPr>
          <w:rFonts w:hint="eastAsia"/>
        </w:rPr>
        <w:t>，包括软件架构和硬件架构；</w:t>
      </w:r>
      <w:r>
        <w:t>虚拟仪器软件开发平台</w:t>
      </w:r>
      <w:r>
        <w:rPr>
          <w:rFonts w:hint="eastAsia"/>
        </w:rPr>
        <w:t>使用方法和技巧；</w:t>
      </w:r>
      <w:r>
        <w:t>程序设计的基本原理与方法</w:t>
      </w:r>
      <w:r>
        <w:rPr>
          <w:rFonts w:hint="eastAsia"/>
        </w:rPr>
        <w:t>；</w:t>
      </w:r>
      <w:r>
        <w:t>各种不同板卡的选型</w:t>
      </w:r>
      <w:r>
        <w:rPr>
          <w:rFonts w:hint="eastAsia"/>
        </w:rPr>
        <w:t>方法；</w:t>
      </w:r>
      <w:r>
        <w:t>虚拟仪器</w:t>
      </w:r>
      <w:r>
        <w:rPr>
          <w:rFonts w:hint="eastAsia"/>
        </w:rPr>
        <w:t>系统设计原则和方法，包括需求分析和方案确定方法、软件设计流程和原则、硬件开发流程和原则、以及系统调试方法和技巧等</w:t>
      </w:r>
      <w:r>
        <w:t>。</w:t>
      </w:r>
    </w:p>
    <w:p>
      <w:pPr>
        <w:spacing w:line="360" w:lineRule="auto"/>
        <w:ind w:firstLine="420" w:firstLineChars="200"/>
        <w:rPr>
          <w:rFonts w:ascii="黑体" w:hAnsi="黑体" w:eastAsia="黑体"/>
          <w:szCs w:val="21"/>
        </w:rPr>
      </w:pPr>
      <w:r>
        <w:rPr>
          <w:szCs w:val="21"/>
        </w:rPr>
        <w:t>本课程在教学方法上，充分利用各种媒体教学手段，采取课堂教学、多媒体课件、</w:t>
      </w:r>
      <w:r>
        <w:rPr>
          <w:rFonts w:hint="eastAsia"/>
          <w:szCs w:val="21"/>
        </w:rPr>
        <w:t>实践课堂、趣味编程、案例分析讨论、实验等方法</w:t>
      </w:r>
      <w:r>
        <w:rPr>
          <w:szCs w:val="21"/>
        </w:rPr>
        <w:t>有机结合，提高教学效率。</w:t>
      </w:r>
    </w:p>
    <w:p>
      <w:pPr>
        <w:spacing w:line="360" w:lineRule="auto"/>
        <w:ind w:firstLine="420" w:firstLineChars="200"/>
        <w:rPr>
          <w:szCs w:val="21"/>
        </w:rPr>
      </w:pPr>
      <w:r>
        <w:rPr>
          <w:rFonts w:hint="eastAsia"/>
          <w:szCs w:val="21"/>
        </w:rPr>
        <w:t>虚拟仪器设计在测控技术与仪器专业课程体系中占有非常重要的地位，对先修课程起到融会贯通的作用，对后修实践类课程和毕业设计起到直接支撑作用，因此教师要重点讲授以使学生完全掌握。</w:t>
      </w:r>
    </w:p>
    <w:p>
      <w:pPr>
        <w:spacing w:line="360" w:lineRule="auto"/>
        <w:ind w:firstLine="420" w:firstLineChars="200"/>
        <w:rPr>
          <w:szCs w:val="21"/>
        </w:rPr>
      </w:pPr>
      <w:r>
        <w:rPr>
          <w:rFonts w:hint="eastAsia"/>
          <w:szCs w:val="21"/>
        </w:rPr>
        <w:t>为了提高学生的学习兴趣，并取得良好的教学效果，教师在知识讲解的过程中要充分利用问题引导、案例分析等多种教学方法，以进一步提高教学质量。</w:t>
      </w:r>
    </w:p>
    <w:p>
      <w:pPr>
        <w:widowControl/>
        <w:snapToGrid w:val="0"/>
        <w:spacing w:line="360" w:lineRule="auto"/>
        <w:ind w:firstLine="420" w:firstLineChars="200"/>
        <w:jc w:val="left"/>
        <w:rPr>
          <w:kern w:val="0"/>
          <w:szCs w:val="21"/>
        </w:rPr>
      </w:pPr>
      <w:r>
        <w:rPr>
          <w:rFonts w:eastAsia="黑体"/>
          <w:kern w:val="0"/>
          <w:szCs w:val="21"/>
        </w:rPr>
        <w:t>1 虚拟仪器概述（2学时）</w:t>
      </w:r>
    </w:p>
    <w:p>
      <w:pPr>
        <w:widowControl/>
        <w:snapToGrid w:val="0"/>
        <w:spacing w:line="360" w:lineRule="auto"/>
        <w:ind w:left="426"/>
        <w:jc w:val="left"/>
        <w:rPr>
          <w:kern w:val="0"/>
          <w:szCs w:val="21"/>
        </w:rPr>
      </w:pPr>
      <w:r>
        <w:rPr>
          <w:kern w:val="0"/>
          <w:szCs w:val="21"/>
        </w:rPr>
        <w:t>1.1、了解虚拟仪器的基本概念、组成及特点；</w:t>
      </w:r>
    </w:p>
    <w:p>
      <w:pPr>
        <w:widowControl/>
        <w:snapToGrid w:val="0"/>
        <w:spacing w:line="360" w:lineRule="auto"/>
        <w:ind w:left="426"/>
        <w:jc w:val="left"/>
        <w:rPr>
          <w:kern w:val="0"/>
          <w:szCs w:val="21"/>
        </w:rPr>
      </w:pPr>
      <w:r>
        <w:rPr>
          <w:kern w:val="0"/>
          <w:szCs w:val="21"/>
        </w:rPr>
        <w:t>1.2、</w:t>
      </w:r>
      <w:r>
        <w:rPr>
          <w:rFonts w:hint="eastAsia"/>
          <w:kern w:val="0"/>
          <w:szCs w:val="21"/>
        </w:rPr>
        <w:t>掌握</w:t>
      </w:r>
      <w:r>
        <w:rPr>
          <w:kern w:val="0"/>
          <w:szCs w:val="21"/>
        </w:rPr>
        <w:t>虚拟仪器硬件架构（GPIB</w:t>
      </w:r>
      <w:r>
        <w:rPr>
          <w:rFonts w:hint="eastAsia"/>
          <w:kern w:val="0"/>
          <w:szCs w:val="21"/>
        </w:rPr>
        <w:t>，</w:t>
      </w:r>
      <w:r>
        <w:rPr>
          <w:kern w:val="0"/>
          <w:szCs w:val="21"/>
        </w:rPr>
        <w:t>VXI</w:t>
      </w:r>
      <w:r>
        <w:rPr>
          <w:rFonts w:hint="eastAsia"/>
          <w:kern w:val="0"/>
          <w:szCs w:val="21"/>
        </w:rPr>
        <w:t>，</w:t>
      </w:r>
      <w:r>
        <w:rPr>
          <w:kern w:val="0"/>
          <w:szCs w:val="21"/>
        </w:rPr>
        <w:t>PXI</w:t>
      </w:r>
      <w:r>
        <w:rPr>
          <w:rFonts w:hint="eastAsia"/>
          <w:kern w:val="0"/>
          <w:szCs w:val="21"/>
        </w:rPr>
        <w:t>，</w:t>
      </w:r>
      <w:r>
        <w:rPr>
          <w:kern w:val="0"/>
          <w:szCs w:val="21"/>
        </w:rPr>
        <w:t>LXI</w:t>
      </w:r>
      <w:r>
        <w:rPr>
          <w:rFonts w:hint="eastAsia"/>
          <w:kern w:val="0"/>
          <w:szCs w:val="21"/>
        </w:rPr>
        <w:t>，</w:t>
      </w:r>
      <w:r>
        <w:rPr>
          <w:kern w:val="0"/>
          <w:szCs w:val="21"/>
        </w:rPr>
        <w:t>USB等构成形式）及软件层次结构；（重点、难点）</w:t>
      </w:r>
    </w:p>
    <w:p>
      <w:pPr>
        <w:widowControl/>
        <w:snapToGrid w:val="0"/>
        <w:spacing w:line="360" w:lineRule="auto"/>
        <w:ind w:left="426"/>
        <w:jc w:val="left"/>
        <w:rPr>
          <w:kern w:val="0"/>
          <w:szCs w:val="21"/>
        </w:rPr>
      </w:pPr>
      <w:r>
        <w:rPr>
          <w:kern w:val="0"/>
          <w:szCs w:val="21"/>
        </w:rPr>
        <w:t>1.3、</w:t>
      </w:r>
      <w:r>
        <w:rPr>
          <w:rFonts w:hint="eastAsia"/>
          <w:kern w:val="0"/>
          <w:szCs w:val="21"/>
        </w:rPr>
        <w:t>了解</w:t>
      </w:r>
      <w:r>
        <w:rPr>
          <w:kern w:val="0"/>
          <w:szCs w:val="21"/>
        </w:rPr>
        <w:t>虚拟仪器系统及其在测试、测量和自动化领域的应用及发展趋势。</w:t>
      </w:r>
    </w:p>
    <w:p>
      <w:pPr>
        <w:widowControl/>
        <w:snapToGrid w:val="0"/>
        <w:spacing w:line="360" w:lineRule="auto"/>
        <w:ind w:left="426"/>
        <w:jc w:val="left"/>
        <w:rPr>
          <w:kern w:val="0"/>
          <w:szCs w:val="21"/>
        </w:rPr>
      </w:pPr>
      <w:r>
        <w:rPr>
          <w:rFonts w:cs="宋体"/>
          <w:bCs/>
          <w:snapToGrid w:val="0"/>
          <w:kern w:val="0"/>
          <w:szCs w:val="21"/>
        </w:rPr>
        <w:t>本章内容支撑课程目标1</w:t>
      </w:r>
      <w:r>
        <w:rPr>
          <w:rFonts w:hint="eastAsia" w:cs="宋体"/>
          <w:bCs/>
          <w:snapToGrid w:val="0"/>
          <w:kern w:val="0"/>
          <w:szCs w:val="21"/>
        </w:rPr>
        <w:t>、2。</w:t>
      </w:r>
    </w:p>
    <w:p>
      <w:pPr>
        <w:widowControl/>
        <w:tabs>
          <w:tab w:val="left" w:pos="345"/>
        </w:tabs>
        <w:snapToGrid w:val="0"/>
        <w:spacing w:line="360" w:lineRule="auto"/>
        <w:ind w:left="426"/>
        <w:jc w:val="left"/>
        <w:rPr>
          <w:rFonts w:eastAsia="黑体"/>
          <w:kern w:val="0"/>
          <w:szCs w:val="21"/>
        </w:rPr>
      </w:pPr>
      <w:r>
        <w:rPr>
          <w:rFonts w:eastAsia="黑体"/>
          <w:kern w:val="0"/>
          <w:szCs w:val="21"/>
        </w:rPr>
        <w:t>2 虚拟仪器软件开发平台及设计基础（8学时）</w:t>
      </w:r>
    </w:p>
    <w:p>
      <w:pPr>
        <w:widowControl/>
        <w:tabs>
          <w:tab w:val="left" w:pos="345"/>
        </w:tabs>
        <w:snapToGrid w:val="0"/>
        <w:spacing w:line="360" w:lineRule="auto"/>
        <w:ind w:left="426"/>
        <w:jc w:val="left"/>
        <w:rPr>
          <w:kern w:val="0"/>
          <w:szCs w:val="21"/>
        </w:rPr>
      </w:pPr>
      <w:r>
        <w:rPr>
          <w:kern w:val="0"/>
          <w:szCs w:val="21"/>
        </w:rPr>
        <w:t>2.1、</w:t>
      </w:r>
      <w:r>
        <w:rPr>
          <w:rFonts w:hint="eastAsia"/>
          <w:kern w:val="0"/>
          <w:szCs w:val="21"/>
        </w:rPr>
        <w:t>了解</w:t>
      </w:r>
      <w:r>
        <w:rPr>
          <w:kern w:val="0"/>
          <w:szCs w:val="21"/>
        </w:rPr>
        <w:t>LabVIEW的编程环境、使用方法、帮助系统及范例系统；</w:t>
      </w:r>
    </w:p>
    <w:p>
      <w:pPr>
        <w:widowControl/>
        <w:tabs>
          <w:tab w:val="left" w:pos="345"/>
        </w:tabs>
        <w:snapToGrid w:val="0"/>
        <w:spacing w:line="360" w:lineRule="auto"/>
        <w:ind w:left="426"/>
        <w:jc w:val="left"/>
        <w:rPr>
          <w:kern w:val="0"/>
          <w:szCs w:val="21"/>
        </w:rPr>
      </w:pPr>
      <w:r>
        <w:rPr>
          <w:kern w:val="0"/>
          <w:szCs w:val="21"/>
        </w:rPr>
        <w:t>2.2、</w:t>
      </w:r>
      <w:r>
        <w:rPr>
          <w:rFonts w:hint="eastAsia"/>
          <w:kern w:val="0"/>
          <w:szCs w:val="21"/>
        </w:rPr>
        <w:t>熟练掌握</w:t>
      </w:r>
      <w:r>
        <w:rPr>
          <w:kern w:val="0"/>
          <w:szCs w:val="21"/>
        </w:rPr>
        <w:t>虚拟仪器创建、调试和调用方法；</w:t>
      </w:r>
    </w:p>
    <w:p>
      <w:pPr>
        <w:widowControl/>
        <w:snapToGrid w:val="0"/>
        <w:spacing w:line="360" w:lineRule="auto"/>
        <w:ind w:left="426"/>
        <w:jc w:val="left"/>
        <w:rPr>
          <w:kern w:val="0"/>
          <w:szCs w:val="21"/>
        </w:rPr>
      </w:pPr>
      <w:r>
        <w:rPr>
          <w:kern w:val="0"/>
          <w:szCs w:val="21"/>
        </w:rPr>
        <w:t>2.3、</w:t>
      </w:r>
      <w:r>
        <w:rPr>
          <w:rFonts w:hint="eastAsia"/>
          <w:kern w:val="0"/>
          <w:szCs w:val="21"/>
        </w:rPr>
        <w:t>熟练掌握</w:t>
      </w:r>
      <w:r>
        <w:rPr>
          <w:kern w:val="0"/>
          <w:szCs w:val="21"/>
        </w:rPr>
        <w:t>虚拟仪器设计</w:t>
      </w:r>
      <w:r>
        <w:rPr>
          <w:rFonts w:hint="eastAsia"/>
          <w:kern w:val="0"/>
          <w:szCs w:val="21"/>
        </w:rPr>
        <w:t>的基本知识</w:t>
      </w:r>
      <w:r>
        <w:rPr>
          <w:kern w:val="0"/>
          <w:szCs w:val="21"/>
        </w:rPr>
        <w:t>（LabVIEW的基本数据类型、结构、波形显示、同步数据传递及文件IO等）；（重点）</w:t>
      </w:r>
    </w:p>
    <w:p>
      <w:pPr>
        <w:widowControl/>
        <w:snapToGrid w:val="0"/>
        <w:spacing w:line="360" w:lineRule="auto"/>
        <w:ind w:left="426"/>
        <w:jc w:val="left"/>
        <w:rPr>
          <w:kern w:val="0"/>
          <w:szCs w:val="21"/>
        </w:rPr>
      </w:pPr>
      <w:r>
        <w:rPr>
          <w:kern w:val="0"/>
          <w:szCs w:val="21"/>
        </w:rPr>
        <w:t>2.4、</w:t>
      </w:r>
      <w:r>
        <w:rPr>
          <w:rFonts w:hint="eastAsia"/>
          <w:kern w:val="0"/>
          <w:szCs w:val="21"/>
        </w:rPr>
        <w:t>熟练掌握</w:t>
      </w:r>
      <w:r>
        <w:rPr>
          <w:kern w:val="0"/>
          <w:szCs w:val="21"/>
        </w:rPr>
        <w:t>DAQ的基本原理、选择及硬件配置等知识。（难点）</w:t>
      </w:r>
    </w:p>
    <w:p>
      <w:pPr>
        <w:widowControl/>
        <w:snapToGrid w:val="0"/>
        <w:spacing w:line="360" w:lineRule="auto"/>
        <w:ind w:left="426"/>
        <w:jc w:val="left"/>
        <w:rPr>
          <w:kern w:val="0"/>
          <w:szCs w:val="21"/>
        </w:rPr>
      </w:pPr>
      <w:r>
        <w:rPr>
          <w:rFonts w:cs="宋体"/>
          <w:bCs/>
          <w:snapToGrid w:val="0"/>
          <w:kern w:val="0"/>
          <w:szCs w:val="21"/>
        </w:rPr>
        <w:t>本章内容支撑课程目标3</w:t>
      </w:r>
      <w:r>
        <w:rPr>
          <w:rFonts w:hint="eastAsia" w:cs="宋体"/>
          <w:bCs/>
          <w:snapToGrid w:val="0"/>
          <w:kern w:val="0"/>
          <w:szCs w:val="21"/>
        </w:rPr>
        <w:t>。</w:t>
      </w:r>
    </w:p>
    <w:p>
      <w:pPr>
        <w:widowControl/>
        <w:snapToGrid w:val="0"/>
        <w:spacing w:line="360" w:lineRule="auto"/>
        <w:ind w:left="426"/>
        <w:jc w:val="left"/>
        <w:rPr>
          <w:rFonts w:eastAsia="黑体"/>
          <w:kern w:val="0"/>
          <w:szCs w:val="21"/>
        </w:rPr>
      </w:pPr>
      <w:r>
        <w:rPr>
          <w:rFonts w:eastAsia="黑体"/>
          <w:kern w:val="0"/>
          <w:szCs w:val="21"/>
        </w:rPr>
        <w:t>3 虚拟仪器系统设计（10学时）</w:t>
      </w:r>
    </w:p>
    <w:p>
      <w:pPr>
        <w:widowControl/>
        <w:snapToGrid w:val="0"/>
        <w:spacing w:line="360" w:lineRule="auto"/>
        <w:ind w:left="426"/>
        <w:jc w:val="left"/>
        <w:rPr>
          <w:kern w:val="0"/>
          <w:szCs w:val="21"/>
        </w:rPr>
      </w:pPr>
      <w:r>
        <w:rPr>
          <w:kern w:val="0"/>
          <w:szCs w:val="21"/>
        </w:rPr>
        <w:t>3.1</w:t>
      </w:r>
      <w:r>
        <w:rPr>
          <w:rFonts w:hint="eastAsia"/>
          <w:kern w:val="0"/>
          <w:szCs w:val="21"/>
        </w:rPr>
        <w:t>、掌握</w:t>
      </w:r>
      <w:r>
        <w:rPr>
          <w:kern w:val="0"/>
          <w:szCs w:val="21"/>
        </w:rPr>
        <w:t>虚拟仪器系统的设计原则及步骤；（重点）</w:t>
      </w:r>
    </w:p>
    <w:p>
      <w:pPr>
        <w:widowControl/>
        <w:snapToGrid w:val="0"/>
        <w:spacing w:line="360" w:lineRule="auto"/>
        <w:ind w:left="426"/>
        <w:jc w:val="left"/>
        <w:rPr>
          <w:kern w:val="0"/>
          <w:szCs w:val="21"/>
        </w:rPr>
      </w:pPr>
      <w:r>
        <w:rPr>
          <w:kern w:val="0"/>
          <w:szCs w:val="21"/>
        </w:rPr>
        <w:t>3.2、</w:t>
      </w:r>
      <w:r>
        <w:rPr>
          <w:rFonts w:hint="eastAsia"/>
          <w:kern w:val="0"/>
          <w:szCs w:val="21"/>
        </w:rPr>
        <w:t>熟练掌握</w:t>
      </w:r>
      <w:r>
        <w:rPr>
          <w:kern w:val="0"/>
          <w:szCs w:val="21"/>
        </w:rPr>
        <w:t>虚拟仪器硬件系统的构成、常用板卡的技术指标及选型依据（DAQ，I/O，RS232等）；（难点）</w:t>
      </w:r>
    </w:p>
    <w:p>
      <w:pPr>
        <w:widowControl/>
        <w:snapToGrid w:val="0"/>
        <w:spacing w:line="360" w:lineRule="auto"/>
        <w:ind w:left="426"/>
        <w:jc w:val="left"/>
        <w:rPr>
          <w:kern w:val="0"/>
          <w:szCs w:val="21"/>
        </w:rPr>
      </w:pPr>
      <w:r>
        <w:rPr>
          <w:kern w:val="0"/>
          <w:szCs w:val="21"/>
        </w:rPr>
        <w:t>3.3、虚拟仪器系统的设计实例。</w:t>
      </w:r>
    </w:p>
    <w:p>
      <w:pPr>
        <w:adjustRightInd w:val="0"/>
        <w:snapToGrid w:val="0"/>
        <w:spacing w:line="360" w:lineRule="auto"/>
        <w:ind w:firstLine="420" w:firstLineChars="200"/>
        <w:rPr>
          <w:rFonts w:cs="宋体"/>
          <w:bCs/>
          <w:snapToGrid w:val="0"/>
          <w:kern w:val="0"/>
          <w:szCs w:val="21"/>
        </w:rPr>
      </w:pPr>
      <w:r>
        <w:rPr>
          <w:rFonts w:cs="宋体"/>
          <w:bCs/>
          <w:snapToGrid w:val="0"/>
          <w:kern w:val="0"/>
          <w:szCs w:val="21"/>
        </w:rPr>
        <w:t>本章内容支撑课程目标</w:t>
      </w:r>
      <w:r>
        <w:rPr>
          <w:rFonts w:hint="eastAsia" w:cs="宋体"/>
          <w:bCs/>
          <w:snapToGrid w:val="0"/>
          <w:kern w:val="0"/>
          <w:szCs w:val="21"/>
        </w:rPr>
        <w:t>1、2、</w:t>
      </w:r>
      <w:r>
        <w:rPr>
          <w:rFonts w:cs="宋体"/>
          <w:bCs/>
          <w:snapToGrid w:val="0"/>
          <w:kern w:val="0"/>
          <w:szCs w:val="21"/>
        </w:rPr>
        <w:t>3</w:t>
      </w:r>
      <w:r>
        <w:rPr>
          <w:rFonts w:hint="eastAsia" w:cs="宋体"/>
          <w:bCs/>
          <w:snapToGrid w:val="0"/>
          <w:kern w:val="0"/>
          <w:szCs w:val="21"/>
        </w:rPr>
        <w:t>。</w:t>
      </w:r>
      <w:r>
        <w:rPr>
          <w:rFonts w:cs="宋体"/>
          <w:bCs/>
          <w:snapToGrid w:val="0"/>
          <w:kern w:val="0"/>
          <w:szCs w:val="21"/>
        </w:rPr>
        <w:tab/>
      </w:r>
    </w:p>
    <w:p>
      <w:pPr>
        <w:adjustRightInd w:val="0"/>
        <w:snapToGrid w:val="0"/>
        <w:spacing w:line="360" w:lineRule="auto"/>
        <w:rPr>
          <w:b/>
          <w:sz w:val="24"/>
          <w:szCs w:val="24"/>
        </w:rPr>
      </w:pPr>
    </w:p>
    <w:p>
      <w:pPr>
        <w:tabs>
          <w:tab w:val="left" w:pos="420"/>
        </w:tabs>
        <w:adjustRightInd w:val="0"/>
        <w:snapToGrid w:val="0"/>
        <w:spacing w:line="360" w:lineRule="auto"/>
        <w:ind w:left="420" w:hanging="420"/>
        <w:rPr>
          <w:rFonts w:eastAsia="黑体"/>
          <w:szCs w:val="24"/>
        </w:rPr>
      </w:pPr>
      <w:r>
        <w:rPr>
          <w:rFonts w:hint="eastAsia" w:eastAsia="黑体"/>
          <w:szCs w:val="24"/>
        </w:rPr>
        <w:t>五、实验内容</w:t>
      </w:r>
    </w:p>
    <w:p>
      <w:pPr>
        <w:spacing w:line="360" w:lineRule="auto"/>
        <w:ind w:firstLine="315" w:firstLineChars="150"/>
      </w:pPr>
      <w:r>
        <w:t>实验环节主要是上机操作，要求保证上机条件；要求学生在熟悉</w:t>
      </w:r>
      <w:r>
        <w:rPr>
          <w:rFonts w:hint="eastAsia"/>
        </w:rPr>
        <w:t>虚拟仪器设计平台</w:t>
      </w:r>
      <w:r>
        <w:rPr>
          <w:kern w:val="0"/>
          <w:szCs w:val="21"/>
        </w:rPr>
        <w:t>LabVIEW的编程环境与基本操作实验</w:t>
      </w:r>
      <w:r>
        <w:rPr>
          <w:szCs w:val="21"/>
        </w:rPr>
        <w:t>的基础上，</w:t>
      </w:r>
      <w:r>
        <w:rPr>
          <w:rFonts w:hint="eastAsia"/>
          <w:szCs w:val="21"/>
        </w:rPr>
        <w:t>能够完成</w:t>
      </w:r>
      <w:r>
        <w:t>基本的数据采集及分析过程；</w:t>
      </w:r>
      <w:r>
        <w:rPr>
          <w:rFonts w:hint="eastAsia"/>
        </w:rPr>
        <w:t>学会</w:t>
      </w:r>
      <w:r>
        <w:t>基本数据采集卡的使用；</w:t>
      </w:r>
      <w:r>
        <w:rPr>
          <w:rFonts w:hint="eastAsia"/>
        </w:rPr>
        <w:t>了解</w:t>
      </w:r>
      <w:r>
        <w:t>虚拟仪器设计的一般方法，能够根据不同的功能选用合适的硬件设备并配合软件设计搭建虚拟仪器系统。</w:t>
      </w:r>
    </w:p>
    <w:p>
      <w:pPr>
        <w:adjustRightInd w:val="0"/>
        <w:snapToGrid w:val="0"/>
        <w:spacing w:line="360" w:lineRule="auto"/>
        <w:ind w:firstLine="420" w:firstLineChars="200"/>
        <w:rPr>
          <w:rFonts w:cs="宋体"/>
          <w:kern w:val="0"/>
          <w:szCs w:val="21"/>
        </w:rPr>
      </w:pPr>
      <w:r>
        <w:rPr>
          <w:rFonts w:cs="宋体"/>
          <w:kern w:val="0"/>
          <w:szCs w:val="21"/>
        </w:rPr>
        <w:t>12</w:t>
      </w:r>
      <w:r>
        <w:rPr>
          <w:rFonts w:hint="eastAsia" w:cs="宋体"/>
          <w:kern w:val="0"/>
          <w:szCs w:val="21"/>
        </w:rPr>
        <w:t>个学时共完成</w:t>
      </w:r>
      <w:r>
        <w:rPr>
          <w:rFonts w:cs="宋体"/>
          <w:kern w:val="0"/>
          <w:szCs w:val="21"/>
        </w:rPr>
        <w:t>4</w:t>
      </w:r>
      <w:r>
        <w:rPr>
          <w:rFonts w:hint="eastAsia" w:cs="宋体"/>
          <w:kern w:val="0"/>
          <w:szCs w:val="21"/>
        </w:rPr>
        <w:t>个实验，前</w:t>
      </w:r>
      <w:r>
        <w:rPr>
          <w:rFonts w:cs="宋体"/>
          <w:kern w:val="0"/>
          <w:szCs w:val="21"/>
        </w:rPr>
        <w:t>3</w:t>
      </w:r>
      <w:r>
        <w:rPr>
          <w:rFonts w:hint="eastAsia" w:cs="宋体"/>
          <w:kern w:val="0"/>
          <w:szCs w:val="21"/>
        </w:rPr>
        <w:t>个为正常课内实验，最后1个实验需要学生在课外补充一些时间来完成。至少实验前一周发布实验内容，讲解实验要求和指导，学生课外提前熟悉实验内容并进行方案设计和选型，具体系统设计开发以及验收工作在课内完成。</w:t>
      </w:r>
    </w:p>
    <w:p>
      <w:pPr>
        <w:spacing w:line="360" w:lineRule="auto"/>
        <w:ind w:firstLine="315" w:firstLineChars="150"/>
      </w:pPr>
      <w:r>
        <w:t>通过实验，要求</w:t>
      </w:r>
      <w:r>
        <w:rPr>
          <w:rFonts w:hint="eastAsia"/>
        </w:rPr>
        <w:t>了解</w:t>
      </w:r>
      <w:r>
        <w:t>虚拟仪器技术理论知识；</w:t>
      </w:r>
      <w:r>
        <w:rPr>
          <w:rFonts w:hint="eastAsia"/>
        </w:rPr>
        <w:t>理解</w:t>
      </w:r>
      <w:r>
        <w:t>软件设计过程；能解决设计过程中出现的一般问题，具有一定调试能力；能分析运行结果，并得到正确结果；记录实验过程，完成实验报告。</w:t>
      </w:r>
    </w:p>
    <w:p>
      <w:pPr>
        <w:widowControl/>
        <w:snapToGrid w:val="0"/>
        <w:spacing w:line="360" w:lineRule="auto"/>
        <w:ind w:firstLine="420" w:firstLineChars="200"/>
        <w:jc w:val="left"/>
        <w:rPr>
          <w:rFonts w:eastAsia="黑体"/>
          <w:kern w:val="0"/>
          <w:szCs w:val="21"/>
        </w:rPr>
      </w:pPr>
      <w:r>
        <w:rPr>
          <w:rFonts w:eastAsia="黑体"/>
          <w:kern w:val="0"/>
          <w:szCs w:val="21"/>
        </w:rPr>
        <w:t>实验一熟悉Labview的编程环境及基本操作实验 (2学时)</w:t>
      </w:r>
    </w:p>
    <w:p>
      <w:pPr>
        <w:widowControl/>
        <w:snapToGrid w:val="0"/>
        <w:spacing w:line="360" w:lineRule="auto"/>
        <w:ind w:firstLine="420"/>
        <w:jc w:val="left"/>
        <w:rPr>
          <w:szCs w:val="21"/>
        </w:rPr>
      </w:pPr>
      <w:r>
        <w:rPr>
          <w:kern w:val="0"/>
          <w:szCs w:val="21"/>
        </w:rPr>
        <w:t>内容：实验要求学生</w:t>
      </w:r>
      <w:r>
        <w:rPr>
          <w:szCs w:val="21"/>
        </w:rPr>
        <w:t>熟悉LabVIEW的编程环境，创建一个VI程序模拟温度测量，可用摄氏也可用华氏显示温度，检测温度是否超出范围，当温度超出上限时，前面板上的LED将点亮。</w:t>
      </w:r>
    </w:p>
    <w:p>
      <w:pPr>
        <w:widowControl/>
        <w:snapToGrid w:val="0"/>
        <w:spacing w:line="360" w:lineRule="auto"/>
        <w:jc w:val="left"/>
        <w:rPr>
          <w:kern w:val="0"/>
          <w:szCs w:val="21"/>
        </w:rPr>
      </w:pPr>
      <w:r>
        <w:rPr>
          <w:kern w:val="0"/>
          <w:szCs w:val="21"/>
        </w:rPr>
        <w:t>基本要求：</w:t>
      </w:r>
    </w:p>
    <w:p>
      <w:pPr>
        <w:widowControl/>
        <w:snapToGrid w:val="0"/>
        <w:spacing w:line="360" w:lineRule="auto"/>
        <w:ind w:left="360"/>
        <w:jc w:val="left"/>
        <w:rPr>
          <w:kern w:val="0"/>
          <w:szCs w:val="21"/>
          <w:lang w:val="zh-CN"/>
        </w:rPr>
      </w:pPr>
      <w:r>
        <w:rPr>
          <w:kern w:val="0"/>
          <w:szCs w:val="21"/>
        </w:rPr>
        <w:t>1、</w:t>
      </w:r>
      <w:r>
        <w:rPr>
          <w:kern w:val="0"/>
          <w:szCs w:val="21"/>
          <w:lang w:val="zh-CN"/>
        </w:rPr>
        <w:t>学会</w:t>
      </w:r>
      <w:r>
        <w:rPr>
          <w:kern w:val="0"/>
          <w:szCs w:val="21"/>
        </w:rPr>
        <w:t>LabVIEW的安装、启动和保存</w:t>
      </w:r>
      <w:r>
        <w:rPr>
          <w:kern w:val="0"/>
          <w:szCs w:val="21"/>
          <w:lang w:val="zh-CN"/>
        </w:rPr>
        <w:t>；</w:t>
      </w:r>
    </w:p>
    <w:p>
      <w:pPr>
        <w:widowControl/>
        <w:snapToGrid w:val="0"/>
        <w:spacing w:line="360" w:lineRule="auto"/>
        <w:ind w:left="360"/>
        <w:jc w:val="left"/>
        <w:rPr>
          <w:kern w:val="0"/>
          <w:szCs w:val="21"/>
        </w:rPr>
      </w:pPr>
      <w:r>
        <w:rPr>
          <w:kern w:val="0"/>
          <w:szCs w:val="21"/>
        </w:rPr>
        <w:t>2、熟悉软件的组成元素和基本操作；</w:t>
      </w:r>
    </w:p>
    <w:p>
      <w:pPr>
        <w:widowControl/>
        <w:snapToGrid w:val="0"/>
        <w:spacing w:line="360" w:lineRule="auto"/>
        <w:ind w:left="360"/>
        <w:jc w:val="left"/>
        <w:rPr>
          <w:kern w:val="0"/>
          <w:szCs w:val="21"/>
        </w:rPr>
      </w:pPr>
      <w:r>
        <w:rPr>
          <w:szCs w:val="21"/>
        </w:rPr>
        <w:t>3、学会使用前面板和后面板进行创建VI程序；</w:t>
      </w:r>
    </w:p>
    <w:p>
      <w:pPr>
        <w:widowControl/>
        <w:snapToGrid w:val="0"/>
        <w:spacing w:line="360" w:lineRule="auto"/>
        <w:ind w:left="360"/>
        <w:jc w:val="left"/>
        <w:rPr>
          <w:szCs w:val="21"/>
        </w:rPr>
      </w:pPr>
      <w:r>
        <w:rPr>
          <w:szCs w:val="21"/>
        </w:rPr>
        <w:t>4、熟悉工具模板，控制模板，功能模板及基本逻辑运算，比较运算的使用。</w:t>
      </w:r>
    </w:p>
    <w:p>
      <w:pPr>
        <w:widowControl/>
        <w:snapToGrid w:val="0"/>
        <w:spacing w:line="360" w:lineRule="auto"/>
        <w:ind w:left="360"/>
        <w:jc w:val="left"/>
        <w:rPr>
          <w:rFonts w:cs="宋体"/>
          <w:bCs/>
          <w:snapToGrid w:val="0"/>
          <w:kern w:val="0"/>
          <w:szCs w:val="21"/>
        </w:rPr>
      </w:pPr>
      <w:r>
        <w:rPr>
          <w:rFonts w:cs="宋体"/>
          <w:bCs/>
          <w:snapToGrid w:val="0"/>
          <w:kern w:val="0"/>
          <w:szCs w:val="21"/>
        </w:rPr>
        <w:t>本实验支撑课程目标</w:t>
      </w:r>
      <w:r>
        <w:rPr>
          <w:rFonts w:hint="eastAsia" w:cs="宋体"/>
          <w:bCs/>
          <w:snapToGrid w:val="0"/>
          <w:kern w:val="0"/>
          <w:szCs w:val="21"/>
        </w:rPr>
        <w:t>1、3。</w:t>
      </w:r>
      <w:r>
        <w:rPr>
          <w:rFonts w:cs="宋体"/>
          <w:bCs/>
          <w:snapToGrid w:val="0"/>
          <w:kern w:val="0"/>
          <w:szCs w:val="21"/>
        </w:rPr>
        <w:tab/>
      </w:r>
      <w:r>
        <w:rPr>
          <w:rFonts w:cs="宋体"/>
          <w:bCs/>
          <w:snapToGrid w:val="0"/>
          <w:kern w:val="0"/>
          <w:szCs w:val="21"/>
        </w:rPr>
        <w:tab/>
      </w:r>
      <w:r>
        <w:rPr>
          <w:rFonts w:cs="宋体"/>
          <w:bCs/>
          <w:snapToGrid w:val="0"/>
          <w:kern w:val="0"/>
          <w:szCs w:val="21"/>
        </w:rPr>
        <w:tab/>
      </w:r>
      <w:r>
        <w:rPr>
          <w:rFonts w:cs="宋体"/>
          <w:bCs/>
          <w:snapToGrid w:val="0"/>
          <w:kern w:val="0"/>
          <w:szCs w:val="21"/>
        </w:rPr>
        <w:tab/>
      </w:r>
      <w:r>
        <w:rPr>
          <w:rFonts w:cs="宋体"/>
          <w:bCs/>
          <w:snapToGrid w:val="0"/>
          <w:kern w:val="0"/>
          <w:szCs w:val="21"/>
        </w:rPr>
        <w:tab/>
      </w:r>
      <w:r>
        <w:rPr>
          <w:rFonts w:cs="宋体"/>
          <w:bCs/>
          <w:snapToGrid w:val="0"/>
          <w:kern w:val="0"/>
          <w:szCs w:val="21"/>
        </w:rPr>
        <w:tab/>
      </w:r>
      <w:r>
        <w:rPr>
          <w:rFonts w:cs="宋体"/>
          <w:bCs/>
          <w:snapToGrid w:val="0"/>
          <w:kern w:val="0"/>
          <w:szCs w:val="21"/>
        </w:rPr>
        <w:tab/>
      </w:r>
    </w:p>
    <w:p>
      <w:pPr>
        <w:widowControl/>
        <w:snapToGrid w:val="0"/>
        <w:spacing w:line="360" w:lineRule="auto"/>
        <w:ind w:firstLine="420" w:firstLineChars="200"/>
        <w:jc w:val="left"/>
        <w:rPr>
          <w:rFonts w:eastAsia="黑体"/>
          <w:kern w:val="0"/>
          <w:szCs w:val="21"/>
        </w:rPr>
      </w:pPr>
      <w:r>
        <w:rPr>
          <w:rFonts w:eastAsia="黑体"/>
          <w:kern w:val="0"/>
          <w:szCs w:val="21"/>
        </w:rPr>
        <w:t>实验二实时数据采集与显示实验（2学时）</w:t>
      </w:r>
    </w:p>
    <w:p>
      <w:pPr>
        <w:widowControl/>
        <w:snapToGrid w:val="0"/>
        <w:spacing w:line="360" w:lineRule="auto"/>
        <w:ind w:firstLine="420"/>
        <w:jc w:val="left"/>
        <w:rPr>
          <w:kern w:val="0"/>
          <w:szCs w:val="21"/>
        </w:rPr>
      </w:pPr>
      <w:r>
        <w:rPr>
          <w:kern w:val="0"/>
          <w:szCs w:val="21"/>
        </w:rPr>
        <w:t>内容：利用实验一创建的VI程序，在数据采集过程中，实时地显示数据。当采集过程结束后，在图表上画出数据波形，并算出最大值、最小值和平均值。</w:t>
      </w:r>
    </w:p>
    <w:p>
      <w:pPr>
        <w:widowControl/>
        <w:snapToGrid w:val="0"/>
        <w:spacing w:line="360" w:lineRule="auto"/>
        <w:ind w:firstLine="420"/>
        <w:jc w:val="left"/>
        <w:rPr>
          <w:kern w:val="0"/>
          <w:szCs w:val="21"/>
        </w:rPr>
      </w:pPr>
      <w:r>
        <w:rPr>
          <w:kern w:val="0"/>
          <w:szCs w:val="21"/>
        </w:rPr>
        <w:t>基本要求：</w:t>
      </w:r>
    </w:p>
    <w:p>
      <w:pPr>
        <w:widowControl/>
        <w:snapToGrid w:val="0"/>
        <w:spacing w:line="360" w:lineRule="auto"/>
        <w:ind w:left="1005" w:hanging="645"/>
        <w:jc w:val="left"/>
        <w:rPr>
          <w:kern w:val="0"/>
          <w:szCs w:val="21"/>
        </w:rPr>
      </w:pPr>
      <w:r>
        <w:rPr>
          <w:kern w:val="0"/>
          <w:szCs w:val="21"/>
        </w:rPr>
        <w:t>1、</w:t>
      </w:r>
      <w:r>
        <w:rPr>
          <w:rFonts w:hint="eastAsia"/>
          <w:kern w:val="0"/>
          <w:szCs w:val="21"/>
        </w:rPr>
        <w:t>了解</w:t>
      </w:r>
      <w:r>
        <w:rPr>
          <w:kern w:val="0"/>
          <w:szCs w:val="21"/>
        </w:rPr>
        <w:t>VI创建及调用；</w:t>
      </w:r>
    </w:p>
    <w:p>
      <w:pPr>
        <w:widowControl/>
        <w:snapToGrid w:val="0"/>
        <w:spacing w:line="360" w:lineRule="auto"/>
        <w:ind w:left="1005" w:hanging="645"/>
        <w:jc w:val="left"/>
        <w:rPr>
          <w:kern w:val="0"/>
          <w:szCs w:val="21"/>
        </w:rPr>
      </w:pPr>
      <w:r>
        <w:rPr>
          <w:kern w:val="0"/>
          <w:szCs w:val="21"/>
        </w:rPr>
        <w:t>2、</w:t>
      </w:r>
      <w:r>
        <w:rPr>
          <w:rFonts w:hint="eastAsia"/>
          <w:kern w:val="0"/>
          <w:szCs w:val="21"/>
        </w:rPr>
        <w:t>能够进行</w:t>
      </w:r>
      <w:r>
        <w:rPr>
          <w:kern w:val="0"/>
          <w:szCs w:val="21"/>
        </w:rPr>
        <w:t>图表及波形显示；</w:t>
      </w:r>
    </w:p>
    <w:p>
      <w:pPr>
        <w:widowControl/>
        <w:snapToGrid w:val="0"/>
        <w:spacing w:line="360" w:lineRule="auto"/>
        <w:ind w:left="1005" w:hanging="645"/>
        <w:jc w:val="left"/>
        <w:rPr>
          <w:kern w:val="0"/>
          <w:szCs w:val="21"/>
          <w:lang w:val="zh-CN"/>
        </w:rPr>
      </w:pPr>
      <w:r>
        <w:rPr>
          <w:kern w:val="0"/>
          <w:szCs w:val="21"/>
        </w:rPr>
        <w:t>3、</w:t>
      </w:r>
      <w:r>
        <w:rPr>
          <w:rFonts w:hint="eastAsia"/>
          <w:kern w:val="0"/>
          <w:szCs w:val="21"/>
        </w:rPr>
        <w:t>能够</w:t>
      </w:r>
      <w:r>
        <w:rPr>
          <w:kern w:val="0"/>
          <w:szCs w:val="21"/>
          <w:lang w:val="zh-CN"/>
        </w:rPr>
        <w:t>使用数值运算子模板。</w:t>
      </w:r>
    </w:p>
    <w:p>
      <w:pPr>
        <w:widowControl/>
        <w:snapToGrid w:val="0"/>
        <w:spacing w:line="360" w:lineRule="auto"/>
        <w:ind w:firstLine="420" w:firstLineChars="200"/>
        <w:jc w:val="left"/>
        <w:rPr>
          <w:rFonts w:cs="宋体"/>
          <w:bCs/>
          <w:snapToGrid w:val="0"/>
          <w:kern w:val="0"/>
          <w:szCs w:val="21"/>
        </w:rPr>
      </w:pPr>
      <w:r>
        <w:rPr>
          <w:rFonts w:cs="宋体"/>
          <w:bCs/>
          <w:snapToGrid w:val="0"/>
          <w:kern w:val="0"/>
          <w:szCs w:val="21"/>
        </w:rPr>
        <w:t>本实验支撑课程目标2</w:t>
      </w:r>
      <w:r>
        <w:rPr>
          <w:rFonts w:hint="eastAsia" w:cs="宋体"/>
          <w:bCs/>
          <w:snapToGrid w:val="0"/>
          <w:kern w:val="0"/>
          <w:szCs w:val="21"/>
        </w:rPr>
        <w:t>、3。</w:t>
      </w:r>
      <w:r>
        <w:rPr>
          <w:rFonts w:cs="宋体"/>
          <w:bCs/>
          <w:snapToGrid w:val="0"/>
          <w:kern w:val="0"/>
          <w:szCs w:val="21"/>
        </w:rPr>
        <w:tab/>
      </w:r>
      <w:r>
        <w:rPr>
          <w:rFonts w:cs="宋体"/>
          <w:bCs/>
          <w:snapToGrid w:val="0"/>
          <w:kern w:val="0"/>
          <w:szCs w:val="21"/>
        </w:rPr>
        <w:tab/>
      </w:r>
      <w:r>
        <w:rPr>
          <w:rFonts w:cs="宋体"/>
          <w:bCs/>
          <w:snapToGrid w:val="0"/>
          <w:kern w:val="0"/>
          <w:szCs w:val="21"/>
        </w:rPr>
        <w:tab/>
      </w:r>
      <w:r>
        <w:rPr>
          <w:rFonts w:cs="宋体"/>
          <w:bCs/>
          <w:snapToGrid w:val="0"/>
          <w:kern w:val="0"/>
          <w:szCs w:val="21"/>
        </w:rPr>
        <w:tab/>
      </w:r>
      <w:r>
        <w:rPr>
          <w:rFonts w:cs="宋体"/>
          <w:bCs/>
          <w:snapToGrid w:val="0"/>
          <w:kern w:val="0"/>
          <w:szCs w:val="21"/>
        </w:rPr>
        <w:tab/>
      </w:r>
      <w:r>
        <w:rPr>
          <w:rFonts w:cs="宋体"/>
          <w:bCs/>
          <w:snapToGrid w:val="0"/>
          <w:kern w:val="0"/>
          <w:szCs w:val="21"/>
        </w:rPr>
        <w:tab/>
      </w:r>
      <w:r>
        <w:rPr>
          <w:rFonts w:cs="宋体"/>
          <w:bCs/>
          <w:snapToGrid w:val="0"/>
          <w:kern w:val="0"/>
          <w:szCs w:val="21"/>
        </w:rPr>
        <w:tab/>
      </w:r>
    </w:p>
    <w:p>
      <w:pPr>
        <w:spacing w:line="360" w:lineRule="auto"/>
        <w:rPr>
          <w:rFonts w:eastAsia="黑体"/>
          <w:kern w:val="0"/>
          <w:szCs w:val="21"/>
        </w:rPr>
      </w:pPr>
      <w:r>
        <w:rPr>
          <w:rFonts w:eastAsia="黑体"/>
          <w:kern w:val="0"/>
          <w:szCs w:val="21"/>
        </w:rPr>
        <w:t>实验三  虚拟示波器设计实验（4学时</w:t>
      </w:r>
      <w:r>
        <w:rPr>
          <w:rFonts w:hint="eastAsia" w:eastAsia="黑体"/>
          <w:kern w:val="0"/>
          <w:szCs w:val="21"/>
        </w:rPr>
        <w:t>，分组实验</w:t>
      </w:r>
      <w:r>
        <w:rPr>
          <w:rFonts w:eastAsia="黑体"/>
          <w:kern w:val="0"/>
          <w:szCs w:val="21"/>
        </w:rPr>
        <w:t>）</w:t>
      </w:r>
    </w:p>
    <w:p>
      <w:pPr>
        <w:widowControl/>
        <w:snapToGrid w:val="0"/>
        <w:spacing w:line="360" w:lineRule="auto"/>
        <w:ind w:firstLine="420"/>
        <w:jc w:val="left"/>
        <w:rPr>
          <w:bCs/>
        </w:rPr>
      </w:pPr>
      <w:r>
        <w:rPr>
          <w:kern w:val="0"/>
          <w:szCs w:val="21"/>
        </w:rPr>
        <w:t>内容：实验要求学生</w:t>
      </w:r>
      <w:r>
        <w:rPr>
          <w:rFonts w:hint="eastAsia"/>
          <w:kern w:val="0"/>
          <w:szCs w:val="21"/>
        </w:rPr>
        <w:t>理解</w:t>
      </w:r>
      <w:r>
        <w:t>虚拟仪器软件开发平台及设计基础的相关知识，进行虚拟示波器的设计，待设计虚拟示波器的要求如下：</w:t>
      </w:r>
    </w:p>
    <w:p>
      <w:pPr>
        <w:spacing w:line="360" w:lineRule="auto"/>
        <w:rPr>
          <w:bCs/>
        </w:rPr>
      </w:pPr>
      <w:r>
        <w:t>1、</w:t>
      </w:r>
      <w:r>
        <w:rPr>
          <w:bCs/>
        </w:rPr>
        <w:t>模拟信号生成部分，波形种类，波形参数可设置；</w:t>
      </w:r>
    </w:p>
    <w:p>
      <w:pPr>
        <w:spacing w:line="360" w:lineRule="auto"/>
        <w:rPr>
          <w:bCs/>
        </w:rPr>
      </w:pPr>
      <w:r>
        <w:rPr>
          <w:bCs/>
        </w:rPr>
        <w:t xml:space="preserve">    2、波形显示部分，要求可显示采集的信号和处理后的信号；</w:t>
      </w:r>
    </w:p>
    <w:p>
      <w:pPr>
        <w:spacing w:line="360" w:lineRule="auto"/>
        <w:rPr>
          <w:bCs/>
        </w:rPr>
      </w:pPr>
      <w:r>
        <w:rPr>
          <w:bCs/>
        </w:rPr>
        <w:t xml:space="preserve">    3、可两路显示波形，光标可调可读取任意点数据；</w:t>
      </w:r>
    </w:p>
    <w:p>
      <w:pPr>
        <w:spacing w:line="360" w:lineRule="auto"/>
        <w:rPr>
          <w:bCs/>
        </w:rPr>
      </w:pPr>
      <w:r>
        <w:rPr>
          <w:bCs/>
        </w:rPr>
        <w:t xml:space="preserve">    4、可以设置触发方式，量程可以调节；</w:t>
      </w:r>
    </w:p>
    <w:p>
      <w:pPr>
        <w:spacing w:line="360" w:lineRule="auto"/>
        <w:rPr>
          <w:bCs/>
        </w:rPr>
      </w:pPr>
      <w:r>
        <w:rPr>
          <w:bCs/>
        </w:rPr>
        <w:t xml:space="preserve">    5、模拟的信号可连续发生，可在任意时间终止显示；</w:t>
      </w:r>
    </w:p>
    <w:p>
      <w:pPr>
        <w:spacing w:line="360" w:lineRule="auto"/>
        <w:rPr>
          <w:bCs/>
        </w:rPr>
      </w:pPr>
      <w:r>
        <w:rPr>
          <w:bCs/>
        </w:rPr>
        <w:t xml:space="preserve">    6、优化仪器面板，便于操作、界面美观。</w:t>
      </w:r>
    </w:p>
    <w:p>
      <w:pPr>
        <w:spacing w:line="360" w:lineRule="auto"/>
        <w:rPr>
          <w:bCs/>
        </w:rPr>
      </w:pPr>
      <w:r>
        <w:rPr>
          <w:bCs/>
        </w:rPr>
        <w:t>基本要求：</w:t>
      </w:r>
    </w:p>
    <w:p>
      <w:pPr>
        <w:spacing w:line="360" w:lineRule="auto"/>
        <w:ind w:firstLine="420" w:firstLineChars="200"/>
        <w:rPr>
          <w:lang w:val="zh-CN"/>
        </w:rPr>
      </w:pPr>
      <w:r>
        <w:t>1、</w:t>
      </w:r>
      <w:r>
        <w:rPr>
          <w:lang w:val="zh-CN"/>
        </w:rPr>
        <w:t>进一步熟悉和</w:t>
      </w:r>
      <w:r>
        <w:rPr>
          <w:rFonts w:hint="eastAsia"/>
        </w:rPr>
        <w:t>运用</w:t>
      </w:r>
      <w:r>
        <w:rPr>
          <w:lang w:val="zh-CN"/>
        </w:rPr>
        <w:t>LabVIEW工作环境，前面板和框图窗口，LabVIEW的操作模板，虚拟仪器的创建与调试等基本操作；</w:t>
      </w:r>
    </w:p>
    <w:p>
      <w:pPr>
        <w:spacing w:line="360" w:lineRule="auto"/>
        <w:ind w:firstLine="420" w:firstLineChars="200"/>
        <w:rPr>
          <w:lang w:val="zh-CN"/>
        </w:rPr>
      </w:pPr>
      <w:r>
        <w:t>2、</w:t>
      </w:r>
      <w:r>
        <w:rPr>
          <w:lang w:val="zh-CN"/>
        </w:rPr>
        <w:t>熟悉循环结构，曲线图形、信号处理的方法</w:t>
      </w:r>
      <w:r>
        <w:rPr>
          <w:rFonts w:hint="eastAsia"/>
          <w:lang w:val="zh-CN"/>
        </w:rPr>
        <w:t>，</w:t>
      </w:r>
      <w:r>
        <w:rPr>
          <w:lang w:val="zh-CN"/>
        </w:rPr>
        <w:t>G语言实用编程技术等知识；</w:t>
      </w:r>
    </w:p>
    <w:p>
      <w:pPr>
        <w:spacing w:line="360" w:lineRule="auto"/>
        <w:ind w:firstLine="420" w:firstLineChars="200"/>
      </w:pPr>
      <w:r>
        <w:rPr>
          <w:lang w:val="zh-CN"/>
        </w:rPr>
        <w:t>3、</w:t>
      </w:r>
      <w:r>
        <w:rPr>
          <w:rFonts w:hint="eastAsia"/>
        </w:rPr>
        <w:t>学会</w:t>
      </w:r>
      <w:r>
        <w:rPr>
          <w:lang w:val="zh-CN"/>
        </w:rPr>
        <w:t>虚拟仪器设计的一般步骤；</w:t>
      </w:r>
    </w:p>
    <w:p>
      <w:pPr>
        <w:spacing w:line="360" w:lineRule="auto"/>
        <w:ind w:firstLine="420" w:firstLineChars="200"/>
        <w:rPr>
          <w:lang w:val="zh-CN"/>
        </w:rPr>
      </w:pPr>
      <w:r>
        <w:t>4、</w:t>
      </w:r>
      <w:r>
        <w:rPr>
          <w:lang w:val="zh-CN"/>
        </w:rPr>
        <w:t>根据要求设计并调试程序及子程序的调用方法</w:t>
      </w:r>
      <w:r>
        <w:t>；</w:t>
      </w:r>
    </w:p>
    <w:p>
      <w:pPr>
        <w:spacing w:line="360" w:lineRule="auto"/>
        <w:ind w:firstLine="420" w:firstLineChars="200"/>
        <w:rPr>
          <w:lang w:val="zh-CN"/>
        </w:rPr>
      </w:pPr>
      <w:r>
        <w:t>5、</w:t>
      </w:r>
      <w:r>
        <w:rPr>
          <w:lang w:val="zh-CN"/>
        </w:rPr>
        <w:t>熟悉程序结构的使用方法，for循环，while循环，case结构等，并学会使用结构间的嵌套</w:t>
      </w:r>
      <w:r>
        <w:t>；</w:t>
      </w:r>
    </w:p>
    <w:p>
      <w:pPr>
        <w:spacing w:line="360" w:lineRule="auto"/>
        <w:ind w:firstLine="420" w:firstLineChars="200"/>
      </w:pPr>
      <w:r>
        <w:t>6、</w:t>
      </w:r>
      <w:r>
        <w:rPr>
          <w:rFonts w:hint="eastAsia"/>
        </w:rPr>
        <w:t>能够理解</w:t>
      </w:r>
      <w:r>
        <w:rPr>
          <w:lang w:val="zh-CN"/>
        </w:rPr>
        <w:t>对波形显示的定制方法及对仪器面板的美化</w:t>
      </w:r>
      <w:r>
        <w:t>。</w:t>
      </w:r>
    </w:p>
    <w:p>
      <w:pPr>
        <w:spacing w:line="360" w:lineRule="auto"/>
        <w:ind w:firstLine="420" w:firstLineChars="200"/>
      </w:pPr>
      <w:r>
        <w:rPr>
          <w:rFonts w:cs="宋体"/>
          <w:kern w:val="0"/>
          <w:szCs w:val="21"/>
        </w:rPr>
        <w:t>7</w:t>
      </w:r>
      <w:r>
        <w:rPr>
          <w:rFonts w:hint="eastAsia" w:cs="宋体"/>
          <w:kern w:val="0"/>
          <w:szCs w:val="21"/>
        </w:rPr>
        <w:t>、本实验为课内分组实验。两个学时用来提出实验要求并进行讲解，然后要求学生2一组，分工明确，协同完成实验的设计、仿真和验证，需要学生自己设计出验证方法。最后1个小时，教师要检查实验结果，测试其正确性，完成验收。最后每位学生独立提交规范的实验报告。</w:t>
      </w:r>
    </w:p>
    <w:p>
      <w:pPr>
        <w:spacing w:line="360" w:lineRule="auto"/>
        <w:ind w:firstLine="420" w:firstLineChars="200"/>
        <w:rPr>
          <w:rFonts w:cs="宋体"/>
          <w:bCs/>
          <w:snapToGrid w:val="0"/>
          <w:kern w:val="0"/>
          <w:szCs w:val="21"/>
        </w:rPr>
      </w:pPr>
      <w:r>
        <w:rPr>
          <w:rFonts w:cs="宋体"/>
          <w:bCs/>
          <w:snapToGrid w:val="0"/>
          <w:kern w:val="0"/>
          <w:szCs w:val="21"/>
        </w:rPr>
        <w:t>本实验支撑课程目标</w:t>
      </w:r>
      <w:r>
        <w:rPr>
          <w:rFonts w:hint="eastAsia" w:cs="宋体"/>
          <w:bCs/>
          <w:snapToGrid w:val="0"/>
          <w:kern w:val="0"/>
          <w:szCs w:val="21"/>
        </w:rPr>
        <w:t>1、</w:t>
      </w:r>
      <w:r>
        <w:rPr>
          <w:rFonts w:cs="宋体"/>
          <w:bCs/>
          <w:snapToGrid w:val="0"/>
          <w:kern w:val="0"/>
          <w:szCs w:val="21"/>
        </w:rPr>
        <w:t>3</w:t>
      </w:r>
      <w:r>
        <w:rPr>
          <w:rFonts w:hint="eastAsia" w:cs="宋体"/>
          <w:bCs/>
          <w:snapToGrid w:val="0"/>
          <w:kern w:val="0"/>
          <w:szCs w:val="21"/>
        </w:rPr>
        <w:t>。</w:t>
      </w:r>
      <w:r>
        <w:rPr>
          <w:rFonts w:cs="宋体"/>
          <w:bCs/>
          <w:snapToGrid w:val="0"/>
          <w:kern w:val="0"/>
          <w:szCs w:val="21"/>
        </w:rPr>
        <w:tab/>
      </w:r>
      <w:r>
        <w:rPr>
          <w:rFonts w:cs="宋体"/>
          <w:bCs/>
          <w:snapToGrid w:val="0"/>
          <w:kern w:val="0"/>
          <w:szCs w:val="21"/>
        </w:rPr>
        <w:tab/>
      </w:r>
      <w:r>
        <w:rPr>
          <w:rFonts w:cs="宋体"/>
          <w:bCs/>
          <w:snapToGrid w:val="0"/>
          <w:kern w:val="0"/>
          <w:szCs w:val="21"/>
        </w:rPr>
        <w:tab/>
      </w:r>
      <w:r>
        <w:rPr>
          <w:rFonts w:cs="宋体"/>
          <w:bCs/>
          <w:snapToGrid w:val="0"/>
          <w:kern w:val="0"/>
          <w:szCs w:val="21"/>
        </w:rPr>
        <w:tab/>
      </w:r>
      <w:r>
        <w:rPr>
          <w:rFonts w:cs="宋体"/>
          <w:bCs/>
          <w:snapToGrid w:val="0"/>
          <w:kern w:val="0"/>
          <w:szCs w:val="21"/>
        </w:rPr>
        <w:tab/>
      </w:r>
      <w:r>
        <w:rPr>
          <w:rFonts w:cs="宋体"/>
          <w:bCs/>
          <w:snapToGrid w:val="0"/>
          <w:kern w:val="0"/>
          <w:szCs w:val="21"/>
        </w:rPr>
        <w:tab/>
      </w:r>
      <w:r>
        <w:rPr>
          <w:rFonts w:cs="宋体"/>
          <w:bCs/>
          <w:snapToGrid w:val="0"/>
          <w:kern w:val="0"/>
          <w:szCs w:val="21"/>
        </w:rPr>
        <w:tab/>
      </w:r>
    </w:p>
    <w:p>
      <w:pPr>
        <w:spacing w:line="360" w:lineRule="auto"/>
        <w:rPr>
          <w:rFonts w:eastAsia="黑体"/>
          <w:kern w:val="0"/>
          <w:szCs w:val="21"/>
        </w:rPr>
      </w:pPr>
      <w:r>
        <w:rPr>
          <w:rFonts w:eastAsia="黑体"/>
          <w:kern w:val="0"/>
          <w:szCs w:val="21"/>
        </w:rPr>
        <w:t>实验四数据采集卡的虚拟仪器系统实验（4学时</w:t>
      </w:r>
      <w:r>
        <w:rPr>
          <w:rFonts w:hint="eastAsia" w:eastAsia="黑体"/>
          <w:kern w:val="0"/>
          <w:szCs w:val="21"/>
        </w:rPr>
        <w:t>，</w:t>
      </w:r>
      <w:r>
        <w:rPr>
          <w:rFonts w:hint="eastAsia" w:eastAsia="黑体" w:cs="宋体"/>
          <w:snapToGrid w:val="0"/>
          <w:kern w:val="0"/>
          <w:szCs w:val="21"/>
        </w:rPr>
        <w:t>分组实验</w:t>
      </w:r>
      <w:r>
        <w:rPr>
          <w:rFonts w:eastAsia="黑体"/>
          <w:kern w:val="0"/>
          <w:szCs w:val="21"/>
        </w:rPr>
        <w:t>）</w:t>
      </w:r>
    </w:p>
    <w:p>
      <w:pPr>
        <w:spacing w:line="360" w:lineRule="auto"/>
      </w:pPr>
      <w:r>
        <w:rPr>
          <w:kern w:val="0"/>
          <w:szCs w:val="21"/>
        </w:rPr>
        <w:t>内容：实验要求</w:t>
      </w:r>
      <w:r>
        <w:t>熟练</w:t>
      </w:r>
      <w:r>
        <w:rPr>
          <w:rFonts w:hint="eastAsia"/>
        </w:rPr>
        <w:t>运用</w:t>
      </w:r>
      <w:r>
        <w:t>虚拟仪器系统的设计方法，软件层次结构，数据采集卡的驱动配置等相关知识。</w:t>
      </w:r>
    </w:p>
    <w:p>
      <w:pPr>
        <w:spacing w:line="360" w:lineRule="auto"/>
        <w:ind w:firstLine="420" w:firstLineChars="200"/>
        <w:rPr>
          <w:kern w:val="0"/>
          <w:szCs w:val="21"/>
        </w:rPr>
      </w:pPr>
      <w:r>
        <w:t>熟悉A/D，D/A，DI，DO信号的输入输出，</w:t>
      </w:r>
      <w:r>
        <w:rPr>
          <w:rFonts w:hint="eastAsia"/>
        </w:rPr>
        <w:t>理解</w:t>
      </w:r>
      <w:r>
        <w:t>数据采集、</w:t>
      </w:r>
      <w:r>
        <w:rPr>
          <w:rFonts w:hint="eastAsia"/>
        </w:rPr>
        <w:t>信号时频分析</w:t>
      </w:r>
      <w:r>
        <w:t>等相关知识，利用相关板卡</w:t>
      </w:r>
      <w:r>
        <w:rPr>
          <w:rFonts w:hint="eastAsia"/>
        </w:rPr>
        <w:t>和上位软件</w:t>
      </w:r>
      <w:r>
        <w:t>实现信号发生、数据的采集、</w:t>
      </w:r>
      <w:r>
        <w:rPr>
          <w:rFonts w:hint="eastAsia"/>
        </w:rPr>
        <w:t>信号滤波</w:t>
      </w:r>
      <w:r>
        <w:t>等功能。</w:t>
      </w:r>
    </w:p>
    <w:p>
      <w:pPr>
        <w:widowControl/>
        <w:snapToGrid w:val="0"/>
        <w:spacing w:line="360" w:lineRule="auto"/>
        <w:ind w:firstLine="420"/>
        <w:jc w:val="left"/>
        <w:rPr>
          <w:kern w:val="0"/>
          <w:szCs w:val="21"/>
        </w:rPr>
      </w:pPr>
      <w:r>
        <w:rPr>
          <w:kern w:val="0"/>
          <w:szCs w:val="21"/>
        </w:rPr>
        <w:t>基本要求：</w:t>
      </w:r>
    </w:p>
    <w:p>
      <w:pPr>
        <w:spacing w:line="360" w:lineRule="auto"/>
      </w:pPr>
      <w:r>
        <w:t xml:space="preserve">    1、利用A/D板卡采样，显示波形及频率和幅值；</w:t>
      </w:r>
    </w:p>
    <w:p>
      <w:pPr>
        <w:spacing w:line="360" w:lineRule="auto"/>
      </w:pPr>
      <w:r>
        <w:t xml:space="preserve">    2、利用板卡的DO输</w:t>
      </w:r>
      <w:r>
        <w:rPr>
          <w:rFonts w:hint="eastAsia"/>
        </w:rPr>
        <w:t>出</w:t>
      </w:r>
      <w:r>
        <w:t>通道，将</w:t>
      </w:r>
      <w:r>
        <w:rPr>
          <w:rFonts w:hint="eastAsia"/>
        </w:rPr>
        <w:t>采样</w:t>
      </w:r>
      <w:r>
        <w:t>信号通过软件</w:t>
      </w:r>
      <w:r>
        <w:rPr>
          <w:rFonts w:hint="eastAsia"/>
        </w:rPr>
        <w:t>时频分析和滤波处理后</w:t>
      </w:r>
      <w:r>
        <w:t>输出到DO通道，在前面板显示DI、DO通道状态</w:t>
      </w:r>
      <w:r>
        <w:rPr>
          <w:rFonts w:hint="eastAsia"/>
        </w:rPr>
        <w:t>、信号时域和频域波形</w:t>
      </w:r>
      <w:r>
        <w:t>；</w:t>
      </w:r>
    </w:p>
    <w:p>
      <w:pPr>
        <w:spacing w:line="360" w:lineRule="auto"/>
        <w:ind w:firstLine="420"/>
      </w:pPr>
      <w:r>
        <w:t>3、采集触发方式任选。</w:t>
      </w:r>
    </w:p>
    <w:p>
      <w:pPr>
        <w:spacing w:line="360" w:lineRule="auto"/>
        <w:ind w:firstLine="420" w:firstLineChars="200"/>
      </w:pPr>
      <w:r>
        <w:t>4、</w:t>
      </w:r>
      <w:r>
        <w:rPr>
          <w:lang w:val="zh-CN"/>
        </w:rPr>
        <w:t>对</w:t>
      </w:r>
      <w:r>
        <w:rPr>
          <w:rFonts w:hint="eastAsia"/>
          <w:lang w:val="zh-CN"/>
        </w:rPr>
        <w:t>虚拟仪器软</w:t>
      </w:r>
      <w:r>
        <w:rPr>
          <w:lang w:val="zh-CN"/>
        </w:rPr>
        <w:t>面板</w:t>
      </w:r>
      <w:r>
        <w:rPr>
          <w:rFonts w:hint="eastAsia"/>
          <w:lang w:val="zh-CN"/>
        </w:rPr>
        <w:t>进行个性化设计</w:t>
      </w:r>
      <w:r>
        <w:t>。</w:t>
      </w:r>
    </w:p>
    <w:p>
      <w:pPr>
        <w:spacing w:line="360" w:lineRule="auto"/>
        <w:ind w:firstLine="420" w:firstLineChars="200"/>
      </w:pPr>
      <w:r>
        <w:rPr>
          <w:rFonts w:cs="宋体"/>
          <w:kern w:val="0"/>
          <w:szCs w:val="21"/>
        </w:rPr>
        <w:t>5</w:t>
      </w:r>
      <w:r>
        <w:rPr>
          <w:rFonts w:hint="eastAsia" w:cs="宋体"/>
          <w:kern w:val="0"/>
          <w:szCs w:val="21"/>
        </w:rPr>
        <w:t>、本实验为分组实验。两个学时用来提出实验要求并进行讲解，然后要求学生2或3人一组，分工明确，协同完成实验的设计、仿真和验证，需要学生自己设计出验证方法。最后两个小时，教师要检查实验结果，测试其正确性，完成验收。最后每位学生独立提交规范的实验报告。</w:t>
      </w:r>
    </w:p>
    <w:p>
      <w:pPr>
        <w:spacing w:line="360" w:lineRule="auto"/>
        <w:ind w:firstLine="420" w:firstLineChars="200"/>
        <w:rPr>
          <w:rFonts w:cs="宋体"/>
          <w:bCs/>
          <w:snapToGrid w:val="0"/>
          <w:kern w:val="0"/>
          <w:szCs w:val="21"/>
        </w:rPr>
      </w:pPr>
      <w:r>
        <w:rPr>
          <w:rFonts w:cs="宋体"/>
          <w:bCs/>
          <w:snapToGrid w:val="0"/>
          <w:kern w:val="0"/>
          <w:szCs w:val="21"/>
        </w:rPr>
        <w:t>本实验支撑课程目标</w:t>
      </w:r>
      <w:r>
        <w:rPr>
          <w:rFonts w:hint="eastAsia" w:cs="宋体"/>
          <w:bCs/>
          <w:snapToGrid w:val="0"/>
          <w:kern w:val="0"/>
          <w:szCs w:val="21"/>
        </w:rPr>
        <w:t>1、</w:t>
      </w:r>
      <w:r>
        <w:rPr>
          <w:rFonts w:cs="宋体"/>
          <w:bCs/>
          <w:snapToGrid w:val="0"/>
          <w:kern w:val="0"/>
          <w:szCs w:val="21"/>
        </w:rPr>
        <w:t>2、</w:t>
      </w:r>
      <w:r>
        <w:rPr>
          <w:rFonts w:hint="eastAsia" w:cs="宋体"/>
          <w:bCs/>
          <w:snapToGrid w:val="0"/>
          <w:kern w:val="0"/>
          <w:szCs w:val="21"/>
        </w:rPr>
        <w:t>3。</w:t>
      </w:r>
      <w:r>
        <w:rPr>
          <w:rFonts w:cs="宋体"/>
          <w:bCs/>
          <w:snapToGrid w:val="0"/>
          <w:kern w:val="0"/>
          <w:szCs w:val="21"/>
        </w:rPr>
        <w:tab/>
      </w:r>
      <w:r>
        <w:rPr>
          <w:rFonts w:cs="宋体"/>
          <w:bCs/>
          <w:snapToGrid w:val="0"/>
          <w:kern w:val="0"/>
          <w:szCs w:val="21"/>
        </w:rPr>
        <w:tab/>
      </w:r>
      <w:r>
        <w:rPr>
          <w:rFonts w:cs="宋体"/>
          <w:bCs/>
          <w:snapToGrid w:val="0"/>
          <w:kern w:val="0"/>
          <w:szCs w:val="21"/>
        </w:rPr>
        <w:tab/>
      </w:r>
      <w:r>
        <w:rPr>
          <w:rFonts w:cs="宋体"/>
          <w:bCs/>
          <w:snapToGrid w:val="0"/>
          <w:kern w:val="0"/>
          <w:szCs w:val="21"/>
        </w:rPr>
        <w:tab/>
      </w:r>
      <w:r>
        <w:rPr>
          <w:rFonts w:cs="宋体"/>
          <w:bCs/>
          <w:snapToGrid w:val="0"/>
          <w:kern w:val="0"/>
          <w:szCs w:val="21"/>
        </w:rPr>
        <w:tab/>
      </w:r>
      <w:r>
        <w:rPr>
          <w:rFonts w:cs="宋体"/>
          <w:bCs/>
          <w:snapToGrid w:val="0"/>
          <w:kern w:val="0"/>
          <w:szCs w:val="21"/>
        </w:rPr>
        <w:tab/>
      </w:r>
      <w:r>
        <w:rPr>
          <w:rFonts w:cs="宋体"/>
          <w:bCs/>
          <w:snapToGrid w:val="0"/>
          <w:kern w:val="0"/>
          <w:szCs w:val="21"/>
        </w:rPr>
        <w:tab/>
      </w:r>
    </w:p>
    <w:p>
      <w:pPr>
        <w:spacing w:line="360" w:lineRule="auto"/>
        <w:ind w:left="422" w:leftChars="201" w:firstLine="420" w:firstLineChars="200"/>
        <w:rPr>
          <w:szCs w:val="21"/>
        </w:rPr>
      </w:pPr>
    </w:p>
    <w:p>
      <w:pPr>
        <w:widowControl/>
        <w:spacing w:line="360" w:lineRule="auto"/>
        <w:jc w:val="left"/>
        <w:rPr>
          <w:rFonts w:ascii="黑体" w:hAnsi="宋体" w:eastAsia="黑体" w:cs="宋体"/>
          <w:kern w:val="0"/>
          <w:szCs w:val="21"/>
        </w:rPr>
      </w:pPr>
      <w:r>
        <w:rPr>
          <w:rFonts w:hint="eastAsia" w:ascii="黑体" w:hAnsi="宋体" w:eastAsia="黑体" w:cs="宋体"/>
          <w:kern w:val="0"/>
          <w:szCs w:val="21"/>
        </w:rPr>
        <w:t>六、学时分配</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24"/>
        <w:gridCol w:w="1549"/>
        <w:gridCol w:w="1547"/>
        <w:gridCol w:w="120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477" w:type="pct"/>
            <w:vAlign w:val="center"/>
          </w:tcPr>
          <w:p>
            <w:pPr>
              <w:adjustRightInd w:val="0"/>
              <w:snapToGrid w:val="0"/>
              <w:jc w:val="center"/>
              <w:rPr>
                <w:sz w:val="18"/>
                <w:szCs w:val="18"/>
              </w:rPr>
            </w:pPr>
            <w:r>
              <w:rPr>
                <w:rFonts w:hint="eastAsia"/>
                <w:sz w:val="18"/>
                <w:szCs w:val="18"/>
              </w:rPr>
              <w:t>知识点及内容</w:t>
            </w:r>
          </w:p>
        </w:tc>
        <w:tc>
          <w:tcPr>
            <w:tcW w:w="908" w:type="pct"/>
            <w:vAlign w:val="center"/>
          </w:tcPr>
          <w:p>
            <w:pPr>
              <w:adjustRightInd w:val="0"/>
              <w:snapToGrid w:val="0"/>
              <w:jc w:val="center"/>
              <w:rPr>
                <w:sz w:val="18"/>
                <w:szCs w:val="18"/>
              </w:rPr>
            </w:pPr>
            <w:r>
              <w:rPr>
                <w:rFonts w:hint="eastAsia"/>
                <w:sz w:val="18"/>
                <w:szCs w:val="18"/>
              </w:rPr>
              <w:t>讲授（学时）</w:t>
            </w:r>
          </w:p>
        </w:tc>
        <w:tc>
          <w:tcPr>
            <w:tcW w:w="907" w:type="pct"/>
            <w:vAlign w:val="center"/>
          </w:tcPr>
          <w:p>
            <w:pPr>
              <w:adjustRightInd w:val="0"/>
              <w:snapToGrid w:val="0"/>
              <w:jc w:val="center"/>
              <w:rPr>
                <w:sz w:val="18"/>
                <w:szCs w:val="18"/>
              </w:rPr>
            </w:pPr>
            <w:r>
              <w:rPr>
                <w:rFonts w:hint="eastAsia"/>
                <w:sz w:val="18"/>
                <w:szCs w:val="18"/>
              </w:rPr>
              <w:t>实验（学时）</w:t>
            </w:r>
          </w:p>
        </w:tc>
        <w:tc>
          <w:tcPr>
            <w:tcW w:w="708" w:type="pct"/>
            <w:vAlign w:val="center"/>
          </w:tcPr>
          <w:p>
            <w:pPr>
              <w:adjustRightInd w:val="0"/>
              <w:snapToGrid w:val="0"/>
              <w:jc w:val="center"/>
              <w:rPr>
                <w:sz w:val="18"/>
                <w:szCs w:val="18"/>
              </w:rPr>
            </w:pPr>
            <w:r>
              <w:rPr>
                <w:rFonts w:hint="eastAsia"/>
                <w:sz w:val="18"/>
                <w:szCs w:val="18"/>
              </w:rPr>
              <w:t>小计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477" w:type="pct"/>
            <w:vAlign w:val="center"/>
          </w:tcPr>
          <w:p>
            <w:pPr>
              <w:adjustRightInd w:val="0"/>
              <w:snapToGrid w:val="0"/>
              <w:jc w:val="center"/>
              <w:rPr>
                <w:kern w:val="0"/>
                <w:sz w:val="18"/>
                <w:szCs w:val="18"/>
              </w:rPr>
            </w:pPr>
            <w:r>
              <w:rPr>
                <w:kern w:val="0"/>
                <w:sz w:val="18"/>
                <w:szCs w:val="18"/>
              </w:rPr>
              <w:t>1 虚拟仪器概述</w:t>
            </w:r>
          </w:p>
        </w:tc>
        <w:tc>
          <w:tcPr>
            <w:tcW w:w="908" w:type="pct"/>
            <w:vAlign w:val="center"/>
          </w:tcPr>
          <w:p>
            <w:pPr>
              <w:widowControl/>
              <w:adjustRightInd w:val="0"/>
              <w:snapToGrid w:val="0"/>
              <w:jc w:val="center"/>
              <w:rPr>
                <w:kern w:val="0"/>
                <w:sz w:val="18"/>
                <w:szCs w:val="18"/>
              </w:rPr>
            </w:pPr>
            <w:r>
              <w:rPr>
                <w:kern w:val="0"/>
                <w:sz w:val="18"/>
                <w:szCs w:val="18"/>
              </w:rPr>
              <w:t>2</w:t>
            </w:r>
          </w:p>
        </w:tc>
        <w:tc>
          <w:tcPr>
            <w:tcW w:w="907" w:type="pct"/>
            <w:vAlign w:val="center"/>
          </w:tcPr>
          <w:p>
            <w:pPr>
              <w:widowControl/>
              <w:adjustRightInd w:val="0"/>
              <w:snapToGrid w:val="0"/>
              <w:jc w:val="center"/>
              <w:rPr>
                <w:kern w:val="0"/>
                <w:sz w:val="18"/>
                <w:szCs w:val="18"/>
              </w:rPr>
            </w:pPr>
            <w:r>
              <w:rPr>
                <w:kern w:val="0"/>
                <w:sz w:val="18"/>
                <w:szCs w:val="18"/>
              </w:rPr>
              <w:t>0</w:t>
            </w:r>
          </w:p>
        </w:tc>
        <w:tc>
          <w:tcPr>
            <w:tcW w:w="708" w:type="pct"/>
            <w:vAlign w:val="center"/>
          </w:tcPr>
          <w:p>
            <w:pPr>
              <w:widowControl/>
              <w:adjustRightInd w:val="0"/>
              <w:snapToGrid w:val="0"/>
              <w:jc w:val="center"/>
              <w:rPr>
                <w:kern w:val="0"/>
                <w:sz w:val="18"/>
                <w:szCs w:val="18"/>
              </w:rPr>
            </w:pPr>
            <w:r>
              <w:rPr>
                <w:kern w:val="0"/>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477" w:type="pct"/>
            <w:vAlign w:val="center"/>
          </w:tcPr>
          <w:p>
            <w:pPr>
              <w:adjustRightInd w:val="0"/>
              <w:snapToGrid w:val="0"/>
              <w:jc w:val="center"/>
              <w:rPr>
                <w:kern w:val="0"/>
                <w:sz w:val="18"/>
                <w:szCs w:val="18"/>
              </w:rPr>
            </w:pPr>
            <w:r>
              <w:rPr>
                <w:kern w:val="0"/>
                <w:sz w:val="18"/>
                <w:szCs w:val="18"/>
              </w:rPr>
              <w:t>2 虚拟仪器硬件架构和LabVIEW基础知识</w:t>
            </w:r>
          </w:p>
        </w:tc>
        <w:tc>
          <w:tcPr>
            <w:tcW w:w="908" w:type="pct"/>
            <w:vAlign w:val="center"/>
          </w:tcPr>
          <w:p>
            <w:pPr>
              <w:widowControl/>
              <w:adjustRightInd w:val="0"/>
              <w:snapToGrid w:val="0"/>
              <w:jc w:val="center"/>
              <w:rPr>
                <w:kern w:val="0"/>
                <w:sz w:val="18"/>
                <w:szCs w:val="18"/>
              </w:rPr>
            </w:pPr>
            <w:r>
              <w:rPr>
                <w:kern w:val="0"/>
                <w:sz w:val="18"/>
                <w:szCs w:val="18"/>
              </w:rPr>
              <w:t>2</w:t>
            </w:r>
          </w:p>
        </w:tc>
        <w:tc>
          <w:tcPr>
            <w:tcW w:w="907" w:type="pct"/>
            <w:vAlign w:val="center"/>
          </w:tcPr>
          <w:p>
            <w:pPr>
              <w:widowControl/>
              <w:adjustRightInd w:val="0"/>
              <w:snapToGrid w:val="0"/>
              <w:jc w:val="center"/>
              <w:rPr>
                <w:kern w:val="0"/>
                <w:sz w:val="18"/>
                <w:szCs w:val="18"/>
              </w:rPr>
            </w:pPr>
            <w:r>
              <w:rPr>
                <w:kern w:val="0"/>
                <w:sz w:val="18"/>
                <w:szCs w:val="18"/>
              </w:rPr>
              <w:t>0</w:t>
            </w:r>
          </w:p>
        </w:tc>
        <w:tc>
          <w:tcPr>
            <w:tcW w:w="708" w:type="pct"/>
            <w:vAlign w:val="center"/>
          </w:tcPr>
          <w:p>
            <w:pPr>
              <w:widowControl/>
              <w:adjustRightInd w:val="0"/>
              <w:snapToGrid w:val="0"/>
              <w:jc w:val="center"/>
              <w:rPr>
                <w:kern w:val="0"/>
                <w:sz w:val="18"/>
                <w:szCs w:val="18"/>
              </w:rPr>
            </w:pPr>
            <w:r>
              <w:rPr>
                <w:kern w:val="0"/>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477" w:type="pct"/>
            <w:vAlign w:val="center"/>
          </w:tcPr>
          <w:p>
            <w:pPr>
              <w:adjustRightInd w:val="0"/>
              <w:snapToGrid w:val="0"/>
              <w:jc w:val="center"/>
              <w:rPr>
                <w:kern w:val="0"/>
                <w:sz w:val="18"/>
                <w:szCs w:val="18"/>
              </w:rPr>
            </w:pPr>
            <w:r>
              <w:rPr>
                <w:kern w:val="0"/>
                <w:sz w:val="18"/>
                <w:szCs w:val="18"/>
              </w:rPr>
              <w:t>3 数据表达</w:t>
            </w:r>
          </w:p>
        </w:tc>
        <w:tc>
          <w:tcPr>
            <w:tcW w:w="908" w:type="pct"/>
            <w:vAlign w:val="center"/>
          </w:tcPr>
          <w:p>
            <w:pPr>
              <w:widowControl/>
              <w:adjustRightInd w:val="0"/>
              <w:snapToGrid w:val="0"/>
              <w:jc w:val="center"/>
              <w:rPr>
                <w:kern w:val="0"/>
                <w:sz w:val="18"/>
                <w:szCs w:val="18"/>
              </w:rPr>
            </w:pPr>
            <w:r>
              <w:rPr>
                <w:kern w:val="0"/>
                <w:sz w:val="18"/>
                <w:szCs w:val="18"/>
              </w:rPr>
              <w:t>2</w:t>
            </w:r>
          </w:p>
        </w:tc>
        <w:tc>
          <w:tcPr>
            <w:tcW w:w="907" w:type="pct"/>
            <w:vAlign w:val="center"/>
          </w:tcPr>
          <w:p>
            <w:pPr>
              <w:widowControl/>
              <w:adjustRightInd w:val="0"/>
              <w:snapToGrid w:val="0"/>
              <w:jc w:val="center"/>
              <w:rPr>
                <w:kern w:val="0"/>
                <w:sz w:val="18"/>
                <w:szCs w:val="18"/>
              </w:rPr>
            </w:pPr>
            <w:r>
              <w:rPr>
                <w:kern w:val="0"/>
                <w:sz w:val="18"/>
                <w:szCs w:val="18"/>
              </w:rPr>
              <w:t>2</w:t>
            </w:r>
          </w:p>
        </w:tc>
        <w:tc>
          <w:tcPr>
            <w:tcW w:w="708" w:type="pct"/>
            <w:vAlign w:val="center"/>
          </w:tcPr>
          <w:p>
            <w:pPr>
              <w:widowControl/>
              <w:adjustRightInd w:val="0"/>
              <w:snapToGrid w:val="0"/>
              <w:jc w:val="center"/>
              <w:rPr>
                <w:kern w:val="0"/>
                <w:sz w:val="18"/>
                <w:szCs w:val="18"/>
              </w:rPr>
            </w:pPr>
            <w:r>
              <w:rPr>
                <w:kern w:val="0"/>
                <w:sz w:val="18"/>
                <w:szCs w:val="18"/>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477" w:type="pct"/>
            <w:vAlign w:val="center"/>
          </w:tcPr>
          <w:p>
            <w:pPr>
              <w:adjustRightInd w:val="0"/>
              <w:snapToGrid w:val="0"/>
              <w:jc w:val="center"/>
              <w:rPr>
                <w:kern w:val="0"/>
                <w:sz w:val="18"/>
                <w:szCs w:val="18"/>
              </w:rPr>
            </w:pPr>
            <w:r>
              <w:rPr>
                <w:kern w:val="0"/>
                <w:sz w:val="18"/>
                <w:szCs w:val="18"/>
              </w:rPr>
              <w:t>4 程序流程和结构</w:t>
            </w:r>
          </w:p>
        </w:tc>
        <w:tc>
          <w:tcPr>
            <w:tcW w:w="908" w:type="pct"/>
            <w:vAlign w:val="center"/>
          </w:tcPr>
          <w:p>
            <w:pPr>
              <w:widowControl/>
              <w:adjustRightInd w:val="0"/>
              <w:snapToGrid w:val="0"/>
              <w:jc w:val="center"/>
              <w:rPr>
                <w:kern w:val="0"/>
                <w:sz w:val="18"/>
                <w:szCs w:val="18"/>
              </w:rPr>
            </w:pPr>
            <w:r>
              <w:rPr>
                <w:kern w:val="0"/>
                <w:sz w:val="18"/>
                <w:szCs w:val="18"/>
              </w:rPr>
              <w:t>2</w:t>
            </w:r>
          </w:p>
        </w:tc>
        <w:tc>
          <w:tcPr>
            <w:tcW w:w="907" w:type="pct"/>
            <w:vAlign w:val="center"/>
          </w:tcPr>
          <w:p>
            <w:pPr>
              <w:widowControl/>
              <w:adjustRightInd w:val="0"/>
              <w:snapToGrid w:val="0"/>
              <w:jc w:val="center"/>
              <w:rPr>
                <w:kern w:val="0"/>
                <w:sz w:val="18"/>
                <w:szCs w:val="18"/>
              </w:rPr>
            </w:pPr>
            <w:r>
              <w:rPr>
                <w:kern w:val="0"/>
                <w:sz w:val="18"/>
                <w:szCs w:val="18"/>
              </w:rPr>
              <w:t>2</w:t>
            </w:r>
          </w:p>
        </w:tc>
        <w:tc>
          <w:tcPr>
            <w:tcW w:w="708" w:type="pct"/>
            <w:vAlign w:val="center"/>
          </w:tcPr>
          <w:p>
            <w:pPr>
              <w:widowControl/>
              <w:adjustRightInd w:val="0"/>
              <w:snapToGrid w:val="0"/>
              <w:jc w:val="center"/>
              <w:rPr>
                <w:kern w:val="0"/>
                <w:sz w:val="18"/>
                <w:szCs w:val="18"/>
              </w:rPr>
            </w:pPr>
            <w:r>
              <w:rPr>
                <w:kern w:val="0"/>
                <w:sz w:val="18"/>
                <w:szCs w:val="18"/>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477" w:type="pct"/>
            <w:vAlign w:val="center"/>
          </w:tcPr>
          <w:p>
            <w:pPr>
              <w:widowControl/>
              <w:adjustRightInd w:val="0"/>
              <w:snapToGrid w:val="0"/>
              <w:jc w:val="center"/>
              <w:rPr>
                <w:kern w:val="0"/>
                <w:sz w:val="18"/>
                <w:szCs w:val="18"/>
              </w:rPr>
            </w:pPr>
            <w:r>
              <w:rPr>
                <w:snapToGrid w:val="0"/>
                <w:kern w:val="0"/>
                <w:sz w:val="18"/>
                <w:szCs w:val="18"/>
              </w:rPr>
              <w:t>5 波形显示</w:t>
            </w:r>
          </w:p>
        </w:tc>
        <w:tc>
          <w:tcPr>
            <w:tcW w:w="908" w:type="pct"/>
            <w:vAlign w:val="center"/>
          </w:tcPr>
          <w:p>
            <w:pPr>
              <w:widowControl/>
              <w:adjustRightInd w:val="0"/>
              <w:snapToGrid w:val="0"/>
              <w:jc w:val="center"/>
              <w:rPr>
                <w:kern w:val="0"/>
                <w:sz w:val="18"/>
                <w:szCs w:val="18"/>
              </w:rPr>
            </w:pPr>
            <w:r>
              <w:rPr>
                <w:kern w:val="0"/>
                <w:sz w:val="18"/>
                <w:szCs w:val="18"/>
              </w:rPr>
              <w:t>2</w:t>
            </w:r>
          </w:p>
        </w:tc>
        <w:tc>
          <w:tcPr>
            <w:tcW w:w="907" w:type="pct"/>
            <w:vAlign w:val="center"/>
          </w:tcPr>
          <w:p>
            <w:pPr>
              <w:widowControl/>
              <w:adjustRightInd w:val="0"/>
              <w:snapToGrid w:val="0"/>
              <w:jc w:val="center"/>
              <w:rPr>
                <w:kern w:val="0"/>
                <w:sz w:val="18"/>
                <w:szCs w:val="18"/>
              </w:rPr>
            </w:pPr>
            <w:r>
              <w:rPr>
                <w:kern w:val="0"/>
                <w:sz w:val="18"/>
                <w:szCs w:val="18"/>
              </w:rPr>
              <w:t>2</w:t>
            </w:r>
          </w:p>
        </w:tc>
        <w:tc>
          <w:tcPr>
            <w:tcW w:w="708" w:type="pct"/>
            <w:vAlign w:val="center"/>
          </w:tcPr>
          <w:p>
            <w:pPr>
              <w:widowControl/>
              <w:adjustRightInd w:val="0"/>
              <w:snapToGrid w:val="0"/>
              <w:jc w:val="center"/>
              <w:rPr>
                <w:kern w:val="0"/>
                <w:sz w:val="18"/>
                <w:szCs w:val="18"/>
              </w:rPr>
            </w:pPr>
            <w:r>
              <w:rPr>
                <w:kern w:val="0"/>
                <w:sz w:val="18"/>
                <w:szCs w:val="18"/>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477" w:type="pct"/>
            <w:vAlign w:val="center"/>
          </w:tcPr>
          <w:p>
            <w:pPr>
              <w:widowControl/>
              <w:adjustRightInd w:val="0"/>
              <w:snapToGrid w:val="0"/>
              <w:jc w:val="center"/>
              <w:rPr>
                <w:kern w:val="0"/>
                <w:sz w:val="18"/>
                <w:szCs w:val="18"/>
              </w:rPr>
            </w:pPr>
            <w:r>
              <w:rPr>
                <w:kern w:val="0"/>
                <w:sz w:val="18"/>
                <w:szCs w:val="18"/>
              </w:rPr>
              <w:t>6 文件I/O</w:t>
            </w:r>
          </w:p>
        </w:tc>
        <w:tc>
          <w:tcPr>
            <w:tcW w:w="908" w:type="pct"/>
            <w:vAlign w:val="center"/>
          </w:tcPr>
          <w:p>
            <w:pPr>
              <w:widowControl/>
              <w:adjustRightInd w:val="0"/>
              <w:snapToGrid w:val="0"/>
              <w:jc w:val="center"/>
              <w:rPr>
                <w:kern w:val="0"/>
                <w:sz w:val="18"/>
                <w:szCs w:val="18"/>
              </w:rPr>
            </w:pPr>
            <w:r>
              <w:rPr>
                <w:kern w:val="0"/>
                <w:sz w:val="18"/>
                <w:szCs w:val="18"/>
              </w:rPr>
              <w:t>2</w:t>
            </w:r>
          </w:p>
        </w:tc>
        <w:tc>
          <w:tcPr>
            <w:tcW w:w="907" w:type="pct"/>
            <w:vAlign w:val="center"/>
          </w:tcPr>
          <w:p>
            <w:pPr>
              <w:widowControl/>
              <w:adjustRightInd w:val="0"/>
              <w:snapToGrid w:val="0"/>
              <w:jc w:val="center"/>
              <w:rPr>
                <w:kern w:val="0"/>
                <w:sz w:val="18"/>
                <w:szCs w:val="18"/>
              </w:rPr>
            </w:pPr>
            <w:r>
              <w:rPr>
                <w:kern w:val="0"/>
                <w:sz w:val="18"/>
                <w:szCs w:val="18"/>
              </w:rPr>
              <w:t>2</w:t>
            </w:r>
          </w:p>
        </w:tc>
        <w:tc>
          <w:tcPr>
            <w:tcW w:w="708" w:type="pct"/>
            <w:vAlign w:val="center"/>
          </w:tcPr>
          <w:p>
            <w:pPr>
              <w:widowControl/>
              <w:adjustRightInd w:val="0"/>
              <w:snapToGrid w:val="0"/>
              <w:jc w:val="center"/>
              <w:rPr>
                <w:kern w:val="0"/>
                <w:sz w:val="18"/>
                <w:szCs w:val="18"/>
              </w:rPr>
            </w:pPr>
            <w:r>
              <w:rPr>
                <w:kern w:val="0"/>
                <w:sz w:val="18"/>
                <w:szCs w:val="18"/>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477" w:type="pct"/>
            <w:vAlign w:val="center"/>
          </w:tcPr>
          <w:p>
            <w:pPr>
              <w:widowControl/>
              <w:adjustRightInd w:val="0"/>
              <w:snapToGrid w:val="0"/>
              <w:jc w:val="center"/>
              <w:rPr>
                <w:kern w:val="0"/>
                <w:sz w:val="18"/>
                <w:szCs w:val="18"/>
              </w:rPr>
            </w:pPr>
            <w:r>
              <w:rPr>
                <w:kern w:val="0"/>
                <w:sz w:val="18"/>
                <w:szCs w:val="18"/>
              </w:rPr>
              <w:t>7 虚拟仪器系统设计--LabVIEW数据采集</w:t>
            </w:r>
          </w:p>
        </w:tc>
        <w:tc>
          <w:tcPr>
            <w:tcW w:w="908" w:type="pct"/>
            <w:vAlign w:val="center"/>
          </w:tcPr>
          <w:p>
            <w:pPr>
              <w:widowControl/>
              <w:adjustRightInd w:val="0"/>
              <w:snapToGrid w:val="0"/>
              <w:jc w:val="center"/>
              <w:rPr>
                <w:kern w:val="0"/>
                <w:sz w:val="18"/>
                <w:szCs w:val="18"/>
              </w:rPr>
            </w:pPr>
            <w:r>
              <w:rPr>
                <w:kern w:val="0"/>
                <w:sz w:val="18"/>
                <w:szCs w:val="18"/>
              </w:rPr>
              <w:t>2</w:t>
            </w:r>
          </w:p>
        </w:tc>
        <w:tc>
          <w:tcPr>
            <w:tcW w:w="907" w:type="pct"/>
            <w:vAlign w:val="center"/>
          </w:tcPr>
          <w:p>
            <w:pPr>
              <w:widowControl/>
              <w:adjustRightInd w:val="0"/>
              <w:snapToGrid w:val="0"/>
              <w:jc w:val="center"/>
              <w:rPr>
                <w:kern w:val="0"/>
                <w:sz w:val="18"/>
                <w:szCs w:val="18"/>
              </w:rPr>
            </w:pPr>
            <w:r>
              <w:rPr>
                <w:kern w:val="0"/>
                <w:sz w:val="18"/>
                <w:szCs w:val="18"/>
              </w:rPr>
              <w:t>1</w:t>
            </w:r>
          </w:p>
        </w:tc>
        <w:tc>
          <w:tcPr>
            <w:tcW w:w="708" w:type="pct"/>
            <w:vAlign w:val="center"/>
          </w:tcPr>
          <w:p>
            <w:pPr>
              <w:widowControl/>
              <w:adjustRightInd w:val="0"/>
              <w:snapToGrid w:val="0"/>
              <w:jc w:val="center"/>
              <w:rPr>
                <w:kern w:val="0"/>
                <w:sz w:val="18"/>
                <w:szCs w:val="18"/>
              </w:rPr>
            </w:pPr>
            <w:r>
              <w:rPr>
                <w:kern w:val="0"/>
                <w:sz w:val="18"/>
                <w:szCs w:val="18"/>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477" w:type="pct"/>
            <w:vAlign w:val="center"/>
          </w:tcPr>
          <w:p>
            <w:pPr>
              <w:widowControl/>
              <w:adjustRightInd w:val="0"/>
              <w:snapToGrid w:val="0"/>
              <w:jc w:val="center"/>
              <w:rPr>
                <w:kern w:val="0"/>
                <w:sz w:val="18"/>
                <w:szCs w:val="18"/>
              </w:rPr>
            </w:pPr>
            <w:r>
              <w:rPr>
                <w:kern w:val="0"/>
                <w:sz w:val="18"/>
                <w:szCs w:val="18"/>
              </w:rPr>
              <w:t>8 虚拟仪器系统设计--LabVIEW 数据产生和分析</w:t>
            </w:r>
          </w:p>
        </w:tc>
        <w:tc>
          <w:tcPr>
            <w:tcW w:w="908" w:type="pct"/>
            <w:vAlign w:val="center"/>
          </w:tcPr>
          <w:p>
            <w:pPr>
              <w:widowControl/>
              <w:adjustRightInd w:val="0"/>
              <w:snapToGrid w:val="0"/>
              <w:jc w:val="center"/>
              <w:rPr>
                <w:kern w:val="0"/>
                <w:sz w:val="18"/>
                <w:szCs w:val="18"/>
              </w:rPr>
            </w:pPr>
            <w:r>
              <w:rPr>
                <w:kern w:val="0"/>
                <w:sz w:val="18"/>
                <w:szCs w:val="18"/>
              </w:rPr>
              <w:t>2</w:t>
            </w:r>
          </w:p>
        </w:tc>
        <w:tc>
          <w:tcPr>
            <w:tcW w:w="907" w:type="pct"/>
            <w:vAlign w:val="center"/>
          </w:tcPr>
          <w:p>
            <w:pPr>
              <w:widowControl/>
              <w:adjustRightInd w:val="0"/>
              <w:snapToGrid w:val="0"/>
              <w:jc w:val="center"/>
              <w:rPr>
                <w:kern w:val="0"/>
                <w:sz w:val="18"/>
                <w:szCs w:val="18"/>
              </w:rPr>
            </w:pPr>
            <w:r>
              <w:rPr>
                <w:kern w:val="0"/>
                <w:sz w:val="18"/>
                <w:szCs w:val="18"/>
              </w:rPr>
              <w:t>1</w:t>
            </w:r>
          </w:p>
        </w:tc>
        <w:tc>
          <w:tcPr>
            <w:tcW w:w="708" w:type="pct"/>
            <w:vAlign w:val="center"/>
          </w:tcPr>
          <w:p>
            <w:pPr>
              <w:widowControl/>
              <w:adjustRightInd w:val="0"/>
              <w:snapToGrid w:val="0"/>
              <w:jc w:val="center"/>
              <w:rPr>
                <w:kern w:val="0"/>
                <w:sz w:val="18"/>
                <w:szCs w:val="18"/>
              </w:rPr>
            </w:pPr>
            <w:r>
              <w:rPr>
                <w:kern w:val="0"/>
                <w:sz w:val="18"/>
                <w:szCs w:val="18"/>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477" w:type="pct"/>
            <w:vAlign w:val="center"/>
          </w:tcPr>
          <w:p>
            <w:pPr>
              <w:widowControl/>
              <w:adjustRightInd w:val="0"/>
              <w:snapToGrid w:val="0"/>
              <w:jc w:val="center"/>
              <w:rPr>
                <w:kern w:val="0"/>
                <w:sz w:val="18"/>
                <w:szCs w:val="18"/>
              </w:rPr>
            </w:pPr>
            <w:r>
              <w:rPr>
                <w:kern w:val="0"/>
                <w:sz w:val="18"/>
                <w:szCs w:val="18"/>
              </w:rPr>
              <w:t>9 虚拟仪器系统设计--设计原则及步骤</w:t>
            </w:r>
          </w:p>
        </w:tc>
        <w:tc>
          <w:tcPr>
            <w:tcW w:w="908" w:type="pct"/>
            <w:vAlign w:val="center"/>
          </w:tcPr>
          <w:p>
            <w:pPr>
              <w:widowControl/>
              <w:adjustRightInd w:val="0"/>
              <w:snapToGrid w:val="0"/>
              <w:jc w:val="center"/>
              <w:rPr>
                <w:kern w:val="0"/>
                <w:sz w:val="18"/>
                <w:szCs w:val="18"/>
              </w:rPr>
            </w:pPr>
            <w:r>
              <w:rPr>
                <w:kern w:val="0"/>
                <w:sz w:val="18"/>
                <w:szCs w:val="18"/>
              </w:rPr>
              <w:t>2</w:t>
            </w:r>
          </w:p>
        </w:tc>
        <w:tc>
          <w:tcPr>
            <w:tcW w:w="907" w:type="pct"/>
            <w:vAlign w:val="center"/>
          </w:tcPr>
          <w:p>
            <w:pPr>
              <w:widowControl/>
              <w:adjustRightInd w:val="0"/>
              <w:snapToGrid w:val="0"/>
              <w:jc w:val="center"/>
              <w:rPr>
                <w:kern w:val="0"/>
                <w:sz w:val="18"/>
                <w:szCs w:val="18"/>
              </w:rPr>
            </w:pPr>
            <w:r>
              <w:rPr>
                <w:kern w:val="0"/>
                <w:sz w:val="18"/>
                <w:szCs w:val="18"/>
              </w:rPr>
              <w:t>2</w:t>
            </w:r>
          </w:p>
        </w:tc>
        <w:tc>
          <w:tcPr>
            <w:tcW w:w="708" w:type="pct"/>
            <w:vAlign w:val="center"/>
          </w:tcPr>
          <w:p>
            <w:pPr>
              <w:widowControl/>
              <w:adjustRightInd w:val="0"/>
              <w:snapToGrid w:val="0"/>
              <w:jc w:val="center"/>
              <w:rPr>
                <w:kern w:val="0"/>
                <w:sz w:val="18"/>
                <w:szCs w:val="18"/>
              </w:rPr>
            </w:pPr>
            <w:r>
              <w:rPr>
                <w:kern w:val="0"/>
                <w:sz w:val="18"/>
                <w:szCs w:val="18"/>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477" w:type="pct"/>
            <w:vAlign w:val="center"/>
          </w:tcPr>
          <w:p>
            <w:pPr>
              <w:widowControl/>
              <w:adjustRightInd w:val="0"/>
              <w:snapToGrid w:val="0"/>
              <w:jc w:val="center"/>
              <w:rPr>
                <w:kern w:val="0"/>
                <w:sz w:val="18"/>
                <w:szCs w:val="18"/>
              </w:rPr>
            </w:pPr>
            <w:r>
              <w:rPr>
                <w:kern w:val="0"/>
                <w:sz w:val="18"/>
                <w:szCs w:val="18"/>
              </w:rPr>
              <w:t>10 虚拟仪器系统设计实例</w:t>
            </w:r>
          </w:p>
        </w:tc>
        <w:tc>
          <w:tcPr>
            <w:tcW w:w="908" w:type="pct"/>
            <w:vAlign w:val="center"/>
          </w:tcPr>
          <w:p>
            <w:pPr>
              <w:widowControl/>
              <w:adjustRightInd w:val="0"/>
              <w:snapToGrid w:val="0"/>
              <w:jc w:val="center"/>
              <w:rPr>
                <w:kern w:val="0"/>
                <w:sz w:val="18"/>
                <w:szCs w:val="18"/>
              </w:rPr>
            </w:pPr>
            <w:r>
              <w:rPr>
                <w:kern w:val="0"/>
                <w:sz w:val="18"/>
                <w:szCs w:val="18"/>
              </w:rPr>
              <w:t>2</w:t>
            </w:r>
          </w:p>
        </w:tc>
        <w:tc>
          <w:tcPr>
            <w:tcW w:w="907" w:type="pct"/>
            <w:vAlign w:val="center"/>
          </w:tcPr>
          <w:p>
            <w:pPr>
              <w:widowControl/>
              <w:adjustRightInd w:val="0"/>
              <w:snapToGrid w:val="0"/>
              <w:jc w:val="center"/>
              <w:rPr>
                <w:kern w:val="0"/>
                <w:sz w:val="18"/>
                <w:szCs w:val="18"/>
              </w:rPr>
            </w:pPr>
            <w:r>
              <w:rPr>
                <w:kern w:val="0"/>
                <w:sz w:val="18"/>
                <w:szCs w:val="18"/>
              </w:rPr>
              <w:t>0</w:t>
            </w:r>
          </w:p>
        </w:tc>
        <w:tc>
          <w:tcPr>
            <w:tcW w:w="708" w:type="pct"/>
            <w:vAlign w:val="center"/>
          </w:tcPr>
          <w:p>
            <w:pPr>
              <w:widowControl/>
              <w:adjustRightInd w:val="0"/>
              <w:snapToGrid w:val="0"/>
              <w:jc w:val="center"/>
              <w:rPr>
                <w:kern w:val="0"/>
                <w:sz w:val="18"/>
                <w:szCs w:val="18"/>
              </w:rPr>
            </w:pPr>
            <w:r>
              <w:rPr>
                <w:kern w:val="0"/>
                <w:sz w:val="18"/>
                <w:szCs w:val="18"/>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477" w:type="pct"/>
            <w:vAlign w:val="center"/>
          </w:tcPr>
          <w:p>
            <w:pPr>
              <w:widowControl/>
              <w:adjustRightInd w:val="0"/>
              <w:snapToGrid w:val="0"/>
              <w:jc w:val="center"/>
              <w:rPr>
                <w:kern w:val="0"/>
                <w:sz w:val="18"/>
                <w:szCs w:val="18"/>
              </w:rPr>
            </w:pPr>
            <w:r>
              <w:rPr>
                <w:kern w:val="0"/>
                <w:sz w:val="18"/>
                <w:szCs w:val="18"/>
              </w:rPr>
              <w:t>合计</w:t>
            </w:r>
          </w:p>
        </w:tc>
        <w:tc>
          <w:tcPr>
            <w:tcW w:w="908" w:type="pct"/>
            <w:vAlign w:val="center"/>
          </w:tcPr>
          <w:p>
            <w:pPr>
              <w:widowControl/>
              <w:adjustRightInd w:val="0"/>
              <w:snapToGrid w:val="0"/>
              <w:jc w:val="center"/>
              <w:rPr>
                <w:kern w:val="0"/>
                <w:sz w:val="18"/>
                <w:szCs w:val="18"/>
              </w:rPr>
            </w:pPr>
            <w:r>
              <w:rPr>
                <w:kern w:val="0"/>
                <w:sz w:val="18"/>
                <w:szCs w:val="18"/>
              </w:rPr>
              <w:t>20</w:t>
            </w:r>
          </w:p>
        </w:tc>
        <w:tc>
          <w:tcPr>
            <w:tcW w:w="907" w:type="pct"/>
            <w:vAlign w:val="center"/>
          </w:tcPr>
          <w:p>
            <w:pPr>
              <w:widowControl/>
              <w:adjustRightInd w:val="0"/>
              <w:snapToGrid w:val="0"/>
              <w:jc w:val="center"/>
              <w:rPr>
                <w:kern w:val="0"/>
                <w:sz w:val="18"/>
                <w:szCs w:val="18"/>
              </w:rPr>
            </w:pPr>
            <w:r>
              <w:rPr>
                <w:kern w:val="0"/>
                <w:sz w:val="18"/>
                <w:szCs w:val="18"/>
              </w:rPr>
              <w:t>12</w:t>
            </w:r>
          </w:p>
        </w:tc>
        <w:tc>
          <w:tcPr>
            <w:tcW w:w="708" w:type="pct"/>
            <w:vAlign w:val="center"/>
          </w:tcPr>
          <w:p>
            <w:pPr>
              <w:widowControl/>
              <w:adjustRightInd w:val="0"/>
              <w:snapToGrid w:val="0"/>
              <w:jc w:val="center"/>
              <w:rPr>
                <w:kern w:val="0"/>
                <w:sz w:val="18"/>
                <w:szCs w:val="18"/>
              </w:rPr>
            </w:pPr>
            <w:r>
              <w:rPr>
                <w:kern w:val="0"/>
                <w:sz w:val="18"/>
                <w:szCs w:val="18"/>
              </w:rPr>
              <w:t>32</w:t>
            </w:r>
          </w:p>
        </w:tc>
      </w:tr>
    </w:tbl>
    <w:p>
      <w:pPr>
        <w:spacing w:line="360" w:lineRule="auto"/>
        <w:rPr>
          <w:b/>
          <w:sz w:val="24"/>
          <w:szCs w:val="24"/>
        </w:rPr>
      </w:pPr>
    </w:p>
    <w:p>
      <w:pPr>
        <w:tabs>
          <w:tab w:val="left" w:pos="420"/>
        </w:tabs>
        <w:spacing w:line="360" w:lineRule="auto"/>
        <w:ind w:left="420" w:hanging="420"/>
        <w:rPr>
          <w:rFonts w:eastAsia="黑体"/>
          <w:szCs w:val="24"/>
        </w:rPr>
      </w:pPr>
      <w:r>
        <w:rPr>
          <w:rFonts w:hint="eastAsia" w:eastAsia="黑体"/>
          <w:szCs w:val="24"/>
        </w:rPr>
        <w:t>七、教材、补充教材及参考资料</w:t>
      </w:r>
    </w:p>
    <w:p>
      <w:pPr>
        <w:numPr>
          <w:ilvl w:val="0"/>
          <w:numId w:val="12"/>
        </w:numPr>
        <w:spacing w:line="360" w:lineRule="exact"/>
        <w:ind w:firstLine="432"/>
        <w:rPr>
          <w:bCs/>
        </w:rPr>
      </w:pPr>
      <w:r>
        <w:rPr>
          <w:rFonts w:hint="eastAsia"/>
          <w:bCs/>
        </w:rPr>
        <w:t>胡乾苗著，</w:t>
      </w:r>
      <w:r>
        <w:rPr>
          <w:bCs/>
        </w:rPr>
        <w:t>《</w:t>
      </w:r>
      <w:r>
        <w:rPr>
          <w:rFonts w:hint="eastAsia"/>
          <w:bCs/>
        </w:rPr>
        <w:t>LABVIEW虚拟仪器设计与应用(第2版)</w:t>
      </w:r>
      <w:r>
        <w:rPr>
          <w:bCs/>
        </w:rPr>
        <w:t>》</w:t>
      </w:r>
      <w:r>
        <w:rPr>
          <w:rFonts w:hint="eastAsia"/>
          <w:bCs/>
        </w:rPr>
        <w:t>，</w:t>
      </w:r>
      <w:r>
        <w:rPr>
          <w:bCs/>
        </w:rPr>
        <w:t>ISBN 9787302524946</w:t>
      </w:r>
      <w:r>
        <w:rPr>
          <w:rFonts w:hint="eastAsia"/>
          <w:bCs/>
        </w:rPr>
        <w:t>，清华大学出版社，</w:t>
      </w:r>
      <w:r>
        <w:rPr>
          <w:bCs/>
        </w:rPr>
        <w:t>2018年6月</w:t>
      </w:r>
      <w:r>
        <w:rPr>
          <w:rFonts w:hint="eastAsia"/>
          <w:bCs/>
        </w:rPr>
        <w:t>。</w:t>
      </w:r>
    </w:p>
    <w:p>
      <w:pPr>
        <w:numPr>
          <w:ilvl w:val="0"/>
          <w:numId w:val="12"/>
        </w:numPr>
        <w:spacing w:line="360" w:lineRule="exact"/>
        <w:ind w:firstLine="432"/>
        <w:rPr>
          <w:bCs/>
        </w:rPr>
      </w:pPr>
      <w:r>
        <w:rPr>
          <w:bCs/>
        </w:rPr>
        <w:t>张重雄等著，《虚拟仪器技术分析与设计》-普通高等教育“十二五”规划教材-测控技术与仪器专业规划教材（第二版），ISBN 978712116534-4，电子工业出版社</w:t>
      </w:r>
      <w:r>
        <w:rPr>
          <w:rFonts w:hint="eastAsia"/>
          <w:bCs/>
        </w:rPr>
        <w:t>.</w:t>
      </w:r>
    </w:p>
    <w:p>
      <w:pPr>
        <w:numPr>
          <w:ilvl w:val="0"/>
          <w:numId w:val="12"/>
        </w:numPr>
        <w:spacing w:line="360" w:lineRule="exact"/>
        <w:ind w:firstLine="432"/>
        <w:rPr>
          <w:bCs/>
        </w:rPr>
      </w:pPr>
      <w:r>
        <w:rPr>
          <w:bCs/>
        </w:rPr>
        <w:t>林静等著，《LabVIEW虚拟仪器程序设计》，ISBN 978711529724-2，人民邮电出版社。</w:t>
      </w:r>
    </w:p>
    <w:p>
      <w:pPr>
        <w:numPr>
          <w:ilvl w:val="0"/>
          <w:numId w:val="12"/>
        </w:numPr>
        <w:spacing w:line="360" w:lineRule="exact"/>
        <w:ind w:firstLine="432"/>
        <w:rPr>
          <w:bCs/>
        </w:rPr>
      </w:pPr>
      <w:r>
        <w:rPr>
          <w:bCs/>
        </w:rPr>
        <w:t>Robert H.Bishop著，乔瑞萍等译，《LabVIEW 8 实用教程》，ISBN 9787121053283，电子工业出版社。</w:t>
      </w:r>
    </w:p>
    <w:p>
      <w:pPr>
        <w:numPr>
          <w:ilvl w:val="0"/>
          <w:numId w:val="12"/>
        </w:numPr>
        <w:spacing w:line="360" w:lineRule="exact"/>
        <w:ind w:firstLine="432"/>
        <w:rPr>
          <w:bCs/>
        </w:rPr>
      </w:pPr>
      <w:r>
        <w:rPr>
          <w:rFonts w:hint="eastAsia"/>
          <w:bCs/>
        </w:rPr>
        <w:t>视频资料：《清华大学精通LabVIEW虚拟仪器程序设计》，科技演讲·公开课，资料链接：</w:t>
      </w:r>
      <w:r>
        <w:fldChar w:fldCharType="begin"/>
      </w:r>
      <w:r>
        <w:instrText xml:space="preserve"> HYPERLINK "https://www.bilibili.com/video/av48765823?fromvsogou=1&amp;bsource=sogou" </w:instrText>
      </w:r>
      <w:r>
        <w:fldChar w:fldCharType="separate"/>
      </w:r>
      <w:r>
        <w:rPr>
          <w:rStyle w:val="22"/>
          <w:color w:val="auto"/>
        </w:rPr>
        <w:t>https://www.bilibili.com/video/av48765823?fromvsogou=1&amp;bsource=sogou</w:t>
      </w:r>
      <w:r>
        <w:rPr>
          <w:rStyle w:val="22"/>
          <w:color w:val="auto"/>
        </w:rPr>
        <w:fldChar w:fldCharType="end"/>
      </w:r>
      <w:r>
        <w:rPr>
          <w:rFonts w:hint="eastAsia"/>
          <w:bCs/>
        </w:rPr>
        <w:t>。</w:t>
      </w:r>
    </w:p>
    <w:p>
      <w:pPr>
        <w:numPr>
          <w:ilvl w:val="0"/>
          <w:numId w:val="12"/>
        </w:numPr>
        <w:spacing w:line="360" w:lineRule="exact"/>
        <w:ind w:firstLine="432"/>
        <w:rPr>
          <w:bCs/>
        </w:rPr>
      </w:pPr>
      <w:r>
        <w:rPr>
          <w:rFonts w:hint="eastAsia"/>
          <w:bCs/>
        </w:rPr>
        <w:t>中国大学慕课，国家精品课程《虚拟仪器应用技术》，资料链接：</w:t>
      </w:r>
      <w:r>
        <w:fldChar w:fldCharType="begin"/>
      </w:r>
      <w:r>
        <w:instrText xml:space="preserve"> HYPERLINK "https://www.icourse163.org/course/CCIT-1001755342" </w:instrText>
      </w:r>
      <w:r>
        <w:fldChar w:fldCharType="separate"/>
      </w:r>
      <w:r>
        <w:rPr>
          <w:rStyle w:val="22"/>
          <w:color w:val="auto"/>
        </w:rPr>
        <w:t>https://www.icourse163.org/course/CCIT-1001755342</w:t>
      </w:r>
      <w:r>
        <w:rPr>
          <w:rStyle w:val="22"/>
          <w:color w:val="auto"/>
        </w:rPr>
        <w:fldChar w:fldCharType="end"/>
      </w:r>
    </w:p>
    <w:p>
      <w:pPr>
        <w:numPr>
          <w:ilvl w:val="0"/>
          <w:numId w:val="12"/>
        </w:numPr>
        <w:spacing w:line="360" w:lineRule="exact"/>
        <w:ind w:firstLine="432"/>
        <w:rPr>
          <w:bCs/>
        </w:rPr>
      </w:pPr>
      <w:r>
        <w:rPr>
          <w:rFonts w:hint="eastAsia"/>
          <w:bCs/>
        </w:rPr>
        <w:t>网络资源，虚拟仪器创始公司官网，美国国家仪器（N</w:t>
      </w:r>
      <w:r>
        <w:rPr>
          <w:bCs/>
        </w:rPr>
        <w:t>I</w:t>
      </w:r>
      <w:r>
        <w:rPr>
          <w:rFonts w:hint="eastAsia"/>
          <w:bCs/>
        </w:rPr>
        <w:t>）公司，链接：</w:t>
      </w:r>
      <w:r>
        <w:fldChar w:fldCharType="begin"/>
      </w:r>
      <w:r>
        <w:instrText xml:space="preserve"> HYPERLINK "https://www.ni.com/zh-cn.html?cid=Paid_Search-a243q000004k8RfAAI-Consideration-Sogou_NI" </w:instrText>
      </w:r>
      <w:r>
        <w:fldChar w:fldCharType="separate"/>
      </w:r>
      <w:r>
        <w:rPr>
          <w:rStyle w:val="22"/>
          <w:color w:val="auto"/>
        </w:rPr>
        <w:t>https://www.ni.com/zh-cn.html?cid=Paid_Search-a243q000004k8RfAAI-Consideration-Sogou_NI</w:t>
      </w:r>
      <w:r>
        <w:rPr>
          <w:rStyle w:val="22"/>
          <w:color w:val="auto"/>
        </w:rPr>
        <w:fldChar w:fldCharType="end"/>
      </w:r>
    </w:p>
    <w:p>
      <w:pPr>
        <w:numPr>
          <w:ilvl w:val="0"/>
          <w:numId w:val="12"/>
        </w:numPr>
        <w:spacing w:line="360" w:lineRule="exact"/>
        <w:ind w:firstLine="432"/>
        <w:rPr>
          <w:bCs/>
        </w:rPr>
      </w:pPr>
      <w:r>
        <w:rPr>
          <w:rFonts w:hint="eastAsia"/>
          <w:bCs/>
        </w:rPr>
        <w:t>网络资源，国内虚拟仪器开源生态圈打造者，上海简仪科技有限公司，链接：</w:t>
      </w:r>
      <w:r>
        <w:fldChar w:fldCharType="begin"/>
      </w:r>
      <w:r>
        <w:instrText xml:space="preserve"> HYPERLINK "http://www.jytek.com/csharpplatform" </w:instrText>
      </w:r>
      <w:r>
        <w:fldChar w:fldCharType="separate"/>
      </w:r>
      <w:r>
        <w:rPr>
          <w:rStyle w:val="22"/>
          <w:color w:val="auto"/>
        </w:rPr>
        <w:t>http://www.jytek.com/csharpplatform</w:t>
      </w:r>
      <w:r>
        <w:rPr>
          <w:rStyle w:val="22"/>
          <w:color w:val="auto"/>
        </w:rPr>
        <w:fldChar w:fldCharType="end"/>
      </w:r>
    </w:p>
    <w:p>
      <w:pPr>
        <w:tabs>
          <w:tab w:val="left" w:pos="420"/>
        </w:tabs>
        <w:spacing w:line="360" w:lineRule="auto"/>
        <w:rPr>
          <w:rFonts w:eastAsia="黑体"/>
          <w:szCs w:val="24"/>
        </w:rPr>
      </w:pPr>
    </w:p>
    <w:p>
      <w:pPr>
        <w:tabs>
          <w:tab w:val="left" w:pos="420"/>
        </w:tabs>
        <w:spacing w:line="360" w:lineRule="auto"/>
        <w:ind w:left="420" w:hanging="420"/>
        <w:rPr>
          <w:rFonts w:eastAsia="黑体"/>
          <w:szCs w:val="24"/>
        </w:rPr>
      </w:pPr>
      <w:r>
        <w:rPr>
          <w:rFonts w:hint="eastAsia" w:eastAsia="黑体"/>
          <w:szCs w:val="24"/>
        </w:rPr>
        <w:t>八、课程目标达成的途径和措施</w:t>
      </w:r>
    </w:p>
    <w:p>
      <w:pPr>
        <w:spacing w:line="360" w:lineRule="auto"/>
        <w:ind w:firstLine="420" w:firstLineChars="200"/>
        <w:rPr>
          <w:szCs w:val="21"/>
        </w:rPr>
      </w:pPr>
      <w:r>
        <w:rPr>
          <w:szCs w:val="21"/>
        </w:rPr>
        <w:t>1</w:t>
      </w:r>
      <w:r>
        <w:rPr>
          <w:rFonts w:hint="eastAsia"/>
          <w:szCs w:val="21"/>
        </w:rPr>
        <w:t>、考核目标：在考核学生对可编程逻辑器件基本知识、基本原理和方法的基础上，重点考核学生的可编程器件选择能力、语言掌握程度、基础逻辑设计能力和工具使用方法的掌握程度。</w:t>
      </w:r>
    </w:p>
    <w:p>
      <w:pPr>
        <w:spacing w:line="360" w:lineRule="auto"/>
        <w:ind w:firstLine="420" w:firstLineChars="200"/>
        <w:rPr>
          <w:szCs w:val="21"/>
        </w:rPr>
      </w:pPr>
      <w:r>
        <w:rPr>
          <w:szCs w:val="21"/>
        </w:rPr>
        <w:t>2</w:t>
      </w:r>
      <w:r>
        <w:rPr>
          <w:rFonts w:hint="eastAsia"/>
          <w:szCs w:val="21"/>
        </w:rPr>
        <w:t>、考核方式：考试、课外分组综合实验、课内实验、作业及课堂提问。</w:t>
      </w:r>
    </w:p>
    <w:p>
      <w:pPr>
        <w:spacing w:line="360" w:lineRule="auto"/>
        <w:ind w:firstLine="420" w:firstLineChars="200"/>
      </w:pPr>
      <w:r>
        <w:rPr>
          <w:szCs w:val="21"/>
        </w:rPr>
        <w:t>3、</w:t>
      </w:r>
      <w:r>
        <w:rPr>
          <w:rFonts w:hint="eastAsia"/>
          <w:szCs w:val="21"/>
        </w:rPr>
        <w:t>评价环节对课程目标达成贡献率及支撑材料：</w:t>
      </w:r>
    </w:p>
    <w:tbl>
      <w:tblPr>
        <w:tblStyle w:val="19"/>
        <w:tblW w:w="5000" w:type="pct"/>
        <w:jc w:val="center"/>
        <w:tblLayout w:type="fixed"/>
        <w:tblCellMar>
          <w:top w:w="0" w:type="dxa"/>
          <w:left w:w="108" w:type="dxa"/>
          <w:bottom w:w="0" w:type="dxa"/>
          <w:right w:w="108" w:type="dxa"/>
        </w:tblCellMar>
      </w:tblPr>
      <w:tblGrid>
        <w:gridCol w:w="1706"/>
        <w:gridCol w:w="1706"/>
        <w:gridCol w:w="1705"/>
        <w:gridCol w:w="1705"/>
        <w:gridCol w:w="1705"/>
      </w:tblGrid>
      <w:tr>
        <w:tblPrEx>
          <w:tblCellMar>
            <w:top w:w="0" w:type="dxa"/>
            <w:left w:w="108" w:type="dxa"/>
            <w:bottom w:w="0" w:type="dxa"/>
            <w:right w:w="108" w:type="dxa"/>
          </w:tblCellMar>
        </w:tblPrEx>
        <w:trPr>
          <w:trHeight w:val="691" w:hRule="atLeast"/>
          <w:jc w:val="center"/>
        </w:trPr>
        <w:tc>
          <w:tcPr>
            <w:tcW w:w="1000" w:type="pct"/>
            <w:tcBorders>
              <w:top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考察环节</w:t>
            </w:r>
          </w:p>
        </w:tc>
        <w:tc>
          <w:tcPr>
            <w:tcW w:w="10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课堂情况</w:t>
            </w:r>
          </w:p>
        </w:tc>
        <w:tc>
          <w:tcPr>
            <w:tcW w:w="10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作业</w:t>
            </w:r>
          </w:p>
        </w:tc>
        <w:tc>
          <w:tcPr>
            <w:tcW w:w="10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实验</w:t>
            </w:r>
          </w:p>
        </w:tc>
        <w:tc>
          <w:tcPr>
            <w:tcW w:w="1000" w:type="pct"/>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期末考试</w:t>
            </w:r>
          </w:p>
        </w:tc>
      </w:tr>
      <w:tr>
        <w:tblPrEx>
          <w:tblCellMar>
            <w:top w:w="0" w:type="dxa"/>
            <w:left w:w="108" w:type="dxa"/>
            <w:bottom w:w="0" w:type="dxa"/>
            <w:right w:w="108" w:type="dxa"/>
          </w:tblCellMar>
        </w:tblPrEx>
        <w:trPr>
          <w:trHeight w:val="768" w:hRule="atLeast"/>
          <w:jc w:val="center"/>
        </w:trPr>
        <w:tc>
          <w:tcPr>
            <w:tcW w:w="1000" w:type="pct"/>
            <w:tcBorders>
              <w:top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课程目标达成</w:t>
            </w:r>
          </w:p>
          <w:p>
            <w:pPr>
              <w:widowControl/>
              <w:jc w:val="center"/>
              <w:rPr>
                <w:rFonts w:ascii="宋体" w:hAnsi="宋体" w:cs="宋体"/>
                <w:kern w:val="0"/>
                <w:sz w:val="18"/>
                <w:szCs w:val="18"/>
              </w:rPr>
            </w:pPr>
            <w:r>
              <w:rPr>
                <w:rFonts w:hint="eastAsia" w:ascii="宋体" w:hAnsi="宋体" w:cs="宋体"/>
                <w:kern w:val="0"/>
                <w:sz w:val="18"/>
                <w:szCs w:val="18"/>
              </w:rPr>
              <w:t>的贡献率</w:t>
            </w:r>
          </w:p>
        </w:tc>
        <w:tc>
          <w:tcPr>
            <w:tcW w:w="10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18"/>
                <w:szCs w:val="18"/>
              </w:rPr>
            </w:pPr>
            <w:r>
              <w:rPr>
                <w:sz w:val="18"/>
                <w:szCs w:val="18"/>
              </w:rPr>
              <w:t>0.10</w:t>
            </w:r>
          </w:p>
        </w:tc>
        <w:tc>
          <w:tcPr>
            <w:tcW w:w="10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18"/>
                <w:szCs w:val="18"/>
              </w:rPr>
            </w:pPr>
            <w:r>
              <w:rPr>
                <w:sz w:val="18"/>
                <w:szCs w:val="18"/>
              </w:rPr>
              <w:t>0.15</w:t>
            </w:r>
          </w:p>
        </w:tc>
        <w:tc>
          <w:tcPr>
            <w:tcW w:w="10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18"/>
                <w:szCs w:val="18"/>
              </w:rPr>
            </w:pPr>
            <w:r>
              <w:rPr>
                <w:sz w:val="18"/>
                <w:szCs w:val="18"/>
              </w:rPr>
              <w:t>0.35</w:t>
            </w:r>
          </w:p>
        </w:tc>
        <w:tc>
          <w:tcPr>
            <w:tcW w:w="1000" w:type="pct"/>
            <w:tcBorders>
              <w:top w:val="single" w:color="auto" w:sz="4" w:space="0"/>
              <w:left w:val="single" w:color="auto" w:sz="4" w:space="0"/>
              <w:bottom w:val="single" w:color="auto" w:sz="4" w:space="0"/>
            </w:tcBorders>
            <w:shd w:val="clear" w:color="auto" w:fill="auto"/>
            <w:noWrap/>
            <w:vAlign w:val="center"/>
          </w:tcPr>
          <w:p>
            <w:pPr>
              <w:jc w:val="center"/>
              <w:rPr>
                <w:sz w:val="18"/>
                <w:szCs w:val="18"/>
              </w:rPr>
            </w:pPr>
            <w:r>
              <w:rPr>
                <w:sz w:val="18"/>
                <w:szCs w:val="18"/>
              </w:rPr>
              <w:t>0.40</w:t>
            </w:r>
          </w:p>
        </w:tc>
      </w:tr>
      <w:tr>
        <w:tblPrEx>
          <w:tblCellMar>
            <w:top w:w="0" w:type="dxa"/>
            <w:left w:w="108" w:type="dxa"/>
            <w:bottom w:w="0" w:type="dxa"/>
            <w:right w:w="108" w:type="dxa"/>
          </w:tblCellMar>
        </w:tblPrEx>
        <w:trPr>
          <w:trHeight w:val="1847" w:hRule="atLeast"/>
          <w:jc w:val="center"/>
        </w:trPr>
        <w:tc>
          <w:tcPr>
            <w:tcW w:w="1000" w:type="pct"/>
            <w:tcBorders>
              <w:top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支撑材料</w:t>
            </w:r>
          </w:p>
        </w:tc>
        <w:tc>
          <w:tcPr>
            <w:tcW w:w="10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ascii="宋体" w:hAnsi="宋体" w:cs="宋体"/>
                <w:kern w:val="0"/>
                <w:sz w:val="18"/>
                <w:szCs w:val="18"/>
              </w:rPr>
              <w:t>课堂评价标准，</w:t>
            </w:r>
            <w:r>
              <w:rPr>
                <w:rFonts w:hint="eastAsia" w:ascii="宋体" w:hAnsi="宋体" w:cs="宋体"/>
                <w:kern w:val="0"/>
                <w:sz w:val="18"/>
                <w:szCs w:val="18"/>
              </w:rPr>
              <w:t>课堂提问记录</w:t>
            </w:r>
            <w:r>
              <w:rPr>
                <w:rFonts w:ascii="宋体" w:hAnsi="宋体" w:cs="宋体"/>
                <w:kern w:val="0"/>
                <w:sz w:val="18"/>
                <w:szCs w:val="18"/>
              </w:rPr>
              <w:t>或随堂考试，结合出勤率等</w:t>
            </w:r>
          </w:p>
        </w:tc>
        <w:tc>
          <w:tcPr>
            <w:tcW w:w="10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ascii="宋体" w:hAnsi="宋体" w:cs="宋体"/>
                <w:kern w:val="0"/>
                <w:sz w:val="18"/>
                <w:szCs w:val="18"/>
              </w:rPr>
              <w:t>作业评价标准，</w:t>
            </w:r>
            <w:r>
              <w:rPr>
                <w:rFonts w:hint="eastAsia" w:ascii="宋体" w:hAnsi="宋体" w:cs="宋体"/>
                <w:kern w:val="0"/>
                <w:sz w:val="18"/>
                <w:szCs w:val="18"/>
              </w:rPr>
              <w:t>典型作业</w:t>
            </w:r>
            <w:r>
              <w:rPr>
                <w:rFonts w:ascii="宋体" w:hAnsi="宋体" w:cs="宋体"/>
                <w:kern w:val="0"/>
                <w:sz w:val="18"/>
                <w:szCs w:val="18"/>
              </w:rPr>
              <w:t>拍照或电子版</w:t>
            </w:r>
            <w:r>
              <w:rPr>
                <w:rFonts w:hint="eastAsia" w:ascii="宋体" w:hAnsi="宋体" w:cs="宋体"/>
                <w:kern w:val="0"/>
                <w:sz w:val="18"/>
                <w:szCs w:val="18"/>
              </w:rPr>
              <w:t>，源程序或代码</w:t>
            </w:r>
          </w:p>
        </w:tc>
        <w:tc>
          <w:tcPr>
            <w:tcW w:w="10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ascii="宋体" w:hAnsi="宋体" w:cs="宋体"/>
                <w:kern w:val="0"/>
                <w:sz w:val="18"/>
                <w:szCs w:val="18"/>
              </w:rPr>
              <w:t>课内实验评价标准，</w:t>
            </w:r>
            <w:r>
              <w:rPr>
                <w:rFonts w:hint="eastAsia" w:ascii="宋体" w:hAnsi="宋体" w:cs="宋体"/>
                <w:kern w:val="0"/>
                <w:sz w:val="18"/>
                <w:szCs w:val="18"/>
              </w:rPr>
              <w:t>实验课堂记录记录，典型实验报告</w:t>
            </w:r>
          </w:p>
        </w:tc>
        <w:tc>
          <w:tcPr>
            <w:tcW w:w="1000" w:type="pct"/>
            <w:tcBorders>
              <w:top w:val="single" w:color="auto" w:sz="4" w:space="0"/>
              <w:left w:val="single" w:color="auto" w:sz="4" w:space="0"/>
              <w:bottom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试题评分标准，</w:t>
            </w:r>
            <w:r>
              <w:rPr>
                <w:rFonts w:ascii="宋体" w:hAnsi="宋体" w:cs="宋体"/>
                <w:kern w:val="0"/>
                <w:sz w:val="18"/>
                <w:szCs w:val="18"/>
              </w:rPr>
              <w:t>试卷，</w:t>
            </w:r>
          </w:p>
        </w:tc>
      </w:tr>
    </w:tbl>
    <w:p>
      <w:pPr>
        <w:spacing w:line="360" w:lineRule="auto"/>
      </w:pPr>
    </w:p>
    <w:p>
      <w:pPr>
        <w:widowControl/>
        <w:spacing w:line="360" w:lineRule="auto"/>
        <w:jc w:val="left"/>
        <w:rPr>
          <w:rFonts w:eastAsia="黑体"/>
          <w:szCs w:val="24"/>
        </w:rPr>
      </w:pPr>
    </w:p>
    <w:p>
      <w:pPr>
        <w:tabs>
          <w:tab w:val="left" w:pos="420"/>
        </w:tabs>
        <w:adjustRightInd w:val="0"/>
        <w:snapToGrid w:val="0"/>
        <w:spacing w:line="360" w:lineRule="auto"/>
        <w:ind w:left="420" w:hanging="420"/>
        <w:rPr>
          <w:rFonts w:asciiTheme="minorEastAsia" w:hAnsiTheme="minorEastAsia" w:eastAsiaTheme="minorEastAsia"/>
          <w:sz w:val="18"/>
          <w:szCs w:val="18"/>
        </w:rPr>
      </w:pPr>
      <w:r>
        <w:rPr>
          <w:rFonts w:eastAsia="黑体"/>
          <w:szCs w:val="24"/>
        </w:rPr>
        <w:t>九</w:t>
      </w:r>
      <w:r>
        <w:rPr>
          <w:rFonts w:hint="eastAsia" w:eastAsia="黑体"/>
          <w:szCs w:val="24"/>
        </w:rPr>
        <w:t>、覆盖课程目标达成评价的知识点及权重</w:t>
      </w:r>
    </w:p>
    <w:tbl>
      <w:tblPr>
        <w:tblStyle w:val="20"/>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562"/>
        <w:gridCol w:w="1179"/>
        <w:gridCol w:w="178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vAlign w:val="center"/>
          </w:tcPr>
          <w:p>
            <w:pPr>
              <w:jc w:val="center"/>
              <w:rPr>
                <w:sz w:val="18"/>
                <w:szCs w:val="18"/>
              </w:rPr>
            </w:pPr>
            <w:r>
              <w:rPr>
                <w:sz w:val="18"/>
                <w:szCs w:val="18"/>
              </w:rPr>
              <w:t>知识点</w:t>
            </w:r>
          </w:p>
        </w:tc>
        <w:tc>
          <w:tcPr>
            <w:tcW w:w="691" w:type="pct"/>
            <w:vAlign w:val="center"/>
          </w:tcPr>
          <w:p>
            <w:pPr>
              <w:jc w:val="center"/>
              <w:rPr>
                <w:sz w:val="18"/>
                <w:szCs w:val="18"/>
              </w:rPr>
            </w:pPr>
            <w:r>
              <w:rPr>
                <w:sz w:val="18"/>
                <w:szCs w:val="18"/>
              </w:rPr>
              <w:t>权重</w:t>
            </w:r>
          </w:p>
        </w:tc>
        <w:tc>
          <w:tcPr>
            <w:tcW w:w="1048" w:type="pct"/>
            <w:vAlign w:val="center"/>
          </w:tcPr>
          <w:p>
            <w:pPr>
              <w:jc w:val="center"/>
              <w:rPr>
                <w:sz w:val="18"/>
                <w:szCs w:val="18"/>
              </w:rPr>
            </w:pPr>
            <w:r>
              <w:rPr>
                <w:sz w:val="18"/>
                <w:szCs w:val="18"/>
              </w:rPr>
              <w:t>支撑课程目标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tcPr>
          <w:p>
            <w:pPr>
              <w:jc w:val="left"/>
              <w:rPr>
                <w:sz w:val="18"/>
                <w:szCs w:val="18"/>
              </w:rPr>
            </w:pPr>
            <w:r>
              <w:rPr>
                <w:sz w:val="18"/>
                <w:szCs w:val="18"/>
              </w:rPr>
              <w:t>1、虚拟仪器的基本概念、组成及特点；</w:t>
            </w:r>
          </w:p>
        </w:tc>
        <w:tc>
          <w:tcPr>
            <w:tcW w:w="691" w:type="pct"/>
          </w:tcPr>
          <w:p>
            <w:pPr>
              <w:jc w:val="center"/>
              <w:rPr>
                <w:sz w:val="18"/>
                <w:szCs w:val="18"/>
              </w:rPr>
            </w:pPr>
            <w:r>
              <w:rPr>
                <w:sz w:val="18"/>
                <w:szCs w:val="18"/>
              </w:rPr>
              <w:t>0.10</w:t>
            </w:r>
          </w:p>
        </w:tc>
        <w:tc>
          <w:tcPr>
            <w:tcW w:w="1048" w:type="pct"/>
          </w:tcPr>
          <w:p>
            <w:pPr>
              <w:jc w:val="center"/>
              <w:rPr>
                <w:sz w:val="18"/>
                <w:szCs w:val="18"/>
              </w:rPr>
            </w:pPr>
            <w:r>
              <w:rPr>
                <w:sz w:val="18"/>
                <w:szCs w:val="18"/>
              </w:rPr>
              <w:t>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tcPr>
          <w:p>
            <w:pPr>
              <w:jc w:val="left"/>
              <w:rPr>
                <w:sz w:val="18"/>
                <w:szCs w:val="18"/>
              </w:rPr>
            </w:pPr>
            <w:r>
              <w:rPr>
                <w:sz w:val="18"/>
                <w:szCs w:val="18"/>
              </w:rPr>
              <w:t>2、虚拟仪器软硬件架构；</w:t>
            </w:r>
          </w:p>
        </w:tc>
        <w:tc>
          <w:tcPr>
            <w:tcW w:w="691" w:type="pct"/>
          </w:tcPr>
          <w:p>
            <w:pPr>
              <w:jc w:val="center"/>
              <w:rPr>
                <w:sz w:val="18"/>
                <w:szCs w:val="18"/>
              </w:rPr>
            </w:pPr>
            <w:r>
              <w:rPr>
                <w:sz w:val="18"/>
                <w:szCs w:val="18"/>
              </w:rPr>
              <w:t>0.15</w:t>
            </w:r>
          </w:p>
        </w:tc>
        <w:tc>
          <w:tcPr>
            <w:tcW w:w="1048" w:type="pct"/>
          </w:tcPr>
          <w:p>
            <w:pPr>
              <w:jc w:val="center"/>
              <w:rPr>
                <w:sz w:val="18"/>
                <w:szCs w:val="18"/>
              </w:rPr>
            </w:pPr>
            <w:r>
              <w:rPr>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tcPr>
          <w:p>
            <w:pPr>
              <w:jc w:val="left"/>
              <w:rPr>
                <w:sz w:val="18"/>
                <w:szCs w:val="18"/>
              </w:rPr>
            </w:pPr>
            <w:r>
              <w:rPr>
                <w:sz w:val="18"/>
                <w:szCs w:val="18"/>
              </w:rPr>
              <w:t>3、LabVIEW的编程环境、使用方法；</w:t>
            </w:r>
          </w:p>
        </w:tc>
        <w:tc>
          <w:tcPr>
            <w:tcW w:w="691" w:type="pct"/>
          </w:tcPr>
          <w:p>
            <w:pPr>
              <w:jc w:val="center"/>
              <w:rPr>
                <w:sz w:val="18"/>
                <w:szCs w:val="18"/>
              </w:rPr>
            </w:pPr>
            <w:r>
              <w:rPr>
                <w:sz w:val="18"/>
                <w:szCs w:val="18"/>
              </w:rPr>
              <w:t>0.10</w:t>
            </w:r>
          </w:p>
        </w:tc>
        <w:tc>
          <w:tcPr>
            <w:tcW w:w="1048" w:type="pct"/>
          </w:tcPr>
          <w:p>
            <w:pPr>
              <w:jc w:val="center"/>
              <w:rPr>
                <w:sz w:val="18"/>
                <w:szCs w:val="18"/>
              </w:rPr>
            </w:pPr>
            <w:r>
              <w:rPr>
                <w:sz w:val="18"/>
                <w:szCs w:val="18"/>
              </w:rPr>
              <w:t>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tcPr>
          <w:p>
            <w:pPr>
              <w:jc w:val="left"/>
              <w:rPr>
                <w:sz w:val="18"/>
                <w:szCs w:val="18"/>
              </w:rPr>
            </w:pPr>
            <w:r>
              <w:rPr>
                <w:sz w:val="18"/>
                <w:szCs w:val="18"/>
              </w:rPr>
              <w:t>4、虚拟仪器创建、调试和调用方法</w:t>
            </w:r>
          </w:p>
        </w:tc>
        <w:tc>
          <w:tcPr>
            <w:tcW w:w="691" w:type="pct"/>
          </w:tcPr>
          <w:p>
            <w:pPr>
              <w:jc w:val="center"/>
              <w:rPr>
                <w:sz w:val="18"/>
                <w:szCs w:val="18"/>
              </w:rPr>
            </w:pPr>
            <w:r>
              <w:rPr>
                <w:sz w:val="18"/>
                <w:szCs w:val="18"/>
              </w:rPr>
              <w:t>0.10</w:t>
            </w:r>
          </w:p>
        </w:tc>
        <w:tc>
          <w:tcPr>
            <w:tcW w:w="1048" w:type="pct"/>
          </w:tcPr>
          <w:p>
            <w:pPr>
              <w:jc w:val="center"/>
              <w:rPr>
                <w:sz w:val="18"/>
                <w:szCs w:val="18"/>
              </w:rPr>
            </w:pPr>
            <w:r>
              <w:rPr>
                <w:sz w:val="18"/>
                <w:szCs w:val="18"/>
              </w:rPr>
              <w:t>1、3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tcPr>
          <w:p>
            <w:pPr>
              <w:jc w:val="left"/>
              <w:rPr>
                <w:sz w:val="18"/>
                <w:szCs w:val="18"/>
              </w:rPr>
            </w:pPr>
            <w:r>
              <w:rPr>
                <w:sz w:val="18"/>
                <w:szCs w:val="18"/>
              </w:rPr>
              <w:t>5、LabVIEW的基本数据类型、结构、波形显示；</w:t>
            </w:r>
          </w:p>
        </w:tc>
        <w:tc>
          <w:tcPr>
            <w:tcW w:w="691" w:type="pct"/>
          </w:tcPr>
          <w:p>
            <w:pPr>
              <w:jc w:val="center"/>
              <w:rPr>
                <w:sz w:val="18"/>
                <w:szCs w:val="18"/>
              </w:rPr>
            </w:pPr>
            <w:r>
              <w:rPr>
                <w:sz w:val="18"/>
                <w:szCs w:val="18"/>
              </w:rPr>
              <w:t>0.20</w:t>
            </w:r>
          </w:p>
        </w:tc>
        <w:tc>
          <w:tcPr>
            <w:tcW w:w="1048" w:type="pct"/>
          </w:tcPr>
          <w:p>
            <w:pPr>
              <w:jc w:val="center"/>
              <w:rPr>
                <w:sz w:val="18"/>
                <w:szCs w:val="18"/>
              </w:rPr>
            </w:pPr>
            <w:r>
              <w:rPr>
                <w:sz w:val="18"/>
                <w:szCs w:val="18"/>
              </w:rPr>
              <w:t>1、3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tcPr>
          <w:p>
            <w:pPr>
              <w:jc w:val="left"/>
              <w:rPr>
                <w:sz w:val="18"/>
                <w:szCs w:val="18"/>
              </w:rPr>
            </w:pPr>
            <w:r>
              <w:rPr>
                <w:sz w:val="18"/>
                <w:szCs w:val="18"/>
              </w:rPr>
              <w:t>6、DAQ的基本原理、选择及硬件配置；</w:t>
            </w:r>
          </w:p>
        </w:tc>
        <w:tc>
          <w:tcPr>
            <w:tcW w:w="691" w:type="pct"/>
          </w:tcPr>
          <w:p>
            <w:pPr>
              <w:jc w:val="center"/>
              <w:rPr>
                <w:sz w:val="18"/>
                <w:szCs w:val="18"/>
              </w:rPr>
            </w:pPr>
            <w:r>
              <w:rPr>
                <w:sz w:val="18"/>
                <w:szCs w:val="18"/>
              </w:rPr>
              <w:t>0.15</w:t>
            </w:r>
          </w:p>
        </w:tc>
        <w:tc>
          <w:tcPr>
            <w:tcW w:w="1048" w:type="pct"/>
          </w:tcPr>
          <w:p>
            <w:pPr>
              <w:jc w:val="center"/>
              <w:rPr>
                <w:sz w:val="18"/>
                <w:szCs w:val="18"/>
              </w:rPr>
            </w:pPr>
            <w:r>
              <w:rPr>
                <w:sz w:val="18"/>
                <w:szCs w:val="18"/>
              </w:rPr>
              <w:t>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tcPr>
          <w:p>
            <w:pPr>
              <w:jc w:val="left"/>
              <w:rPr>
                <w:sz w:val="18"/>
                <w:szCs w:val="18"/>
              </w:rPr>
            </w:pPr>
            <w:r>
              <w:rPr>
                <w:sz w:val="18"/>
                <w:szCs w:val="18"/>
              </w:rPr>
              <w:t>7、虚拟仪器系统的设计原则及步骤</w:t>
            </w:r>
          </w:p>
        </w:tc>
        <w:tc>
          <w:tcPr>
            <w:tcW w:w="691" w:type="pct"/>
          </w:tcPr>
          <w:p>
            <w:pPr>
              <w:jc w:val="center"/>
              <w:rPr>
                <w:sz w:val="18"/>
                <w:szCs w:val="18"/>
              </w:rPr>
            </w:pPr>
            <w:r>
              <w:rPr>
                <w:sz w:val="18"/>
                <w:szCs w:val="18"/>
              </w:rPr>
              <w:t>0.20</w:t>
            </w:r>
          </w:p>
        </w:tc>
        <w:tc>
          <w:tcPr>
            <w:tcW w:w="1048" w:type="pct"/>
          </w:tcPr>
          <w:p>
            <w:pPr>
              <w:jc w:val="center"/>
              <w:rPr>
                <w:sz w:val="18"/>
                <w:szCs w:val="18"/>
              </w:rPr>
            </w:pPr>
            <w:r>
              <w:rPr>
                <w:sz w:val="18"/>
                <w:szCs w:val="18"/>
              </w:rPr>
              <w:t>1、2、3</w:t>
            </w:r>
          </w:p>
        </w:tc>
      </w:tr>
    </w:tbl>
    <w:p>
      <w:pPr>
        <w:spacing w:before="120" w:beforeLines="50" w:line="360" w:lineRule="auto"/>
        <w:ind w:firstLine="420" w:firstLineChars="200"/>
        <w:rPr>
          <w:szCs w:val="21"/>
        </w:rPr>
      </w:pPr>
      <w:r>
        <w:rPr>
          <w:szCs w:val="21"/>
        </w:rPr>
        <w:t>学生可以依据仪器与电子学院相关文件，以允许的第二课堂成果折算单项成绩，与对应知识点加权累计达到75（含）以上，且对所有课程目标的支撑不能有缺项，即可申请本门课程免修。</w:t>
      </w:r>
    </w:p>
    <w:p>
      <w:pPr>
        <w:spacing w:line="360" w:lineRule="auto"/>
        <w:ind w:firstLine="420" w:firstLineChars="200"/>
        <w:rPr>
          <w:szCs w:val="21"/>
        </w:rPr>
        <w:sectPr>
          <w:headerReference r:id="rId108" w:type="first"/>
          <w:footerReference r:id="rId111" w:type="first"/>
          <w:headerReference r:id="rId106" w:type="default"/>
          <w:footerReference r:id="rId109" w:type="default"/>
          <w:headerReference r:id="rId107" w:type="even"/>
          <w:footerReference r:id="rId110" w:type="even"/>
          <w:pgSz w:w="11906" w:h="16838"/>
          <w:pgMar w:top="1440" w:right="1797" w:bottom="1440" w:left="1797" w:header="851" w:footer="992" w:gutter="0"/>
          <w:pgNumType w:fmt="decimal"/>
          <w:cols w:space="425" w:num="1"/>
          <w:docGrid w:linePitch="312" w:charSpace="0"/>
        </w:sectPr>
      </w:pPr>
    </w:p>
    <w:p>
      <w:pPr>
        <w:tabs>
          <w:tab w:val="left" w:pos="420"/>
        </w:tabs>
        <w:adjustRightInd w:val="0"/>
        <w:snapToGrid w:val="0"/>
        <w:spacing w:line="360" w:lineRule="auto"/>
        <w:ind w:left="420" w:hanging="420"/>
        <w:rPr>
          <w:rFonts w:eastAsia="黑体"/>
          <w:szCs w:val="24"/>
        </w:rPr>
      </w:pPr>
      <w:r>
        <w:rPr>
          <w:rFonts w:hint="eastAsia" w:eastAsia="黑体"/>
          <w:szCs w:val="24"/>
        </w:rPr>
        <w:t>十、课程目标达成评价</w:t>
      </w:r>
    </w:p>
    <w:p>
      <w:pPr>
        <w:spacing w:line="360" w:lineRule="auto"/>
        <w:ind w:firstLine="420" w:firstLineChars="200"/>
        <w:jc w:val="center"/>
      </w:pPr>
      <w:r>
        <w:t>各环节对课程目标达成评价所使用到的权重占比分配及考核权重分配</w:t>
      </w:r>
    </w:p>
    <w:tbl>
      <w:tblPr>
        <w:tblStyle w:val="19"/>
        <w:tblW w:w="5000" w:type="pct"/>
        <w:jc w:val="center"/>
        <w:tblLayout w:type="autofit"/>
        <w:tblCellMar>
          <w:top w:w="0" w:type="dxa"/>
          <w:left w:w="108" w:type="dxa"/>
          <w:bottom w:w="0" w:type="dxa"/>
          <w:right w:w="108" w:type="dxa"/>
        </w:tblCellMar>
      </w:tblPr>
      <w:tblGrid>
        <w:gridCol w:w="1355"/>
        <w:gridCol w:w="2333"/>
        <w:gridCol w:w="833"/>
        <w:gridCol w:w="833"/>
        <w:gridCol w:w="833"/>
        <w:gridCol w:w="839"/>
        <w:gridCol w:w="862"/>
        <w:gridCol w:w="862"/>
        <w:gridCol w:w="862"/>
        <w:gridCol w:w="862"/>
        <w:gridCol w:w="927"/>
        <w:gridCol w:w="927"/>
        <w:gridCol w:w="927"/>
        <w:gridCol w:w="919"/>
      </w:tblGrid>
      <w:tr>
        <w:tblPrEx>
          <w:tblCellMar>
            <w:top w:w="0" w:type="dxa"/>
            <w:left w:w="108" w:type="dxa"/>
            <w:bottom w:w="0" w:type="dxa"/>
            <w:right w:w="108" w:type="dxa"/>
          </w:tblCellMar>
        </w:tblPrEx>
        <w:trPr>
          <w:trHeight w:val="1015" w:hRule="atLeast"/>
          <w:jc w:val="center"/>
        </w:trPr>
        <w:tc>
          <w:tcPr>
            <w:tcW w:w="47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课程目标</w:t>
            </w:r>
          </w:p>
        </w:tc>
        <w:tc>
          <w:tcPr>
            <w:tcW w:w="82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知识面比例</w:t>
            </w:r>
          </w:p>
          <w:p>
            <w:pPr>
              <w:widowControl/>
              <w:jc w:val="center"/>
              <w:rPr>
                <w:kern w:val="0"/>
                <w:sz w:val="18"/>
                <w:szCs w:val="18"/>
              </w:rPr>
            </w:pPr>
            <w:r>
              <w:rPr>
                <w:kern w:val="0"/>
                <w:sz w:val="18"/>
                <w:szCs w:val="18"/>
              </w:rPr>
              <w:t>（本列总和为1）</w:t>
            </w:r>
          </w:p>
          <w:p>
            <w:pPr>
              <w:widowControl/>
              <w:jc w:val="center"/>
              <w:rPr>
                <w:i/>
                <w:kern w:val="0"/>
                <w:sz w:val="18"/>
                <w:szCs w:val="18"/>
              </w:rPr>
            </w:pPr>
            <w:r>
              <w:rPr>
                <w:i/>
                <w:kern w:val="0"/>
                <w:sz w:val="18"/>
                <w:szCs w:val="18"/>
              </w:rPr>
              <w:t>P</w:t>
            </w:r>
            <w:r>
              <w:rPr>
                <w:i/>
                <w:kern w:val="0"/>
                <w:sz w:val="18"/>
                <w:szCs w:val="18"/>
                <w:vertAlign w:val="subscript"/>
              </w:rPr>
              <w:t>i</w:t>
            </w:r>
          </w:p>
        </w:tc>
        <w:tc>
          <w:tcPr>
            <w:tcW w:w="1178"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sz w:val="18"/>
                <w:szCs w:val="18"/>
              </w:rPr>
              <w:t>各环节评价比例分配</w:t>
            </w:r>
            <w:r>
              <w:rPr>
                <w:sz w:val="18"/>
                <w:szCs w:val="18"/>
              </w:rPr>
              <w:br w:type="textWrapping"/>
            </w:r>
            <w:r>
              <w:rPr>
                <w:sz w:val="18"/>
                <w:szCs w:val="18"/>
              </w:rPr>
              <w:t>（每行总和为1）</w:t>
            </w:r>
            <w:r>
              <w:rPr>
                <w:sz w:val="18"/>
                <w:szCs w:val="18"/>
              </w:rPr>
              <w:br w:type="textWrapping"/>
            </w:r>
            <w:r>
              <w:rPr>
                <w:i/>
                <w:sz w:val="18"/>
                <w:szCs w:val="18"/>
              </w:rPr>
              <w:t>W</w:t>
            </w:r>
            <w:r>
              <w:rPr>
                <w:i/>
                <w:sz w:val="18"/>
                <w:szCs w:val="18"/>
                <w:vertAlign w:val="subscript"/>
              </w:rPr>
              <w:t>ik</w:t>
            </w:r>
          </w:p>
        </w:tc>
        <w:tc>
          <w:tcPr>
            <w:tcW w:w="1214" w:type="pct"/>
            <w:gridSpan w:val="4"/>
            <w:tcBorders>
              <w:top w:val="single" w:color="auto" w:sz="4" w:space="0"/>
              <w:left w:val="nil"/>
              <w:bottom w:val="single" w:color="auto" w:sz="4" w:space="0"/>
              <w:right w:val="single" w:color="auto" w:sz="4" w:space="0"/>
            </w:tcBorders>
            <w:shd w:val="clear" w:color="auto" w:fill="auto"/>
            <w:vAlign w:val="center"/>
          </w:tcPr>
          <w:p>
            <w:pPr>
              <w:jc w:val="center"/>
              <w:rPr>
                <w:sz w:val="18"/>
                <w:szCs w:val="18"/>
              </w:rPr>
            </w:pPr>
            <w:r>
              <w:rPr>
                <w:sz w:val="18"/>
                <w:szCs w:val="18"/>
              </w:rPr>
              <w:t>各环节在课程达成中的占比</w:t>
            </w:r>
            <w:r>
              <w:rPr>
                <w:sz w:val="18"/>
                <w:szCs w:val="18"/>
              </w:rPr>
              <w:br w:type="textWrapping"/>
            </w:r>
            <w:r>
              <w:rPr>
                <w:sz w:val="18"/>
                <w:szCs w:val="18"/>
              </w:rPr>
              <w:t>（所有行列总和为1）</w:t>
            </w:r>
            <w:r>
              <w:rPr>
                <w:sz w:val="18"/>
                <w:szCs w:val="18"/>
              </w:rPr>
              <w:br w:type="textWrapping"/>
            </w:r>
            <w:r>
              <w:rPr>
                <w:i/>
                <w:sz w:val="18"/>
                <w:szCs w:val="18"/>
              </w:rPr>
              <w:t>S</w:t>
            </w:r>
            <w:r>
              <w:rPr>
                <w:i/>
                <w:sz w:val="18"/>
                <w:szCs w:val="18"/>
                <w:vertAlign w:val="subscript"/>
              </w:rPr>
              <w:t>ik</w:t>
            </w:r>
            <w:r>
              <w:rPr>
                <w:i/>
                <w:sz w:val="18"/>
                <w:szCs w:val="18"/>
              </w:rPr>
              <w:t>=P</w:t>
            </w:r>
            <w:r>
              <w:rPr>
                <w:i/>
                <w:sz w:val="18"/>
                <w:szCs w:val="18"/>
                <w:vertAlign w:val="subscript"/>
              </w:rPr>
              <w:t>i</w:t>
            </w:r>
            <w:r>
              <w:rPr>
                <w:i/>
                <w:sz w:val="18"/>
                <w:szCs w:val="18"/>
              </w:rPr>
              <w:t>*W</w:t>
            </w:r>
            <w:r>
              <w:rPr>
                <w:i/>
                <w:sz w:val="18"/>
                <w:szCs w:val="18"/>
                <w:vertAlign w:val="subscript"/>
              </w:rPr>
              <w:t>ik</w:t>
            </w:r>
          </w:p>
        </w:tc>
        <w:tc>
          <w:tcPr>
            <w:tcW w:w="130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各环节课程目标考核权重分布</w:t>
            </w:r>
          </w:p>
          <w:p>
            <w:pPr>
              <w:jc w:val="center"/>
              <w:rPr>
                <w:sz w:val="18"/>
                <w:szCs w:val="18"/>
              </w:rPr>
            </w:pPr>
            <w:r>
              <w:rPr>
                <w:sz w:val="18"/>
                <w:szCs w:val="18"/>
              </w:rPr>
              <w:t>（每一列总和为1）</w:t>
            </w:r>
          </w:p>
          <w:p>
            <w:pPr>
              <w:jc w:val="center"/>
              <w:rPr>
                <w:i/>
                <w:sz w:val="18"/>
                <w:szCs w:val="18"/>
              </w:rPr>
            </w:pPr>
            <w:r>
              <w:rPr>
                <w:i/>
                <w:sz w:val="18"/>
                <w:szCs w:val="18"/>
              </w:rPr>
              <w:t>E</w:t>
            </w:r>
            <w:r>
              <w:rPr>
                <w:i/>
                <w:sz w:val="18"/>
                <w:szCs w:val="18"/>
                <w:vertAlign w:val="subscript"/>
              </w:rPr>
              <w:t>ik</w:t>
            </w:r>
            <w:r>
              <w:rPr>
                <w:i/>
                <w:sz w:val="18"/>
                <w:szCs w:val="18"/>
              </w:rPr>
              <w:t>=S</w:t>
            </w:r>
            <w:r>
              <w:rPr>
                <w:i/>
                <w:sz w:val="18"/>
                <w:szCs w:val="18"/>
                <w:vertAlign w:val="subscript"/>
              </w:rPr>
              <w:t>ik</w:t>
            </w:r>
            <w:r>
              <w:rPr>
                <w:i/>
                <w:sz w:val="18"/>
                <w:szCs w:val="18"/>
              </w:rPr>
              <w:t>/M</w:t>
            </w:r>
            <w:r>
              <w:rPr>
                <w:i/>
                <w:sz w:val="18"/>
                <w:szCs w:val="18"/>
                <w:vertAlign w:val="subscript"/>
              </w:rPr>
              <w:t>ik</w:t>
            </w:r>
          </w:p>
        </w:tc>
      </w:tr>
      <w:tr>
        <w:tblPrEx>
          <w:tblCellMar>
            <w:top w:w="0" w:type="dxa"/>
            <w:left w:w="108" w:type="dxa"/>
            <w:bottom w:w="0" w:type="dxa"/>
            <w:right w:w="108" w:type="dxa"/>
          </w:tblCellMar>
        </w:tblPrEx>
        <w:trPr>
          <w:trHeight w:val="986" w:hRule="atLeast"/>
          <w:jc w:val="center"/>
        </w:trPr>
        <w:tc>
          <w:tcPr>
            <w:tcW w:w="47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18"/>
                <w:szCs w:val="18"/>
              </w:rPr>
            </w:pPr>
          </w:p>
        </w:tc>
        <w:tc>
          <w:tcPr>
            <w:tcW w:w="82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18"/>
                <w:szCs w:val="18"/>
              </w:rPr>
            </w:pPr>
          </w:p>
        </w:tc>
        <w:tc>
          <w:tcPr>
            <w:tcW w:w="294"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课堂</w:t>
            </w:r>
          </w:p>
          <w:p>
            <w:pPr>
              <w:widowControl/>
              <w:jc w:val="center"/>
              <w:rPr>
                <w:kern w:val="0"/>
                <w:sz w:val="18"/>
                <w:szCs w:val="18"/>
              </w:rPr>
            </w:pPr>
            <w:r>
              <w:rPr>
                <w:kern w:val="0"/>
                <w:sz w:val="18"/>
                <w:szCs w:val="18"/>
              </w:rPr>
              <w:t>情况</w:t>
            </w:r>
          </w:p>
        </w:tc>
        <w:tc>
          <w:tcPr>
            <w:tcW w:w="294"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作业</w:t>
            </w:r>
          </w:p>
        </w:tc>
        <w:tc>
          <w:tcPr>
            <w:tcW w:w="294"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实验</w:t>
            </w:r>
          </w:p>
        </w:tc>
        <w:tc>
          <w:tcPr>
            <w:tcW w:w="294"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期末</w:t>
            </w:r>
          </w:p>
          <w:p>
            <w:pPr>
              <w:widowControl/>
              <w:jc w:val="center"/>
              <w:rPr>
                <w:kern w:val="0"/>
                <w:sz w:val="18"/>
                <w:szCs w:val="18"/>
              </w:rPr>
            </w:pPr>
            <w:r>
              <w:rPr>
                <w:kern w:val="0"/>
                <w:sz w:val="18"/>
                <w:szCs w:val="18"/>
              </w:rPr>
              <w:t>考试</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课堂</w:t>
            </w:r>
          </w:p>
          <w:p>
            <w:pPr>
              <w:widowControl/>
              <w:jc w:val="center"/>
              <w:rPr>
                <w:kern w:val="0"/>
                <w:sz w:val="18"/>
                <w:szCs w:val="18"/>
              </w:rPr>
            </w:pPr>
            <w:r>
              <w:rPr>
                <w:kern w:val="0"/>
                <w:sz w:val="18"/>
                <w:szCs w:val="18"/>
              </w:rPr>
              <w:t>情况</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作业</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实验</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期末</w:t>
            </w:r>
          </w:p>
          <w:p>
            <w:pPr>
              <w:widowControl/>
              <w:jc w:val="center"/>
              <w:rPr>
                <w:kern w:val="0"/>
                <w:sz w:val="18"/>
                <w:szCs w:val="18"/>
              </w:rPr>
            </w:pPr>
            <w:r>
              <w:rPr>
                <w:kern w:val="0"/>
                <w:sz w:val="18"/>
                <w:szCs w:val="18"/>
              </w:rPr>
              <w:t>考试</w:t>
            </w:r>
          </w:p>
        </w:tc>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课堂</w:t>
            </w:r>
          </w:p>
          <w:p>
            <w:pPr>
              <w:widowControl/>
              <w:jc w:val="center"/>
              <w:rPr>
                <w:kern w:val="0"/>
                <w:sz w:val="18"/>
                <w:szCs w:val="18"/>
              </w:rPr>
            </w:pPr>
            <w:r>
              <w:rPr>
                <w:kern w:val="0"/>
                <w:sz w:val="18"/>
                <w:szCs w:val="18"/>
              </w:rPr>
              <w:t>情况</w:t>
            </w:r>
          </w:p>
        </w:tc>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作业</w:t>
            </w:r>
          </w:p>
        </w:tc>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实验</w:t>
            </w:r>
          </w:p>
        </w:tc>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期末</w:t>
            </w:r>
          </w:p>
          <w:p>
            <w:pPr>
              <w:widowControl/>
              <w:jc w:val="center"/>
              <w:rPr>
                <w:kern w:val="0"/>
                <w:sz w:val="18"/>
                <w:szCs w:val="18"/>
              </w:rPr>
            </w:pPr>
            <w:r>
              <w:rPr>
                <w:kern w:val="0"/>
                <w:sz w:val="18"/>
                <w:szCs w:val="18"/>
              </w:rPr>
              <w:t>考试</w:t>
            </w:r>
          </w:p>
        </w:tc>
      </w:tr>
      <w:tr>
        <w:tblPrEx>
          <w:tblCellMar>
            <w:top w:w="0" w:type="dxa"/>
            <w:left w:w="108" w:type="dxa"/>
            <w:bottom w:w="0" w:type="dxa"/>
            <w:right w:w="108" w:type="dxa"/>
          </w:tblCellMar>
        </w:tblPrEx>
        <w:trPr>
          <w:trHeight w:val="1020" w:hRule="atLeast"/>
          <w:jc w:val="center"/>
        </w:trPr>
        <w:tc>
          <w:tcPr>
            <w:tcW w:w="478" w:type="pct"/>
            <w:tcBorders>
              <w:top w:val="nil"/>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1</w:t>
            </w:r>
          </w:p>
        </w:tc>
        <w:tc>
          <w:tcPr>
            <w:tcW w:w="82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Cs/>
                <w:sz w:val="18"/>
                <w:szCs w:val="18"/>
              </w:rPr>
            </w:pPr>
            <w:r>
              <w:rPr>
                <w:bCs/>
                <w:sz w:val="18"/>
                <w:szCs w:val="18"/>
              </w:rPr>
              <w:t>0.50</w:t>
            </w:r>
          </w:p>
        </w:tc>
        <w:tc>
          <w:tcPr>
            <w:tcW w:w="29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bCs/>
                <w:kern w:val="0"/>
                <w:sz w:val="18"/>
                <w:szCs w:val="18"/>
              </w:rPr>
            </w:pPr>
            <w:r>
              <w:rPr>
                <w:bCs/>
                <w:sz w:val="18"/>
                <w:szCs w:val="18"/>
              </w:rPr>
              <w:t xml:space="preserve">0.12 </w:t>
            </w:r>
          </w:p>
        </w:tc>
        <w:tc>
          <w:tcPr>
            <w:tcW w:w="294"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 xml:space="preserve">0.15 </w:t>
            </w:r>
          </w:p>
        </w:tc>
        <w:tc>
          <w:tcPr>
            <w:tcW w:w="294"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 xml:space="preserve">0.25 </w:t>
            </w:r>
          </w:p>
        </w:tc>
        <w:tc>
          <w:tcPr>
            <w:tcW w:w="294"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 xml:space="preserve">0.48 </w:t>
            </w:r>
          </w:p>
        </w:tc>
        <w:tc>
          <w:tcPr>
            <w:tcW w:w="304"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 xml:space="preserve">0.06 </w:t>
            </w:r>
          </w:p>
        </w:tc>
        <w:tc>
          <w:tcPr>
            <w:tcW w:w="304"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 xml:space="preserve">0.08 </w:t>
            </w:r>
          </w:p>
        </w:tc>
        <w:tc>
          <w:tcPr>
            <w:tcW w:w="304"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 xml:space="preserve">0.13 </w:t>
            </w:r>
          </w:p>
        </w:tc>
        <w:tc>
          <w:tcPr>
            <w:tcW w:w="304"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 xml:space="preserve">0.24 </w:t>
            </w:r>
          </w:p>
        </w:tc>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 xml:space="preserve">0.60 </w:t>
            </w:r>
          </w:p>
        </w:tc>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 xml:space="preserve">0.49 </w:t>
            </w:r>
          </w:p>
        </w:tc>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 xml:space="preserve">0.36 </w:t>
            </w:r>
          </w:p>
        </w:tc>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 xml:space="preserve">0.60 </w:t>
            </w:r>
          </w:p>
        </w:tc>
      </w:tr>
      <w:tr>
        <w:tblPrEx>
          <w:tblCellMar>
            <w:top w:w="0" w:type="dxa"/>
            <w:left w:w="108" w:type="dxa"/>
            <w:bottom w:w="0" w:type="dxa"/>
            <w:right w:w="108" w:type="dxa"/>
          </w:tblCellMar>
        </w:tblPrEx>
        <w:trPr>
          <w:trHeight w:val="694" w:hRule="atLeast"/>
          <w:jc w:val="center"/>
        </w:trPr>
        <w:tc>
          <w:tcPr>
            <w:tcW w:w="478" w:type="pct"/>
            <w:tcBorders>
              <w:top w:val="nil"/>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2</w:t>
            </w:r>
          </w:p>
        </w:tc>
        <w:tc>
          <w:tcPr>
            <w:tcW w:w="823" w:type="pct"/>
            <w:tcBorders>
              <w:top w:val="nil"/>
              <w:left w:val="single" w:color="auto" w:sz="4" w:space="0"/>
              <w:bottom w:val="single" w:color="auto" w:sz="4" w:space="0"/>
              <w:right w:val="single" w:color="auto" w:sz="4" w:space="0"/>
            </w:tcBorders>
            <w:shd w:val="clear" w:color="auto" w:fill="auto"/>
            <w:noWrap/>
            <w:vAlign w:val="center"/>
          </w:tcPr>
          <w:p>
            <w:pPr>
              <w:jc w:val="center"/>
              <w:rPr>
                <w:bCs/>
                <w:sz w:val="18"/>
                <w:szCs w:val="18"/>
              </w:rPr>
            </w:pPr>
            <w:r>
              <w:rPr>
                <w:bCs/>
                <w:sz w:val="18"/>
                <w:szCs w:val="18"/>
              </w:rPr>
              <w:t>0.30</w:t>
            </w:r>
          </w:p>
        </w:tc>
        <w:tc>
          <w:tcPr>
            <w:tcW w:w="294"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 xml:space="preserve">0.10 </w:t>
            </w:r>
          </w:p>
        </w:tc>
        <w:tc>
          <w:tcPr>
            <w:tcW w:w="294"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 xml:space="preserve">0.13 </w:t>
            </w:r>
          </w:p>
        </w:tc>
        <w:tc>
          <w:tcPr>
            <w:tcW w:w="294"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 xml:space="preserve">0.40 </w:t>
            </w:r>
          </w:p>
        </w:tc>
        <w:tc>
          <w:tcPr>
            <w:tcW w:w="294"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 xml:space="preserve">0.37 </w:t>
            </w:r>
          </w:p>
        </w:tc>
        <w:tc>
          <w:tcPr>
            <w:tcW w:w="304"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 xml:space="preserve">0.03 </w:t>
            </w:r>
          </w:p>
        </w:tc>
        <w:tc>
          <w:tcPr>
            <w:tcW w:w="304"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 xml:space="preserve">0.03 </w:t>
            </w:r>
          </w:p>
        </w:tc>
        <w:tc>
          <w:tcPr>
            <w:tcW w:w="304"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 xml:space="preserve">0.12 </w:t>
            </w:r>
          </w:p>
        </w:tc>
        <w:tc>
          <w:tcPr>
            <w:tcW w:w="304"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 xml:space="preserve">0.11 </w:t>
            </w:r>
          </w:p>
        </w:tc>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 xml:space="preserve">0.30 </w:t>
            </w:r>
          </w:p>
        </w:tc>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 xml:space="preserve">0.25 </w:t>
            </w:r>
          </w:p>
        </w:tc>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 xml:space="preserve">0.35 </w:t>
            </w:r>
          </w:p>
        </w:tc>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 xml:space="preserve">0.28 </w:t>
            </w:r>
          </w:p>
        </w:tc>
      </w:tr>
      <w:tr>
        <w:tblPrEx>
          <w:tblCellMar>
            <w:top w:w="0" w:type="dxa"/>
            <w:left w:w="108" w:type="dxa"/>
            <w:bottom w:w="0" w:type="dxa"/>
            <w:right w:w="108" w:type="dxa"/>
          </w:tblCellMar>
        </w:tblPrEx>
        <w:trPr>
          <w:trHeight w:val="690" w:hRule="atLeast"/>
          <w:jc w:val="center"/>
        </w:trPr>
        <w:tc>
          <w:tcPr>
            <w:tcW w:w="478" w:type="pct"/>
            <w:tcBorders>
              <w:top w:val="nil"/>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3</w:t>
            </w:r>
          </w:p>
        </w:tc>
        <w:tc>
          <w:tcPr>
            <w:tcW w:w="823" w:type="pct"/>
            <w:tcBorders>
              <w:top w:val="nil"/>
              <w:left w:val="single" w:color="auto" w:sz="4" w:space="0"/>
              <w:bottom w:val="single" w:color="auto" w:sz="4" w:space="0"/>
              <w:right w:val="single" w:color="auto" w:sz="4" w:space="0"/>
            </w:tcBorders>
            <w:shd w:val="clear" w:color="auto" w:fill="auto"/>
            <w:noWrap/>
            <w:vAlign w:val="center"/>
          </w:tcPr>
          <w:p>
            <w:pPr>
              <w:jc w:val="center"/>
              <w:rPr>
                <w:bCs/>
                <w:sz w:val="18"/>
                <w:szCs w:val="18"/>
              </w:rPr>
            </w:pPr>
            <w:r>
              <w:rPr>
                <w:bCs/>
                <w:sz w:val="18"/>
                <w:szCs w:val="18"/>
              </w:rPr>
              <w:t>0.20</w:t>
            </w:r>
          </w:p>
        </w:tc>
        <w:tc>
          <w:tcPr>
            <w:tcW w:w="294"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 xml:space="preserve">0.05 </w:t>
            </w:r>
          </w:p>
        </w:tc>
        <w:tc>
          <w:tcPr>
            <w:tcW w:w="294"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 xml:space="preserve">0.20 </w:t>
            </w:r>
          </w:p>
        </w:tc>
        <w:tc>
          <w:tcPr>
            <w:tcW w:w="294"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 xml:space="preserve">0.50 </w:t>
            </w:r>
          </w:p>
        </w:tc>
        <w:tc>
          <w:tcPr>
            <w:tcW w:w="294"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 xml:space="preserve">0.25 </w:t>
            </w:r>
          </w:p>
        </w:tc>
        <w:tc>
          <w:tcPr>
            <w:tcW w:w="304"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 xml:space="preserve">0.01 </w:t>
            </w:r>
          </w:p>
        </w:tc>
        <w:tc>
          <w:tcPr>
            <w:tcW w:w="304"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 xml:space="preserve">0.04 </w:t>
            </w:r>
          </w:p>
        </w:tc>
        <w:tc>
          <w:tcPr>
            <w:tcW w:w="304"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 xml:space="preserve">0.10 </w:t>
            </w:r>
          </w:p>
        </w:tc>
        <w:tc>
          <w:tcPr>
            <w:tcW w:w="304"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 xml:space="preserve">0.05 </w:t>
            </w:r>
          </w:p>
        </w:tc>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 xml:space="preserve">0.10 </w:t>
            </w:r>
          </w:p>
        </w:tc>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 xml:space="preserve">0.26 </w:t>
            </w:r>
          </w:p>
        </w:tc>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 xml:space="preserve">0.29 </w:t>
            </w:r>
          </w:p>
        </w:tc>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 xml:space="preserve">0.12 </w:t>
            </w:r>
          </w:p>
        </w:tc>
      </w:tr>
      <w:tr>
        <w:tblPrEx>
          <w:tblCellMar>
            <w:top w:w="0" w:type="dxa"/>
            <w:left w:w="108" w:type="dxa"/>
            <w:bottom w:w="0" w:type="dxa"/>
            <w:right w:w="108" w:type="dxa"/>
          </w:tblCellMar>
        </w:tblPrEx>
        <w:trPr>
          <w:trHeight w:val="1026" w:hRule="atLeast"/>
          <w:jc w:val="center"/>
        </w:trPr>
        <w:tc>
          <w:tcPr>
            <w:tcW w:w="2479" w:type="pct"/>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kern w:val="0"/>
                <w:sz w:val="18"/>
                <w:szCs w:val="18"/>
              </w:rPr>
            </w:pPr>
            <w:r>
              <w:rPr>
                <w:kern w:val="0"/>
                <w:sz w:val="18"/>
                <w:szCs w:val="18"/>
              </w:rPr>
              <w:t>各环节对课程目标达成的贡献率（</w:t>
            </w:r>
            <w:r>
              <w:rPr>
                <w:i/>
                <w:kern w:val="0"/>
                <w:sz w:val="18"/>
                <w:szCs w:val="18"/>
              </w:rPr>
              <w:t>M</w:t>
            </w:r>
            <w:r>
              <w:rPr>
                <w:i/>
                <w:kern w:val="0"/>
                <w:sz w:val="18"/>
                <w:szCs w:val="18"/>
                <w:vertAlign w:val="subscript"/>
              </w:rPr>
              <w:t>k</w:t>
            </w:r>
            <w:r>
              <w:rPr>
                <w:kern w:val="0"/>
                <w:sz w:val="18"/>
                <w:szCs w:val="18"/>
              </w:rPr>
              <w:t>）</w:t>
            </w:r>
          </w:p>
        </w:tc>
        <w:tc>
          <w:tcPr>
            <w:tcW w:w="30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Cs/>
                <w:sz w:val="18"/>
                <w:szCs w:val="18"/>
              </w:rPr>
            </w:pPr>
            <w:r>
              <w:rPr>
                <w:bCs/>
                <w:sz w:val="18"/>
                <w:szCs w:val="18"/>
              </w:rPr>
              <w:t>0.10</w:t>
            </w:r>
          </w:p>
        </w:tc>
        <w:tc>
          <w:tcPr>
            <w:tcW w:w="304"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0.15</w:t>
            </w:r>
          </w:p>
        </w:tc>
        <w:tc>
          <w:tcPr>
            <w:tcW w:w="304"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0.35</w:t>
            </w:r>
          </w:p>
        </w:tc>
        <w:tc>
          <w:tcPr>
            <w:tcW w:w="304"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0.40</w:t>
            </w:r>
          </w:p>
        </w:tc>
        <w:tc>
          <w:tcPr>
            <w:tcW w:w="130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教师出题或布置作业时</w:t>
            </w:r>
          </w:p>
          <w:p>
            <w:pPr>
              <w:jc w:val="center"/>
              <w:rPr>
                <w:b/>
                <w:sz w:val="18"/>
                <w:szCs w:val="18"/>
              </w:rPr>
            </w:pPr>
            <w:r>
              <w:rPr>
                <w:sz w:val="18"/>
                <w:szCs w:val="18"/>
              </w:rPr>
              <w:t>要尽量做到按照以上比例布局</w:t>
            </w:r>
          </w:p>
        </w:tc>
      </w:tr>
    </w:tbl>
    <w:p>
      <w:pPr>
        <w:spacing w:line="360" w:lineRule="auto"/>
        <w:jc w:val="left"/>
      </w:pPr>
    </w:p>
    <w:p>
      <w:pPr>
        <w:spacing w:line="360" w:lineRule="auto"/>
        <w:sectPr>
          <w:pgSz w:w="16838" w:h="11906" w:orient="landscape"/>
          <w:pgMar w:top="1797" w:right="1440" w:bottom="1797" w:left="1440" w:header="851" w:footer="992" w:gutter="0"/>
          <w:pgNumType w:fmt="decimal"/>
          <w:cols w:space="425" w:num="1"/>
          <w:docGrid w:linePitch="312" w:charSpace="0"/>
        </w:sectPr>
      </w:pPr>
    </w:p>
    <w:p>
      <w:pPr>
        <w:spacing w:line="360" w:lineRule="auto"/>
        <w:ind w:firstLine="420" w:firstLineChars="200"/>
        <w:rPr>
          <w:szCs w:val="21"/>
        </w:rPr>
      </w:pPr>
      <w:r>
        <w:rPr>
          <w:rFonts w:hint="eastAsia"/>
          <w:szCs w:val="21"/>
        </w:rPr>
        <w:t>采用达成值计算法，辅以对学生的问卷调查法。</w:t>
      </w:r>
    </w:p>
    <w:p>
      <w:pPr>
        <w:spacing w:line="360" w:lineRule="auto"/>
        <w:ind w:firstLine="422" w:firstLineChars="200"/>
        <w:rPr>
          <w:b/>
          <w:bCs/>
          <w:szCs w:val="21"/>
        </w:rPr>
      </w:pPr>
      <w:r>
        <w:rPr>
          <w:rFonts w:hint="eastAsia"/>
          <w:b/>
          <w:bCs/>
          <w:szCs w:val="21"/>
        </w:rPr>
        <w:t>课程目标定量评价：</w:t>
      </w:r>
    </w:p>
    <w:p>
      <w:pPr>
        <w:spacing w:line="360" w:lineRule="auto"/>
        <w:ind w:firstLine="420" w:firstLineChars="200"/>
        <w:rPr>
          <w:szCs w:val="21"/>
        </w:rPr>
      </w:pPr>
      <w:r>
        <w:rPr>
          <w:szCs w:val="21"/>
        </w:rPr>
        <w:t>达成值计算法结合上表权重分配，采用</w:t>
      </w:r>
      <w:r>
        <w:rPr>
          <w:rFonts w:hint="eastAsia"/>
          <w:szCs w:val="21"/>
        </w:rPr>
        <w:t>下表进行计算。</w:t>
      </w:r>
    </w:p>
    <w:p>
      <w:pPr>
        <w:spacing w:line="360" w:lineRule="auto"/>
        <w:ind w:firstLine="420" w:firstLineChars="200"/>
        <w:rPr>
          <w:szCs w:val="21"/>
        </w:rPr>
      </w:pPr>
      <w:r>
        <w:rPr>
          <w:szCs w:val="21"/>
        </w:rPr>
        <w:t>单一课程目标达成度评价采用下式：</w:t>
      </w:r>
    </w:p>
    <w:p>
      <w:pPr>
        <w:spacing w:line="360" w:lineRule="auto"/>
        <w:ind w:firstLine="420" w:firstLineChars="200"/>
        <w:rPr>
          <w:szCs w:val="21"/>
        </w:rPr>
      </w:pPr>
      <w:r>
        <w:rPr>
          <w:position w:val="-30"/>
          <w:szCs w:val="21"/>
        </w:rPr>
        <w:object>
          <v:shape id="_x0000_i1139" o:spt="75" type="#_x0000_t75" style="height:36pt;width:165.5pt;" o:ole="t" filled="f" o:preferrelative="t" stroked="f" coordsize="21600,21600">
            <v:path/>
            <v:fill on="f" focussize="0,0"/>
            <v:stroke on="f" joinstyle="miter"/>
            <v:imagedata r:id="rId145" o:title=""/>
            <o:lock v:ext="edit" aspectratio="t"/>
            <w10:wrap type="none"/>
            <w10:anchorlock/>
          </v:shape>
          <o:OLEObject Type="Embed" ProgID="Equation.3" ShapeID="_x0000_i1139" DrawAspect="Content" ObjectID="_1468075839" r:id="rId277">
            <o:LockedField>false</o:LockedField>
          </o:OLEObject>
        </w:object>
      </w:r>
    </w:p>
    <w:p>
      <w:pPr>
        <w:spacing w:line="360" w:lineRule="auto"/>
        <w:ind w:firstLine="420" w:firstLineChars="200"/>
        <w:rPr>
          <w:szCs w:val="21"/>
        </w:rPr>
      </w:pPr>
      <w:r>
        <w:rPr>
          <w:szCs w:val="21"/>
        </w:rPr>
        <w:t>总的课程目标达成度评价采用下式：</w:t>
      </w:r>
    </w:p>
    <w:p>
      <w:pPr>
        <w:spacing w:line="360" w:lineRule="auto"/>
        <w:ind w:firstLine="420" w:firstLineChars="200"/>
        <w:rPr>
          <w:szCs w:val="21"/>
        </w:rPr>
      </w:pPr>
      <w:r>
        <w:rPr>
          <w:position w:val="-30"/>
          <w:szCs w:val="21"/>
        </w:rPr>
        <w:object>
          <v:shape id="_x0000_i1140" o:spt="75" type="#_x0000_t75" style="height:36pt;width:150pt;" o:ole="t" filled="f" o:preferrelative="t" stroked="f" coordsize="21600,21600">
            <v:path/>
            <v:fill on="f" focussize="0,0"/>
            <v:stroke on="f" joinstyle="miter"/>
            <v:imagedata r:id="rId147" o:title=""/>
            <o:lock v:ext="edit" aspectratio="t"/>
            <w10:wrap type="none"/>
            <w10:anchorlock/>
          </v:shape>
          <o:OLEObject Type="Embed" ProgID="Equation.3" ShapeID="_x0000_i1140" DrawAspect="Content" ObjectID="_1468075840" r:id="rId278">
            <o:LockedField>false</o:LockedField>
          </o:OLEObject>
        </w:object>
      </w:r>
    </w:p>
    <w:p>
      <w:pPr>
        <w:spacing w:line="360" w:lineRule="auto"/>
        <w:ind w:firstLine="420" w:firstLineChars="200"/>
        <w:rPr>
          <w:szCs w:val="21"/>
        </w:rPr>
      </w:pPr>
      <w:r>
        <w:rPr>
          <w:szCs w:val="21"/>
        </w:rPr>
        <w:t>以上公式中：</w:t>
      </w:r>
    </w:p>
    <w:p>
      <w:pPr>
        <w:spacing w:line="360" w:lineRule="auto"/>
        <w:ind w:firstLine="420" w:firstLineChars="200"/>
        <w:rPr>
          <w:szCs w:val="21"/>
        </w:rPr>
      </w:pPr>
      <w:r>
        <w:rPr>
          <w:i/>
          <w:szCs w:val="21"/>
        </w:rPr>
        <w:t>k</w:t>
      </w:r>
      <w:r>
        <w:rPr>
          <w:szCs w:val="21"/>
        </w:rPr>
        <w:t>表示不同的评价方式，</w:t>
      </w:r>
      <w:r>
        <w:rPr>
          <w:i/>
          <w:szCs w:val="21"/>
        </w:rPr>
        <w:t>i</w:t>
      </w:r>
      <w:r>
        <w:rPr>
          <w:szCs w:val="21"/>
        </w:rPr>
        <w:t>表示不同的课程目标。</w:t>
      </w:r>
    </w:p>
    <w:p>
      <w:pPr>
        <w:spacing w:line="360" w:lineRule="auto"/>
        <w:ind w:firstLine="420" w:firstLineChars="200"/>
      </w:pPr>
      <w:r>
        <w:rPr>
          <w:position w:val="-10"/>
        </w:rPr>
        <w:object>
          <v:shape id="_x0000_i1141" o:spt="75" type="#_x0000_t75" style="height:17.5pt;width:14.5pt;" o:ole="t" filled="f" o:preferrelative="t" stroked="f" coordsize="21600,21600">
            <v:path/>
            <v:fill on="f" focussize="0,0"/>
            <v:stroke on="f" joinstyle="miter"/>
            <v:imagedata r:id="rId149" o:title=""/>
            <o:lock v:ext="edit" aspectratio="t"/>
            <w10:wrap type="none"/>
            <w10:anchorlock/>
          </v:shape>
          <o:OLEObject Type="Embed" ProgID="Equation.3" ShapeID="_x0000_i1141" DrawAspect="Content" ObjectID="_1468075841" r:id="rId279">
            <o:LockedField>false</o:LockedField>
          </o:OLEObject>
        </w:object>
      </w:r>
      <w:r>
        <w:t>表示第</w:t>
      </w:r>
      <w:r>
        <w:rPr>
          <w:i/>
        </w:rPr>
        <w:t>k</w:t>
      </w:r>
      <w:r>
        <w:t>种评价方式期末评价成绩平均分，均为百分制；</w:t>
      </w:r>
    </w:p>
    <w:p>
      <w:pPr>
        <w:spacing w:line="360" w:lineRule="auto"/>
        <w:ind w:firstLine="420" w:firstLineChars="200"/>
      </w:pPr>
      <w:r>
        <w:rPr>
          <w:position w:val="-10"/>
        </w:rPr>
        <w:object>
          <v:shape id="_x0000_i1142" o:spt="75" type="#_x0000_t75" style="height:17.5pt;width:74.5pt;" o:ole="t" filled="f" o:preferrelative="t" stroked="f" coordsize="21600,21600">
            <v:path/>
            <v:fill on="f" focussize="0,0"/>
            <v:stroke on="f" joinstyle="miter"/>
            <v:imagedata r:id="rId151" o:title=""/>
            <o:lock v:ext="edit" aspectratio="t"/>
            <w10:wrap type="none"/>
            <w10:anchorlock/>
          </v:shape>
          <o:OLEObject Type="Embed" ProgID="Equation.3" ShapeID="_x0000_i1142" DrawAspect="Content" ObjectID="_1468075842" r:id="rId280">
            <o:LockedField>false</o:LockedField>
          </o:OLEObject>
        </w:object>
      </w:r>
      <w:r>
        <w:t>是第</w:t>
      </w:r>
      <w:r>
        <w:rPr>
          <w:i/>
        </w:rPr>
        <w:t>k</w:t>
      </w:r>
      <w:r>
        <w:t>种评价方式通过第</w:t>
      </w:r>
      <w:r>
        <w:rPr>
          <w:i/>
        </w:rPr>
        <w:t>i</w:t>
      </w:r>
      <w:r>
        <w:t>个课程目标反映在总的课程目标评分占比；</w:t>
      </w:r>
    </w:p>
    <w:p>
      <w:pPr>
        <w:spacing w:line="360" w:lineRule="auto"/>
        <w:ind w:firstLine="420" w:firstLineChars="200"/>
        <w:rPr>
          <w:szCs w:val="21"/>
        </w:rPr>
      </w:pPr>
      <w:r>
        <w:rPr>
          <w:position w:val="-10"/>
        </w:rPr>
        <w:object>
          <v:shape id="_x0000_i1143" o:spt="75" type="#_x0000_t75" style="height:17.5pt;width:17.5pt;" o:ole="t" filled="f" o:preferrelative="t" stroked="f" coordsize="21600,21600">
            <v:path/>
            <v:fill on="f" focussize="0,0"/>
            <v:stroke on="f" joinstyle="miter"/>
            <v:imagedata r:id="rId153" o:title=""/>
            <o:lock v:ext="edit" aspectratio="t"/>
            <w10:wrap type="none"/>
            <w10:anchorlock/>
          </v:shape>
          <o:OLEObject Type="Embed" ProgID="Equation.3" ShapeID="_x0000_i1143" DrawAspect="Content" ObjectID="_1468075843" r:id="rId281">
            <o:LockedField>false</o:LockedField>
          </o:OLEObject>
        </w:object>
      </w:r>
      <w:r>
        <w:t>表示第</w:t>
      </w:r>
      <w:r>
        <w:rPr>
          <w:i/>
        </w:rPr>
        <w:t>k</w:t>
      </w:r>
      <w:r>
        <w:t>种评价方式对第</w:t>
      </w:r>
      <w:r>
        <w:rPr>
          <w:i/>
        </w:rPr>
        <w:t>i</w:t>
      </w:r>
      <w:r>
        <w:t>个课程目标百分占比；</w:t>
      </w:r>
    </w:p>
    <w:p>
      <w:pPr>
        <w:spacing w:line="360" w:lineRule="auto"/>
        <w:ind w:firstLine="420" w:firstLineChars="200"/>
      </w:pPr>
      <w:r>
        <w:rPr>
          <w:position w:val="-10"/>
        </w:rPr>
        <w:object>
          <v:shape id="_x0000_i1144" o:spt="75" type="#_x0000_t75" style="height:17.5pt;width:13pt;" o:ole="t" filled="f" o:preferrelative="t" stroked="f" coordsize="21600,21600">
            <v:path/>
            <v:fill on="f" focussize="0,0"/>
            <v:stroke on="f" joinstyle="miter"/>
            <v:imagedata r:id="rId155" o:title=""/>
            <o:lock v:ext="edit" aspectratio="t"/>
            <w10:wrap type="none"/>
            <w10:anchorlock/>
          </v:shape>
          <o:OLEObject Type="Embed" ProgID="Equation.3" ShapeID="_x0000_i1144" DrawAspect="Content" ObjectID="_1468075844" r:id="rId282">
            <o:LockedField>false</o:LockedField>
          </o:OLEObject>
        </w:object>
      </w:r>
      <w:r>
        <w:t>表示第</w:t>
      </w:r>
      <w:r>
        <w:rPr>
          <w:i/>
        </w:rPr>
        <w:t>i</w:t>
      </w:r>
      <w:r>
        <w:t>个课程目标在课程总评价中的占比；</w:t>
      </w:r>
    </w:p>
    <w:p>
      <w:pPr>
        <w:spacing w:line="360" w:lineRule="auto"/>
        <w:ind w:firstLine="422" w:firstLineChars="200"/>
        <w:rPr>
          <w:b/>
          <w:bCs/>
          <w:position w:val="-10"/>
          <w:szCs w:val="22"/>
        </w:rPr>
      </w:pPr>
      <w:r>
        <w:rPr>
          <w:rFonts w:hint="eastAsia"/>
          <w:b/>
          <w:bCs/>
          <w:position w:val="-10"/>
          <w:szCs w:val="22"/>
        </w:rPr>
        <w:t>课程目标定性评价：</w:t>
      </w:r>
    </w:p>
    <w:p>
      <w:pPr>
        <w:spacing w:line="360" w:lineRule="auto"/>
        <w:ind w:firstLine="420" w:firstLineChars="200"/>
        <w:rPr>
          <w:rFonts w:ascii="宋体" w:hAnsi="宋体" w:cs="宋体"/>
          <w:szCs w:val="21"/>
        </w:rPr>
      </w:pPr>
      <w:r>
        <w:rPr>
          <w:rFonts w:hint="eastAsia" w:ascii="宋体" w:hAnsi="宋体" w:cs="宋体"/>
          <w:szCs w:val="21"/>
        </w:rPr>
        <w:t>针对每门课的课程目标，直接设计问题，并要求学生明确给出目标能力达到的程度“很好（0.95）、较好（0.75）、中（0.60）、较差（0.45）、很差（0.25）”，根据各区段统计比例与括号中的目标分值加权后求和得出定性评价的结果。</w:t>
      </w:r>
    </w:p>
    <w:p>
      <w:pPr>
        <w:spacing w:line="360" w:lineRule="auto"/>
        <w:ind w:firstLine="422" w:firstLineChars="200"/>
        <w:rPr>
          <w:b/>
          <w:bCs/>
          <w:position w:val="-10"/>
          <w:szCs w:val="22"/>
        </w:rPr>
      </w:pPr>
      <w:r>
        <w:rPr>
          <w:rFonts w:hint="eastAsia"/>
          <w:b/>
          <w:bCs/>
          <w:position w:val="-10"/>
          <w:szCs w:val="22"/>
        </w:rPr>
        <w:t>课程目标达成结果：</w:t>
      </w:r>
    </w:p>
    <w:p>
      <w:pPr>
        <w:spacing w:line="360" w:lineRule="auto"/>
        <w:ind w:firstLine="420" w:firstLineChars="200"/>
        <w:rPr>
          <w:rFonts w:ascii="宋体" w:hAnsi="宋体" w:cs="宋体"/>
          <w:szCs w:val="21"/>
        </w:rPr>
      </w:pPr>
      <w:r>
        <w:rPr>
          <w:rFonts w:hint="eastAsia" w:ascii="宋体" w:hAnsi="宋体" w:cs="宋体"/>
          <w:szCs w:val="21"/>
        </w:rPr>
        <w:t>同一课程目标的评价，取定性评价和定量评价的平均值，作为最终评价结果。</w:t>
      </w:r>
    </w:p>
    <w:p>
      <w:pPr>
        <w:spacing w:line="360" w:lineRule="auto"/>
        <w:ind w:firstLine="420" w:firstLineChars="200"/>
        <w:rPr>
          <w:position w:val="-10"/>
          <w:szCs w:val="22"/>
        </w:rPr>
      </w:pPr>
      <w:r>
        <w:rPr>
          <w:rFonts w:hint="eastAsia"/>
          <w:position w:val="-10"/>
          <w:szCs w:val="22"/>
        </w:rPr>
        <w:t>课程目标达成度大于等于0.71为一级达成，大于等于0.65为二级达成。</w:t>
      </w:r>
    </w:p>
    <w:p>
      <w:pPr>
        <w:widowControl/>
        <w:jc w:val="left"/>
        <w:rPr>
          <w:rFonts w:eastAsia="黑体"/>
          <w:szCs w:val="24"/>
        </w:rPr>
      </w:pPr>
    </w:p>
    <w:p>
      <w:pPr>
        <w:tabs>
          <w:tab w:val="left" w:pos="420"/>
        </w:tabs>
        <w:adjustRightInd w:val="0"/>
        <w:snapToGrid w:val="0"/>
        <w:spacing w:line="360" w:lineRule="auto"/>
        <w:ind w:left="420" w:hanging="420"/>
        <w:rPr>
          <w:rFonts w:eastAsia="黑体"/>
          <w:szCs w:val="24"/>
        </w:rPr>
      </w:pPr>
      <w:r>
        <w:rPr>
          <w:rFonts w:hint="eastAsia" w:eastAsia="黑体"/>
          <w:szCs w:val="24"/>
        </w:rPr>
        <w:t>十一、各环节评价标准</w:t>
      </w:r>
    </w:p>
    <w:p>
      <w:pPr>
        <w:spacing w:line="360" w:lineRule="auto"/>
        <w:ind w:firstLine="420" w:firstLineChars="200"/>
        <w:rPr>
          <w:szCs w:val="21"/>
        </w:rPr>
      </w:pPr>
      <w:r>
        <w:rPr>
          <w:rFonts w:hint="eastAsia"/>
          <w:szCs w:val="21"/>
        </w:rPr>
        <w:t>本课程允许教师在各评价环节根据具体情况采取多样化、个性化的考核手段，其评价标准应当在《</w:t>
      </w:r>
      <w:r>
        <w:rPr>
          <w:rFonts w:hint="eastAsia" w:ascii="宋体" w:hAnsi="宋体"/>
          <w:szCs w:val="21"/>
        </w:rPr>
        <w:t>SIE-CT-01：</w:t>
      </w:r>
      <w:r>
        <w:rPr>
          <w:rFonts w:hint="eastAsia"/>
          <w:szCs w:val="21"/>
        </w:rPr>
        <w:t>授课计划》中明确并向学生公布，教学过程中的考核评价应当严格按照标准完成。</w:t>
      </w:r>
    </w:p>
    <w:p>
      <w:pPr>
        <w:tabs>
          <w:tab w:val="left" w:pos="420"/>
        </w:tabs>
        <w:adjustRightInd w:val="0"/>
        <w:snapToGrid w:val="0"/>
        <w:spacing w:line="360" w:lineRule="auto"/>
        <w:ind w:left="420" w:hanging="420"/>
        <w:rPr>
          <w:color w:val="0000FF"/>
        </w:rPr>
      </w:pPr>
    </w:p>
    <w:p>
      <w:pPr>
        <w:tabs>
          <w:tab w:val="left" w:pos="420"/>
        </w:tabs>
        <w:adjustRightInd w:val="0"/>
        <w:snapToGrid w:val="0"/>
        <w:spacing w:line="360" w:lineRule="auto"/>
        <w:ind w:left="420" w:hanging="420"/>
        <w:rPr>
          <w:rFonts w:eastAsia="黑体"/>
          <w:szCs w:val="24"/>
        </w:rPr>
      </w:pPr>
      <w:r>
        <w:rPr>
          <w:rFonts w:hint="eastAsia" w:eastAsia="黑体"/>
          <w:szCs w:val="24"/>
        </w:rPr>
        <w:t>十二、课程目标达成评价结果用于持续改进</w:t>
      </w:r>
    </w:p>
    <w:p>
      <w:pPr>
        <w:spacing w:line="360" w:lineRule="auto"/>
        <w:ind w:firstLine="420" w:firstLineChars="200"/>
        <w:rPr>
          <w:szCs w:val="21"/>
        </w:rPr>
      </w:pPr>
      <w:r>
        <w:rPr>
          <w:rFonts w:hint="eastAsia"/>
          <w:szCs w:val="21"/>
        </w:rPr>
        <w:t>课程目标达成评价结果将用于后续教学过程的持续改进。</w:t>
      </w:r>
    </w:p>
    <w:p>
      <w:pPr>
        <w:spacing w:line="360" w:lineRule="auto"/>
        <w:ind w:firstLine="420" w:firstLineChars="200"/>
        <w:rPr>
          <w:szCs w:val="21"/>
        </w:rPr>
      </w:pPr>
      <w:r>
        <w:rPr>
          <w:rFonts w:hint="eastAsia"/>
          <w:szCs w:val="21"/>
        </w:rPr>
        <w:t>针对课程目标达成评价中发现的问题与不足，重点是达成值相对较低的项，在本次授课总结中应由授课教师分析具体原因，并给出改进建议。后续任课教师应当针对以前的问题和建议，在授课计划中做好落实改进计划，并在授课过程中予以落实。</w:t>
      </w:r>
    </w:p>
    <w:p>
      <w:pPr>
        <w:pStyle w:val="18"/>
        <w:spacing w:before="240" w:after="360"/>
      </w:pPr>
      <w:bookmarkStart w:id="39" w:name="_Toc9871"/>
      <w:r>
        <w:rPr>
          <w:rFonts w:hint="eastAsia"/>
        </w:rPr>
        <w:t>《智能仪器》教学大纲</w:t>
      </w:r>
      <w:bookmarkEnd w:id="39"/>
      <w:r>
        <w:rPr>
          <w:rFonts w:hint="eastAsia" w:ascii="黑体"/>
          <w:szCs w:val="21"/>
        </w:rPr>
        <w:tab/>
      </w:r>
    </w:p>
    <w:p>
      <w:pPr>
        <w:adjustRightInd w:val="0"/>
        <w:snapToGrid w:val="0"/>
        <w:spacing w:line="360" w:lineRule="auto"/>
        <w:rPr>
          <w:bCs/>
          <w:kern w:val="0"/>
        </w:rPr>
      </w:pPr>
      <w:r>
        <w:rPr>
          <w:rFonts w:hint="eastAsia" w:eastAsia="黑体"/>
          <w:szCs w:val="21"/>
        </w:rPr>
        <w:t>课程编号：</w:t>
      </w:r>
      <w:r>
        <w:rPr>
          <w:bCs/>
          <w:kern w:val="0"/>
        </w:rPr>
        <w:t>Z06060107</w:t>
      </w:r>
    </w:p>
    <w:p>
      <w:pPr>
        <w:adjustRightInd w:val="0"/>
        <w:snapToGrid w:val="0"/>
        <w:spacing w:line="360" w:lineRule="auto"/>
        <w:rPr>
          <w:snapToGrid w:val="0"/>
          <w:kern w:val="0"/>
          <w:szCs w:val="21"/>
        </w:rPr>
      </w:pPr>
      <w:r>
        <w:rPr>
          <w:rFonts w:hint="eastAsia" w:eastAsia="黑体"/>
          <w:szCs w:val="21"/>
        </w:rPr>
        <w:t>课程名称：</w:t>
      </w:r>
      <w:r>
        <w:rPr>
          <w:rFonts w:hint="eastAsia"/>
          <w:szCs w:val="21"/>
        </w:rPr>
        <w:t>智能仪器</w:t>
      </w:r>
      <w:r>
        <w:rPr>
          <w:szCs w:val="21"/>
        </w:rPr>
        <w:tab/>
      </w:r>
      <w:r>
        <w:rPr>
          <w:szCs w:val="21"/>
        </w:rPr>
        <w:tab/>
      </w:r>
      <w:r>
        <w:rPr>
          <w:szCs w:val="21"/>
        </w:rPr>
        <w:tab/>
      </w:r>
      <w:r>
        <w:rPr>
          <w:szCs w:val="21"/>
        </w:rPr>
        <w:tab/>
      </w:r>
      <w:r>
        <w:rPr>
          <w:szCs w:val="21"/>
        </w:rPr>
        <w:tab/>
      </w:r>
      <w:r>
        <w:rPr>
          <w:rFonts w:hint="eastAsia" w:eastAsia="黑体"/>
          <w:szCs w:val="21"/>
        </w:rPr>
        <w:t>开课单位：</w:t>
      </w:r>
      <w:r>
        <w:rPr>
          <w:rFonts w:hint="eastAsia"/>
          <w:szCs w:val="21"/>
        </w:rPr>
        <w:t>仪器与电子学院</w:t>
      </w:r>
      <w:r>
        <w:rPr>
          <w:rFonts w:eastAsia="黑体"/>
          <w:szCs w:val="21"/>
        </w:rPr>
        <w:tab/>
      </w:r>
    </w:p>
    <w:p>
      <w:pPr>
        <w:adjustRightInd w:val="0"/>
        <w:snapToGrid w:val="0"/>
        <w:spacing w:line="360" w:lineRule="auto"/>
        <w:rPr>
          <w:rFonts w:eastAsia="黑体"/>
          <w:szCs w:val="21"/>
        </w:rPr>
      </w:pPr>
      <w:r>
        <w:rPr>
          <w:rFonts w:hint="eastAsia" w:eastAsia="黑体"/>
          <w:szCs w:val="21"/>
        </w:rPr>
        <w:t>总学时：</w:t>
      </w:r>
      <w:r>
        <w:rPr>
          <w:szCs w:val="21"/>
        </w:rPr>
        <w:t>32 (</w:t>
      </w:r>
      <w:r>
        <w:rPr>
          <w:rFonts w:hint="eastAsia"/>
          <w:szCs w:val="21"/>
        </w:rPr>
        <w:t>实验</w:t>
      </w:r>
      <w:r>
        <w:rPr>
          <w:szCs w:val="21"/>
        </w:rPr>
        <w:t>8</w:t>
      </w:r>
      <w:r>
        <w:rPr>
          <w:rFonts w:hint="eastAsia"/>
          <w:szCs w:val="21"/>
        </w:rPr>
        <w:t>学时</w:t>
      </w:r>
      <w:r>
        <w:rPr>
          <w:szCs w:val="21"/>
        </w:rPr>
        <w:t xml:space="preserve">) </w:t>
      </w:r>
      <w:r>
        <w:rPr>
          <w:rFonts w:eastAsia="黑体"/>
          <w:szCs w:val="21"/>
        </w:rPr>
        <w:tab/>
      </w:r>
      <w:r>
        <w:rPr>
          <w:rFonts w:eastAsia="黑体"/>
          <w:szCs w:val="21"/>
        </w:rPr>
        <w:tab/>
      </w:r>
      <w:r>
        <w:rPr>
          <w:rFonts w:eastAsia="黑体"/>
          <w:szCs w:val="21"/>
        </w:rPr>
        <w:tab/>
      </w:r>
      <w:r>
        <w:rPr>
          <w:rFonts w:eastAsia="黑体"/>
          <w:szCs w:val="21"/>
        </w:rPr>
        <w:tab/>
      </w:r>
      <w:r>
        <w:rPr>
          <w:rFonts w:hint="eastAsia" w:eastAsia="黑体"/>
          <w:szCs w:val="21"/>
        </w:rPr>
        <w:t>学分：</w:t>
      </w:r>
      <w:r>
        <w:rPr>
          <w:rFonts w:eastAsia="黑体"/>
          <w:szCs w:val="21"/>
        </w:rPr>
        <w:t>2</w:t>
      </w:r>
    </w:p>
    <w:p>
      <w:pPr>
        <w:adjustRightInd w:val="0"/>
        <w:snapToGrid w:val="0"/>
        <w:spacing w:line="360" w:lineRule="auto"/>
        <w:rPr>
          <w:rFonts w:hint="eastAsia" w:eastAsia="宋体"/>
          <w:szCs w:val="21"/>
          <w:lang w:eastAsia="zh-CN"/>
        </w:rPr>
      </w:pPr>
      <w:r>
        <w:rPr>
          <w:rFonts w:hint="eastAsia" w:eastAsia="黑体"/>
          <w:szCs w:val="21"/>
        </w:rPr>
        <w:t>适用专业：</w:t>
      </w:r>
      <w:r>
        <w:rPr>
          <w:rFonts w:hint="eastAsia" w:ascii="宋体" w:hAnsi="宋体"/>
          <w:szCs w:val="21"/>
        </w:rPr>
        <w:t>测控技术与仪器</w:t>
      </w:r>
      <w:r>
        <w:rPr>
          <w:rFonts w:hint="eastAsia" w:ascii="宋体" w:hAnsi="宋体"/>
          <w:szCs w:val="21"/>
          <w:lang w:eastAsia="zh-CN"/>
        </w:rPr>
        <w:t>、智能感知工程</w:t>
      </w:r>
    </w:p>
    <w:p>
      <w:pPr>
        <w:adjustRightInd w:val="0"/>
        <w:snapToGrid w:val="0"/>
        <w:spacing w:line="360" w:lineRule="auto"/>
        <w:rPr>
          <w:color w:val="FF0000"/>
          <w:szCs w:val="21"/>
        </w:rPr>
      </w:pPr>
      <w:r>
        <w:rPr>
          <w:rFonts w:hint="eastAsia" w:eastAsia="黑体"/>
          <w:szCs w:val="21"/>
        </w:rPr>
        <w:t>先修课程：</w:t>
      </w:r>
      <w:r>
        <w:rPr>
          <w:rFonts w:hint="eastAsia" w:ascii="宋体" w:hAnsi="宋体"/>
          <w:szCs w:val="21"/>
        </w:rPr>
        <w:t>模拟电子技术、数字电子技术、微机原理及接口技术、单片机原理及应用</w:t>
      </w:r>
    </w:p>
    <w:p>
      <w:pPr>
        <w:adjustRightInd w:val="0"/>
        <w:snapToGrid w:val="0"/>
        <w:spacing w:line="360" w:lineRule="auto"/>
        <w:rPr>
          <w:szCs w:val="21"/>
        </w:rPr>
      </w:pPr>
      <w:r>
        <w:rPr>
          <w:rFonts w:hint="eastAsia" w:eastAsia="黑体"/>
          <w:szCs w:val="21"/>
        </w:rPr>
        <w:t>大纲撰写人：</w:t>
      </w:r>
      <w:r>
        <w:rPr>
          <w:rFonts w:hint="eastAsia" w:ascii="宋体" w:hAnsi="宋体" w:cs="宋体"/>
        </w:rPr>
        <w:t>王代华</w:t>
      </w:r>
    </w:p>
    <w:p>
      <w:pPr>
        <w:adjustRightInd w:val="0"/>
        <w:snapToGrid w:val="0"/>
        <w:spacing w:line="360" w:lineRule="auto"/>
        <w:rPr>
          <w:szCs w:val="21"/>
        </w:rPr>
      </w:pPr>
      <w:r>
        <w:rPr>
          <w:rFonts w:hint="eastAsia" w:eastAsia="黑体"/>
          <w:szCs w:val="21"/>
        </w:rPr>
        <w:t>大纲编写（修订）时间：</w:t>
      </w:r>
      <w:r>
        <w:rPr>
          <w:szCs w:val="21"/>
        </w:rPr>
        <w:t>2019年5月</w:t>
      </w:r>
    </w:p>
    <w:p>
      <w:pPr>
        <w:rPr>
          <w:b/>
          <w:szCs w:val="21"/>
        </w:rPr>
      </w:pPr>
    </w:p>
    <w:p>
      <w:pPr>
        <w:tabs>
          <w:tab w:val="left" w:pos="420"/>
        </w:tabs>
        <w:adjustRightInd w:val="0"/>
        <w:snapToGrid w:val="0"/>
        <w:spacing w:line="360" w:lineRule="auto"/>
        <w:rPr>
          <w:rFonts w:eastAsia="黑体"/>
          <w:szCs w:val="21"/>
        </w:rPr>
      </w:pPr>
      <w:r>
        <w:rPr>
          <w:rFonts w:hint="eastAsia" w:eastAsia="黑体"/>
          <w:szCs w:val="21"/>
        </w:rPr>
        <w:t>一、课程在教学计划中的地位、作用</w:t>
      </w:r>
    </w:p>
    <w:p>
      <w:pPr>
        <w:adjustRightInd w:val="0"/>
        <w:snapToGrid w:val="0"/>
        <w:spacing w:line="360" w:lineRule="auto"/>
        <w:ind w:firstLine="420" w:firstLineChars="200"/>
      </w:pPr>
      <w:r>
        <w:t>智能仪器是测控技术</w:t>
      </w:r>
      <w:r>
        <w:rPr>
          <w:rFonts w:hint="eastAsia"/>
        </w:rPr>
        <w:t>与仪器</w:t>
      </w:r>
      <w:r>
        <w:rPr>
          <w:rFonts w:hint="eastAsia"/>
          <w:lang w:eastAsia="zh-CN"/>
        </w:rPr>
        <w:t>、智能感知工程</w:t>
      </w:r>
      <w:r>
        <w:t>专业的</w:t>
      </w:r>
      <w:r>
        <w:rPr>
          <w:rFonts w:hint="eastAsia"/>
        </w:rPr>
        <w:t>专业选修课程。</w:t>
      </w:r>
      <w:r>
        <w:t>该课程</w:t>
      </w:r>
      <w:r>
        <w:rPr>
          <w:rFonts w:hint="eastAsia"/>
        </w:rPr>
        <w:t>全面、系统地介绍以单片机为核心的智能仪器的基本组成、工作原理和设计方法，着重从系统总体角度阐述如何运用单片机实现电子仪器智能化的相关问题，涉及实现原理及其硬件和软件的设计思想、方法和技巧。通过本课程的学习，学生应学会运用所学的单片机和电子技术等方面的基础知识，解决现代电子仪器开发过程中的实际问题，逐步具备设计以单片机为核心的智能电子仪器的能力。</w:t>
      </w:r>
    </w:p>
    <w:p>
      <w:pPr>
        <w:spacing w:line="360" w:lineRule="auto"/>
        <w:ind w:firstLine="420" w:firstLineChars="200"/>
        <w:rPr>
          <w:szCs w:val="21"/>
        </w:rPr>
      </w:pPr>
    </w:p>
    <w:p>
      <w:pPr>
        <w:numPr>
          <w:ilvl w:val="0"/>
          <w:numId w:val="1"/>
        </w:numPr>
        <w:adjustRightInd w:val="0"/>
        <w:snapToGrid w:val="0"/>
        <w:spacing w:line="360" w:lineRule="auto"/>
        <w:rPr>
          <w:rFonts w:eastAsia="黑体"/>
          <w:szCs w:val="21"/>
        </w:rPr>
      </w:pPr>
      <w:r>
        <w:rPr>
          <w:rFonts w:hint="eastAsia" w:eastAsia="黑体"/>
          <w:szCs w:val="21"/>
        </w:rPr>
        <w:t>课程目标</w:t>
      </w:r>
    </w:p>
    <w:p>
      <w:pPr>
        <w:tabs>
          <w:tab w:val="left" w:pos="420"/>
        </w:tabs>
        <w:adjustRightInd w:val="0"/>
        <w:snapToGrid w:val="0"/>
        <w:spacing w:line="360" w:lineRule="auto"/>
        <w:rPr>
          <w:rFonts w:ascii="宋体" w:hAnsi="宋体"/>
          <w:szCs w:val="21"/>
        </w:rPr>
      </w:pPr>
      <w:r>
        <w:rPr>
          <w:rFonts w:hint="eastAsia" w:ascii="宋体" w:hAnsi="宋体"/>
          <w:szCs w:val="21"/>
        </w:rPr>
        <w:t>测控技术与仪器专业：</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3304"/>
        <w:gridCol w:w="460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6" w:type="pct"/>
            <w:vAlign w:val="center"/>
          </w:tcPr>
          <w:p>
            <w:pPr>
              <w:spacing w:before="120" w:beforeLines="50" w:line="360" w:lineRule="auto"/>
              <w:jc w:val="center"/>
              <w:rPr>
                <w:sz w:val="18"/>
                <w:szCs w:val="18"/>
              </w:rPr>
            </w:pPr>
            <w:r>
              <w:rPr>
                <w:sz w:val="18"/>
                <w:szCs w:val="18"/>
              </w:rPr>
              <w:t>序号</w:t>
            </w:r>
          </w:p>
        </w:tc>
        <w:tc>
          <w:tcPr>
            <w:tcW w:w="1937" w:type="pct"/>
            <w:vAlign w:val="center"/>
          </w:tcPr>
          <w:p>
            <w:pPr>
              <w:spacing w:before="120" w:beforeLines="50" w:line="360" w:lineRule="auto"/>
              <w:jc w:val="center"/>
              <w:rPr>
                <w:sz w:val="18"/>
                <w:szCs w:val="18"/>
              </w:rPr>
            </w:pPr>
            <w:r>
              <w:rPr>
                <w:sz w:val="18"/>
                <w:szCs w:val="18"/>
              </w:rPr>
              <w:t>课程目标</w:t>
            </w:r>
          </w:p>
        </w:tc>
        <w:tc>
          <w:tcPr>
            <w:tcW w:w="2697" w:type="pct"/>
            <w:vAlign w:val="center"/>
          </w:tcPr>
          <w:p>
            <w:pPr>
              <w:spacing w:before="120" w:beforeLines="50" w:line="360" w:lineRule="auto"/>
              <w:jc w:val="center"/>
              <w:rPr>
                <w:sz w:val="18"/>
                <w:szCs w:val="18"/>
              </w:rPr>
            </w:pPr>
            <w:r>
              <w:rPr>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6" w:type="pct"/>
            <w:vAlign w:val="center"/>
          </w:tcPr>
          <w:p>
            <w:pPr>
              <w:spacing w:line="360" w:lineRule="auto"/>
              <w:jc w:val="center"/>
              <w:rPr>
                <w:sz w:val="18"/>
                <w:szCs w:val="18"/>
              </w:rPr>
            </w:pPr>
            <w:r>
              <w:rPr>
                <w:rFonts w:hint="eastAsia"/>
                <w:sz w:val="18"/>
                <w:szCs w:val="18"/>
              </w:rPr>
              <w:t>1</w:t>
            </w:r>
          </w:p>
        </w:tc>
        <w:tc>
          <w:tcPr>
            <w:tcW w:w="1937" w:type="pct"/>
          </w:tcPr>
          <w:p>
            <w:pPr>
              <w:spacing w:line="360" w:lineRule="auto"/>
              <w:rPr>
                <w:sz w:val="18"/>
                <w:szCs w:val="18"/>
              </w:rPr>
            </w:pPr>
            <w:r>
              <w:rPr>
                <w:rFonts w:hint="eastAsia"/>
                <w:sz w:val="18"/>
                <w:szCs w:val="18"/>
              </w:rPr>
              <w:t>能够从系统总体角度掌握智能仪器的基本组成、工作原理和设计方法；</w:t>
            </w:r>
          </w:p>
        </w:tc>
        <w:tc>
          <w:tcPr>
            <w:tcW w:w="2697" w:type="pct"/>
          </w:tcPr>
          <w:p>
            <w:pPr>
              <w:spacing w:line="360" w:lineRule="auto"/>
              <w:rPr>
                <w:sz w:val="18"/>
                <w:szCs w:val="18"/>
              </w:rPr>
            </w:pPr>
            <w:r>
              <w:rPr>
                <w:rFonts w:hint="eastAsia"/>
                <w:b/>
                <w:sz w:val="18"/>
                <w:szCs w:val="18"/>
              </w:rPr>
              <w:t>指标点1-1 知识体系</w:t>
            </w:r>
            <w:r>
              <w:rPr>
                <w:rFonts w:hint="eastAsia"/>
                <w:sz w:val="18"/>
                <w:szCs w:val="18"/>
              </w:rPr>
              <w:t>：具备本专业相关的数学、自然科学、光学和电子学工程基础及传感、测试、仪器等多方面的知识。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6" w:type="pct"/>
            <w:vAlign w:val="center"/>
          </w:tcPr>
          <w:p>
            <w:pPr>
              <w:spacing w:line="360" w:lineRule="auto"/>
              <w:jc w:val="center"/>
              <w:rPr>
                <w:sz w:val="18"/>
                <w:szCs w:val="18"/>
              </w:rPr>
            </w:pPr>
            <w:r>
              <w:rPr>
                <w:rFonts w:hint="eastAsia"/>
                <w:sz w:val="18"/>
                <w:szCs w:val="18"/>
              </w:rPr>
              <w:t>2</w:t>
            </w:r>
          </w:p>
        </w:tc>
        <w:tc>
          <w:tcPr>
            <w:tcW w:w="1937" w:type="pct"/>
          </w:tcPr>
          <w:p>
            <w:pPr>
              <w:spacing w:line="360" w:lineRule="auto"/>
              <w:rPr>
                <w:sz w:val="18"/>
                <w:szCs w:val="18"/>
              </w:rPr>
            </w:pPr>
            <w:r>
              <w:rPr>
                <w:rFonts w:hint="eastAsia"/>
                <w:sz w:val="18"/>
                <w:szCs w:val="18"/>
              </w:rPr>
              <w:t>能够利用单片机设计智能仪器的主控及外围电路；</w:t>
            </w:r>
          </w:p>
        </w:tc>
        <w:tc>
          <w:tcPr>
            <w:tcW w:w="2697" w:type="pct"/>
          </w:tcPr>
          <w:p>
            <w:pPr>
              <w:widowControl/>
              <w:spacing w:line="360" w:lineRule="auto"/>
              <w:textAlignment w:val="top"/>
              <w:rPr>
                <w:sz w:val="18"/>
                <w:szCs w:val="18"/>
              </w:rPr>
            </w:pPr>
            <w:r>
              <w:rPr>
                <w:rFonts w:hint="eastAsia" w:ascii="宋体" w:hAnsi="宋体" w:cs="宋体"/>
                <w:b/>
                <w:color w:val="000000"/>
                <w:sz w:val="18"/>
                <w:szCs w:val="18"/>
              </w:rPr>
              <w:t>指标点</w:t>
            </w:r>
            <w:r>
              <w:rPr>
                <w:b/>
                <w:color w:val="000000"/>
                <w:sz w:val="18"/>
                <w:szCs w:val="18"/>
              </w:rPr>
              <w:t xml:space="preserve">3-1 </w:t>
            </w:r>
            <w:r>
              <w:rPr>
                <w:rFonts w:hint="eastAsia" w:ascii="宋体" w:hAnsi="宋体" w:cs="宋体"/>
                <w:b/>
                <w:color w:val="000000"/>
                <w:sz w:val="18"/>
                <w:szCs w:val="18"/>
              </w:rPr>
              <w:t>按需设计</w:t>
            </w:r>
            <w:r>
              <w:rPr>
                <w:rFonts w:hint="eastAsia" w:ascii="宋体" w:hAnsi="宋体" w:cs="宋体"/>
                <w:color w:val="000000"/>
                <w:sz w:val="18"/>
                <w:szCs w:val="18"/>
              </w:rPr>
              <w:t>：能够根据用户特定需求设计复杂工程问题的解决方案，设计相关的传感器、测控系统以及工艺流程，并能够针对方案进行优化选择。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6" w:type="pct"/>
            <w:vAlign w:val="center"/>
          </w:tcPr>
          <w:p>
            <w:pPr>
              <w:spacing w:line="360" w:lineRule="auto"/>
              <w:jc w:val="center"/>
              <w:rPr>
                <w:sz w:val="18"/>
                <w:szCs w:val="18"/>
              </w:rPr>
            </w:pPr>
            <w:r>
              <w:rPr>
                <w:rFonts w:hint="eastAsia"/>
                <w:sz w:val="18"/>
                <w:szCs w:val="18"/>
              </w:rPr>
              <w:t>3</w:t>
            </w:r>
          </w:p>
        </w:tc>
        <w:tc>
          <w:tcPr>
            <w:tcW w:w="1937" w:type="pct"/>
          </w:tcPr>
          <w:p>
            <w:pPr>
              <w:spacing w:line="360" w:lineRule="auto"/>
              <w:rPr>
                <w:sz w:val="18"/>
                <w:szCs w:val="18"/>
              </w:rPr>
            </w:pPr>
            <w:r>
              <w:rPr>
                <w:rFonts w:hint="eastAsia" w:ascii="宋体" w:hAnsi="宋体" w:cs="宋体"/>
                <w:kern w:val="0"/>
                <w:sz w:val="18"/>
                <w:szCs w:val="18"/>
              </w:rPr>
              <w:t>能够熟练掌握Keil、IAR等单片机开发软件</w:t>
            </w:r>
            <w:r>
              <w:rPr>
                <w:rFonts w:hint="eastAsia"/>
                <w:sz w:val="18"/>
                <w:szCs w:val="18"/>
              </w:rPr>
              <w:t>的使用方法，用“软件设计硬件”的方法来解决实际问题，提高仪器的智能化水平。</w:t>
            </w:r>
          </w:p>
        </w:tc>
        <w:tc>
          <w:tcPr>
            <w:tcW w:w="2697" w:type="pct"/>
          </w:tcPr>
          <w:p>
            <w:pPr>
              <w:spacing w:line="360" w:lineRule="auto"/>
              <w:rPr>
                <w:sz w:val="18"/>
                <w:szCs w:val="18"/>
              </w:rPr>
            </w:pPr>
            <w:r>
              <w:rPr>
                <w:rFonts w:hint="eastAsia"/>
                <w:b/>
                <w:sz w:val="18"/>
                <w:szCs w:val="18"/>
              </w:rPr>
              <w:t>指标点5-2专业工具使用</w:t>
            </w:r>
            <w:r>
              <w:rPr>
                <w:rFonts w:hint="eastAsia"/>
                <w:sz w:val="18"/>
                <w:szCs w:val="18"/>
              </w:rPr>
              <w:t>：能使用工具对测控电路或系统进行设计和仿真，确定功能和相关设计参数。</w:t>
            </w:r>
          </w:p>
        </w:tc>
      </w:tr>
    </w:tbl>
    <w:p>
      <w:pPr>
        <w:tabs>
          <w:tab w:val="left" w:pos="420"/>
        </w:tabs>
        <w:adjustRightInd w:val="0"/>
        <w:snapToGrid w:val="0"/>
        <w:spacing w:line="360" w:lineRule="auto"/>
        <w:rPr>
          <w:rFonts w:hint="eastAsia" w:ascii="宋体" w:hAnsi="宋体"/>
          <w:szCs w:val="21"/>
        </w:rPr>
      </w:pPr>
    </w:p>
    <w:p>
      <w:pPr>
        <w:tabs>
          <w:tab w:val="left" w:pos="420"/>
        </w:tabs>
        <w:adjustRightInd w:val="0"/>
        <w:snapToGrid w:val="0"/>
        <w:spacing w:line="360" w:lineRule="auto"/>
        <w:rPr>
          <w:rFonts w:ascii="宋体" w:hAnsi="宋体"/>
          <w:szCs w:val="21"/>
        </w:rPr>
      </w:pPr>
      <w:r>
        <w:rPr>
          <w:rFonts w:hint="eastAsia" w:ascii="宋体" w:hAnsi="宋体"/>
          <w:szCs w:val="21"/>
          <w:lang w:eastAsia="zh-CN"/>
        </w:rPr>
        <w:t>智能感知工程</w:t>
      </w:r>
      <w:r>
        <w:rPr>
          <w:rFonts w:hint="eastAsia" w:ascii="宋体" w:hAnsi="宋体"/>
          <w:szCs w:val="21"/>
        </w:rPr>
        <w:t>专业：</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3304"/>
        <w:gridCol w:w="460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6" w:type="pct"/>
            <w:vAlign w:val="center"/>
          </w:tcPr>
          <w:p>
            <w:pPr>
              <w:spacing w:before="120" w:beforeLines="50" w:line="360" w:lineRule="auto"/>
              <w:jc w:val="center"/>
              <w:rPr>
                <w:sz w:val="18"/>
                <w:szCs w:val="18"/>
              </w:rPr>
            </w:pPr>
            <w:r>
              <w:rPr>
                <w:sz w:val="18"/>
                <w:szCs w:val="18"/>
              </w:rPr>
              <w:t>序号</w:t>
            </w:r>
          </w:p>
        </w:tc>
        <w:tc>
          <w:tcPr>
            <w:tcW w:w="1937" w:type="pct"/>
            <w:vAlign w:val="center"/>
          </w:tcPr>
          <w:p>
            <w:pPr>
              <w:spacing w:before="120" w:beforeLines="50" w:line="360" w:lineRule="auto"/>
              <w:jc w:val="center"/>
              <w:rPr>
                <w:sz w:val="18"/>
                <w:szCs w:val="18"/>
              </w:rPr>
            </w:pPr>
            <w:r>
              <w:rPr>
                <w:sz w:val="18"/>
                <w:szCs w:val="18"/>
              </w:rPr>
              <w:t>课程目标</w:t>
            </w:r>
          </w:p>
        </w:tc>
        <w:tc>
          <w:tcPr>
            <w:tcW w:w="2697" w:type="pct"/>
            <w:vAlign w:val="center"/>
          </w:tcPr>
          <w:p>
            <w:pPr>
              <w:spacing w:before="120" w:beforeLines="50" w:line="360" w:lineRule="auto"/>
              <w:jc w:val="center"/>
              <w:rPr>
                <w:sz w:val="18"/>
                <w:szCs w:val="18"/>
              </w:rPr>
            </w:pPr>
            <w:r>
              <w:rPr>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6" w:type="pct"/>
            <w:vAlign w:val="center"/>
          </w:tcPr>
          <w:p>
            <w:pPr>
              <w:spacing w:line="360" w:lineRule="auto"/>
              <w:jc w:val="center"/>
              <w:rPr>
                <w:sz w:val="18"/>
                <w:szCs w:val="18"/>
              </w:rPr>
            </w:pPr>
            <w:r>
              <w:rPr>
                <w:rFonts w:hint="eastAsia"/>
                <w:sz w:val="18"/>
                <w:szCs w:val="18"/>
              </w:rPr>
              <w:t>1</w:t>
            </w:r>
          </w:p>
        </w:tc>
        <w:tc>
          <w:tcPr>
            <w:tcW w:w="1937" w:type="pct"/>
          </w:tcPr>
          <w:p>
            <w:pPr>
              <w:spacing w:line="360" w:lineRule="auto"/>
              <w:rPr>
                <w:sz w:val="18"/>
                <w:szCs w:val="18"/>
              </w:rPr>
            </w:pPr>
            <w:r>
              <w:rPr>
                <w:rFonts w:hint="eastAsia"/>
                <w:sz w:val="18"/>
                <w:szCs w:val="18"/>
              </w:rPr>
              <w:t>能够从系统总体角度掌握智能仪器的基本组成、工作原理和设计方法；</w:t>
            </w:r>
          </w:p>
        </w:tc>
        <w:tc>
          <w:tcPr>
            <w:tcW w:w="2697" w:type="pct"/>
          </w:tcPr>
          <w:p>
            <w:pPr>
              <w:spacing w:line="360" w:lineRule="auto"/>
              <w:rPr>
                <w:sz w:val="18"/>
                <w:szCs w:val="18"/>
              </w:rPr>
            </w:pPr>
            <w:r>
              <w:rPr>
                <w:rFonts w:hint="eastAsia"/>
                <w:b/>
                <w:sz w:val="18"/>
                <w:szCs w:val="18"/>
              </w:rPr>
              <w:t>指标点1-1 知识体系</w:t>
            </w:r>
            <w:r>
              <w:rPr>
                <w:rFonts w:hint="eastAsia"/>
                <w:sz w:val="18"/>
                <w:szCs w:val="18"/>
              </w:rPr>
              <w:t>：</w:t>
            </w:r>
            <w:r>
              <w:rPr>
                <w:bCs/>
                <w:sz w:val="18"/>
                <w:szCs w:val="18"/>
              </w:rPr>
              <w:t>具备本专业相关的数学、自然科学、计算机和电子学工程基础及传感、控制等多方面的知识。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6" w:type="pct"/>
            <w:vAlign w:val="center"/>
          </w:tcPr>
          <w:p>
            <w:pPr>
              <w:spacing w:line="360" w:lineRule="auto"/>
              <w:jc w:val="center"/>
              <w:rPr>
                <w:sz w:val="18"/>
                <w:szCs w:val="18"/>
              </w:rPr>
            </w:pPr>
            <w:r>
              <w:rPr>
                <w:rFonts w:hint="eastAsia"/>
                <w:sz w:val="18"/>
                <w:szCs w:val="18"/>
              </w:rPr>
              <w:t>2</w:t>
            </w:r>
          </w:p>
        </w:tc>
        <w:tc>
          <w:tcPr>
            <w:tcW w:w="1937" w:type="pct"/>
          </w:tcPr>
          <w:p>
            <w:pPr>
              <w:spacing w:line="360" w:lineRule="auto"/>
              <w:rPr>
                <w:sz w:val="18"/>
                <w:szCs w:val="18"/>
              </w:rPr>
            </w:pPr>
            <w:r>
              <w:rPr>
                <w:rFonts w:hint="eastAsia"/>
                <w:sz w:val="18"/>
                <w:szCs w:val="18"/>
              </w:rPr>
              <w:t>能够利用单片机设计智能仪器的主控及外围电路；</w:t>
            </w:r>
          </w:p>
        </w:tc>
        <w:tc>
          <w:tcPr>
            <w:tcW w:w="2697" w:type="pct"/>
          </w:tcPr>
          <w:p>
            <w:pPr>
              <w:widowControl/>
              <w:spacing w:line="360" w:lineRule="auto"/>
              <w:textAlignment w:val="top"/>
              <w:rPr>
                <w:sz w:val="18"/>
                <w:szCs w:val="18"/>
              </w:rPr>
            </w:pPr>
            <w:r>
              <w:rPr>
                <w:rFonts w:hint="eastAsia" w:ascii="宋体" w:hAnsi="宋体" w:cs="宋体"/>
                <w:b/>
                <w:color w:val="000000"/>
                <w:sz w:val="18"/>
                <w:szCs w:val="18"/>
              </w:rPr>
              <w:t>指标点</w:t>
            </w:r>
            <w:r>
              <w:rPr>
                <w:b/>
                <w:color w:val="000000"/>
                <w:sz w:val="18"/>
                <w:szCs w:val="18"/>
              </w:rPr>
              <w:t xml:space="preserve">3-1 </w:t>
            </w:r>
            <w:r>
              <w:rPr>
                <w:rFonts w:hint="eastAsia" w:ascii="宋体" w:hAnsi="宋体" w:cs="宋体"/>
                <w:b/>
                <w:color w:val="000000"/>
                <w:sz w:val="18"/>
                <w:szCs w:val="18"/>
              </w:rPr>
              <w:t>按需设计</w:t>
            </w:r>
            <w:r>
              <w:rPr>
                <w:rFonts w:hint="eastAsia" w:ascii="宋体" w:hAnsi="宋体" w:cs="宋体"/>
                <w:color w:val="000000"/>
                <w:sz w:val="18"/>
                <w:szCs w:val="18"/>
              </w:rPr>
              <w:t>：</w:t>
            </w:r>
            <w:r>
              <w:rPr>
                <w:bCs/>
                <w:sz w:val="18"/>
                <w:szCs w:val="18"/>
              </w:rPr>
              <w:t>能够根据用户特定需求设计复杂工程问题的解决方案，设计相关的信息处理系统、智能控制系统以及工艺流程，并能够针对方案进行优化选择。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6" w:type="pct"/>
            <w:vAlign w:val="center"/>
          </w:tcPr>
          <w:p>
            <w:pPr>
              <w:spacing w:line="360" w:lineRule="auto"/>
              <w:jc w:val="center"/>
              <w:rPr>
                <w:sz w:val="18"/>
                <w:szCs w:val="18"/>
              </w:rPr>
            </w:pPr>
            <w:r>
              <w:rPr>
                <w:rFonts w:hint="eastAsia"/>
                <w:sz w:val="18"/>
                <w:szCs w:val="18"/>
              </w:rPr>
              <w:t>3</w:t>
            </w:r>
          </w:p>
        </w:tc>
        <w:tc>
          <w:tcPr>
            <w:tcW w:w="1937" w:type="pct"/>
          </w:tcPr>
          <w:p>
            <w:pPr>
              <w:spacing w:line="360" w:lineRule="auto"/>
              <w:rPr>
                <w:sz w:val="18"/>
                <w:szCs w:val="18"/>
              </w:rPr>
            </w:pPr>
            <w:r>
              <w:rPr>
                <w:rFonts w:hint="eastAsia" w:ascii="宋体" w:hAnsi="宋体" w:cs="宋体"/>
                <w:kern w:val="0"/>
                <w:sz w:val="18"/>
                <w:szCs w:val="18"/>
              </w:rPr>
              <w:t>能够熟练掌握Keil、IAR等单片机开发软件</w:t>
            </w:r>
            <w:r>
              <w:rPr>
                <w:rFonts w:hint="eastAsia"/>
                <w:sz w:val="18"/>
                <w:szCs w:val="18"/>
              </w:rPr>
              <w:t>的使用方法，用“软件设计硬件”的方法来解决实际问题，提高仪器的智能化水平。</w:t>
            </w:r>
          </w:p>
        </w:tc>
        <w:tc>
          <w:tcPr>
            <w:tcW w:w="2697" w:type="pct"/>
          </w:tcPr>
          <w:p>
            <w:pPr>
              <w:spacing w:line="360" w:lineRule="auto"/>
              <w:rPr>
                <w:sz w:val="18"/>
                <w:szCs w:val="18"/>
              </w:rPr>
            </w:pPr>
            <w:r>
              <w:rPr>
                <w:rFonts w:hint="eastAsia"/>
                <w:b/>
                <w:sz w:val="18"/>
                <w:szCs w:val="18"/>
              </w:rPr>
              <w:t>指标点5-2专业工具使用</w:t>
            </w:r>
            <w:r>
              <w:rPr>
                <w:rFonts w:hint="eastAsia"/>
                <w:sz w:val="18"/>
                <w:szCs w:val="18"/>
              </w:rPr>
              <w:t>：</w:t>
            </w:r>
            <w:r>
              <w:rPr>
                <w:bCs/>
                <w:sz w:val="18"/>
                <w:szCs w:val="18"/>
              </w:rPr>
              <w:t>能使用工具对智能信息处理或控制系统进行设计和仿真，确定功能和相关设计参数。</w:t>
            </w:r>
          </w:p>
        </w:tc>
      </w:tr>
    </w:tbl>
    <w:p>
      <w:pPr>
        <w:spacing w:line="360" w:lineRule="auto"/>
        <w:rPr>
          <w:szCs w:val="21"/>
        </w:rPr>
      </w:pPr>
    </w:p>
    <w:p>
      <w:pPr>
        <w:tabs>
          <w:tab w:val="left" w:pos="420"/>
        </w:tabs>
        <w:adjustRightInd w:val="0"/>
        <w:snapToGrid w:val="0"/>
        <w:spacing w:line="360" w:lineRule="auto"/>
        <w:ind w:left="420" w:hanging="420"/>
        <w:rPr>
          <w:rFonts w:eastAsia="黑体"/>
          <w:szCs w:val="21"/>
        </w:rPr>
      </w:pPr>
      <w:r>
        <w:rPr>
          <w:rFonts w:hint="eastAsia" w:eastAsia="黑体"/>
          <w:szCs w:val="21"/>
        </w:rPr>
        <w:t>三、基本要求</w:t>
      </w:r>
    </w:p>
    <w:p>
      <w:pPr>
        <w:spacing w:line="360" w:lineRule="auto"/>
        <w:ind w:firstLine="420" w:firstLineChars="200"/>
        <w:rPr>
          <w:szCs w:val="21"/>
        </w:rPr>
      </w:pPr>
      <w:r>
        <w:rPr>
          <w:rFonts w:hint="eastAsia"/>
          <w:szCs w:val="21"/>
        </w:rPr>
        <w:t>1、本课程为专业教育课，要求先修模拟电子技术、数字电子技术、微机原理及接口技术、单片机原理及应用等课程，在教学中注意与先修课程结合，以先修课程为基础重点从系统总体角度讲解测控仪器设计的方法与技巧，培养学生面对本专业复杂工程问题的方案设计能力。</w:t>
      </w:r>
    </w:p>
    <w:p>
      <w:pPr>
        <w:spacing w:line="360" w:lineRule="auto"/>
        <w:ind w:firstLine="420" w:firstLineChars="200"/>
        <w:rPr>
          <w:szCs w:val="21"/>
        </w:rPr>
      </w:pPr>
      <w:r>
        <w:rPr>
          <w:szCs w:val="21"/>
        </w:rPr>
        <w:t>2</w:t>
      </w:r>
      <w:r>
        <w:rPr>
          <w:rFonts w:hint="eastAsia"/>
          <w:szCs w:val="21"/>
        </w:rPr>
        <w:t>、注重培养和提高学生的综合集成设计能力，课堂讲述与设计实例紧密结合，因此应重点培养学生实际操作、灵活运用知识的能力，把理论知识运用到实际设计中去的技能。</w:t>
      </w:r>
    </w:p>
    <w:p>
      <w:pPr>
        <w:spacing w:line="360" w:lineRule="auto"/>
        <w:ind w:firstLine="420" w:firstLineChars="200"/>
        <w:rPr>
          <w:szCs w:val="21"/>
        </w:rPr>
      </w:pPr>
      <w:r>
        <w:rPr>
          <w:szCs w:val="21"/>
        </w:rPr>
        <w:t>3</w:t>
      </w:r>
      <w:r>
        <w:rPr>
          <w:rFonts w:hint="eastAsia"/>
          <w:szCs w:val="21"/>
        </w:rPr>
        <w:t>、本课程是一门实践性很强的课程，要求学生通过实验环节把所学的内容巩固和掌握，要求教学和实验交替进行。</w:t>
      </w:r>
    </w:p>
    <w:p>
      <w:pPr>
        <w:spacing w:line="360" w:lineRule="auto"/>
        <w:ind w:firstLine="420" w:firstLineChars="200"/>
        <w:rPr>
          <w:szCs w:val="21"/>
        </w:rPr>
      </w:pPr>
      <w:r>
        <w:rPr>
          <w:szCs w:val="21"/>
        </w:rPr>
        <w:t>4</w:t>
      </w:r>
      <w:r>
        <w:rPr>
          <w:rFonts w:hint="eastAsia"/>
          <w:szCs w:val="21"/>
        </w:rPr>
        <w:t>、深度和广度说明：</w:t>
      </w:r>
      <w:r>
        <w:rPr>
          <w:rFonts w:hint="eastAsia"/>
        </w:rPr>
        <w:t>输入/输出通道均对模拟通道设计进行深入讲解；人机接口技术对键盘和LCD显示设计进行深入讲解；通信接口技术对USB通信进行深入讲解；数据处理技术对查表和数字滤波算法进行深入讲解；智能仪器的设计方法及实例对压力测量进行深入讲解。硬件设计中，以系统总体角度建立仪器为主；软件设计中，以理解算法思想为主。</w:t>
      </w:r>
    </w:p>
    <w:p>
      <w:pPr>
        <w:spacing w:line="360" w:lineRule="auto"/>
        <w:ind w:firstLine="420" w:firstLineChars="200"/>
        <w:rPr>
          <w:szCs w:val="21"/>
        </w:rPr>
      </w:pPr>
      <w:r>
        <w:rPr>
          <w:szCs w:val="21"/>
        </w:rPr>
        <w:t>5、偏差说明：为了鼓励教师引入个人授课风格或者适应技术发展的紧迫性，本课程允许教师授课内容做适当调整，最大正偏差为</w:t>
      </w:r>
      <w:r>
        <w:rPr>
          <w:rFonts w:hint="eastAsia"/>
          <w:szCs w:val="21"/>
        </w:rPr>
        <w:t>10%，不允许负偏差。正偏差通过压缩同等内容的学时数来完成。特殊情况，最大正偏差和置换偏差累计可达到20%，但在开课前要申请专业责任人批准。（正偏差指大纲知识点不变，新增知识点；负偏差是大纲知识点减少；置换偏差是指大纲中部分知识点被其它类似知识点替换）。</w:t>
      </w:r>
    </w:p>
    <w:p>
      <w:pPr>
        <w:spacing w:line="360" w:lineRule="auto"/>
        <w:ind w:firstLine="420" w:firstLineChars="200"/>
        <w:rPr>
          <w:szCs w:val="21"/>
        </w:rPr>
      </w:pPr>
    </w:p>
    <w:p>
      <w:pPr>
        <w:tabs>
          <w:tab w:val="left" w:pos="420"/>
        </w:tabs>
        <w:spacing w:line="360" w:lineRule="auto"/>
        <w:ind w:left="420" w:hanging="420"/>
        <w:rPr>
          <w:rFonts w:eastAsia="黑体"/>
          <w:szCs w:val="21"/>
        </w:rPr>
      </w:pPr>
      <w:r>
        <w:rPr>
          <w:rFonts w:hint="eastAsia" w:eastAsia="黑体"/>
          <w:szCs w:val="21"/>
        </w:rPr>
        <w:t>四、教学内容和教学方法</w:t>
      </w:r>
    </w:p>
    <w:p>
      <w:pPr>
        <w:spacing w:line="360" w:lineRule="auto"/>
        <w:ind w:firstLine="420" w:firstLineChars="200"/>
        <w:rPr>
          <w:szCs w:val="21"/>
        </w:rPr>
      </w:pPr>
      <w:r>
        <w:rPr>
          <w:rFonts w:hint="eastAsia"/>
          <w:szCs w:val="21"/>
        </w:rPr>
        <w:t>本课程重点讲授的内容包括：输入/输出通道及接口技术、人机接口技术、通信接口技术、数据处理技术、智能仪器的设计方法及实例。</w:t>
      </w:r>
    </w:p>
    <w:p>
      <w:pPr>
        <w:spacing w:line="360" w:lineRule="auto"/>
        <w:ind w:firstLine="420" w:firstLineChars="200"/>
        <w:rPr>
          <w:szCs w:val="21"/>
        </w:rPr>
      </w:pPr>
      <w:r>
        <w:rPr>
          <w:szCs w:val="21"/>
        </w:rPr>
        <w:t>本课程在教学方法上，充分利用各种媒体教学手段，采取课堂教学、多媒体课件、验证性实验、课外分组实验方式有机结合，提高教学效率。</w:t>
      </w:r>
    </w:p>
    <w:p>
      <w:pPr>
        <w:spacing w:line="360" w:lineRule="auto"/>
        <w:ind w:firstLine="420" w:firstLineChars="200"/>
        <w:rPr>
          <w:szCs w:val="21"/>
        </w:rPr>
      </w:pPr>
      <w:r>
        <w:rPr>
          <w:rFonts w:hint="eastAsia"/>
          <w:szCs w:val="21"/>
        </w:rPr>
        <w:t>单片机</w:t>
      </w:r>
      <w:r>
        <w:rPr>
          <w:szCs w:val="21"/>
        </w:rPr>
        <w:t>等微控制器</w:t>
      </w:r>
      <w:r>
        <w:rPr>
          <w:rFonts w:hint="eastAsia"/>
          <w:szCs w:val="21"/>
        </w:rPr>
        <w:t>在数字逻辑系统设计、集成电路设计中占有非常重要的地位，因此教师要重点讲授以使学生完全掌握。</w:t>
      </w:r>
    </w:p>
    <w:p>
      <w:pPr>
        <w:spacing w:line="360" w:lineRule="auto"/>
        <w:ind w:firstLine="420" w:firstLineChars="200"/>
        <w:rPr>
          <w:szCs w:val="21"/>
        </w:rPr>
      </w:pPr>
      <w:r>
        <w:rPr>
          <w:rFonts w:hint="eastAsia"/>
          <w:szCs w:val="21"/>
        </w:rPr>
        <w:t>为了提高学生的学习兴趣，并取得良好的教学效果，教师在知识讲解的过程中要充分利用问题引导、案例分析等多种教学方法，以进一步提高教学质量。</w:t>
      </w:r>
    </w:p>
    <w:p>
      <w:pPr>
        <w:adjustRightInd w:val="0"/>
        <w:snapToGrid w:val="0"/>
        <w:spacing w:line="360" w:lineRule="auto"/>
        <w:ind w:firstLine="420" w:firstLineChars="200"/>
        <w:rPr>
          <w:rFonts w:eastAsia="黑体"/>
        </w:rPr>
      </w:pPr>
      <w:r>
        <w:rPr>
          <w:rFonts w:eastAsia="黑体"/>
        </w:rPr>
        <w:t>1  绪论（1学时）</w:t>
      </w:r>
    </w:p>
    <w:p>
      <w:pPr>
        <w:adjustRightInd w:val="0"/>
        <w:snapToGrid w:val="0"/>
        <w:spacing w:line="360" w:lineRule="auto"/>
        <w:ind w:firstLine="454"/>
      </w:pPr>
      <w:r>
        <w:t>1.1、了解从传统仪器到智能仪器的变化；</w:t>
      </w:r>
    </w:p>
    <w:p>
      <w:pPr>
        <w:adjustRightInd w:val="0"/>
        <w:snapToGrid w:val="0"/>
        <w:spacing w:line="360" w:lineRule="auto"/>
        <w:ind w:firstLine="454"/>
      </w:pPr>
      <w:r>
        <w:t>1.2、理解智能仪器的基本结构与特点；</w:t>
      </w:r>
    </w:p>
    <w:p>
      <w:pPr>
        <w:adjustRightInd w:val="0"/>
        <w:snapToGrid w:val="0"/>
        <w:spacing w:line="360" w:lineRule="auto"/>
        <w:ind w:firstLine="454"/>
      </w:pPr>
      <w:r>
        <w:t>1.3、理解推动智能仪器发展的主要技术。</w:t>
      </w:r>
    </w:p>
    <w:p>
      <w:pPr>
        <w:adjustRightInd w:val="0"/>
        <w:snapToGrid w:val="0"/>
        <w:spacing w:line="360" w:lineRule="auto"/>
        <w:ind w:firstLine="420" w:firstLineChars="200"/>
        <w:rPr>
          <w:bCs/>
          <w:snapToGrid w:val="0"/>
          <w:kern w:val="0"/>
          <w:szCs w:val="21"/>
        </w:rPr>
      </w:pPr>
      <w:r>
        <w:rPr>
          <w:bCs/>
          <w:snapToGrid w:val="0"/>
          <w:kern w:val="0"/>
          <w:szCs w:val="21"/>
        </w:rPr>
        <w:t>本章内容支撑课程目标1。</w:t>
      </w:r>
    </w:p>
    <w:p>
      <w:pPr>
        <w:adjustRightInd w:val="0"/>
        <w:snapToGrid w:val="0"/>
        <w:spacing w:line="360" w:lineRule="auto"/>
        <w:ind w:firstLine="454"/>
        <w:rPr>
          <w:rFonts w:eastAsia="黑体"/>
        </w:rPr>
      </w:pPr>
      <w:r>
        <w:rPr>
          <w:rFonts w:eastAsia="黑体"/>
        </w:rPr>
        <w:t>2  智能仪器中的微处理器（1学时）</w:t>
      </w:r>
    </w:p>
    <w:p>
      <w:pPr>
        <w:adjustRightInd w:val="0"/>
        <w:snapToGrid w:val="0"/>
        <w:spacing w:line="360" w:lineRule="auto"/>
        <w:ind w:firstLine="454"/>
      </w:pPr>
      <w:r>
        <w:t>2.1、了解单片机的选择原则；</w:t>
      </w:r>
    </w:p>
    <w:p>
      <w:pPr>
        <w:adjustRightInd w:val="0"/>
        <w:snapToGrid w:val="0"/>
        <w:spacing w:line="360" w:lineRule="auto"/>
        <w:ind w:firstLine="454"/>
      </w:pPr>
      <w:r>
        <w:t>2.2、掌握MCS-51系列单片机的分类、结构组成及特点；（重点）</w:t>
      </w:r>
    </w:p>
    <w:p>
      <w:pPr>
        <w:adjustRightInd w:val="0"/>
        <w:snapToGrid w:val="0"/>
        <w:spacing w:line="360" w:lineRule="auto"/>
        <w:ind w:firstLine="454"/>
      </w:pPr>
      <w:r>
        <w:t>2.3、了解PIC系列单片机的分类及特点；</w:t>
      </w:r>
    </w:p>
    <w:p>
      <w:pPr>
        <w:adjustRightInd w:val="0"/>
        <w:snapToGrid w:val="0"/>
        <w:spacing w:line="360" w:lineRule="auto"/>
        <w:ind w:firstLine="454"/>
      </w:pPr>
      <w:r>
        <w:t>2.4、了解MSP-430系列单片机的分类及特点；</w:t>
      </w:r>
    </w:p>
    <w:p>
      <w:pPr>
        <w:adjustRightInd w:val="0"/>
        <w:snapToGrid w:val="0"/>
        <w:spacing w:line="360" w:lineRule="auto"/>
        <w:ind w:firstLine="454"/>
      </w:pPr>
      <w:r>
        <w:t>2.5、了解ARM的特点及其在智能仪器中的应用；</w:t>
      </w:r>
    </w:p>
    <w:p>
      <w:pPr>
        <w:adjustRightInd w:val="0"/>
        <w:snapToGrid w:val="0"/>
        <w:spacing w:line="360" w:lineRule="auto"/>
        <w:ind w:firstLine="420" w:firstLineChars="200"/>
      </w:pPr>
      <w:r>
        <w:t>2.6、了解DSP的特点及其在智能仪器中的应用。</w:t>
      </w:r>
    </w:p>
    <w:p>
      <w:pPr>
        <w:adjustRightInd w:val="0"/>
        <w:snapToGrid w:val="0"/>
        <w:spacing w:line="360" w:lineRule="auto"/>
        <w:ind w:firstLine="420" w:firstLineChars="200"/>
        <w:rPr>
          <w:bCs/>
          <w:snapToGrid w:val="0"/>
          <w:kern w:val="0"/>
          <w:szCs w:val="21"/>
        </w:rPr>
      </w:pPr>
      <w:r>
        <w:rPr>
          <w:bCs/>
          <w:snapToGrid w:val="0"/>
          <w:kern w:val="0"/>
          <w:szCs w:val="21"/>
        </w:rPr>
        <w:t>本章内容支撑课程目标2、3。</w:t>
      </w:r>
    </w:p>
    <w:p>
      <w:pPr>
        <w:adjustRightInd w:val="0"/>
        <w:snapToGrid w:val="0"/>
        <w:spacing w:line="360" w:lineRule="auto"/>
        <w:ind w:firstLine="454"/>
        <w:rPr>
          <w:rFonts w:eastAsia="黑体"/>
        </w:rPr>
      </w:pPr>
      <w:r>
        <w:rPr>
          <w:rFonts w:eastAsia="黑体"/>
        </w:rPr>
        <w:t>3  智能仪器的输入通道及接口技术（2学时）</w:t>
      </w:r>
    </w:p>
    <w:p>
      <w:pPr>
        <w:adjustRightInd w:val="0"/>
        <w:snapToGrid w:val="0"/>
        <w:spacing w:line="360" w:lineRule="auto"/>
        <w:ind w:firstLine="454"/>
      </w:pPr>
      <w:r>
        <w:t>3.1、了解放大器原理及设计方法；</w:t>
      </w:r>
    </w:p>
    <w:p>
      <w:pPr>
        <w:adjustRightInd w:val="0"/>
        <w:snapToGrid w:val="0"/>
        <w:spacing w:line="360" w:lineRule="auto"/>
        <w:ind w:firstLine="454"/>
      </w:pPr>
      <w:r>
        <w:t>3.2、理解多路转换器原理及设计方法；</w:t>
      </w:r>
    </w:p>
    <w:p>
      <w:pPr>
        <w:adjustRightInd w:val="0"/>
        <w:snapToGrid w:val="0"/>
        <w:spacing w:line="360" w:lineRule="auto"/>
        <w:ind w:firstLine="454"/>
      </w:pPr>
      <w:r>
        <w:t>3.3、掌握采样保持器原理及设计方法；（重点）</w:t>
      </w:r>
    </w:p>
    <w:p>
      <w:pPr>
        <w:adjustRightInd w:val="0"/>
        <w:snapToGrid w:val="0"/>
        <w:spacing w:line="360" w:lineRule="auto"/>
        <w:ind w:firstLine="454"/>
      </w:pPr>
      <w:r>
        <w:t>3.4、理解A/D转换器原理、技术指标及选择原则；（难点）</w:t>
      </w:r>
    </w:p>
    <w:p>
      <w:pPr>
        <w:adjustRightInd w:val="0"/>
        <w:snapToGrid w:val="0"/>
        <w:spacing w:line="360" w:lineRule="auto"/>
        <w:ind w:firstLine="454"/>
      </w:pPr>
      <w:r>
        <w:t>3.5、掌握逐次逼近型A/D转换器及其接口设计。</w:t>
      </w:r>
    </w:p>
    <w:p>
      <w:pPr>
        <w:adjustRightInd w:val="0"/>
        <w:snapToGrid w:val="0"/>
        <w:spacing w:line="360" w:lineRule="auto"/>
        <w:ind w:firstLine="420" w:firstLineChars="200"/>
        <w:rPr>
          <w:bCs/>
          <w:snapToGrid w:val="0"/>
          <w:kern w:val="0"/>
          <w:szCs w:val="21"/>
        </w:rPr>
      </w:pPr>
      <w:r>
        <w:rPr>
          <w:bCs/>
          <w:snapToGrid w:val="0"/>
          <w:kern w:val="0"/>
          <w:szCs w:val="21"/>
        </w:rPr>
        <w:t>本章内容支撑课程目标2。</w:t>
      </w:r>
    </w:p>
    <w:p>
      <w:pPr>
        <w:adjustRightInd w:val="0"/>
        <w:snapToGrid w:val="0"/>
        <w:spacing w:line="360" w:lineRule="auto"/>
        <w:ind w:firstLine="454"/>
        <w:rPr>
          <w:rFonts w:eastAsia="黑体"/>
        </w:rPr>
      </w:pPr>
      <w:r>
        <w:rPr>
          <w:rFonts w:eastAsia="黑体"/>
        </w:rPr>
        <w:t>4  智能仪器的输出通道及接口技术（2学时）</w:t>
      </w:r>
    </w:p>
    <w:p>
      <w:pPr>
        <w:adjustRightInd w:val="0"/>
        <w:snapToGrid w:val="0"/>
        <w:spacing w:line="360" w:lineRule="auto"/>
        <w:ind w:firstLine="454"/>
      </w:pPr>
      <w:r>
        <w:t>4.1、了解输出通道的结构及特点；</w:t>
      </w:r>
    </w:p>
    <w:p>
      <w:pPr>
        <w:adjustRightInd w:val="0"/>
        <w:snapToGrid w:val="0"/>
        <w:spacing w:line="360" w:lineRule="auto"/>
        <w:ind w:firstLine="454"/>
      </w:pPr>
      <w:r>
        <w:t>4.2、理解D/A转换器原理及技术指标；（难点）</w:t>
      </w:r>
    </w:p>
    <w:p>
      <w:pPr>
        <w:adjustRightInd w:val="0"/>
        <w:snapToGrid w:val="0"/>
        <w:spacing w:line="360" w:lineRule="auto"/>
        <w:ind w:firstLine="454"/>
      </w:pPr>
      <w:r>
        <w:t>4.3、掌握集成D/A转换器及其接口设计；</w:t>
      </w:r>
    </w:p>
    <w:p>
      <w:pPr>
        <w:adjustRightInd w:val="0"/>
        <w:snapToGrid w:val="0"/>
        <w:spacing w:line="360" w:lineRule="auto"/>
        <w:ind w:firstLine="454"/>
      </w:pPr>
      <w:r>
        <w:t>4.4、掌握数字量输出接口设计。（重点）</w:t>
      </w:r>
    </w:p>
    <w:p>
      <w:pPr>
        <w:adjustRightInd w:val="0"/>
        <w:snapToGrid w:val="0"/>
        <w:spacing w:line="360" w:lineRule="auto"/>
        <w:ind w:firstLine="420" w:firstLineChars="200"/>
        <w:rPr>
          <w:bCs/>
          <w:snapToGrid w:val="0"/>
          <w:kern w:val="0"/>
          <w:szCs w:val="21"/>
        </w:rPr>
      </w:pPr>
      <w:r>
        <w:rPr>
          <w:bCs/>
          <w:snapToGrid w:val="0"/>
          <w:kern w:val="0"/>
          <w:szCs w:val="21"/>
        </w:rPr>
        <w:t>本章内容支撑课程目标2。</w:t>
      </w:r>
    </w:p>
    <w:p>
      <w:pPr>
        <w:adjustRightInd w:val="0"/>
        <w:snapToGrid w:val="0"/>
        <w:spacing w:line="360" w:lineRule="auto"/>
        <w:ind w:firstLine="454"/>
        <w:rPr>
          <w:rFonts w:eastAsia="黑体"/>
        </w:rPr>
      </w:pPr>
      <w:r>
        <w:rPr>
          <w:rFonts w:eastAsia="黑体"/>
        </w:rPr>
        <w:t>5  智能仪器的人机接口技术（2学时）</w:t>
      </w:r>
    </w:p>
    <w:p>
      <w:pPr>
        <w:adjustRightInd w:val="0"/>
        <w:snapToGrid w:val="0"/>
        <w:spacing w:line="360" w:lineRule="auto"/>
        <w:ind w:firstLine="454"/>
      </w:pPr>
      <w:r>
        <w:t>5.1、了解键盘处理与接口设计；</w:t>
      </w:r>
    </w:p>
    <w:p>
      <w:pPr>
        <w:adjustRightInd w:val="0"/>
        <w:snapToGrid w:val="0"/>
        <w:spacing w:line="360" w:lineRule="auto"/>
        <w:ind w:firstLine="454"/>
      </w:pPr>
      <w:r>
        <w:t>5.2、掌握LED显示处理及接口设计；</w:t>
      </w:r>
    </w:p>
    <w:p>
      <w:pPr>
        <w:adjustRightInd w:val="0"/>
        <w:snapToGrid w:val="0"/>
        <w:spacing w:line="360" w:lineRule="auto"/>
        <w:ind w:firstLine="454"/>
      </w:pPr>
      <w:r>
        <w:t>5.3、掌握LCD显示处理及接口设计；（重点）</w:t>
      </w:r>
    </w:p>
    <w:p>
      <w:pPr>
        <w:adjustRightInd w:val="0"/>
        <w:snapToGrid w:val="0"/>
        <w:spacing w:line="360" w:lineRule="auto"/>
        <w:ind w:firstLine="454"/>
      </w:pPr>
      <w:r>
        <w:t>5.4、掌握触摸屏处理及接口设计。（难点）</w:t>
      </w:r>
    </w:p>
    <w:p>
      <w:pPr>
        <w:adjustRightInd w:val="0"/>
        <w:snapToGrid w:val="0"/>
        <w:spacing w:line="360" w:lineRule="auto"/>
        <w:ind w:firstLine="420" w:firstLineChars="200"/>
        <w:rPr>
          <w:bCs/>
          <w:snapToGrid w:val="0"/>
          <w:kern w:val="0"/>
          <w:szCs w:val="21"/>
        </w:rPr>
      </w:pPr>
      <w:r>
        <w:rPr>
          <w:bCs/>
          <w:snapToGrid w:val="0"/>
          <w:kern w:val="0"/>
          <w:szCs w:val="21"/>
        </w:rPr>
        <w:t>本章内容支撑课程目标2。</w:t>
      </w:r>
    </w:p>
    <w:p>
      <w:pPr>
        <w:adjustRightInd w:val="0"/>
        <w:snapToGrid w:val="0"/>
        <w:spacing w:line="360" w:lineRule="auto"/>
        <w:ind w:firstLine="454"/>
        <w:rPr>
          <w:rFonts w:eastAsia="黑体"/>
        </w:rPr>
      </w:pPr>
      <w:r>
        <w:rPr>
          <w:rFonts w:eastAsia="黑体"/>
        </w:rPr>
        <w:t>6  智能仪器的通信接口技术（2学时）</w:t>
      </w:r>
    </w:p>
    <w:p>
      <w:pPr>
        <w:adjustRightInd w:val="0"/>
        <w:snapToGrid w:val="0"/>
        <w:spacing w:line="360" w:lineRule="auto"/>
        <w:ind w:firstLine="454"/>
      </w:pPr>
      <w:r>
        <w:t>6.1、了解数据通信基础知识；</w:t>
      </w:r>
    </w:p>
    <w:p>
      <w:pPr>
        <w:adjustRightInd w:val="0"/>
        <w:snapToGrid w:val="0"/>
        <w:spacing w:line="360" w:lineRule="auto"/>
        <w:ind w:firstLine="454"/>
      </w:pPr>
      <w:r>
        <w:t>6.2、理解串行通信原理及接口设计；</w:t>
      </w:r>
    </w:p>
    <w:p>
      <w:pPr>
        <w:adjustRightInd w:val="0"/>
        <w:snapToGrid w:val="0"/>
        <w:spacing w:line="360" w:lineRule="auto"/>
        <w:ind w:firstLine="454"/>
      </w:pPr>
      <w:r>
        <w:t>6.3、掌握USB通信原理及接口设计；（重点、难点）</w:t>
      </w:r>
    </w:p>
    <w:p>
      <w:pPr>
        <w:adjustRightInd w:val="0"/>
        <w:snapToGrid w:val="0"/>
        <w:spacing w:line="360" w:lineRule="auto"/>
        <w:ind w:firstLine="454"/>
      </w:pPr>
      <w:r>
        <w:t>6.4、了解其他通信接口技术。</w:t>
      </w:r>
    </w:p>
    <w:p>
      <w:pPr>
        <w:adjustRightInd w:val="0"/>
        <w:snapToGrid w:val="0"/>
        <w:spacing w:line="360" w:lineRule="auto"/>
        <w:ind w:firstLine="420" w:firstLineChars="200"/>
        <w:rPr>
          <w:bCs/>
          <w:snapToGrid w:val="0"/>
          <w:kern w:val="0"/>
          <w:szCs w:val="21"/>
        </w:rPr>
      </w:pPr>
      <w:r>
        <w:rPr>
          <w:bCs/>
          <w:snapToGrid w:val="0"/>
          <w:kern w:val="0"/>
          <w:szCs w:val="21"/>
        </w:rPr>
        <w:t>本章内容支撑课程目标2。</w:t>
      </w:r>
    </w:p>
    <w:p>
      <w:pPr>
        <w:adjustRightInd w:val="0"/>
        <w:snapToGrid w:val="0"/>
        <w:spacing w:line="360" w:lineRule="auto"/>
        <w:ind w:firstLine="454"/>
        <w:rPr>
          <w:rFonts w:eastAsia="黑体"/>
        </w:rPr>
      </w:pPr>
      <w:r>
        <w:rPr>
          <w:rFonts w:eastAsia="黑体"/>
        </w:rPr>
        <w:t>7  智能仪器的自检及抗干扰技术（2学时）</w:t>
      </w:r>
    </w:p>
    <w:p>
      <w:pPr>
        <w:adjustRightInd w:val="0"/>
        <w:snapToGrid w:val="0"/>
        <w:spacing w:line="360" w:lineRule="auto"/>
        <w:ind w:firstLine="454"/>
      </w:pPr>
      <w:r>
        <w:t>7.1、了解智能仪器的硬件自检方式及算法；</w:t>
      </w:r>
    </w:p>
    <w:p>
      <w:pPr>
        <w:adjustRightInd w:val="0"/>
        <w:snapToGrid w:val="0"/>
        <w:spacing w:line="360" w:lineRule="auto"/>
        <w:ind w:firstLine="454"/>
      </w:pPr>
      <w:r>
        <w:t>7.2、了解智能仪器的常见干扰源；</w:t>
      </w:r>
    </w:p>
    <w:p>
      <w:pPr>
        <w:adjustRightInd w:val="0"/>
        <w:snapToGrid w:val="0"/>
        <w:spacing w:line="360" w:lineRule="auto"/>
        <w:ind w:firstLine="454"/>
      </w:pPr>
      <w:r>
        <w:t>7.3、掌握智能仪器的硬件抗干扰技术；（重点）</w:t>
      </w:r>
    </w:p>
    <w:p>
      <w:pPr>
        <w:adjustRightInd w:val="0"/>
        <w:snapToGrid w:val="0"/>
        <w:spacing w:line="360" w:lineRule="auto"/>
        <w:ind w:firstLine="454"/>
      </w:pPr>
      <w:r>
        <w:t>7.4、掌握智能仪器的软件抗干扰技术。（重点）</w:t>
      </w:r>
    </w:p>
    <w:p>
      <w:pPr>
        <w:adjustRightInd w:val="0"/>
        <w:snapToGrid w:val="0"/>
        <w:spacing w:line="360" w:lineRule="auto"/>
        <w:ind w:firstLine="420" w:firstLineChars="200"/>
        <w:rPr>
          <w:bCs/>
          <w:snapToGrid w:val="0"/>
          <w:kern w:val="0"/>
          <w:szCs w:val="21"/>
        </w:rPr>
      </w:pPr>
      <w:r>
        <w:rPr>
          <w:bCs/>
          <w:snapToGrid w:val="0"/>
          <w:kern w:val="0"/>
          <w:szCs w:val="21"/>
        </w:rPr>
        <w:t>本章内容支撑课程目标2、3。</w:t>
      </w:r>
    </w:p>
    <w:p>
      <w:pPr>
        <w:adjustRightInd w:val="0"/>
        <w:snapToGrid w:val="0"/>
        <w:spacing w:line="360" w:lineRule="auto"/>
        <w:ind w:firstLine="454"/>
        <w:rPr>
          <w:rFonts w:eastAsia="黑体"/>
        </w:rPr>
      </w:pPr>
      <w:r>
        <w:rPr>
          <w:rFonts w:eastAsia="黑体"/>
        </w:rPr>
        <w:t>8  智能仪器的数据处理技术（4学时）</w:t>
      </w:r>
    </w:p>
    <w:p>
      <w:pPr>
        <w:adjustRightInd w:val="0"/>
        <w:snapToGrid w:val="0"/>
        <w:spacing w:line="360" w:lineRule="auto"/>
        <w:ind w:firstLine="454"/>
      </w:pPr>
      <w:r>
        <w:t>8.1、掌握数据的非数值处理技术；（重点）</w:t>
      </w:r>
    </w:p>
    <w:p>
      <w:pPr>
        <w:adjustRightInd w:val="0"/>
        <w:snapToGrid w:val="0"/>
        <w:spacing w:line="360" w:lineRule="auto"/>
        <w:ind w:firstLine="454"/>
      </w:pPr>
      <w:r>
        <w:t>8.2、了解系统误差的数据处理技术；</w:t>
      </w:r>
    </w:p>
    <w:p>
      <w:pPr>
        <w:adjustRightInd w:val="0"/>
        <w:snapToGrid w:val="0"/>
        <w:spacing w:line="360" w:lineRule="auto"/>
        <w:ind w:firstLine="454"/>
      </w:pPr>
      <w:r>
        <w:t>8.3、掌握数字滤波技术；（重点、难点）</w:t>
      </w:r>
    </w:p>
    <w:p>
      <w:pPr>
        <w:adjustRightInd w:val="0"/>
        <w:snapToGrid w:val="0"/>
        <w:spacing w:line="360" w:lineRule="auto"/>
        <w:ind w:firstLine="454"/>
      </w:pPr>
      <w:r>
        <w:t>8.4、了解系统软件的组成。</w:t>
      </w:r>
    </w:p>
    <w:p>
      <w:pPr>
        <w:adjustRightInd w:val="0"/>
        <w:snapToGrid w:val="0"/>
        <w:spacing w:line="360" w:lineRule="auto"/>
        <w:ind w:firstLine="420" w:firstLineChars="200"/>
        <w:rPr>
          <w:bCs/>
          <w:snapToGrid w:val="0"/>
          <w:kern w:val="0"/>
          <w:szCs w:val="21"/>
        </w:rPr>
      </w:pPr>
      <w:r>
        <w:rPr>
          <w:bCs/>
          <w:snapToGrid w:val="0"/>
          <w:kern w:val="0"/>
          <w:szCs w:val="21"/>
        </w:rPr>
        <w:t>本章内容支撑课程目标2、3。</w:t>
      </w:r>
    </w:p>
    <w:p>
      <w:pPr>
        <w:adjustRightInd w:val="0"/>
        <w:snapToGrid w:val="0"/>
        <w:spacing w:line="360" w:lineRule="auto"/>
        <w:ind w:firstLine="454"/>
        <w:rPr>
          <w:rFonts w:eastAsia="黑体"/>
        </w:rPr>
      </w:pPr>
      <w:r>
        <w:rPr>
          <w:rFonts w:eastAsia="黑体"/>
        </w:rPr>
        <w:t>9  智能仪器设计方法及实例（8学时）</w:t>
      </w:r>
    </w:p>
    <w:p>
      <w:pPr>
        <w:adjustRightInd w:val="0"/>
        <w:snapToGrid w:val="0"/>
        <w:spacing w:line="360" w:lineRule="auto"/>
        <w:ind w:firstLine="454"/>
      </w:pPr>
      <w:r>
        <w:t>9.1、掌握智能仪器的设计方法；</w:t>
      </w:r>
    </w:p>
    <w:p>
      <w:pPr>
        <w:adjustRightInd w:val="0"/>
        <w:snapToGrid w:val="0"/>
        <w:spacing w:line="360" w:lineRule="auto"/>
        <w:ind w:firstLine="454"/>
      </w:pPr>
      <w:r>
        <w:t>9.2、掌握智能仪器设计—压力测量实例；（重点、难点）</w:t>
      </w:r>
    </w:p>
    <w:p>
      <w:pPr>
        <w:adjustRightInd w:val="0"/>
        <w:snapToGrid w:val="0"/>
        <w:spacing w:line="360" w:lineRule="auto"/>
        <w:ind w:firstLine="454"/>
      </w:pPr>
      <w:r>
        <w:t>9.3、掌握智能仪器设计—浓度测量实例。（重点、难点）</w:t>
      </w:r>
    </w:p>
    <w:p>
      <w:pPr>
        <w:adjustRightInd w:val="0"/>
        <w:snapToGrid w:val="0"/>
        <w:spacing w:line="360" w:lineRule="auto"/>
        <w:ind w:firstLine="420" w:firstLineChars="200"/>
        <w:rPr>
          <w:rFonts w:cs="宋体"/>
          <w:bCs/>
          <w:snapToGrid w:val="0"/>
          <w:kern w:val="0"/>
          <w:szCs w:val="21"/>
        </w:rPr>
      </w:pPr>
      <w:r>
        <w:rPr>
          <w:bCs/>
          <w:snapToGrid w:val="0"/>
          <w:kern w:val="0"/>
          <w:szCs w:val="21"/>
        </w:rPr>
        <w:t>本章内容支撑课程目标3。</w:t>
      </w:r>
    </w:p>
    <w:p>
      <w:pPr>
        <w:adjustRightInd w:val="0"/>
        <w:snapToGrid w:val="0"/>
        <w:spacing w:line="360" w:lineRule="auto"/>
        <w:rPr>
          <w:b/>
          <w:sz w:val="24"/>
          <w:szCs w:val="24"/>
        </w:rPr>
      </w:pPr>
    </w:p>
    <w:p>
      <w:pPr>
        <w:tabs>
          <w:tab w:val="left" w:pos="420"/>
        </w:tabs>
        <w:adjustRightInd w:val="0"/>
        <w:snapToGrid w:val="0"/>
        <w:spacing w:line="360" w:lineRule="auto"/>
        <w:ind w:left="420" w:hanging="420"/>
        <w:rPr>
          <w:rFonts w:eastAsia="黑体"/>
          <w:szCs w:val="24"/>
        </w:rPr>
      </w:pPr>
      <w:r>
        <w:rPr>
          <w:rFonts w:hint="eastAsia" w:eastAsia="黑体"/>
          <w:szCs w:val="24"/>
        </w:rPr>
        <w:t>五、实验内容</w:t>
      </w:r>
    </w:p>
    <w:p>
      <w:pPr>
        <w:spacing w:line="360" w:lineRule="auto"/>
        <w:ind w:firstLine="424"/>
        <w:rPr>
          <w:rFonts w:ascii="宋体" w:hAnsi="宋体" w:cs="宋体"/>
          <w:kern w:val="0"/>
          <w:szCs w:val="21"/>
        </w:rPr>
      </w:pPr>
      <w:r>
        <w:rPr>
          <w:rFonts w:hint="eastAsia" w:ascii="宋体" w:hAnsi="宋体" w:cs="宋体"/>
          <w:kern w:val="0"/>
          <w:szCs w:val="21"/>
        </w:rPr>
        <w:t>实验系统由计算机和实验箱组成。计算机要求预装单片机开发软件平台；要求学生熟练掌握单片机开发软件的使用方法，熟练掌握单片机编程语言，掌握在开发软件平台下排查常见语法错误和编译错误的方法；掌握实验箱的基本组成结构和使用方法，能够根据实验指导书完成各实验所需硬件系统的构建，能够编写各实验所需单片机程序并调试通过。</w:t>
      </w:r>
    </w:p>
    <w:p>
      <w:pPr>
        <w:widowControl/>
        <w:adjustRightInd w:val="0"/>
        <w:snapToGrid w:val="0"/>
        <w:spacing w:line="360" w:lineRule="auto"/>
        <w:ind w:firstLine="420" w:firstLineChars="200"/>
        <w:jc w:val="left"/>
        <w:rPr>
          <w:rFonts w:eastAsia="黑体" w:cs="宋体"/>
          <w:snapToGrid w:val="0"/>
          <w:kern w:val="0"/>
          <w:szCs w:val="21"/>
        </w:rPr>
      </w:pPr>
      <w:r>
        <w:rPr>
          <w:rFonts w:hint="eastAsia" w:eastAsia="黑体" w:cs="宋体"/>
          <w:snapToGrid w:val="0"/>
          <w:kern w:val="0"/>
          <w:szCs w:val="21"/>
        </w:rPr>
        <w:t>实验一</w:t>
      </w:r>
      <w:r>
        <w:rPr>
          <w:rFonts w:hint="eastAsia" w:eastAsia="黑体" w:cs="宋体"/>
          <w:snapToGrid w:val="0"/>
          <w:kern w:val="0"/>
          <w:szCs w:val="21"/>
          <w:lang w:val="en-US" w:eastAsia="zh-CN"/>
        </w:rPr>
        <w:t xml:space="preserve"> </w:t>
      </w:r>
      <w:r>
        <w:rPr>
          <w:rFonts w:hint="eastAsia" w:eastAsia="黑体" w:cs="宋体"/>
          <w:snapToGrid w:val="0"/>
          <w:kern w:val="0"/>
          <w:szCs w:val="21"/>
        </w:rPr>
        <w:t>输入通道设计（2学时）</w:t>
      </w:r>
    </w:p>
    <w:p>
      <w:pPr>
        <w:widowControl/>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内容：利用实验箱设计模拟量输入通道，完成信号调理及转换；利用实验箱设计开关量输入通道；在计算机软件平台上编写控制程序；编译程序并调试完成。</w:t>
      </w:r>
    </w:p>
    <w:p>
      <w:pPr>
        <w:widowControl/>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基本要求：</w:t>
      </w:r>
    </w:p>
    <w:p>
      <w:pPr>
        <w:widowControl/>
        <w:adjustRightInd w:val="0"/>
        <w:snapToGrid w:val="0"/>
        <w:spacing w:line="360" w:lineRule="auto"/>
        <w:ind w:firstLine="420" w:firstLineChars="200"/>
        <w:jc w:val="left"/>
        <w:rPr>
          <w:snapToGrid w:val="0"/>
          <w:kern w:val="0"/>
          <w:szCs w:val="21"/>
        </w:rPr>
      </w:pPr>
      <w:r>
        <w:rPr>
          <w:snapToGrid w:val="0"/>
          <w:kern w:val="0"/>
          <w:szCs w:val="21"/>
        </w:rPr>
        <w:t>1、理解模拟量输入通道设计的基本要求；</w:t>
      </w:r>
    </w:p>
    <w:p>
      <w:pPr>
        <w:widowControl/>
        <w:adjustRightInd w:val="0"/>
        <w:snapToGrid w:val="0"/>
        <w:spacing w:line="360" w:lineRule="auto"/>
        <w:ind w:firstLine="420" w:firstLineChars="200"/>
        <w:jc w:val="left"/>
        <w:rPr>
          <w:snapToGrid w:val="0"/>
          <w:kern w:val="0"/>
          <w:szCs w:val="21"/>
        </w:rPr>
      </w:pPr>
      <w:r>
        <w:rPr>
          <w:snapToGrid w:val="0"/>
          <w:kern w:val="0"/>
          <w:szCs w:val="21"/>
        </w:rPr>
        <w:t>2、理解模拟信号调理的基本原理；</w:t>
      </w:r>
    </w:p>
    <w:p>
      <w:pPr>
        <w:widowControl/>
        <w:adjustRightInd w:val="0"/>
        <w:snapToGrid w:val="0"/>
        <w:spacing w:line="360" w:lineRule="auto"/>
        <w:ind w:firstLine="420" w:firstLineChars="200"/>
        <w:jc w:val="left"/>
        <w:rPr>
          <w:snapToGrid w:val="0"/>
          <w:kern w:val="0"/>
          <w:szCs w:val="21"/>
        </w:rPr>
      </w:pPr>
      <w:r>
        <w:rPr>
          <w:snapToGrid w:val="0"/>
          <w:kern w:val="0"/>
          <w:szCs w:val="21"/>
        </w:rPr>
        <w:t>3、掌握信号调理电路的设计方法；</w:t>
      </w:r>
    </w:p>
    <w:p>
      <w:pPr>
        <w:widowControl/>
        <w:adjustRightInd w:val="0"/>
        <w:snapToGrid w:val="0"/>
        <w:spacing w:line="360" w:lineRule="auto"/>
        <w:ind w:firstLine="420" w:firstLineChars="200"/>
        <w:jc w:val="left"/>
        <w:rPr>
          <w:snapToGrid w:val="0"/>
          <w:kern w:val="0"/>
          <w:szCs w:val="21"/>
        </w:rPr>
      </w:pPr>
      <w:r>
        <w:rPr>
          <w:snapToGrid w:val="0"/>
          <w:kern w:val="0"/>
          <w:szCs w:val="21"/>
        </w:rPr>
        <w:t>4、利用实验箱设计模拟量输入通道；</w:t>
      </w:r>
    </w:p>
    <w:p>
      <w:pPr>
        <w:widowControl/>
        <w:adjustRightInd w:val="0"/>
        <w:snapToGrid w:val="0"/>
        <w:spacing w:line="360" w:lineRule="auto"/>
        <w:ind w:firstLine="420" w:firstLineChars="200"/>
        <w:jc w:val="left"/>
        <w:rPr>
          <w:snapToGrid w:val="0"/>
          <w:kern w:val="0"/>
          <w:szCs w:val="21"/>
        </w:rPr>
      </w:pPr>
      <w:r>
        <w:rPr>
          <w:snapToGrid w:val="0"/>
          <w:kern w:val="0"/>
          <w:szCs w:val="21"/>
        </w:rPr>
        <w:t>5、利用实验箱设计开关量输入通道；</w:t>
      </w:r>
    </w:p>
    <w:p>
      <w:pPr>
        <w:widowControl/>
        <w:adjustRightInd w:val="0"/>
        <w:snapToGrid w:val="0"/>
        <w:spacing w:line="360" w:lineRule="auto"/>
        <w:ind w:firstLine="420" w:firstLineChars="200"/>
        <w:jc w:val="left"/>
        <w:rPr>
          <w:snapToGrid w:val="0"/>
          <w:kern w:val="0"/>
          <w:szCs w:val="21"/>
        </w:rPr>
      </w:pPr>
      <w:r>
        <w:rPr>
          <w:snapToGrid w:val="0"/>
          <w:kern w:val="0"/>
          <w:szCs w:val="21"/>
        </w:rPr>
        <w:t>6、编写单片机程序并调试完成。</w:t>
      </w:r>
    </w:p>
    <w:p>
      <w:pPr>
        <w:adjustRightInd w:val="0"/>
        <w:snapToGrid w:val="0"/>
        <w:spacing w:line="360" w:lineRule="auto"/>
        <w:ind w:firstLine="420" w:firstLineChars="200"/>
        <w:rPr>
          <w:rFonts w:cs="宋体"/>
          <w:bCs/>
          <w:snapToGrid w:val="0"/>
          <w:kern w:val="0"/>
          <w:szCs w:val="21"/>
        </w:rPr>
      </w:pPr>
      <w:r>
        <w:rPr>
          <w:rFonts w:cs="宋体"/>
          <w:bCs/>
          <w:snapToGrid w:val="0"/>
          <w:kern w:val="0"/>
          <w:szCs w:val="21"/>
        </w:rPr>
        <w:t>本实验支撑课程目标2</w:t>
      </w:r>
      <w:r>
        <w:rPr>
          <w:rFonts w:hint="eastAsia" w:cs="宋体"/>
          <w:bCs/>
          <w:snapToGrid w:val="0"/>
          <w:kern w:val="0"/>
          <w:szCs w:val="21"/>
        </w:rPr>
        <w:t>、3。</w:t>
      </w:r>
    </w:p>
    <w:p>
      <w:pPr>
        <w:widowControl/>
        <w:adjustRightInd w:val="0"/>
        <w:snapToGrid w:val="0"/>
        <w:spacing w:line="360" w:lineRule="auto"/>
        <w:ind w:firstLine="420" w:firstLineChars="200"/>
        <w:jc w:val="left"/>
        <w:rPr>
          <w:rFonts w:eastAsia="黑体" w:cs="宋体"/>
          <w:snapToGrid w:val="0"/>
          <w:kern w:val="0"/>
          <w:szCs w:val="21"/>
        </w:rPr>
      </w:pPr>
      <w:r>
        <w:rPr>
          <w:rFonts w:hint="eastAsia" w:eastAsia="黑体" w:cs="宋体"/>
          <w:snapToGrid w:val="0"/>
          <w:kern w:val="0"/>
          <w:szCs w:val="21"/>
        </w:rPr>
        <w:t>实验二</w:t>
      </w:r>
      <w:r>
        <w:rPr>
          <w:rFonts w:hint="eastAsia" w:eastAsia="黑体" w:cs="宋体"/>
          <w:snapToGrid w:val="0"/>
          <w:kern w:val="0"/>
          <w:szCs w:val="21"/>
          <w:lang w:val="en-US" w:eastAsia="zh-CN"/>
        </w:rPr>
        <w:t xml:space="preserve"> </w:t>
      </w:r>
      <w:r>
        <w:rPr>
          <w:rFonts w:hint="eastAsia" w:eastAsia="黑体" w:cs="宋体"/>
          <w:snapToGrid w:val="0"/>
          <w:kern w:val="0"/>
          <w:szCs w:val="21"/>
        </w:rPr>
        <w:t>输出通道设计（2学时）</w:t>
      </w:r>
    </w:p>
    <w:p>
      <w:pPr>
        <w:widowControl/>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内容：利用实验箱设计模拟量输出通道；利用实验箱设计数字量输出通道；在计算机软件平台上编写控制程序；编译程序并调试完成。</w:t>
      </w:r>
    </w:p>
    <w:p>
      <w:pPr>
        <w:widowControl/>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基本要求：</w:t>
      </w:r>
    </w:p>
    <w:p>
      <w:pPr>
        <w:widowControl/>
        <w:adjustRightInd w:val="0"/>
        <w:snapToGrid w:val="0"/>
        <w:spacing w:line="360" w:lineRule="auto"/>
        <w:ind w:firstLine="420" w:firstLineChars="200"/>
        <w:jc w:val="left"/>
        <w:rPr>
          <w:snapToGrid w:val="0"/>
          <w:kern w:val="0"/>
          <w:szCs w:val="21"/>
        </w:rPr>
      </w:pPr>
      <w:r>
        <w:rPr>
          <w:rFonts w:hint="eastAsia"/>
          <w:snapToGrid w:val="0"/>
          <w:kern w:val="0"/>
          <w:szCs w:val="21"/>
        </w:rPr>
        <w:t>1、理解模拟量输出的转换原理；</w:t>
      </w:r>
    </w:p>
    <w:p>
      <w:pPr>
        <w:widowControl/>
        <w:adjustRightInd w:val="0"/>
        <w:snapToGrid w:val="0"/>
        <w:spacing w:line="360" w:lineRule="auto"/>
        <w:ind w:firstLine="420" w:firstLineChars="200"/>
        <w:jc w:val="left"/>
        <w:rPr>
          <w:snapToGrid w:val="0"/>
          <w:kern w:val="0"/>
          <w:szCs w:val="21"/>
        </w:rPr>
      </w:pPr>
      <w:r>
        <w:rPr>
          <w:rFonts w:hint="eastAsia"/>
          <w:snapToGrid w:val="0"/>
          <w:kern w:val="0"/>
          <w:szCs w:val="21"/>
        </w:rPr>
        <w:t>2、掌握模拟量输出通道的设计方法；</w:t>
      </w:r>
    </w:p>
    <w:p>
      <w:pPr>
        <w:widowControl/>
        <w:adjustRightInd w:val="0"/>
        <w:snapToGrid w:val="0"/>
        <w:spacing w:line="360" w:lineRule="auto"/>
        <w:ind w:firstLine="420" w:firstLineChars="200"/>
        <w:jc w:val="left"/>
        <w:rPr>
          <w:snapToGrid w:val="0"/>
          <w:kern w:val="0"/>
          <w:szCs w:val="21"/>
        </w:rPr>
      </w:pPr>
      <w:r>
        <w:rPr>
          <w:rFonts w:hint="eastAsia"/>
          <w:snapToGrid w:val="0"/>
          <w:kern w:val="0"/>
          <w:szCs w:val="21"/>
        </w:rPr>
        <w:t>3、利用实验箱设计模拟量输出通道；</w:t>
      </w:r>
    </w:p>
    <w:p>
      <w:pPr>
        <w:widowControl/>
        <w:adjustRightInd w:val="0"/>
        <w:snapToGrid w:val="0"/>
        <w:spacing w:line="360" w:lineRule="auto"/>
        <w:ind w:firstLine="420" w:firstLineChars="200"/>
        <w:jc w:val="left"/>
        <w:rPr>
          <w:snapToGrid w:val="0"/>
          <w:kern w:val="0"/>
          <w:szCs w:val="21"/>
        </w:rPr>
      </w:pPr>
      <w:r>
        <w:rPr>
          <w:rFonts w:hint="eastAsia"/>
          <w:snapToGrid w:val="0"/>
          <w:kern w:val="0"/>
          <w:szCs w:val="21"/>
        </w:rPr>
        <w:t>4、利用实验箱设计数字量输出通道；</w:t>
      </w:r>
    </w:p>
    <w:p>
      <w:pPr>
        <w:widowControl/>
        <w:adjustRightInd w:val="0"/>
        <w:snapToGrid w:val="0"/>
        <w:spacing w:line="360" w:lineRule="auto"/>
        <w:ind w:firstLine="420" w:firstLineChars="200"/>
        <w:jc w:val="left"/>
        <w:rPr>
          <w:snapToGrid w:val="0"/>
          <w:kern w:val="0"/>
          <w:szCs w:val="21"/>
        </w:rPr>
      </w:pPr>
      <w:r>
        <w:rPr>
          <w:rFonts w:hint="eastAsia"/>
          <w:snapToGrid w:val="0"/>
          <w:kern w:val="0"/>
          <w:szCs w:val="21"/>
        </w:rPr>
        <w:t>5、编写单片机程序并调试完成。</w:t>
      </w:r>
    </w:p>
    <w:p>
      <w:pPr>
        <w:adjustRightInd w:val="0"/>
        <w:snapToGrid w:val="0"/>
        <w:spacing w:line="360" w:lineRule="auto"/>
        <w:ind w:firstLine="420" w:firstLineChars="200"/>
        <w:rPr>
          <w:rFonts w:cs="宋体"/>
          <w:bCs/>
          <w:snapToGrid w:val="0"/>
          <w:kern w:val="0"/>
          <w:szCs w:val="21"/>
        </w:rPr>
      </w:pPr>
      <w:r>
        <w:rPr>
          <w:rFonts w:cs="宋体"/>
          <w:bCs/>
          <w:snapToGrid w:val="0"/>
          <w:kern w:val="0"/>
          <w:szCs w:val="21"/>
        </w:rPr>
        <w:t>本实验支撑课程目标2</w:t>
      </w:r>
      <w:r>
        <w:rPr>
          <w:rFonts w:hint="eastAsia" w:cs="宋体"/>
          <w:bCs/>
          <w:snapToGrid w:val="0"/>
          <w:kern w:val="0"/>
          <w:szCs w:val="21"/>
        </w:rPr>
        <w:t>、3。</w:t>
      </w:r>
    </w:p>
    <w:p>
      <w:pPr>
        <w:widowControl/>
        <w:adjustRightInd w:val="0"/>
        <w:snapToGrid w:val="0"/>
        <w:spacing w:line="360" w:lineRule="auto"/>
        <w:ind w:firstLine="420" w:firstLineChars="200"/>
        <w:jc w:val="left"/>
        <w:rPr>
          <w:rFonts w:eastAsia="黑体" w:cs="宋体"/>
          <w:snapToGrid w:val="0"/>
          <w:kern w:val="0"/>
          <w:szCs w:val="21"/>
        </w:rPr>
      </w:pPr>
      <w:r>
        <w:rPr>
          <w:rFonts w:hint="eastAsia" w:eastAsia="黑体" w:cs="宋体"/>
          <w:snapToGrid w:val="0"/>
          <w:kern w:val="0"/>
          <w:szCs w:val="21"/>
        </w:rPr>
        <w:t>实验三</w:t>
      </w:r>
      <w:r>
        <w:rPr>
          <w:rFonts w:hint="eastAsia" w:eastAsia="黑体" w:cs="宋体"/>
          <w:snapToGrid w:val="0"/>
          <w:kern w:val="0"/>
          <w:szCs w:val="21"/>
          <w:lang w:val="en-US" w:eastAsia="zh-CN"/>
        </w:rPr>
        <w:t xml:space="preserve"> </w:t>
      </w:r>
      <w:r>
        <w:rPr>
          <w:rFonts w:hint="eastAsia" w:eastAsia="黑体" w:cs="宋体"/>
          <w:snapToGrid w:val="0"/>
          <w:kern w:val="0"/>
          <w:szCs w:val="21"/>
        </w:rPr>
        <w:t>人机接口设计（2学时）</w:t>
      </w:r>
    </w:p>
    <w:p>
      <w:pPr>
        <w:widowControl/>
        <w:adjustRightInd w:val="0"/>
        <w:snapToGrid w:val="0"/>
        <w:spacing w:line="360" w:lineRule="auto"/>
        <w:ind w:firstLine="420" w:firstLineChars="200"/>
        <w:jc w:val="left"/>
        <w:rPr>
          <w:snapToGrid w:val="0"/>
          <w:kern w:val="0"/>
          <w:szCs w:val="21"/>
        </w:rPr>
      </w:pPr>
      <w:r>
        <w:rPr>
          <w:rFonts w:hint="eastAsia"/>
          <w:snapToGrid w:val="0"/>
          <w:kern w:val="0"/>
          <w:szCs w:val="21"/>
        </w:rPr>
        <w:t>内容：利用实验箱设计键盘输入接口；利用实验箱设计LCD显示接口；在计算机软件平台上编写控制程序；编译程序并调试完成。</w:t>
      </w:r>
    </w:p>
    <w:p>
      <w:pPr>
        <w:widowControl/>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基本要求：</w:t>
      </w:r>
    </w:p>
    <w:p>
      <w:pPr>
        <w:widowControl/>
        <w:adjustRightInd w:val="0"/>
        <w:snapToGrid w:val="0"/>
        <w:spacing w:line="360" w:lineRule="auto"/>
        <w:ind w:firstLine="420" w:firstLineChars="200"/>
        <w:jc w:val="left"/>
        <w:rPr>
          <w:snapToGrid w:val="0"/>
          <w:kern w:val="0"/>
          <w:szCs w:val="21"/>
        </w:rPr>
      </w:pPr>
      <w:r>
        <w:rPr>
          <w:rFonts w:hint="eastAsia"/>
          <w:snapToGrid w:val="0"/>
          <w:kern w:val="0"/>
          <w:szCs w:val="21"/>
        </w:rPr>
        <w:t>1、了解键盘工作原理及处理步骤；</w:t>
      </w:r>
    </w:p>
    <w:p>
      <w:pPr>
        <w:widowControl/>
        <w:adjustRightInd w:val="0"/>
        <w:snapToGrid w:val="0"/>
        <w:spacing w:line="360" w:lineRule="auto"/>
        <w:ind w:firstLine="420" w:firstLineChars="200"/>
        <w:jc w:val="left"/>
        <w:rPr>
          <w:snapToGrid w:val="0"/>
          <w:kern w:val="0"/>
          <w:szCs w:val="21"/>
        </w:rPr>
      </w:pPr>
      <w:r>
        <w:rPr>
          <w:rFonts w:hint="eastAsia"/>
          <w:snapToGrid w:val="0"/>
          <w:kern w:val="0"/>
          <w:szCs w:val="21"/>
        </w:rPr>
        <w:t>2、掌握键盘解码及接口设计方法；</w:t>
      </w:r>
    </w:p>
    <w:p>
      <w:pPr>
        <w:widowControl/>
        <w:adjustRightInd w:val="0"/>
        <w:snapToGrid w:val="0"/>
        <w:spacing w:line="360" w:lineRule="auto"/>
        <w:ind w:firstLine="420" w:firstLineChars="200"/>
        <w:jc w:val="left"/>
        <w:rPr>
          <w:snapToGrid w:val="0"/>
          <w:kern w:val="0"/>
          <w:szCs w:val="21"/>
        </w:rPr>
      </w:pPr>
      <w:r>
        <w:rPr>
          <w:rFonts w:hint="eastAsia"/>
          <w:snapToGrid w:val="0"/>
          <w:kern w:val="0"/>
          <w:szCs w:val="21"/>
        </w:rPr>
        <w:t>3、理解LCD显示原理；</w:t>
      </w:r>
    </w:p>
    <w:p>
      <w:pPr>
        <w:widowControl/>
        <w:adjustRightInd w:val="0"/>
        <w:snapToGrid w:val="0"/>
        <w:spacing w:line="360" w:lineRule="auto"/>
        <w:ind w:firstLine="420" w:firstLineChars="200"/>
        <w:jc w:val="left"/>
        <w:rPr>
          <w:snapToGrid w:val="0"/>
          <w:kern w:val="0"/>
          <w:szCs w:val="21"/>
        </w:rPr>
      </w:pPr>
      <w:r>
        <w:rPr>
          <w:rFonts w:hint="eastAsia"/>
          <w:snapToGrid w:val="0"/>
          <w:kern w:val="0"/>
          <w:szCs w:val="21"/>
        </w:rPr>
        <w:t>4、掌握LCD显示控制及接口设计方法；</w:t>
      </w:r>
    </w:p>
    <w:p>
      <w:pPr>
        <w:widowControl/>
        <w:adjustRightInd w:val="0"/>
        <w:snapToGrid w:val="0"/>
        <w:spacing w:line="360" w:lineRule="auto"/>
        <w:ind w:firstLine="420" w:firstLineChars="200"/>
        <w:jc w:val="left"/>
        <w:rPr>
          <w:snapToGrid w:val="0"/>
          <w:kern w:val="0"/>
          <w:szCs w:val="21"/>
        </w:rPr>
      </w:pPr>
      <w:r>
        <w:rPr>
          <w:rFonts w:hint="eastAsia"/>
          <w:snapToGrid w:val="0"/>
          <w:kern w:val="0"/>
          <w:szCs w:val="21"/>
        </w:rPr>
        <w:t>5、利用现有模块设计人机接口；</w:t>
      </w:r>
    </w:p>
    <w:p>
      <w:pPr>
        <w:widowControl/>
        <w:adjustRightInd w:val="0"/>
        <w:snapToGrid w:val="0"/>
        <w:spacing w:line="360" w:lineRule="auto"/>
        <w:ind w:firstLine="420" w:firstLineChars="200"/>
        <w:jc w:val="left"/>
        <w:rPr>
          <w:snapToGrid w:val="0"/>
          <w:kern w:val="0"/>
          <w:szCs w:val="21"/>
        </w:rPr>
      </w:pPr>
      <w:r>
        <w:rPr>
          <w:rFonts w:hint="eastAsia"/>
          <w:snapToGrid w:val="0"/>
          <w:kern w:val="0"/>
          <w:szCs w:val="21"/>
        </w:rPr>
        <w:t>6、编写单片机程序并调试完成。</w:t>
      </w:r>
    </w:p>
    <w:p>
      <w:pPr>
        <w:adjustRightInd w:val="0"/>
        <w:snapToGrid w:val="0"/>
        <w:spacing w:line="360" w:lineRule="auto"/>
        <w:ind w:firstLine="420" w:firstLineChars="200"/>
        <w:rPr>
          <w:rFonts w:cs="宋体"/>
          <w:bCs/>
          <w:snapToGrid w:val="0"/>
          <w:kern w:val="0"/>
          <w:szCs w:val="21"/>
        </w:rPr>
      </w:pPr>
      <w:r>
        <w:rPr>
          <w:rFonts w:cs="宋体"/>
          <w:bCs/>
          <w:snapToGrid w:val="0"/>
          <w:kern w:val="0"/>
          <w:szCs w:val="21"/>
        </w:rPr>
        <w:t>本实验支撑课程目标2</w:t>
      </w:r>
      <w:r>
        <w:rPr>
          <w:rFonts w:hint="eastAsia" w:cs="宋体"/>
          <w:bCs/>
          <w:snapToGrid w:val="0"/>
          <w:kern w:val="0"/>
          <w:szCs w:val="21"/>
        </w:rPr>
        <w:t>、3。</w:t>
      </w:r>
    </w:p>
    <w:p>
      <w:pPr>
        <w:widowControl/>
        <w:adjustRightInd w:val="0"/>
        <w:snapToGrid w:val="0"/>
        <w:spacing w:line="360" w:lineRule="auto"/>
        <w:ind w:firstLine="420" w:firstLineChars="200"/>
        <w:jc w:val="left"/>
        <w:rPr>
          <w:rFonts w:eastAsia="黑体" w:cs="宋体"/>
          <w:snapToGrid w:val="0"/>
          <w:kern w:val="0"/>
          <w:szCs w:val="21"/>
        </w:rPr>
      </w:pPr>
      <w:r>
        <w:rPr>
          <w:rFonts w:hint="eastAsia" w:eastAsia="黑体" w:cs="宋体"/>
          <w:snapToGrid w:val="0"/>
          <w:kern w:val="0"/>
          <w:szCs w:val="21"/>
        </w:rPr>
        <w:t>实验四</w:t>
      </w:r>
      <w:r>
        <w:rPr>
          <w:rFonts w:hint="eastAsia" w:eastAsia="黑体" w:cs="宋体"/>
          <w:snapToGrid w:val="0"/>
          <w:kern w:val="0"/>
          <w:szCs w:val="21"/>
          <w:lang w:val="en-US" w:eastAsia="zh-CN"/>
        </w:rPr>
        <w:t xml:space="preserve"> </w:t>
      </w:r>
      <w:r>
        <w:rPr>
          <w:rFonts w:hint="eastAsia" w:eastAsia="黑体" w:cs="宋体"/>
          <w:snapToGrid w:val="0"/>
          <w:kern w:val="0"/>
          <w:szCs w:val="21"/>
        </w:rPr>
        <w:t>通信接口设计（2学时）</w:t>
      </w:r>
    </w:p>
    <w:p>
      <w:pPr>
        <w:widowControl/>
        <w:adjustRightInd w:val="0"/>
        <w:snapToGrid w:val="0"/>
        <w:spacing w:line="360" w:lineRule="auto"/>
        <w:ind w:firstLine="420" w:firstLineChars="200"/>
        <w:jc w:val="left"/>
        <w:rPr>
          <w:snapToGrid w:val="0"/>
          <w:kern w:val="0"/>
          <w:szCs w:val="21"/>
        </w:rPr>
      </w:pPr>
      <w:r>
        <w:rPr>
          <w:rFonts w:hint="eastAsia"/>
          <w:snapToGrid w:val="0"/>
          <w:kern w:val="0"/>
          <w:szCs w:val="21"/>
        </w:rPr>
        <w:t>内容：理解串行通信的基本原理；利用实验箱设计USB通信接口；在计算机软件平台上编写控制程序；编译程序并调试完成。</w:t>
      </w:r>
    </w:p>
    <w:p>
      <w:pPr>
        <w:widowControl/>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基本要求：</w:t>
      </w:r>
    </w:p>
    <w:p>
      <w:pPr>
        <w:widowControl/>
        <w:adjustRightInd w:val="0"/>
        <w:snapToGrid w:val="0"/>
        <w:spacing w:line="360" w:lineRule="auto"/>
        <w:ind w:firstLine="420" w:firstLineChars="200"/>
        <w:jc w:val="left"/>
        <w:rPr>
          <w:snapToGrid w:val="0"/>
          <w:kern w:val="0"/>
          <w:szCs w:val="21"/>
        </w:rPr>
      </w:pPr>
      <w:r>
        <w:rPr>
          <w:rFonts w:hint="eastAsia"/>
          <w:snapToGrid w:val="0"/>
          <w:kern w:val="0"/>
          <w:szCs w:val="21"/>
        </w:rPr>
        <w:t>1、理解串行通信的基本原理；</w:t>
      </w:r>
    </w:p>
    <w:p>
      <w:pPr>
        <w:widowControl/>
        <w:adjustRightInd w:val="0"/>
        <w:snapToGrid w:val="0"/>
        <w:spacing w:line="360" w:lineRule="auto"/>
        <w:ind w:firstLine="420" w:firstLineChars="200"/>
        <w:jc w:val="left"/>
        <w:rPr>
          <w:snapToGrid w:val="0"/>
          <w:kern w:val="0"/>
          <w:szCs w:val="21"/>
        </w:rPr>
      </w:pPr>
      <w:r>
        <w:rPr>
          <w:rFonts w:hint="eastAsia"/>
          <w:snapToGrid w:val="0"/>
          <w:kern w:val="0"/>
          <w:szCs w:val="21"/>
        </w:rPr>
        <w:t>2、了解USB2.0协议标准；</w:t>
      </w:r>
    </w:p>
    <w:p>
      <w:pPr>
        <w:widowControl/>
        <w:adjustRightInd w:val="0"/>
        <w:snapToGrid w:val="0"/>
        <w:spacing w:line="360" w:lineRule="auto"/>
        <w:ind w:firstLine="420" w:firstLineChars="200"/>
        <w:jc w:val="left"/>
        <w:rPr>
          <w:snapToGrid w:val="0"/>
          <w:kern w:val="0"/>
          <w:szCs w:val="21"/>
        </w:rPr>
      </w:pPr>
      <w:r>
        <w:rPr>
          <w:rFonts w:hint="eastAsia"/>
          <w:snapToGrid w:val="0"/>
          <w:kern w:val="0"/>
          <w:szCs w:val="21"/>
        </w:rPr>
        <w:t>3、掌握USB通信及接口设计方法；</w:t>
      </w:r>
    </w:p>
    <w:p>
      <w:pPr>
        <w:widowControl/>
        <w:adjustRightInd w:val="0"/>
        <w:snapToGrid w:val="0"/>
        <w:spacing w:line="360" w:lineRule="auto"/>
        <w:ind w:firstLine="420" w:firstLineChars="200"/>
        <w:jc w:val="left"/>
        <w:rPr>
          <w:snapToGrid w:val="0"/>
          <w:kern w:val="0"/>
          <w:szCs w:val="21"/>
        </w:rPr>
      </w:pPr>
      <w:r>
        <w:rPr>
          <w:rFonts w:hint="eastAsia"/>
          <w:snapToGrid w:val="0"/>
          <w:kern w:val="0"/>
          <w:szCs w:val="21"/>
        </w:rPr>
        <w:t>4、利用现有模块设计通信接口；</w:t>
      </w:r>
    </w:p>
    <w:p>
      <w:pPr>
        <w:adjustRightInd w:val="0"/>
        <w:snapToGrid w:val="0"/>
        <w:spacing w:line="360" w:lineRule="auto"/>
        <w:ind w:firstLine="420" w:firstLineChars="200"/>
        <w:rPr>
          <w:snapToGrid w:val="0"/>
          <w:kern w:val="0"/>
          <w:szCs w:val="21"/>
        </w:rPr>
      </w:pPr>
      <w:r>
        <w:rPr>
          <w:rFonts w:hint="eastAsia"/>
          <w:snapToGrid w:val="0"/>
          <w:kern w:val="0"/>
          <w:szCs w:val="21"/>
        </w:rPr>
        <w:t>5、编写单片机程序并调试完成。</w:t>
      </w:r>
    </w:p>
    <w:p>
      <w:pPr>
        <w:adjustRightInd w:val="0"/>
        <w:snapToGrid w:val="0"/>
        <w:spacing w:line="360" w:lineRule="auto"/>
        <w:ind w:firstLine="420" w:firstLineChars="200"/>
        <w:rPr>
          <w:rFonts w:cs="宋体"/>
          <w:bCs/>
          <w:snapToGrid w:val="0"/>
          <w:kern w:val="0"/>
          <w:szCs w:val="21"/>
        </w:rPr>
      </w:pPr>
      <w:r>
        <w:rPr>
          <w:rFonts w:cs="宋体"/>
          <w:bCs/>
          <w:snapToGrid w:val="0"/>
          <w:kern w:val="0"/>
          <w:szCs w:val="21"/>
        </w:rPr>
        <w:t>本实验支撑课程目标2</w:t>
      </w:r>
      <w:r>
        <w:rPr>
          <w:rFonts w:hint="eastAsia" w:cs="宋体"/>
          <w:bCs/>
          <w:snapToGrid w:val="0"/>
          <w:kern w:val="0"/>
          <w:szCs w:val="21"/>
        </w:rPr>
        <w:t>、3。</w:t>
      </w:r>
    </w:p>
    <w:p>
      <w:pPr>
        <w:spacing w:line="360" w:lineRule="auto"/>
        <w:rPr>
          <w:szCs w:val="21"/>
        </w:rPr>
      </w:pPr>
    </w:p>
    <w:p>
      <w:pPr>
        <w:widowControl/>
        <w:spacing w:line="360" w:lineRule="auto"/>
        <w:jc w:val="left"/>
        <w:rPr>
          <w:rFonts w:ascii="黑体" w:hAnsi="宋体" w:eastAsia="黑体" w:cs="宋体"/>
          <w:kern w:val="0"/>
          <w:szCs w:val="21"/>
        </w:rPr>
      </w:pPr>
      <w:r>
        <w:rPr>
          <w:rFonts w:hint="eastAsia" w:ascii="黑体" w:hAnsi="宋体" w:eastAsia="黑体" w:cs="宋体"/>
          <w:kern w:val="0"/>
          <w:szCs w:val="21"/>
        </w:rPr>
        <w:t>六、学时分配</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926"/>
        <w:gridCol w:w="1554"/>
        <w:gridCol w:w="1677"/>
        <w:gridCol w:w="137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302" w:type="pct"/>
            <w:vAlign w:val="center"/>
          </w:tcPr>
          <w:p>
            <w:pPr>
              <w:adjustRightInd w:val="0"/>
              <w:snapToGrid w:val="0"/>
              <w:jc w:val="center"/>
              <w:rPr>
                <w:sz w:val="18"/>
                <w:szCs w:val="18"/>
              </w:rPr>
            </w:pPr>
            <w:r>
              <w:rPr>
                <w:rFonts w:hint="eastAsia"/>
                <w:sz w:val="18"/>
                <w:szCs w:val="18"/>
              </w:rPr>
              <w:t>知识点及内容</w:t>
            </w:r>
          </w:p>
        </w:tc>
        <w:tc>
          <w:tcPr>
            <w:tcW w:w="911" w:type="pct"/>
            <w:vAlign w:val="center"/>
          </w:tcPr>
          <w:p>
            <w:pPr>
              <w:adjustRightInd w:val="0"/>
              <w:snapToGrid w:val="0"/>
              <w:jc w:val="center"/>
              <w:rPr>
                <w:sz w:val="18"/>
                <w:szCs w:val="18"/>
              </w:rPr>
            </w:pPr>
            <w:r>
              <w:rPr>
                <w:rFonts w:hint="eastAsia"/>
                <w:sz w:val="18"/>
                <w:szCs w:val="18"/>
              </w:rPr>
              <w:t>讲授（学时）</w:t>
            </w:r>
          </w:p>
        </w:tc>
        <w:tc>
          <w:tcPr>
            <w:tcW w:w="983" w:type="pct"/>
            <w:vAlign w:val="center"/>
          </w:tcPr>
          <w:p>
            <w:pPr>
              <w:adjustRightInd w:val="0"/>
              <w:snapToGrid w:val="0"/>
              <w:jc w:val="center"/>
              <w:rPr>
                <w:sz w:val="18"/>
                <w:szCs w:val="18"/>
              </w:rPr>
            </w:pPr>
            <w:r>
              <w:rPr>
                <w:rFonts w:hint="eastAsia"/>
                <w:sz w:val="18"/>
                <w:szCs w:val="18"/>
              </w:rPr>
              <w:t>实验（学时）</w:t>
            </w:r>
          </w:p>
        </w:tc>
        <w:tc>
          <w:tcPr>
            <w:tcW w:w="804" w:type="pct"/>
            <w:vAlign w:val="center"/>
          </w:tcPr>
          <w:p>
            <w:pPr>
              <w:adjustRightInd w:val="0"/>
              <w:snapToGrid w:val="0"/>
              <w:jc w:val="center"/>
              <w:rPr>
                <w:sz w:val="18"/>
                <w:szCs w:val="18"/>
              </w:rPr>
            </w:pPr>
            <w:r>
              <w:rPr>
                <w:rFonts w:hint="eastAsia"/>
                <w:sz w:val="18"/>
                <w:szCs w:val="18"/>
              </w:rPr>
              <w:t>小计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302" w:type="pct"/>
            <w:vAlign w:val="center"/>
          </w:tcPr>
          <w:p>
            <w:pPr>
              <w:adjustRightInd w:val="0"/>
              <w:snapToGrid w:val="0"/>
              <w:jc w:val="center"/>
              <w:rPr>
                <w:sz w:val="18"/>
                <w:szCs w:val="18"/>
              </w:rPr>
            </w:pPr>
            <w:r>
              <w:rPr>
                <w:sz w:val="18"/>
                <w:szCs w:val="18"/>
              </w:rPr>
              <w:t>1</w:t>
            </w:r>
            <w:r>
              <w:rPr>
                <w:rFonts w:hAnsi="宋体"/>
                <w:sz w:val="18"/>
                <w:szCs w:val="18"/>
              </w:rPr>
              <w:t>绪论</w:t>
            </w:r>
          </w:p>
        </w:tc>
        <w:tc>
          <w:tcPr>
            <w:tcW w:w="911" w:type="pct"/>
            <w:vAlign w:val="center"/>
          </w:tcPr>
          <w:p>
            <w:pPr>
              <w:adjustRightInd w:val="0"/>
              <w:snapToGrid w:val="0"/>
              <w:jc w:val="center"/>
              <w:rPr>
                <w:sz w:val="18"/>
                <w:szCs w:val="18"/>
              </w:rPr>
            </w:pPr>
            <w:r>
              <w:rPr>
                <w:sz w:val="18"/>
                <w:szCs w:val="18"/>
              </w:rPr>
              <w:t>1</w:t>
            </w:r>
          </w:p>
        </w:tc>
        <w:tc>
          <w:tcPr>
            <w:tcW w:w="983" w:type="pct"/>
            <w:vAlign w:val="center"/>
          </w:tcPr>
          <w:p>
            <w:pPr>
              <w:adjustRightInd w:val="0"/>
              <w:snapToGrid w:val="0"/>
              <w:jc w:val="center"/>
              <w:rPr>
                <w:sz w:val="18"/>
                <w:szCs w:val="18"/>
              </w:rPr>
            </w:pPr>
            <w:r>
              <w:rPr>
                <w:sz w:val="18"/>
                <w:szCs w:val="18"/>
              </w:rPr>
              <w:t>0</w:t>
            </w:r>
          </w:p>
        </w:tc>
        <w:tc>
          <w:tcPr>
            <w:tcW w:w="804" w:type="pct"/>
            <w:vAlign w:val="center"/>
          </w:tcPr>
          <w:p>
            <w:pPr>
              <w:adjustRightInd w:val="0"/>
              <w:snapToGrid w:val="0"/>
              <w:jc w:val="center"/>
              <w:rPr>
                <w:sz w:val="18"/>
                <w:szCs w:val="18"/>
              </w:rPr>
            </w:pPr>
            <w:r>
              <w:rPr>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302" w:type="pct"/>
            <w:vAlign w:val="center"/>
          </w:tcPr>
          <w:p>
            <w:pPr>
              <w:adjustRightInd w:val="0"/>
              <w:snapToGrid w:val="0"/>
              <w:jc w:val="center"/>
              <w:rPr>
                <w:sz w:val="18"/>
                <w:szCs w:val="18"/>
              </w:rPr>
            </w:pPr>
            <w:r>
              <w:rPr>
                <w:sz w:val="18"/>
                <w:szCs w:val="18"/>
              </w:rPr>
              <w:t>2</w:t>
            </w:r>
            <w:r>
              <w:rPr>
                <w:rFonts w:hAnsi="宋体"/>
                <w:sz w:val="18"/>
                <w:szCs w:val="18"/>
              </w:rPr>
              <w:t>智能仪器中的微处理器</w:t>
            </w:r>
          </w:p>
        </w:tc>
        <w:tc>
          <w:tcPr>
            <w:tcW w:w="911" w:type="pct"/>
            <w:vAlign w:val="center"/>
          </w:tcPr>
          <w:p>
            <w:pPr>
              <w:adjustRightInd w:val="0"/>
              <w:snapToGrid w:val="0"/>
              <w:jc w:val="center"/>
              <w:rPr>
                <w:sz w:val="18"/>
                <w:szCs w:val="18"/>
              </w:rPr>
            </w:pPr>
            <w:r>
              <w:rPr>
                <w:sz w:val="18"/>
                <w:szCs w:val="18"/>
              </w:rPr>
              <w:t>1</w:t>
            </w:r>
          </w:p>
        </w:tc>
        <w:tc>
          <w:tcPr>
            <w:tcW w:w="983" w:type="pct"/>
            <w:vAlign w:val="center"/>
          </w:tcPr>
          <w:p>
            <w:pPr>
              <w:adjustRightInd w:val="0"/>
              <w:snapToGrid w:val="0"/>
              <w:jc w:val="center"/>
              <w:rPr>
                <w:sz w:val="18"/>
                <w:szCs w:val="18"/>
              </w:rPr>
            </w:pPr>
            <w:r>
              <w:rPr>
                <w:sz w:val="18"/>
                <w:szCs w:val="18"/>
              </w:rPr>
              <w:t>0</w:t>
            </w:r>
          </w:p>
        </w:tc>
        <w:tc>
          <w:tcPr>
            <w:tcW w:w="804" w:type="pct"/>
            <w:vAlign w:val="center"/>
          </w:tcPr>
          <w:p>
            <w:pPr>
              <w:adjustRightInd w:val="0"/>
              <w:snapToGrid w:val="0"/>
              <w:jc w:val="center"/>
              <w:rPr>
                <w:sz w:val="18"/>
                <w:szCs w:val="18"/>
              </w:rPr>
            </w:pPr>
            <w:r>
              <w:rPr>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302" w:type="pct"/>
            <w:vAlign w:val="center"/>
          </w:tcPr>
          <w:p>
            <w:pPr>
              <w:adjustRightInd w:val="0"/>
              <w:snapToGrid w:val="0"/>
              <w:jc w:val="center"/>
              <w:rPr>
                <w:sz w:val="18"/>
                <w:szCs w:val="18"/>
              </w:rPr>
            </w:pPr>
            <w:r>
              <w:rPr>
                <w:sz w:val="18"/>
                <w:szCs w:val="18"/>
              </w:rPr>
              <w:t>3</w:t>
            </w:r>
            <w:r>
              <w:rPr>
                <w:rFonts w:hAnsi="宋体"/>
                <w:sz w:val="18"/>
                <w:szCs w:val="18"/>
              </w:rPr>
              <w:t>智能仪器的输入通道及接口技术</w:t>
            </w:r>
          </w:p>
        </w:tc>
        <w:tc>
          <w:tcPr>
            <w:tcW w:w="911" w:type="pct"/>
            <w:vAlign w:val="center"/>
          </w:tcPr>
          <w:p>
            <w:pPr>
              <w:adjustRightInd w:val="0"/>
              <w:snapToGrid w:val="0"/>
              <w:jc w:val="center"/>
              <w:rPr>
                <w:sz w:val="18"/>
                <w:szCs w:val="18"/>
              </w:rPr>
            </w:pPr>
            <w:r>
              <w:rPr>
                <w:sz w:val="18"/>
                <w:szCs w:val="18"/>
              </w:rPr>
              <w:t>2</w:t>
            </w:r>
          </w:p>
        </w:tc>
        <w:tc>
          <w:tcPr>
            <w:tcW w:w="983" w:type="pct"/>
            <w:vAlign w:val="center"/>
          </w:tcPr>
          <w:p>
            <w:pPr>
              <w:adjustRightInd w:val="0"/>
              <w:snapToGrid w:val="0"/>
              <w:jc w:val="center"/>
              <w:rPr>
                <w:sz w:val="18"/>
                <w:szCs w:val="18"/>
              </w:rPr>
            </w:pPr>
            <w:r>
              <w:rPr>
                <w:sz w:val="18"/>
                <w:szCs w:val="18"/>
              </w:rPr>
              <w:t>2</w:t>
            </w:r>
          </w:p>
        </w:tc>
        <w:tc>
          <w:tcPr>
            <w:tcW w:w="804" w:type="pct"/>
            <w:vAlign w:val="center"/>
          </w:tcPr>
          <w:p>
            <w:pPr>
              <w:adjustRightInd w:val="0"/>
              <w:snapToGrid w:val="0"/>
              <w:jc w:val="center"/>
              <w:rPr>
                <w:sz w:val="18"/>
                <w:szCs w:val="18"/>
              </w:rPr>
            </w:pPr>
            <w:r>
              <w:rPr>
                <w:sz w:val="18"/>
                <w:szCs w:val="18"/>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302" w:type="pct"/>
            <w:vAlign w:val="center"/>
          </w:tcPr>
          <w:p>
            <w:pPr>
              <w:adjustRightInd w:val="0"/>
              <w:snapToGrid w:val="0"/>
              <w:jc w:val="center"/>
              <w:rPr>
                <w:sz w:val="18"/>
                <w:szCs w:val="18"/>
              </w:rPr>
            </w:pPr>
            <w:r>
              <w:rPr>
                <w:sz w:val="18"/>
                <w:szCs w:val="18"/>
              </w:rPr>
              <w:t>4</w:t>
            </w:r>
            <w:r>
              <w:rPr>
                <w:rFonts w:hAnsi="宋体"/>
                <w:sz w:val="18"/>
                <w:szCs w:val="18"/>
              </w:rPr>
              <w:t>智能仪器的输出通道及接口技术</w:t>
            </w:r>
          </w:p>
        </w:tc>
        <w:tc>
          <w:tcPr>
            <w:tcW w:w="911" w:type="pct"/>
            <w:vAlign w:val="center"/>
          </w:tcPr>
          <w:p>
            <w:pPr>
              <w:adjustRightInd w:val="0"/>
              <w:snapToGrid w:val="0"/>
              <w:jc w:val="center"/>
              <w:rPr>
                <w:sz w:val="18"/>
                <w:szCs w:val="18"/>
              </w:rPr>
            </w:pPr>
            <w:r>
              <w:rPr>
                <w:sz w:val="18"/>
                <w:szCs w:val="18"/>
              </w:rPr>
              <w:t>2</w:t>
            </w:r>
          </w:p>
        </w:tc>
        <w:tc>
          <w:tcPr>
            <w:tcW w:w="983" w:type="pct"/>
            <w:vAlign w:val="center"/>
          </w:tcPr>
          <w:p>
            <w:pPr>
              <w:adjustRightInd w:val="0"/>
              <w:snapToGrid w:val="0"/>
              <w:jc w:val="center"/>
              <w:rPr>
                <w:sz w:val="18"/>
                <w:szCs w:val="18"/>
              </w:rPr>
            </w:pPr>
            <w:r>
              <w:rPr>
                <w:sz w:val="18"/>
                <w:szCs w:val="18"/>
              </w:rPr>
              <w:t>2</w:t>
            </w:r>
          </w:p>
        </w:tc>
        <w:tc>
          <w:tcPr>
            <w:tcW w:w="804" w:type="pct"/>
            <w:vAlign w:val="center"/>
          </w:tcPr>
          <w:p>
            <w:pPr>
              <w:adjustRightInd w:val="0"/>
              <w:snapToGrid w:val="0"/>
              <w:jc w:val="center"/>
              <w:rPr>
                <w:sz w:val="18"/>
                <w:szCs w:val="18"/>
              </w:rPr>
            </w:pPr>
            <w:r>
              <w:rPr>
                <w:sz w:val="18"/>
                <w:szCs w:val="18"/>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302" w:type="pct"/>
            <w:vAlign w:val="center"/>
          </w:tcPr>
          <w:p>
            <w:pPr>
              <w:adjustRightInd w:val="0"/>
              <w:snapToGrid w:val="0"/>
              <w:jc w:val="center"/>
              <w:rPr>
                <w:sz w:val="18"/>
                <w:szCs w:val="18"/>
              </w:rPr>
            </w:pPr>
            <w:r>
              <w:rPr>
                <w:sz w:val="18"/>
                <w:szCs w:val="18"/>
              </w:rPr>
              <w:t>5</w:t>
            </w:r>
            <w:r>
              <w:rPr>
                <w:rFonts w:hAnsi="宋体"/>
                <w:sz w:val="18"/>
                <w:szCs w:val="18"/>
              </w:rPr>
              <w:t>智能仪器的人机接口技术</w:t>
            </w:r>
          </w:p>
        </w:tc>
        <w:tc>
          <w:tcPr>
            <w:tcW w:w="911" w:type="pct"/>
            <w:vAlign w:val="center"/>
          </w:tcPr>
          <w:p>
            <w:pPr>
              <w:adjustRightInd w:val="0"/>
              <w:snapToGrid w:val="0"/>
              <w:jc w:val="center"/>
              <w:rPr>
                <w:sz w:val="18"/>
                <w:szCs w:val="18"/>
              </w:rPr>
            </w:pPr>
            <w:r>
              <w:rPr>
                <w:sz w:val="18"/>
                <w:szCs w:val="18"/>
              </w:rPr>
              <w:t>2</w:t>
            </w:r>
          </w:p>
        </w:tc>
        <w:tc>
          <w:tcPr>
            <w:tcW w:w="983" w:type="pct"/>
            <w:vAlign w:val="center"/>
          </w:tcPr>
          <w:p>
            <w:pPr>
              <w:adjustRightInd w:val="0"/>
              <w:snapToGrid w:val="0"/>
              <w:jc w:val="center"/>
              <w:rPr>
                <w:sz w:val="18"/>
                <w:szCs w:val="18"/>
              </w:rPr>
            </w:pPr>
            <w:r>
              <w:rPr>
                <w:sz w:val="18"/>
                <w:szCs w:val="18"/>
              </w:rPr>
              <w:t>2</w:t>
            </w:r>
          </w:p>
        </w:tc>
        <w:tc>
          <w:tcPr>
            <w:tcW w:w="804" w:type="pct"/>
            <w:vAlign w:val="center"/>
          </w:tcPr>
          <w:p>
            <w:pPr>
              <w:adjustRightInd w:val="0"/>
              <w:snapToGrid w:val="0"/>
              <w:jc w:val="center"/>
              <w:rPr>
                <w:sz w:val="18"/>
                <w:szCs w:val="18"/>
              </w:rPr>
            </w:pPr>
            <w:r>
              <w:rPr>
                <w:sz w:val="18"/>
                <w:szCs w:val="18"/>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302" w:type="pct"/>
            <w:vAlign w:val="center"/>
          </w:tcPr>
          <w:p>
            <w:pPr>
              <w:adjustRightInd w:val="0"/>
              <w:snapToGrid w:val="0"/>
              <w:jc w:val="center"/>
              <w:rPr>
                <w:sz w:val="18"/>
                <w:szCs w:val="18"/>
              </w:rPr>
            </w:pPr>
            <w:r>
              <w:rPr>
                <w:sz w:val="18"/>
                <w:szCs w:val="18"/>
              </w:rPr>
              <w:t>6</w:t>
            </w:r>
            <w:r>
              <w:rPr>
                <w:rFonts w:hAnsi="宋体"/>
                <w:sz w:val="18"/>
                <w:szCs w:val="18"/>
              </w:rPr>
              <w:t>智能仪器的通信接口技术</w:t>
            </w:r>
          </w:p>
        </w:tc>
        <w:tc>
          <w:tcPr>
            <w:tcW w:w="911" w:type="pct"/>
            <w:vAlign w:val="center"/>
          </w:tcPr>
          <w:p>
            <w:pPr>
              <w:adjustRightInd w:val="0"/>
              <w:snapToGrid w:val="0"/>
              <w:jc w:val="center"/>
              <w:rPr>
                <w:sz w:val="18"/>
                <w:szCs w:val="18"/>
              </w:rPr>
            </w:pPr>
            <w:r>
              <w:rPr>
                <w:sz w:val="18"/>
                <w:szCs w:val="18"/>
              </w:rPr>
              <w:t>2</w:t>
            </w:r>
          </w:p>
        </w:tc>
        <w:tc>
          <w:tcPr>
            <w:tcW w:w="983" w:type="pct"/>
            <w:vAlign w:val="center"/>
          </w:tcPr>
          <w:p>
            <w:pPr>
              <w:adjustRightInd w:val="0"/>
              <w:snapToGrid w:val="0"/>
              <w:jc w:val="center"/>
              <w:rPr>
                <w:sz w:val="18"/>
                <w:szCs w:val="18"/>
              </w:rPr>
            </w:pPr>
            <w:r>
              <w:rPr>
                <w:sz w:val="18"/>
                <w:szCs w:val="18"/>
              </w:rPr>
              <w:t>2</w:t>
            </w:r>
          </w:p>
        </w:tc>
        <w:tc>
          <w:tcPr>
            <w:tcW w:w="804" w:type="pct"/>
            <w:vAlign w:val="center"/>
          </w:tcPr>
          <w:p>
            <w:pPr>
              <w:adjustRightInd w:val="0"/>
              <w:snapToGrid w:val="0"/>
              <w:jc w:val="center"/>
              <w:rPr>
                <w:sz w:val="18"/>
                <w:szCs w:val="18"/>
              </w:rPr>
            </w:pPr>
            <w:r>
              <w:rPr>
                <w:sz w:val="18"/>
                <w:szCs w:val="18"/>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302" w:type="pct"/>
            <w:vAlign w:val="center"/>
          </w:tcPr>
          <w:p>
            <w:pPr>
              <w:adjustRightInd w:val="0"/>
              <w:snapToGrid w:val="0"/>
              <w:jc w:val="center"/>
              <w:rPr>
                <w:sz w:val="18"/>
                <w:szCs w:val="18"/>
              </w:rPr>
            </w:pPr>
            <w:r>
              <w:rPr>
                <w:sz w:val="18"/>
                <w:szCs w:val="18"/>
              </w:rPr>
              <w:t>7</w:t>
            </w:r>
            <w:r>
              <w:rPr>
                <w:rFonts w:hAnsi="宋体"/>
                <w:sz w:val="18"/>
                <w:szCs w:val="18"/>
              </w:rPr>
              <w:t>智能仪器的自检及抗干扰技术</w:t>
            </w:r>
          </w:p>
        </w:tc>
        <w:tc>
          <w:tcPr>
            <w:tcW w:w="911" w:type="pct"/>
            <w:vAlign w:val="center"/>
          </w:tcPr>
          <w:p>
            <w:pPr>
              <w:adjustRightInd w:val="0"/>
              <w:snapToGrid w:val="0"/>
              <w:jc w:val="center"/>
              <w:rPr>
                <w:sz w:val="18"/>
                <w:szCs w:val="18"/>
              </w:rPr>
            </w:pPr>
            <w:r>
              <w:rPr>
                <w:sz w:val="18"/>
                <w:szCs w:val="18"/>
              </w:rPr>
              <w:t>2</w:t>
            </w:r>
          </w:p>
        </w:tc>
        <w:tc>
          <w:tcPr>
            <w:tcW w:w="983" w:type="pct"/>
            <w:vAlign w:val="center"/>
          </w:tcPr>
          <w:p>
            <w:pPr>
              <w:adjustRightInd w:val="0"/>
              <w:snapToGrid w:val="0"/>
              <w:jc w:val="center"/>
              <w:rPr>
                <w:sz w:val="18"/>
                <w:szCs w:val="18"/>
              </w:rPr>
            </w:pPr>
            <w:r>
              <w:rPr>
                <w:sz w:val="18"/>
                <w:szCs w:val="18"/>
              </w:rPr>
              <w:t>0</w:t>
            </w:r>
          </w:p>
        </w:tc>
        <w:tc>
          <w:tcPr>
            <w:tcW w:w="804" w:type="pct"/>
            <w:vAlign w:val="center"/>
          </w:tcPr>
          <w:p>
            <w:pPr>
              <w:adjustRightInd w:val="0"/>
              <w:snapToGrid w:val="0"/>
              <w:jc w:val="center"/>
              <w:rPr>
                <w:sz w:val="18"/>
                <w:szCs w:val="18"/>
              </w:rPr>
            </w:pPr>
            <w:r>
              <w:rPr>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302" w:type="pct"/>
            <w:vAlign w:val="center"/>
          </w:tcPr>
          <w:p>
            <w:pPr>
              <w:adjustRightInd w:val="0"/>
              <w:snapToGrid w:val="0"/>
              <w:jc w:val="center"/>
              <w:rPr>
                <w:sz w:val="18"/>
                <w:szCs w:val="18"/>
              </w:rPr>
            </w:pPr>
            <w:r>
              <w:rPr>
                <w:sz w:val="18"/>
                <w:szCs w:val="18"/>
              </w:rPr>
              <w:t>8</w:t>
            </w:r>
            <w:r>
              <w:rPr>
                <w:rFonts w:hAnsi="宋体"/>
                <w:sz w:val="18"/>
                <w:szCs w:val="18"/>
              </w:rPr>
              <w:t>智能仪器的数据处理技术</w:t>
            </w:r>
          </w:p>
        </w:tc>
        <w:tc>
          <w:tcPr>
            <w:tcW w:w="911" w:type="pct"/>
            <w:vAlign w:val="center"/>
          </w:tcPr>
          <w:p>
            <w:pPr>
              <w:adjustRightInd w:val="0"/>
              <w:snapToGrid w:val="0"/>
              <w:jc w:val="center"/>
              <w:rPr>
                <w:sz w:val="18"/>
                <w:szCs w:val="18"/>
              </w:rPr>
            </w:pPr>
            <w:r>
              <w:rPr>
                <w:sz w:val="18"/>
                <w:szCs w:val="18"/>
              </w:rPr>
              <w:t>4</w:t>
            </w:r>
          </w:p>
        </w:tc>
        <w:tc>
          <w:tcPr>
            <w:tcW w:w="983" w:type="pct"/>
            <w:vAlign w:val="center"/>
          </w:tcPr>
          <w:p>
            <w:pPr>
              <w:adjustRightInd w:val="0"/>
              <w:snapToGrid w:val="0"/>
              <w:jc w:val="center"/>
              <w:rPr>
                <w:sz w:val="18"/>
                <w:szCs w:val="18"/>
              </w:rPr>
            </w:pPr>
            <w:r>
              <w:rPr>
                <w:sz w:val="18"/>
                <w:szCs w:val="18"/>
              </w:rPr>
              <w:t>0</w:t>
            </w:r>
          </w:p>
        </w:tc>
        <w:tc>
          <w:tcPr>
            <w:tcW w:w="804" w:type="pct"/>
            <w:vAlign w:val="center"/>
          </w:tcPr>
          <w:p>
            <w:pPr>
              <w:adjustRightInd w:val="0"/>
              <w:snapToGrid w:val="0"/>
              <w:jc w:val="center"/>
              <w:rPr>
                <w:sz w:val="18"/>
                <w:szCs w:val="18"/>
              </w:rPr>
            </w:pPr>
            <w:r>
              <w:rPr>
                <w:sz w:val="18"/>
                <w:szCs w:val="18"/>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302" w:type="pct"/>
            <w:vAlign w:val="center"/>
          </w:tcPr>
          <w:p>
            <w:pPr>
              <w:adjustRightInd w:val="0"/>
              <w:snapToGrid w:val="0"/>
              <w:jc w:val="center"/>
              <w:rPr>
                <w:sz w:val="18"/>
                <w:szCs w:val="18"/>
              </w:rPr>
            </w:pPr>
            <w:r>
              <w:rPr>
                <w:sz w:val="18"/>
                <w:szCs w:val="18"/>
              </w:rPr>
              <w:t>9</w:t>
            </w:r>
            <w:r>
              <w:rPr>
                <w:rFonts w:hAnsi="宋体"/>
                <w:sz w:val="18"/>
                <w:szCs w:val="18"/>
              </w:rPr>
              <w:t>智能仪器设计方法及实例</w:t>
            </w:r>
          </w:p>
        </w:tc>
        <w:tc>
          <w:tcPr>
            <w:tcW w:w="911" w:type="pct"/>
            <w:vAlign w:val="center"/>
          </w:tcPr>
          <w:p>
            <w:pPr>
              <w:adjustRightInd w:val="0"/>
              <w:snapToGrid w:val="0"/>
              <w:jc w:val="center"/>
              <w:rPr>
                <w:sz w:val="18"/>
                <w:szCs w:val="18"/>
              </w:rPr>
            </w:pPr>
            <w:r>
              <w:rPr>
                <w:sz w:val="18"/>
                <w:szCs w:val="18"/>
              </w:rPr>
              <w:t>8</w:t>
            </w:r>
          </w:p>
        </w:tc>
        <w:tc>
          <w:tcPr>
            <w:tcW w:w="983" w:type="pct"/>
            <w:vAlign w:val="center"/>
          </w:tcPr>
          <w:p>
            <w:pPr>
              <w:adjustRightInd w:val="0"/>
              <w:snapToGrid w:val="0"/>
              <w:jc w:val="center"/>
              <w:rPr>
                <w:sz w:val="18"/>
                <w:szCs w:val="18"/>
              </w:rPr>
            </w:pPr>
            <w:r>
              <w:rPr>
                <w:sz w:val="18"/>
                <w:szCs w:val="18"/>
              </w:rPr>
              <w:t>0</w:t>
            </w:r>
          </w:p>
        </w:tc>
        <w:tc>
          <w:tcPr>
            <w:tcW w:w="804" w:type="pct"/>
            <w:vAlign w:val="center"/>
          </w:tcPr>
          <w:p>
            <w:pPr>
              <w:adjustRightInd w:val="0"/>
              <w:snapToGrid w:val="0"/>
              <w:jc w:val="center"/>
              <w:rPr>
                <w:sz w:val="18"/>
                <w:szCs w:val="18"/>
              </w:rPr>
            </w:pPr>
            <w:r>
              <w:rPr>
                <w:sz w:val="18"/>
                <w:szCs w:val="18"/>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302" w:type="pct"/>
            <w:vAlign w:val="center"/>
          </w:tcPr>
          <w:p>
            <w:pPr>
              <w:widowControl/>
              <w:adjustRightInd w:val="0"/>
              <w:snapToGrid w:val="0"/>
              <w:jc w:val="center"/>
              <w:rPr>
                <w:rFonts w:cs="宋体"/>
                <w:kern w:val="0"/>
                <w:sz w:val="18"/>
                <w:szCs w:val="18"/>
              </w:rPr>
            </w:pPr>
            <w:r>
              <w:rPr>
                <w:rFonts w:hint="eastAsia" w:cs="宋体"/>
                <w:kern w:val="0"/>
                <w:sz w:val="18"/>
                <w:szCs w:val="18"/>
              </w:rPr>
              <w:t>合计</w:t>
            </w:r>
          </w:p>
        </w:tc>
        <w:tc>
          <w:tcPr>
            <w:tcW w:w="911" w:type="pct"/>
            <w:vAlign w:val="center"/>
          </w:tcPr>
          <w:p>
            <w:pPr>
              <w:adjustRightInd w:val="0"/>
              <w:snapToGrid w:val="0"/>
              <w:jc w:val="center"/>
              <w:rPr>
                <w:sz w:val="18"/>
                <w:szCs w:val="18"/>
              </w:rPr>
            </w:pPr>
            <w:r>
              <w:rPr>
                <w:sz w:val="18"/>
                <w:szCs w:val="18"/>
              </w:rPr>
              <w:t>24</w:t>
            </w:r>
          </w:p>
        </w:tc>
        <w:tc>
          <w:tcPr>
            <w:tcW w:w="983" w:type="pct"/>
            <w:vAlign w:val="center"/>
          </w:tcPr>
          <w:p>
            <w:pPr>
              <w:adjustRightInd w:val="0"/>
              <w:snapToGrid w:val="0"/>
              <w:jc w:val="center"/>
              <w:rPr>
                <w:sz w:val="18"/>
                <w:szCs w:val="18"/>
              </w:rPr>
            </w:pPr>
            <w:r>
              <w:rPr>
                <w:sz w:val="18"/>
                <w:szCs w:val="18"/>
              </w:rPr>
              <w:t>8</w:t>
            </w:r>
          </w:p>
        </w:tc>
        <w:tc>
          <w:tcPr>
            <w:tcW w:w="804" w:type="pct"/>
            <w:vAlign w:val="center"/>
          </w:tcPr>
          <w:p>
            <w:pPr>
              <w:adjustRightInd w:val="0"/>
              <w:snapToGrid w:val="0"/>
              <w:jc w:val="center"/>
              <w:rPr>
                <w:sz w:val="18"/>
                <w:szCs w:val="18"/>
              </w:rPr>
            </w:pPr>
            <w:r>
              <w:rPr>
                <w:sz w:val="18"/>
                <w:szCs w:val="18"/>
              </w:rPr>
              <w:t>32</w:t>
            </w:r>
          </w:p>
        </w:tc>
      </w:tr>
    </w:tbl>
    <w:p>
      <w:pPr>
        <w:spacing w:line="360" w:lineRule="auto"/>
        <w:rPr>
          <w:b/>
          <w:sz w:val="18"/>
          <w:szCs w:val="18"/>
        </w:rPr>
      </w:pPr>
    </w:p>
    <w:p>
      <w:pPr>
        <w:tabs>
          <w:tab w:val="left" w:pos="420"/>
        </w:tabs>
        <w:spacing w:line="360" w:lineRule="auto"/>
        <w:ind w:left="420" w:hanging="420"/>
        <w:rPr>
          <w:rFonts w:eastAsia="黑体"/>
          <w:szCs w:val="24"/>
        </w:rPr>
      </w:pPr>
      <w:r>
        <w:rPr>
          <w:rFonts w:hint="eastAsia" w:eastAsia="黑体"/>
          <w:szCs w:val="24"/>
        </w:rPr>
        <w:t>七、教材、补充教材及参考资料</w:t>
      </w:r>
    </w:p>
    <w:p>
      <w:pPr>
        <w:tabs>
          <w:tab w:val="left" w:pos="420"/>
        </w:tabs>
        <w:spacing w:line="360" w:lineRule="auto"/>
        <w:ind w:firstLine="420" w:firstLineChars="200"/>
        <w:rPr>
          <w:szCs w:val="24"/>
        </w:rPr>
      </w:pPr>
      <w:r>
        <w:rPr>
          <w:szCs w:val="24"/>
        </w:rPr>
        <w:t>1</w:t>
      </w:r>
      <w:r>
        <w:rPr>
          <w:rFonts w:hAnsi="宋体"/>
          <w:szCs w:val="24"/>
        </w:rPr>
        <w:t>、王祁，《智能仪器设计基础》，</w:t>
      </w:r>
      <w:r>
        <w:rPr>
          <w:szCs w:val="24"/>
        </w:rPr>
        <w:t>ISBN 978 7 111 28792 6</w:t>
      </w:r>
      <w:r>
        <w:rPr>
          <w:rFonts w:hAnsi="宋体"/>
          <w:szCs w:val="24"/>
        </w:rPr>
        <w:t>，机械工业出版社。</w:t>
      </w:r>
    </w:p>
    <w:p>
      <w:pPr>
        <w:tabs>
          <w:tab w:val="left" w:pos="420"/>
        </w:tabs>
        <w:spacing w:line="360" w:lineRule="auto"/>
        <w:ind w:firstLine="420" w:firstLineChars="200"/>
        <w:rPr>
          <w:szCs w:val="24"/>
        </w:rPr>
      </w:pPr>
      <w:r>
        <w:rPr>
          <w:szCs w:val="24"/>
        </w:rPr>
        <w:t>2</w:t>
      </w:r>
      <w:r>
        <w:rPr>
          <w:rFonts w:hAnsi="宋体"/>
          <w:szCs w:val="24"/>
        </w:rPr>
        <w:t>、朱欣华，《智能仪器原理与设计》，</w:t>
      </w:r>
      <w:r>
        <w:rPr>
          <w:szCs w:val="24"/>
        </w:rPr>
        <w:t>ISBN 978 7 040 33885 0</w:t>
      </w:r>
      <w:r>
        <w:rPr>
          <w:rFonts w:hAnsi="宋体"/>
          <w:szCs w:val="24"/>
        </w:rPr>
        <w:t>，高等教育出版社。</w:t>
      </w:r>
    </w:p>
    <w:p>
      <w:pPr>
        <w:tabs>
          <w:tab w:val="left" w:pos="420"/>
        </w:tabs>
        <w:spacing w:line="360" w:lineRule="auto"/>
        <w:ind w:firstLine="420" w:firstLineChars="200"/>
        <w:rPr>
          <w:szCs w:val="24"/>
        </w:rPr>
      </w:pPr>
      <w:r>
        <w:rPr>
          <w:szCs w:val="24"/>
        </w:rPr>
        <w:t>3</w:t>
      </w:r>
      <w:r>
        <w:rPr>
          <w:rFonts w:hAnsi="宋体"/>
          <w:szCs w:val="24"/>
        </w:rPr>
        <w:t>、程德福，《智能仪器（第</w:t>
      </w:r>
      <w:r>
        <w:rPr>
          <w:szCs w:val="24"/>
        </w:rPr>
        <w:t>2</w:t>
      </w:r>
      <w:r>
        <w:rPr>
          <w:rFonts w:hAnsi="宋体"/>
          <w:szCs w:val="24"/>
        </w:rPr>
        <w:t>版）》，</w:t>
      </w:r>
      <w:r>
        <w:rPr>
          <w:szCs w:val="24"/>
        </w:rPr>
        <w:t>ISBN 978 7 111 27913 6</w:t>
      </w:r>
      <w:r>
        <w:rPr>
          <w:rFonts w:hAnsi="宋体"/>
          <w:szCs w:val="24"/>
        </w:rPr>
        <w:t>，机械工业出版社。</w:t>
      </w:r>
    </w:p>
    <w:p>
      <w:pPr>
        <w:tabs>
          <w:tab w:val="left" w:pos="420"/>
        </w:tabs>
        <w:spacing w:line="360" w:lineRule="auto"/>
        <w:ind w:firstLine="420" w:firstLineChars="200"/>
        <w:rPr>
          <w:szCs w:val="24"/>
        </w:rPr>
      </w:pPr>
      <w:r>
        <w:rPr>
          <w:szCs w:val="24"/>
        </w:rPr>
        <w:t>4</w:t>
      </w:r>
      <w:r>
        <w:rPr>
          <w:rFonts w:hAnsi="宋体"/>
          <w:szCs w:val="24"/>
        </w:rPr>
        <w:t>、高立娥，《智能仪器原理与设计》，</w:t>
      </w:r>
      <w:r>
        <w:rPr>
          <w:szCs w:val="24"/>
        </w:rPr>
        <w:t>ISBN 978 7 561 23141 8</w:t>
      </w:r>
      <w:r>
        <w:rPr>
          <w:rFonts w:hAnsi="宋体"/>
          <w:szCs w:val="24"/>
        </w:rPr>
        <w:t>，西北工业大学出版社。</w:t>
      </w:r>
    </w:p>
    <w:p>
      <w:pPr>
        <w:tabs>
          <w:tab w:val="left" w:pos="420"/>
        </w:tabs>
        <w:spacing w:line="360" w:lineRule="auto"/>
        <w:ind w:firstLine="420" w:firstLineChars="200"/>
        <w:rPr>
          <w:szCs w:val="24"/>
        </w:rPr>
      </w:pPr>
      <w:r>
        <w:rPr>
          <w:szCs w:val="24"/>
        </w:rPr>
        <w:t>5</w:t>
      </w:r>
      <w:r>
        <w:rPr>
          <w:rFonts w:hAnsi="宋体"/>
          <w:szCs w:val="24"/>
        </w:rPr>
        <w:t>、赵茂泰，《智能仪器原理及应用（第</w:t>
      </w:r>
      <w:r>
        <w:rPr>
          <w:szCs w:val="24"/>
        </w:rPr>
        <w:t>3</w:t>
      </w:r>
      <w:r>
        <w:rPr>
          <w:rFonts w:hAnsi="宋体"/>
          <w:szCs w:val="24"/>
        </w:rPr>
        <w:t>版）》，</w:t>
      </w:r>
      <w:r>
        <w:rPr>
          <w:szCs w:val="24"/>
        </w:rPr>
        <w:t>ISBN 978 7 121 08062 3</w:t>
      </w:r>
      <w:r>
        <w:rPr>
          <w:rFonts w:hAnsi="宋体"/>
          <w:szCs w:val="24"/>
        </w:rPr>
        <w:t>，电子工业出版社。</w:t>
      </w:r>
    </w:p>
    <w:p>
      <w:pPr>
        <w:tabs>
          <w:tab w:val="left" w:pos="420"/>
        </w:tabs>
        <w:spacing w:line="360" w:lineRule="auto"/>
        <w:ind w:firstLine="420" w:firstLineChars="200"/>
        <w:rPr>
          <w:szCs w:val="24"/>
        </w:rPr>
      </w:pPr>
      <w:r>
        <w:rPr>
          <w:szCs w:val="24"/>
        </w:rPr>
        <w:t>6</w:t>
      </w:r>
      <w:r>
        <w:rPr>
          <w:rFonts w:hAnsi="宋体"/>
          <w:szCs w:val="24"/>
        </w:rPr>
        <w:t>、史健芳，《智能仪器设计基础（第</w:t>
      </w:r>
      <w:r>
        <w:rPr>
          <w:szCs w:val="24"/>
        </w:rPr>
        <w:t>2</w:t>
      </w:r>
      <w:r>
        <w:rPr>
          <w:rFonts w:hAnsi="宋体"/>
          <w:szCs w:val="24"/>
        </w:rPr>
        <w:t>版）》，</w:t>
      </w:r>
      <w:r>
        <w:rPr>
          <w:szCs w:val="24"/>
        </w:rPr>
        <w:t>ISBN 978 7 121 17948 8</w:t>
      </w:r>
      <w:r>
        <w:rPr>
          <w:rFonts w:hAnsi="宋体"/>
          <w:szCs w:val="24"/>
        </w:rPr>
        <w:t>，电子工业出版社。</w:t>
      </w:r>
    </w:p>
    <w:p>
      <w:pPr>
        <w:tabs>
          <w:tab w:val="left" w:pos="420"/>
        </w:tabs>
        <w:spacing w:line="360" w:lineRule="auto"/>
        <w:ind w:left="420" w:hanging="420"/>
        <w:rPr>
          <w:rFonts w:eastAsia="黑体"/>
          <w:szCs w:val="24"/>
        </w:rPr>
      </w:pPr>
    </w:p>
    <w:p>
      <w:pPr>
        <w:tabs>
          <w:tab w:val="left" w:pos="420"/>
        </w:tabs>
        <w:spacing w:line="360" w:lineRule="auto"/>
        <w:ind w:left="420" w:hanging="420"/>
        <w:rPr>
          <w:rFonts w:eastAsia="黑体"/>
          <w:szCs w:val="24"/>
        </w:rPr>
      </w:pPr>
      <w:r>
        <w:rPr>
          <w:rFonts w:hint="eastAsia" w:eastAsia="黑体"/>
          <w:szCs w:val="24"/>
        </w:rPr>
        <w:t>八、课程目标达成的途径和措施</w:t>
      </w:r>
    </w:p>
    <w:p>
      <w:pPr>
        <w:spacing w:line="360" w:lineRule="auto"/>
        <w:ind w:firstLine="420" w:firstLineChars="200"/>
        <w:rPr>
          <w:szCs w:val="21"/>
        </w:rPr>
      </w:pPr>
      <w:r>
        <w:rPr>
          <w:rFonts w:hint="eastAsia"/>
          <w:szCs w:val="21"/>
        </w:rPr>
        <w:t>1、考核目标：考核学生对智能仪器的设计原理、设计方法的掌握程度；考核学生对系统硬件设计的掌握程度；考核学生对软件编程设计的掌握程度。</w:t>
      </w:r>
    </w:p>
    <w:p>
      <w:pPr>
        <w:spacing w:line="360" w:lineRule="auto"/>
        <w:ind w:firstLine="420" w:firstLineChars="200"/>
        <w:rPr>
          <w:szCs w:val="21"/>
        </w:rPr>
      </w:pPr>
      <w:r>
        <w:rPr>
          <w:rFonts w:hint="eastAsia"/>
          <w:szCs w:val="21"/>
        </w:rPr>
        <w:t>2、采取措施：采用多媒体教学，辅助课堂提问及互动等多种措施。</w:t>
      </w:r>
    </w:p>
    <w:p>
      <w:pPr>
        <w:spacing w:line="360" w:lineRule="auto"/>
        <w:ind w:firstLine="420" w:firstLineChars="200"/>
        <w:rPr>
          <w:szCs w:val="21"/>
        </w:rPr>
      </w:pPr>
      <w:r>
        <w:rPr>
          <w:rFonts w:hint="eastAsia"/>
          <w:szCs w:val="21"/>
        </w:rPr>
        <w:t>3、考核方式：综合设计、实验及课堂提问。</w:t>
      </w:r>
    </w:p>
    <w:p>
      <w:pPr>
        <w:spacing w:line="360" w:lineRule="auto"/>
        <w:ind w:firstLine="420" w:firstLineChars="200"/>
        <w:rPr>
          <w:szCs w:val="21"/>
        </w:rPr>
      </w:pPr>
      <w:r>
        <w:rPr>
          <w:rFonts w:hint="eastAsia"/>
          <w:szCs w:val="21"/>
        </w:rPr>
        <w:t>4</w:t>
      </w:r>
      <w:r>
        <w:rPr>
          <w:szCs w:val="21"/>
        </w:rPr>
        <w:t>、</w:t>
      </w:r>
      <w:r>
        <w:rPr>
          <w:rFonts w:hint="eastAsia"/>
          <w:szCs w:val="21"/>
        </w:rPr>
        <w:t>评价环节对课程目标达成贡献率及支撑材料：</w:t>
      </w:r>
    </w:p>
    <w:tbl>
      <w:tblPr>
        <w:tblStyle w:val="19"/>
        <w:tblW w:w="5000" w:type="pct"/>
        <w:jc w:val="center"/>
        <w:tblLayout w:type="autofit"/>
        <w:tblCellMar>
          <w:top w:w="0" w:type="dxa"/>
          <w:left w:w="108" w:type="dxa"/>
          <w:bottom w:w="0" w:type="dxa"/>
          <w:right w:w="108" w:type="dxa"/>
        </w:tblCellMar>
      </w:tblPr>
      <w:tblGrid>
        <w:gridCol w:w="1840"/>
        <w:gridCol w:w="2557"/>
        <w:gridCol w:w="2127"/>
        <w:gridCol w:w="2004"/>
      </w:tblGrid>
      <w:tr>
        <w:tblPrEx>
          <w:tblCellMar>
            <w:top w:w="0" w:type="dxa"/>
            <w:left w:w="108" w:type="dxa"/>
            <w:bottom w:w="0" w:type="dxa"/>
            <w:right w:w="108" w:type="dxa"/>
          </w:tblCellMar>
        </w:tblPrEx>
        <w:trPr>
          <w:trHeight w:val="691" w:hRule="atLeast"/>
          <w:jc w:val="center"/>
        </w:trPr>
        <w:tc>
          <w:tcPr>
            <w:tcW w:w="1079" w:type="pct"/>
            <w:tcBorders>
              <w:top w:val="single" w:color="auto" w:sz="4" w:space="0"/>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考察环节</w:t>
            </w:r>
          </w:p>
        </w:tc>
        <w:tc>
          <w:tcPr>
            <w:tcW w:w="149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课堂情况</w:t>
            </w:r>
          </w:p>
        </w:tc>
        <w:tc>
          <w:tcPr>
            <w:tcW w:w="1247" w:type="pct"/>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实验</w:t>
            </w:r>
          </w:p>
        </w:tc>
        <w:tc>
          <w:tcPr>
            <w:tcW w:w="1175" w:type="pct"/>
            <w:tcBorders>
              <w:top w:val="single" w:color="auto" w:sz="4" w:space="0"/>
              <w:left w:val="single" w:color="auto" w:sz="4" w:space="0"/>
              <w:bottom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综合设计</w:t>
            </w:r>
          </w:p>
        </w:tc>
      </w:tr>
      <w:tr>
        <w:tblPrEx>
          <w:tblCellMar>
            <w:top w:w="0" w:type="dxa"/>
            <w:left w:w="108" w:type="dxa"/>
            <w:bottom w:w="0" w:type="dxa"/>
            <w:right w:w="108" w:type="dxa"/>
          </w:tblCellMar>
        </w:tblPrEx>
        <w:trPr>
          <w:trHeight w:val="775" w:hRule="atLeast"/>
          <w:jc w:val="center"/>
        </w:trPr>
        <w:tc>
          <w:tcPr>
            <w:tcW w:w="1079" w:type="pct"/>
            <w:tcBorders>
              <w:top w:val="single" w:color="auto" w:sz="4" w:space="0"/>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课程目标达成</w:t>
            </w:r>
          </w:p>
          <w:p>
            <w:pPr>
              <w:widowControl/>
              <w:jc w:val="center"/>
              <w:rPr>
                <w:color w:val="000000"/>
                <w:kern w:val="0"/>
                <w:sz w:val="18"/>
                <w:szCs w:val="18"/>
              </w:rPr>
            </w:pPr>
            <w:r>
              <w:rPr>
                <w:color w:val="000000"/>
                <w:kern w:val="0"/>
                <w:sz w:val="18"/>
                <w:szCs w:val="18"/>
              </w:rPr>
              <w:t>的贡献率</w:t>
            </w:r>
          </w:p>
        </w:tc>
        <w:tc>
          <w:tcPr>
            <w:tcW w:w="149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0.20</w:t>
            </w:r>
          </w:p>
        </w:tc>
        <w:tc>
          <w:tcPr>
            <w:tcW w:w="1247" w:type="pct"/>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0.20</w:t>
            </w:r>
          </w:p>
        </w:tc>
        <w:tc>
          <w:tcPr>
            <w:tcW w:w="1175" w:type="pct"/>
            <w:tcBorders>
              <w:top w:val="single" w:color="auto" w:sz="4" w:space="0"/>
              <w:left w:val="single" w:color="auto" w:sz="4" w:space="0"/>
              <w:bottom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0.60</w:t>
            </w:r>
          </w:p>
        </w:tc>
      </w:tr>
      <w:tr>
        <w:tblPrEx>
          <w:tblCellMar>
            <w:top w:w="0" w:type="dxa"/>
            <w:left w:w="108" w:type="dxa"/>
            <w:bottom w:w="0" w:type="dxa"/>
            <w:right w:w="108" w:type="dxa"/>
          </w:tblCellMar>
        </w:tblPrEx>
        <w:trPr>
          <w:trHeight w:val="1005" w:hRule="atLeast"/>
          <w:jc w:val="center"/>
        </w:trPr>
        <w:tc>
          <w:tcPr>
            <w:tcW w:w="1079" w:type="pct"/>
            <w:tcBorders>
              <w:top w:val="single" w:color="auto" w:sz="4" w:space="0"/>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支撑材料</w:t>
            </w:r>
          </w:p>
        </w:tc>
        <w:tc>
          <w:tcPr>
            <w:tcW w:w="149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课堂评价标准，课堂提问记录或随堂考试，结合出勤率等</w:t>
            </w:r>
          </w:p>
        </w:tc>
        <w:tc>
          <w:tcPr>
            <w:tcW w:w="1247" w:type="pct"/>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课内实验评价标准，实验课堂记录，实验报告</w:t>
            </w:r>
          </w:p>
        </w:tc>
        <w:tc>
          <w:tcPr>
            <w:tcW w:w="1175" w:type="pct"/>
            <w:tcBorders>
              <w:top w:val="single" w:color="auto" w:sz="4" w:space="0"/>
              <w:left w:val="single" w:color="auto" w:sz="4" w:space="0"/>
              <w:bottom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设计方案、报告与可行性分析</w:t>
            </w:r>
          </w:p>
        </w:tc>
      </w:tr>
    </w:tbl>
    <w:p>
      <w:pPr>
        <w:tabs>
          <w:tab w:val="left" w:pos="420"/>
        </w:tabs>
        <w:adjustRightInd w:val="0"/>
        <w:snapToGrid w:val="0"/>
        <w:spacing w:line="360" w:lineRule="auto"/>
        <w:rPr>
          <w:rFonts w:eastAsia="黑体"/>
          <w:szCs w:val="24"/>
        </w:rPr>
      </w:pPr>
    </w:p>
    <w:p>
      <w:pPr>
        <w:tabs>
          <w:tab w:val="left" w:pos="420"/>
        </w:tabs>
        <w:adjustRightInd w:val="0"/>
        <w:snapToGrid w:val="0"/>
        <w:spacing w:line="360" w:lineRule="auto"/>
        <w:ind w:left="420" w:hanging="420"/>
        <w:rPr>
          <w:rFonts w:ascii="宋体" w:hAnsi="宋体"/>
          <w:sz w:val="18"/>
          <w:szCs w:val="18"/>
        </w:rPr>
      </w:pPr>
      <w:r>
        <w:rPr>
          <w:rFonts w:eastAsia="黑体"/>
          <w:szCs w:val="24"/>
        </w:rPr>
        <w:t>九</w:t>
      </w:r>
      <w:r>
        <w:rPr>
          <w:rFonts w:hint="eastAsia" w:eastAsia="黑体"/>
          <w:szCs w:val="24"/>
        </w:rPr>
        <w:t>、覆盖课程目标达成评价的知识点及权重</w:t>
      </w:r>
    </w:p>
    <w:tbl>
      <w:tblPr>
        <w:tblStyle w:val="20"/>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562"/>
        <w:gridCol w:w="1179"/>
        <w:gridCol w:w="178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vAlign w:val="center"/>
          </w:tcPr>
          <w:p>
            <w:pPr>
              <w:jc w:val="center"/>
              <w:rPr>
                <w:sz w:val="18"/>
                <w:szCs w:val="18"/>
              </w:rPr>
            </w:pPr>
            <w:r>
              <w:rPr>
                <w:sz w:val="18"/>
                <w:szCs w:val="18"/>
              </w:rPr>
              <w:t>知识点</w:t>
            </w:r>
          </w:p>
        </w:tc>
        <w:tc>
          <w:tcPr>
            <w:tcW w:w="691" w:type="pct"/>
            <w:vAlign w:val="center"/>
          </w:tcPr>
          <w:p>
            <w:pPr>
              <w:jc w:val="center"/>
              <w:rPr>
                <w:sz w:val="18"/>
                <w:szCs w:val="18"/>
              </w:rPr>
            </w:pPr>
            <w:r>
              <w:rPr>
                <w:sz w:val="18"/>
                <w:szCs w:val="18"/>
              </w:rPr>
              <w:t>权重</w:t>
            </w:r>
          </w:p>
        </w:tc>
        <w:tc>
          <w:tcPr>
            <w:tcW w:w="1048" w:type="pct"/>
            <w:vAlign w:val="center"/>
          </w:tcPr>
          <w:p>
            <w:pPr>
              <w:jc w:val="center"/>
              <w:rPr>
                <w:sz w:val="18"/>
                <w:szCs w:val="18"/>
              </w:rPr>
            </w:pPr>
            <w:r>
              <w:rPr>
                <w:sz w:val="18"/>
                <w:szCs w:val="18"/>
              </w:rPr>
              <w:t>支撑课程目标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vAlign w:val="center"/>
          </w:tcPr>
          <w:p>
            <w:pPr>
              <w:rPr>
                <w:sz w:val="18"/>
                <w:szCs w:val="18"/>
              </w:rPr>
            </w:pPr>
            <w:r>
              <w:rPr>
                <w:rFonts w:hint="eastAsia"/>
                <w:sz w:val="18"/>
                <w:szCs w:val="18"/>
              </w:rPr>
              <w:t>1、</w:t>
            </w:r>
            <w:r>
              <w:rPr>
                <w:sz w:val="18"/>
                <w:szCs w:val="18"/>
              </w:rPr>
              <w:t>智能仪器的基本结构与特点</w:t>
            </w:r>
            <w:r>
              <w:rPr>
                <w:rFonts w:hint="eastAsia"/>
                <w:sz w:val="18"/>
                <w:szCs w:val="18"/>
              </w:rPr>
              <w:t>，</w:t>
            </w:r>
            <w:r>
              <w:rPr>
                <w:sz w:val="18"/>
                <w:szCs w:val="18"/>
              </w:rPr>
              <w:t>推动智能仪器发展的主要技术</w:t>
            </w:r>
            <w:r>
              <w:rPr>
                <w:rFonts w:hint="eastAsia"/>
                <w:sz w:val="18"/>
                <w:szCs w:val="18"/>
              </w:rPr>
              <w:t>；</w:t>
            </w:r>
          </w:p>
        </w:tc>
        <w:tc>
          <w:tcPr>
            <w:tcW w:w="691" w:type="pct"/>
            <w:vAlign w:val="center"/>
          </w:tcPr>
          <w:p>
            <w:pPr>
              <w:jc w:val="center"/>
              <w:rPr>
                <w:sz w:val="18"/>
                <w:szCs w:val="18"/>
              </w:rPr>
            </w:pPr>
            <w:r>
              <w:rPr>
                <w:sz w:val="18"/>
                <w:szCs w:val="18"/>
              </w:rPr>
              <w:t>0.10</w:t>
            </w:r>
          </w:p>
        </w:tc>
        <w:tc>
          <w:tcPr>
            <w:tcW w:w="1048" w:type="pct"/>
            <w:vAlign w:val="center"/>
          </w:tcPr>
          <w:p>
            <w:pPr>
              <w:jc w:val="center"/>
              <w:rPr>
                <w:sz w:val="18"/>
                <w:szCs w:val="18"/>
              </w:rPr>
            </w:pPr>
            <w:r>
              <w:rPr>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vAlign w:val="center"/>
          </w:tcPr>
          <w:p>
            <w:pPr>
              <w:rPr>
                <w:sz w:val="18"/>
                <w:szCs w:val="18"/>
              </w:rPr>
            </w:pPr>
            <w:r>
              <w:rPr>
                <w:rFonts w:hint="eastAsia"/>
                <w:sz w:val="18"/>
                <w:szCs w:val="18"/>
              </w:rPr>
              <w:t>2、智能仪器中的微处理器</w:t>
            </w:r>
            <w:r>
              <w:rPr>
                <w:sz w:val="18"/>
                <w:szCs w:val="18"/>
              </w:rPr>
              <w:t>分类、结构组成及特点</w:t>
            </w:r>
            <w:r>
              <w:rPr>
                <w:rFonts w:hint="eastAsia"/>
                <w:sz w:val="18"/>
                <w:szCs w:val="18"/>
              </w:rPr>
              <w:t>；</w:t>
            </w:r>
          </w:p>
        </w:tc>
        <w:tc>
          <w:tcPr>
            <w:tcW w:w="691" w:type="pct"/>
            <w:vAlign w:val="center"/>
          </w:tcPr>
          <w:p>
            <w:pPr>
              <w:jc w:val="center"/>
              <w:rPr>
                <w:sz w:val="18"/>
                <w:szCs w:val="18"/>
              </w:rPr>
            </w:pPr>
            <w:r>
              <w:rPr>
                <w:sz w:val="18"/>
                <w:szCs w:val="18"/>
              </w:rPr>
              <w:t>0.15</w:t>
            </w:r>
          </w:p>
        </w:tc>
        <w:tc>
          <w:tcPr>
            <w:tcW w:w="1048" w:type="pct"/>
            <w:vAlign w:val="center"/>
          </w:tcPr>
          <w:p>
            <w:pPr>
              <w:jc w:val="center"/>
              <w:rPr>
                <w:sz w:val="18"/>
                <w:szCs w:val="18"/>
              </w:rPr>
            </w:pPr>
            <w:r>
              <w:rPr>
                <w:sz w:val="18"/>
                <w:szCs w:val="18"/>
              </w:rPr>
              <w:t>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vAlign w:val="center"/>
          </w:tcPr>
          <w:p>
            <w:pPr>
              <w:rPr>
                <w:sz w:val="18"/>
                <w:szCs w:val="18"/>
              </w:rPr>
            </w:pPr>
            <w:r>
              <w:rPr>
                <w:rFonts w:hint="eastAsia"/>
                <w:sz w:val="18"/>
                <w:szCs w:val="18"/>
              </w:rPr>
              <w:t>3、智能仪器中的输入通道及接口技术，</w:t>
            </w:r>
          </w:p>
        </w:tc>
        <w:tc>
          <w:tcPr>
            <w:tcW w:w="691" w:type="pct"/>
            <w:vAlign w:val="center"/>
          </w:tcPr>
          <w:p>
            <w:pPr>
              <w:jc w:val="center"/>
              <w:rPr>
                <w:sz w:val="18"/>
                <w:szCs w:val="18"/>
              </w:rPr>
            </w:pPr>
            <w:r>
              <w:rPr>
                <w:sz w:val="18"/>
                <w:szCs w:val="18"/>
              </w:rPr>
              <w:t>0.10</w:t>
            </w:r>
          </w:p>
        </w:tc>
        <w:tc>
          <w:tcPr>
            <w:tcW w:w="1048" w:type="pct"/>
            <w:vAlign w:val="center"/>
          </w:tcPr>
          <w:p>
            <w:pPr>
              <w:jc w:val="center"/>
              <w:rPr>
                <w:sz w:val="18"/>
                <w:szCs w:val="18"/>
              </w:rPr>
            </w:pPr>
            <w:r>
              <w:rPr>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vAlign w:val="center"/>
          </w:tcPr>
          <w:p>
            <w:pPr>
              <w:rPr>
                <w:sz w:val="18"/>
                <w:szCs w:val="18"/>
              </w:rPr>
            </w:pPr>
            <w:r>
              <w:rPr>
                <w:rFonts w:hint="eastAsia"/>
                <w:sz w:val="18"/>
                <w:szCs w:val="18"/>
              </w:rPr>
              <w:t>4、智能仪器中的输出通道及接口技术；</w:t>
            </w:r>
          </w:p>
        </w:tc>
        <w:tc>
          <w:tcPr>
            <w:tcW w:w="691" w:type="pct"/>
            <w:vAlign w:val="center"/>
          </w:tcPr>
          <w:p>
            <w:pPr>
              <w:jc w:val="center"/>
              <w:rPr>
                <w:sz w:val="18"/>
                <w:szCs w:val="18"/>
              </w:rPr>
            </w:pPr>
            <w:r>
              <w:rPr>
                <w:sz w:val="18"/>
                <w:szCs w:val="18"/>
              </w:rPr>
              <w:t>0.10</w:t>
            </w:r>
          </w:p>
        </w:tc>
        <w:tc>
          <w:tcPr>
            <w:tcW w:w="1048" w:type="pct"/>
            <w:vAlign w:val="center"/>
          </w:tcPr>
          <w:p>
            <w:pPr>
              <w:jc w:val="center"/>
              <w:rPr>
                <w:sz w:val="18"/>
                <w:szCs w:val="18"/>
              </w:rPr>
            </w:pPr>
            <w:r>
              <w:rPr>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40" w:hRule="atLeast"/>
          <w:jc w:val="center"/>
        </w:trPr>
        <w:tc>
          <w:tcPr>
            <w:tcW w:w="3261" w:type="pct"/>
            <w:vAlign w:val="center"/>
          </w:tcPr>
          <w:p>
            <w:pPr>
              <w:rPr>
                <w:sz w:val="18"/>
                <w:szCs w:val="18"/>
              </w:rPr>
            </w:pPr>
            <w:r>
              <w:rPr>
                <w:rFonts w:hint="eastAsia"/>
                <w:sz w:val="18"/>
                <w:szCs w:val="18"/>
              </w:rPr>
              <w:t>5、智能仪器的人机接口技术；</w:t>
            </w:r>
          </w:p>
        </w:tc>
        <w:tc>
          <w:tcPr>
            <w:tcW w:w="691" w:type="pct"/>
            <w:vAlign w:val="center"/>
          </w:tcPr>
          <w:p>
            <w:pPr>
              <w:jc w:val="center"/>
              <w:rPr>
                <w:sz w:val="18"/>
                <w:szCs w:val="18"/>
              </w:rPr>
            </w:pPr>
            <w:r>
              <w:rPr>
                <w:sz w:val="18"/>
                <w:szCs w:val="18"/>
              </w:rPr>
              <w:t>0.15</w:t>
            </w:r>
          </w:p>
        </w:tc>
        <w:tc>
          <w:tcPr>
            <w:tcW w:w="1048" w:type="pct"/>
            <w:vAlign w:val="center"/>
          </w:tcPr>
          <w:p>
            <w:pPr>
              <w:jc w:val="center"/>
              <w:rPr>
                <w:sz w:val="18"/>
                <w:szCs w:val="18"/>
              </w:rPr>
            </w:pPr>
            <w:r>
              <w:rPr>
                <w:rFonts w:hint="eastAsia"/>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vAlign w:val="center"/>
          </w:tcPr>
          <w:p>
            <w:pPr>
              <w:rPr>
                <w:sz w:val="18"/>
                <w:szCs w:val="18"/>
              </w:rPr>
            </w:pPr>
            <w:r>
              <w:rPr>
                <w:rFonts w:hint="eastAsia"/>
                <w:sz w:val="18"/>
                <w:szCs w:val="18"/>
              </w:rPr>
              <w:t>6、智能仪器的通信接口技术；</w:t>
            </w:r>
          </w:p>
        </w:tc>
        <w:tc>
          <w:tcPr>
            <w:tcW w:w="691" w:type="pct"/>
            <w:vAlign w:val="center"/>
          </w:tcPr>
          <w:p>
            <w:pPr>
              <w:jc w:val="center"/>
              <w:rPr>
                <w:sz w:val="18"/>
                <w:szCs w:val="18"/>
              </w:rPr>
            </w:pPr>
            <w:r>
              <w:rPr>
                <w:sz w:val="18"/>
                <w:szCs w:val="18"/>
              </w:rPr>
              <w:t>0.10</w:t>
            </w:r>
          </w:p>
        </w:tc>
        <w:tc>
          <w:tcPr>
            <w:tcW w:w="1048" w:type="pct"/>
            <w:vAlign w:val="center"/>
          </w:tcPr>
          <w:p>
            <w:pPr>
              <w:jc w:val="center"/>
              <w:rPr>
                <w:sz w:val="18"/>
                <w:szCs w:val="18"/>
              </w:rPr>
            </w:pPr>
            <w:r>
              <w:rPr>
                <w:rFonts w:hint="eastAsia"/>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40" w:hRule="atLeast"/>
          <w:jc w:val="center"/>
        </w:trPr>
        <w:tc>
          <w:tcPr>
            <w:tcW w:w="3261" w:type="pct"/>
            <w:vAlign w:val="center"/>
          </w:tcPr>
          <w:p>
            <w:pPr>
              <w:rPr>
                <w:sz w:val="18"/>
                <w:szCs w:val="18"/>
              </w:rPr>
            </w:pPr>
            <w:r>
              <w:rPr>
                <w:rFonts w:hint="eastAsia"/>
                <w:sz w:val="18"/>
                <w:szCs w:val="18"/>
              </w:rPr>
              <w:t>7、智能仪器的自检及抗干扰技术；</w:t>
            </w:r>
          </w:p>
        </w:tc>
        <w:tc>
          <w:tcPr>
            <w:tcW w:w="691" w:type="pct"/>
            <w:vAlign w:val="center"/>
          </w:tcPr>
          <w:p>
            <w:pPr>
              <w:jc w:val="center"/>
              <w:rPr>
                <w:sz w:val="18"/>
                <w:szCs w:val="18"/>
              </w:rPr>
            </w:pPr>
            <w:r>
              <w:rPr>
                <w:sz w:val="18"/>
                <w:szCs w:val="18"/>
              </w:rPr>
              <w:t>0.10</w:t>
            </w:r>
          </w:p>
        </w:tc>
        <w:tc>
          <w:tcPr>
            <w:tcW w:w="1048" w:type="pct"/>
            <w:vAlign w:val="center"/>
          </w:tcPr>
          <w:p>
            <w:pPr>
              <w:jc w:val="center"/>
              <w:rPr>
                <w:sz w:val="18"/>
                <w:szCs w:val="18"/>
              </w:rPr>
            </w:pPr>
            <w:r>
              <w:rPr>
                <w:sz w:val="18"/>
                <w:szCs w:val="18"/>
              </w:rPr>
              <w:t>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vAlign w:val="center"/>
          </w:tcPr>
          <w:p>
            <w:pPr>
              <w:rPr>
                <w:sz w:val="18"/>
                <w:szCs w:val="18"/>
              </w:rPr>
            </w:pPr>
            <w:r>
              <w:rPr>
                <w:rFonts w:hint="eastAsia"/>
                <w:sz w:val="18"/>
                <w:szCs w:val="18"/>
              </w:rPr>
              <w:t>8</w:t>
            </w:r>
            <w:r>
              <w:rPr>
                <w:sz w:val="18"/>
                <w:szCs w:val="18"/>
              </w:rPr>
              <w:t>、</w:t>
            </w:r>
            <w:r>
              <w:rPr>
                <w:rFonts w:hint="eastAsia"/>
                <w:sz w:val="18"/>
                <w:szCs w:val="18"/>
              </w:rPr>
              <w:t>智能仪器的数据处理技术；</w:t>
            </w:r>
          </w:p>
        </w:tc>
        <w:tc>
          <w:tcPr>
            <w:tcW w:w="691" w:type="pct"/>
            <w:vAlign w:val="center"/>
          </w:tcPr>
          <w:p>
            <w:pPr>
              <w:jc w:val="center"/>
              <w:rPr>
                <w:sz w:val="18"/>
                <w:szCs w:val="18"/>
              </w:rPr>
            </w:pPr>
            <w:r>
              <w:rPr>
                <w:sz w:val="18"/>
                <w:szCs w:val="18"/>
              </w:rPr>
              <w:t>0.10</w:t>
            </w:r>
          </w:p>
        </w:tc>
        <w:tc>
          <w:tcPr>
            <w:tcW w:w="1048" w:type="pct"/>
            <w:vAlign w:val="center"/>
          </w:tcPr>
          <w:p>
            <w:pPr>
              <w:jc w:val="center"/>
              <w:rPr>
                <w:sz w:val="18"/>
                <w:szCs w:val="18"/>
              </w:rPr>
            </w:pPr>
            <w:r>
              <w:rPr>
                <w:sz w:val="18"/>
                <w:szCs w:val="18"/>
              </w:rPr>
              <w:t>2、</w:t>
            </w:r>
            <w:r>
              <w:rPr>
                <w:rFonts w:hint="eastAsia"/>
                <w:sz w:val="18"/>
                <w:szCs w:val="18"/>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vAlign w:val="center"/>
          </w:tcPr>
          <w:p>
            <w:pPr>
              <w:rPr>
                <w:sz w:val="18"/>
                <w:szCs w:val="18"/>
              </w:rPr>
            </w:pPr>
            <w:r>
              <w:rPr>
                <w:rFonts w:hint="eastAsia"/>
                <w:sz w:val="18"/>
                <w:szCs w:val="18"/>
              </w:rPr>
              <w:t>9</w:t>
            </w:r>
            <w:r>
              <w:rPr>
                <w:sz w:val="18"/>
                <w:szCs w:val="18"/>
              </w:rPr>
              <w:t>、</w:t>
            </w:r>
            <w:r>
              <w:rPr>
                <w:rFonts w:hint="eastAsia"/>
                <w:sz w:val="18"/>
                <w:szCs w:val="18"/>
              </w:rPr>
              <w:t>智能仪器设计方法及实例。</w:t>
            </w:r>
          </w:p>
        </w:tc>
        <w:tc>
          <w:tcPr>
            <w:tcW w:w="691" w:type="pct"/>
            <w:vAlign w:val="center"/>
          </w:tcPr>
          <w:p>
            <w:pPr>
              <w:jc w:val="center"/>
              <w:rPr>
                <w:sz w:val="18"/>
                <w:szCs w:val="18"/>
              </w:rPr>
            </w:pPr>
            <w:r>
              <w:rPr>
                <w:rFonts w:hint="eastAsia"/>
                <w:sz w:val="18"/>
                <w:szCs w:val="18"/>
              </w:rPr>
              <w:t>0</w:t>
            </w:r>
            <w:r>
              <w:rPr>
                <w:sz w:val="18"/>
                <w:szCs w:val="18"/>
              </w:rPr>
              <w:t>.10</w:t>
            </w:r>
          </w:p>
        </w:tc>
        <w:tc>
          <w:tcPr>
            <w:tcW w:w="1048" w:type="pct"/>
            <w:vAlign w:val="center"/>
          </w:tcPr>
          <w:p>
            <w:pPr>
              <w:jc w:val="center"/>
              <w:rPr>
                <w:sz w:val="18"/>
                <w:szCs w:val="18"/>
              </w:rPr>
            </w:pPr>
            <w:r>
              <w:rPr>
                <w:rFonts w:hint="eastAsia"/>
                <w:sz w:val="18"/>
                <w:szCs w:val="18"/>
              </w:rPr>
              <w:t>3</w:t>
            </w:r>
          </w:p>
        </w:tc>
      </w:tr>
    </w:tbl>
    <w:p>
      <w:pPr>
        <w:spacing w:before="120" w:beforeLines="50" w:line="360" w:lineRule="auto"/>
        <w:ind w:firstLine="420" w:firstLineChars="200"/>
        <w:rPr>
          <w:rFonts w:ascii="宋体" w:hAnsi="宋体"/>
          <w:color w:val="0000FF"/>
          <w:szCs w:val="21"/>
        </w:rPr>
        <w:sectPr>
          <w:headerReference r:id="rId114" w:type="first"/>
          <w:footerReference r:id="rId117" w:type="first"/>
          <w:headerReference r:id="rId112" w:type="default"/>
          <w:footerReference r:id="rId115" w:type="default"/>
          <w:headerReference r:id="rId113" w:type="even"/>
          <w:footerReference r:id="rId116" w:type="even"/>
          <w:pgSz w:w="11906" w:h="16838"/>
          <w:pgMar w:top="1440" w:right="1797" w:bottom="1440" w:left="1797" w:header="851" w:footer="992" w:gutter="0"/>
          <w:pgNumType w:fmt="decimal"/>
          <w:cols w:space="425" w:num="1"/>
          <w:docGrid w:linePitch="312" w:charSpace="0"/>
        </w:sectPr>
      </w:pPr>
      <w:r>
        <w:rPr>
          <w:rFonts w:ascii="宋体" w:hAnsi="宋体"/>
          <w:szCs w:val="21"/>
        </w:rPr>
        <w:t>学生可以依据仪器与电子学院相关文件，以允许的第二课堂成果折算单项成绩，与对应知识点加权累计达到</w:t>
      </w:r>
      <w:r>
        <w:rPr>
          <w:rFonts w:hint="eastAsia" w:ascii="宋体" w:hAnsi="宋体"/>
          <w:szCs w:val="21"/>
        </w:rPr>
        <w:t>7</w:t>
      </w:r>
      <w:r>
        <w:rPr>
          <w:rFonts w:ascii="宋体" w:hAnsi="宋体"/>
          <w:szCs w:val="21"/>
        </w:rPr>
        <w:t>5</w:t>
      </w:r>
      <w:r>
        <w:rPr>
          <w:rFonts w:hint="eastAsia" w:ascii="宋体" w:hAnsi="宋体"/>
          <w:szCs w:val="21"/>
        </w:rPr>
        <w:t>（含）以上，且对所有课程目标的支撑不能有缺项，即可申请本门课程免修。</w:t>
      </w:r>
    </w:p>
    <w:p>
      <w:pPr>
        <w:tabs>
          <w:tab w:val="left" w:pos="420"/>
        </w:tabs>
        <w:adjustRightInd w:val="0"/>
        <w:snapToGrid w:val="0"/>
        <w:spacing w:line="360" w:lineRule="auto"/>
        <w:ind w:left="420" w:hanging="420"/>
        <w:rPr>
          <w:rFonts w:eastAsia="黑体"/>
          <w:szCs w:val="24"/>
        </w:rPr>
      </w:pPr>
      <w:r>
        <w:rPr>
          <w:rFonts w:hint="eastAsia" w:eastAsia="黑体"/>
          <w:szCs w:val="24"/>
        </w:rPr>
        <w:t>十、课程目标达成评价</w:t>
      </w:r>
    </w:p>
    <w:p>
      <w:pPr>
        <w:spacing w:line="360" w:lineRule="auto"/>
        <w:ind w:firstLine="420" w:firstLineChars="200"/>
        <w:jc w:val="center"/>
      </w:pPr>
      <w:r>
        <w:rPr>
          <w:rFonts w:hint="eastAsia"/>
        </w:rPr>
        <w:t>各环节对课程目标达成评价所使用到的权重占比分配及考核权重分配</w:t>
      </w:r>
    </w:p>
    <w:tbl>
      <w:tblPr>
        <w:tblStyle w:val="19"/>
        <w:tblW w:w="5000" w:type="pct"/>
        <w:jc w:val="center"/>
        <w:tblLayout w:type="autofit"/>
        <w:tblCellMar>
          <w:top w:w="0" w:type="dxa"/>
          <w:left w:w="108" w:type="dxa"/>
          <w:bottom w:w="0" w:type="dxa"/>
          <w:right w:w="108" w:type="dxa"/>
        </w:tblCellMar>
      </w:tblPr>
      <w:tblGrid>
        <w:gridCol w:w="584"/>
        <w:gridCol w:w="958"/>
        <w:gridCol w:w="1239"/>
        <w:gridCol w:w="1466"/>
        <w:gridCol w:w="1562"/>
        <w:gridCol w:w="1369"/>
        <w:gridCol w:w="1466"/>
        <w:gridCol w:w="1599"/>
        <w:gridCol w:w="1230"/>
        <w:gridCol w:w="1318"/>
        <w:gridCol w:w="1383"/>
      </w:tblGrid>
      <w:tr>
        <w:tblPrEx>
          <w:tblCellMar>
            <w:top w:w="0" w:type="dxa"/>
            <w:left w:w="108" w:type="dxa"/>
            <w:bottom w:w="0" w:type="dxa"/>
            <w:right w:w="108" w:type="dxa"/>
          </w:tblCellMar>
        </w:tblPrEx>
        <w:trPr>
          <w:trHeight w:val="1015" w:hRule="atLeast"/>
          <w:jc w:val="center"/>
        </w:trPr>
        <w:tc>
          <w:tcPr>
            <w:tcW w:w="2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课程目标</w:t>
            </w:r>
          </w:p>
        </w:tc>
        <w:tc>
          <w:tcPr>
            <w:tcW w:w="3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知识面比例</w:t>
            </w:r>
          </w:p>
          <w:p>
            <w:pPr>
              <w:widowControl/>
              <w:jc w:val="center"/>
              <w:rPr>
                <w:rFonts w:ascii="宋体" w:hAnsi="宋体" w:cs="宋体"/>
                <w:kern w:val="0"/>
                <w:sz w:val="18"/>
                <w:szCs w:val="18"/>
              </w:rPr>
            </w:pPr>
            <w:r>
              <w:rPr>
                <w:rFonts w:hint="eastAsia" w:ascii="宋体" w:hAnsi="宋体" w:cs="宋体"/>
                <w:kern w:val="0"/>
                <w:sz w:val="18"/>
                <w:szCs w:val="18"/>
              </w:rPr>
              <w:t>（本列总和为1）</w:t>
            </w:r>
          </w:p>
          <w:p>
            <w:pPr>
              <w:widowControl/>
              <w:jc w:val="center"/>
              <w:rPr>
                <w:rFonts w:ascii="宋体" w:hAnsi="宋体" w:cs="宋体"/>
                <w:i/>
                <w:kern w:val="0"/>
                <w:sz w:val="18"/>
                <w:szCs w:val="18"/>
              </w:rPr>
            </w:pPr>
            <w:r>
              <w:rPr>
                <w:rFonts w:ascii="宋体" w:hAnsi="宋体" w:cs="宋体"/>
                <w:i/>
                <w:kern w:val="0"/>
                <w:sz w:val="18"/>
                <w:szCs w:val="18"/>
              </w:rPr>
              <w:t>P</w:t>
            </w:r>
            <w:r>
              <w:rPr>
                <w:rFonts w:ascii="宋体" w:hAnsi="宋体" w:cs="宋体"/>
                <w:i/>
                <w:kern w:val="0"/>
                <w:sz w:val="18"/>
                <w:szCs w:val="18"/>
                <w:vertAlign w:val="subscript"/>
              </w:rPr>
              <w:t>i</w:t>
            </w:r>
          </w:p>
        </w:tc>
        <w:tc>
          <w:tcPr>
            <w:tcW w:w="150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18"/>
                <w:szCs w:val="18"/>
              </w:rPr>
            </w:pPr>
            <w:r>
              <w:rPr>
                <w:rFonts w:hint="eastAsia" w:ascii="宋体" w:hAnsi="宋体"/>
                <w:sz w:val="18"/>
                <w:szCs w:val="18"/>
              </w:rPr>
              <w:t>各环节评价比例分配</w:t>
            </w:r>
            <w:r>
              <w:rPr>
                <w:rFonts w:hint="eastAsia" w:ascii="宋体" w:hAnsi="宋体"/>
                <w:sz w:val="18"/>
                <w:szCs w:val="18"/>
              </w:rPr>
              <w:br w:type="textWrapping"/>
            </w:r>
            <w:r>
              <w:rPr>
                <w:rFonts w:hint="eastAsia" w:ascii="宋体" w:hAnsi="宋体"/>
                <w:sz w:val="18"/>
                <w:szCs w:val="18"/>
              </w:rPr>
              <w:t>（每行总和为1）</w:t>
            </w:r>
            <w:r>
              <w:rPr>
                <w:rFonts w:hint="eastAsia" w:ascii="宋体" w:hAnsi="宋体"/>
                <w:sz w:val="18"/>
                <w:szCs w:val="18"/>
              </w:rPr>
              <w:br w:type="textWrapping"/>
            </w:r>
            <w:r>
              <w:rPr>
                <w:rFonts w:hint="eastAsia" w:ascii="宋体" w:hAnsi="宋体"/>
                <w:i/>
                <w:sz w:val="18"/>
                <w:szCs w:val="18"/>
              </w:rPr>
              <w:t>W</w:t>
            </w:r>
            <w:r>
              <w:rPr>
                <w:rFonts w:hint="eastAsia" w:ascii="宋体" w:hAnsi="宋体"/>
                <w:i/>
                <w:sz w:val="18"/>
                <w:szCs w:val="18"/>
                <w:vertAlign w:val="subscript"/>
              </w:rPr>
              <w:t>ik</w:t>
            </w:r>
          </w:p>
        </w:tc>
        <w:tc>
          <w:tcPr>
            <w:tcW w:w="1564" w:type="pct"/>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各环节在课程达成中的占比</w:t>
            </w:r>
            <w:r>
              <w:rPr>
                <w:rFonts w:hint="eastAsia" w:ascii="宋体" w:hAnsi="宋体"/>
                <w:sz w:val="18"/>
                <w:szCs w:val="18"/>
              </w:rPr>
              <w:br w:type="textWrapping"/>
            </w:r>
            <w:r>
              <w:rPr>
                <w:rFonts w:hint="eastAsia" w:ascii="宋体" w:hAnsi="宋体"/>
                <w:sz w:val="18"/>
                <w:szCs w:val="18"/>
              </w:rPr>
              <w:t>（所有行列总和为1）</w:t>
            </w:r>
            <w:r>
              <w:rPr>
                <w:rFonts w:hint="eastAsia" w:ascii="宋体" w:hAnsi="宋体"/>
                <w:sz w:val="18"/>
                <w:szCs w:val="18"/>
              </w:rPr>
              <w:br w:type="textWrapping"/>
            </w:r>
            <w:r>
              <w:rPr>
                <w:rFonts w:hint="eastAsia" w:ascii="宋体" w:hAnsi="宋体"/>
                <w:i/>
                <w:sz w:val="18"/>
                <w:szCs w:val="18"/>
              </w:rPr>
              <w:t>S</w:t>
            </w:r>
            <w:r>
              <w:rPr>
                <w:rFonts w:hint="eastAsia" w:ascii="宋体" w:hAnsi="宋体"/>
                <w:i/>
                <w:sz w:val="18"/>
                <w:szCs w:val="18"/>
                <w:vertAlign w:val="subscript"/>
              </w:rPr>
              <w:t>ik</w:t>
            </w:r>
            <w:r>
              <w:rPr>
                <w:rFonts w:hint="eastAsia" w:ascii="宋体" w:hAnsi="宋体"/>
                <w:i/>
                <w:sz w:val="18"/>
                <w:szCs w:val="18"/>
              </w:rPr>
              <w:t>=P</w:t>
            </w:r>
            <w:r>
              <w:rPr>
                <w:rFonts w:hint="eastAsia" w:ascii="宋体" w:hAnsi="宋体"/>
                <w:i/>
                <w:sz w:val="18"/>
                <w:szCs w:val="18"/>
                <w:vertAlign w:val="subscript"/>
              </w:rPr>
              <w:t>i</w:t>
            </w:r>
            <w:r>
              <w:rPr>
                <w:rFonts w:hint="eastAsia" w:ascii="宋体" w:hAnsi="宋体"/>
                <w:i/>
                <w:sz w:val="18"/>
                <w:szCs w:val="18"/>
              </w:rPr>
              <w:t>*W</w:t>
            </w:r>
            <w:r>
              <w:rPr>
                <w:rFonts w:hint="eastAsia" w:ascii="宋体" w:hAnsi="宋体"/>
                <w:i/>
                <w:sz w:val="18"/>
                <w:szCs w:val="18"/>
                <w:vertAlign w:val="subscript"/>
              </w:rPr>
              <w:t>ik</w:t>
            </w:r>
          </w:p>
        </w:tc>
        <w:tc>
          <w:tcPr>
            <w:tcW w:w="1387"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各环节课程目标考核权重分布</w:t>
            </w:r>
          </w:p>
          <w:p>
            <w:pPr>
              <w:jc w:val="center"/>
              <w:rPr>
                <w:rFonts w:ascii="宋体" w:hAnsi="宋体"/>
                <w:sz w:val="18"/>
                <w:szCs w:val="18"/>
              </w:rPr>
            </w:pPr>
            <w:r>
              <w:rPr>
                <w:rFonts w:ascii="宋体" w:hAnsi="宋体"/>
                <w:sz w:val="18"/>
                <w:szCs w:val="18"/>
              </w:rPr>
              <w:t>（每一列总和为</w:t>
            </w:r>
            <w:r>
              <w:rPr>
                <w:rFonts w:hint="eastAsia" w:ascii="宋体" w:hAnsi="宋体"/>
                <w:sz w:val="18"/>
                <w:szCs w:val="18"/>
              </w:rPr>
              <w:t>1</w:t>
            </w:r>
            <w:r>
              <w:rPr>
                <w:rFonts w:ascii="宋体" w:hAnsi="宋体"/>
                <w:sz w:val="18"/>
                <w:szCs w:val="18"/>
              </w:rPr>
              <w:t>）</w:t>
            </w:r>
          </w:p>
          <w:p>
            <w:pPr>
              <w:jc w:val="center"/>
              <w:rPr>
                <w:rFonts w:ascii="宋体" w:hAnsi="宋体"/>
                <w:i/>
                <w:sz w:val="18"/>
                <w:szCs w:val="18"/>
              </w:rPr>
            </w:pPr>
            <w:r>
              <w:rPr>
                <w:rFonts w:hint="eastAsia" w:ascii="宋体" w:hAnsi="宋体"/>
                <w:i/>
                <w:sz w:val="18"/>
                <w:szCs w:val="18"/>
              </w:rPr>
              <w:t>E</w:t>
            </w:r>
            <w:r>
              <w:rPr>
                <w:rFonts w:hint="eastAsia" w:ascii="宋体" w:hAnsi="宋体"/>
                <w:i/>
                <w:sz w:val="18"/>
                <w:szCs w:val="18"/>
                <w:vertAlign w:val="subscript"/>
              </w:rPr>
              <w:t>ik</w:t>
            </w:r>
            <w:r>
              <w:rPr>
                <w:rFonts w:hint="eastAsia" w:ascii="宋体" w:hAnsi="宋体"/>
                <w:i/>
                <w:sz w:val="18"/>
                <w:szCs w:val="18"/>
              </w:rPr>
              <w:t>=</w:t>
            </w:r>
            <w:r>
              <w:rPr>
                <w:rFonts w:ascii="宋体" w:hAnsi="宋体"/>
                <w:i/>
                <w:sz w:val="18"/>
                <w:szCs w:val="18"/>
              </w:rPr>
              <w:t>S</w:t>
            </w:r>
            <w:r>
              <w:rPr>
                <w:rFonts w:ascii="宋体" w:hAnsi="宋体"/>
                <w:i/>
                <w:sz w:val="18"/>
                <w:szCs w:val="18"/>
                <w:vertAlign w:val="subscript"/>
              </w:rPr>
              <w:t>ik</w:t>
            </w:r>
            <w:r>
              <w:rPr>
                <w:rFonts w:ascii="宋体" w:hAnsi="宋体"/>
                <w:i/>
                <w:sz w:val="18"/>
                <w:szCs w:val="18"/>
              </w:rPr>
              <w:t>/M</w:t>
            </w:r>
            <w:r>
              <w:rPr>
                <w:rFonts w:ascii="宋体" w:hAnsi="宋体"/>
                <w:i/>
                <w:sz w:val="18"/>
                <w:szCs w:val="18"/>
                <w:vertAlign w:val="subscript"/>
              </w:rPr>
              <w:t>ik</w:t>
            </w:r>
          </w:p>
        </w:tc>
      </w:tr>
      <w:tr>
        <w:tblPrEx>
          <w:tblCellMar>
            <w:top w:w="0" w:type="dxa"/>
            <w:left w:w="108" w:type="dxa"/>
            <w:bottom w:w="0" w:type="dxa"/>
            <w:right w:w="108" w:type="dxa"/>
          </w:tblCellMar>
        </w:tblPrEx>
        <w:trPr>
          <w:trHeight w:val="986" w:hRule="atLeast"/>
          <w:jc w:val="center"/>
        </w:trPr>
        <w:tc>
          <w:tcPr>
            <w:tcW w:w="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3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课堂</w:t>
            </w:r>
          </w:p>
          <w:p>
            <w:pPr>
              <w:widowControl/>
              <w:jc w:val="center"/>
              <w:rPr>
                <w:rFonts w:ascii="宋体" w:hAnsi="宋体" w:cs="宋体"/>
                <w:kern w:val="0"/>
                <w:sz w:val="18"/>
                <w:szCs w:val="18"/>
              </w:rPr>
            </w:pPr>
            <w:r>
              <w:rPr>
                <w:rFonts w:hint="eastAsia" w:ascii="宋体" w:hAnsi="宋体" w:cs="宋体"/>
                <w:kern w:val="0"/>
                <w:sz w:val="18"/>
                <w:szCs w:val="18"/>
              </w:rPr>
              <w:t>情况</w:t>
            </w:r>
          </w:p>
        </w:tc>
        <w:tc>
          <w:tcPr>
            <w:tcW w:w="5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实验</w:t>
            </w:r>
          </w:p>
        </w:tc>
        <w:tc>
          <w:tcPr>
            <w:tcW w:w="5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综合</w:t>
            </w:r>
          </w:p>
          <w:p>
            <w:pPr>
              <w:widowControl/>
              <w:jc w:val="center"/>
              <w:rPr>
                <w:rFonts w:ascii="宋体" w:hAnsi="宋体" w:cs="宋体"/>
                <w:kern w:val="0"/>
                <w:sz w:val="18"/>
                <w:szCs w:val="18"/>
              </w:rPr>
            </w:pPr>
            <w:r>
              <w:rPr>
                <w:rFonts w:hint="eastAsia" w:ascii="宋体" w:hAnsi="宋体" w:cs="宋体"/>
                <w:kern w:val="0"/>
                <w:sz w:val="18"/>
                <w:szCs w:val="18"/>
              </w:rPr>
              <w:t>设计</w:t>
            </w:r>
          </w:p>
        </w:tc>
        <w:tc>
          <w:tcPr>
            <w:tcW w:w="4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课堂</w:t>
            </w:r>
          </w:p>
          <w:p>
            <w:pPr>
              <w:widowControl/>
              <w:jc w:val="center"/>
              <w:rPr>
                <w:rFonts w:ascii="宋体" w:hAnsi="宋体" w:cs="宋体"/>
                <w:kern w:val="0"/>
                <w:sz w:val="18"/>
                <w:szCs w:val="18"/>
              </w:rPr>
            </w:pPr>
            <w:r>
              <w:rPr>
                <w:rFonts w:hint="eastAsia" w:ascii="宋体" w:hAnsi="宋体" w:cs="宋体"/>
                <w:kern w:val="0"/>
                <w:sz w:val="18"/>
                <w:szCs w:val="18"/>
              </w:rPr>
              <w:t>情况</w:t>
            </w:r>
          </w:p>
        </w:tc>
        <w:tc>
          <w:tcPr>
            <w:tcW w:w="5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实验</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综合</w:t>
            </w:r>
          </w:p>
          <w:p>
            <w:pPr>
              <w:widowControl/>
              <w:jc w:val="center"/>
              <w:rPr>
                <w:rFonts w:ascii="宋体" w:hAnsi="宋体" w:cs="宋体"/>
                <w:kern w:val="0"/>
                <w:sz w:val="18"/>
                <w:szCs w:val="18"/>
              </w:rPr>
            </w:pPr>
            <w:r>
              <w:rPr>
                <w:rFonts w:hint="eastAsia" w:ascii="宋体" w:hAnsi="宋体" w:cs="宋体"/>
                <w:kern w:val="0"/>
                <w:sz w:val="18"/>
                <w:szCs w:val="18"/>
              </w:rPr>
              <w:t>设计</w:t>
            </w:r>
          </w:p>
        </w:tc>
        <w:tc>
          <w:tcPr>
            <w:tcW w:w="43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课堂</w:t>
            </w:r>
          </w:p>
          <w:p>
            <w:pPr>
              <w:widowControl/>
              <w:jc w:val="center"/>
              <w:rPr>
                <w:rFonts w:ascii="宋体" w:hAnsi="宋体" w:cs="宋体"/>
                <w:kern w:val="0"/>
                <w:sz w:val="18"/>
                <w:szCs w:val="18"/>
              </w:rPr>
            </w:pPr>
            <w:r>
              <w:rPr>
                <w:rFonts w:hint="eastAsia" w:ascii="宋体" w:hAnsi="宋体" w:cs="宋体"/>
                <w:kern w:val="0"/>
                <w:sz w:val="18"/>
                <w:szCs w:val="18"/>
              </w:rPr>
              <w:t>情况</w:t>
            </w:r>
          </w:p>
        </w:tc>
        <w:tc>
          <w:tcPr>
            <w:tcW w:w="4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实验</w:t>
            </w:r>
          </w:p>
        </w:tc>
        <w:tc>
          <w:tcPr>
            <w:tcW w:w="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综合</w:t>
            </w:r>
          </w:p>
          <w:p>
            <w:pPr>
              <w:widowControl/>
              <w:jc w:val="center"/>
              <w:rPr>
                <w:rFonts w:ascii="宋体" w:hAnsi="宋体" w:cs="宋体"/>
                <w:kern w:val="0"/>
                <w:sz w:val="18"/>
                <w:szCs w:val="18"/>
              </w:rPr>
            </w:pPr>
            <w:r>
              <w:rPr>
                <w:rFonts w:hint="eastAsia" w:ascii="宋体" w:hAnsi="宋体" w:cs="宋体"/>
                <w:kern w:val="0"/>
                <w:sz w:val="18"/>
                <w:szCs w:val="18"/>
              </w:rPr>
              <w:t>设计</w:t>
            </w:r>
          </w:p>
        </w:tc>
      </w:tr>
      <w:tr>
        <w:tblPrEx>
          <w:tblCellMar>
            <w:top w:w="0" w:type="dxa"/>
            <w:left w:w="108" w:type="dxa"/>
            <w:bottom w:w="0" w:type="dxa"/>
            <w:right w:w="108" w:type="dxa"/>
          </w:tblCellMar>
        </w:tblPrEx>
        <w:trPr>
          <w:trHeight w:val="1020" w:hRule="atLeast"/>
          <w:jc w:val="center"/>
        </w:trPr>
        <w:tc>
          <w:tcPr>
            <w:tcW w:w="206" w:type="pct"/>
            <w:tcBorders>
              <w:top w:val="nil"/>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1</w:t>
            </w:r>
          </w:p>
        </w:tc>
        <w:tc>
          <w:tcPr>
            <w:tcW w:w="338"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Cs/>
                <w:sz w:val="18"/>
                <w:szCs w:val="18"/>
              </w:rPr>
            </w:pPr>
            <w:r>
              <w:rPr>
                <w:bCs/>
                <w:sz w:val="18"/>
                <w:szCs w:val="18"/>
              </w:rPr>
              <w:t>0.20</w:t>
            </w:r>
          </w:p>
        </w:tc>
        <w:tc>
          <w:tcPr>
            <w:tcW w:w="437"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0.40</w:t>
            </w:r>
          </w:p>
        </w:tc>
        <w:tc>
          <w:tcPr>
            <w:tcW w:w="517"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0.20</w:t>
            </w:r>
          </w:p>
        </w:tc>
        <w:tc>
          <w:tcPr>
            <w:tcW w:w="551"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0.40</w:t>
            </w:r>
          </w:p>
        </w:tc>
        <w:tc>
          <w:tcPr>
            <w:tcW w:w="483"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0.08</w:t>
            </w:r>
          </w:p>
        </w:tc>
        <w:tc>
          <w:tcPr>
            <w:tcW w:w="517"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0.04</w:t>
            </w:r>
          </w:p>
        </w:tc>
        <w:tc>
          <w:tcPr>
            <w:tcW w:w="564"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0.08</w:t>
            </w:r>
          </w:p>
        </w:tc>
        <w:tc>
          <w:tcPr>
            <w:tcW w:w="43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0.40</w:t>
            </w:r>
          </w:p>
        </w:tc>
        <w:tc>
          <w:tcPr>
            <w:tcW w:w="46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0.20</w:t>
            </w:r>
          </w:p>
        </w:tc>
        <w:tc>
          <w:tcPr>
            <w:tcW w:w="48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0.13</w:t>
            </w:r>
          </w:p>
        </w:tc>
      </w:tr>
      <w:tr>
        <w:tblPrEx>
          <w:tblCellMar>
            <w:top w:w="0" w:type="dxa"/>
            <w:left w:w="108" w:type="dxa"/>
            <w:bottom w:w="0" w:type="dxa"/>
            <w:right w:w="108" w:type="dxa"/>
          </w:tblCellMar>
        </w:tblPrEx>
        <w:trPr>
          <w:trHeight w:val="694" w:hRule="atLeast"/>
          <w:jc w:val="center"/>
        </w:trPr>
        <w:tc>
          <w:tcPr>
            <w:tcW w:w="206" w:type="pct"/>
            <w:tcBorders>
              <w:top w:val="nil"/>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2</w:t>
            </w:r>
          </w:p>
        </w:tc>
        <w:tc>
          <w:tcPr>
            <w:tcW w:w="338" w:type="pct"/>
            <w:tcBorders>
              <w:top w:val="nil"/>
              <w:left w:val="single" w:color="auto" w:sz="4" w:space="0"/>
              <w:bottom w:val="single" w:color="auto" w:sz="4" w:space="0"/>
              <w:right w:val="single" w:color="auto" w:sz="4" w:space="0"/>
            </w:tcBorders>
            <w:shd w:val="clear" w:color="auto" w:fill="auto"/>
            <w:noWrap/>
            <w:vAlign w:val="center"/>
          </w:tcPr>
          <w:p>
            <w:pPr>
              <w:jc w:val="center"/>
              <w:rPr>
                <w:bCs/>
                <w:sz w:val="18"/>
                <w:szCs w:val="18"/>
              </w:rPr>
            </w:pPr>
            <w:r>
              <w:rPr>
                <w:bCs/>
                <w:sz w:val="18"/>
                <w:szCs w:val="18"/>
              </w:rPr>
              <w:t>0.60</w:t>
            </w:r>
          </w:p>
        </w:tc>
        <w:tc>
          <w:tcPr>
            <w:tcW w:w="437"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0.20</w:t>
            </w:r>
          </w:p>
        </w:tc>
        <w:tc>
          <w:tcPr>
            <w:tcW w:w="517"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0.10</w:t>
            </w:r>
          </w:p>
        </w:tc>
        <w:tc>
          <w:tcPr>
            <w:tcW w:w="551"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0.70</w:t>
            </w:r>
          </w:p>
        </w:tc>
        <w:tc>
          <w:tcPr>
            <w:tcW w:w="483"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0.12</w:t>
            </w:r>
          </w:p>
        </w:tc>
        <w:tc>
          <w:tcPr>
            <w:tcW w:w="517"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0.06</w:t>
            </w:r>
          </w:p>
        </w:tc>
        <w:tc>
          <w:tcPr>
            <w:tcW w:w="564"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0.42</w:t>
            </w:r>
          </w:p>
        </w:tc>
        <w:tc>
          <w:tcPr>
            <w:tcW w:w="43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0.60</w:t>
            </w:r>
          </w:p>
        </w:tc>
        <w:tc>
          <w:tcPr>
            <w:tcW w:w="46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0.30</w:t>
            </w:r>
          </w:p>
        </w:tc>
        <w:tc>
          <w:tcPr>
            <w:tcW w:w="48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0.70</w:t>
            </w:r>
          </w:p>
        </w:tc>
      </w:tr>
      <w:tr>
        <w:tblPrEx>
          <w:tblCellMar>
            <w:top w:w="0" w:type="dxa"/>
            <w:left w:w="108" w:type="dxa"/>
            <w:bottom w:w="0" w:type="dxa"/>
            <w:right w:w="108" w:type="dxa"/>
          </w:tblCellMar>
        </w:tblPrEx>
        <w:trPr>
          <w:trHeight w:val="690" w:hRule="atLeast"/>
          <w:jc w:val="center"/>
        </w:trPr>
        <w:tc>
          <w:tcPr>
            <w:tcW w:w="206" w:type="pct"/>
            <w:tcBorders>
              <w:top w:val="nil"/>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3</w:t>
            </w:r>
          </w:p>
        </w:tc>
        <w:tc>
          <w:tcPr>
            <w:tcW w:w="338" w:type="pct"/>
            <w:tcBorders>
              <w:top w:val="nil"/>
              <w:left w:val="single" w:color="auto" w:sz="4" w:space="0"/>
              <w:bottom w:val="single" w:color="auto" w:sz="4" w:space="0"/>
              <w:right w:val="single" w:color="auto" w:sz="4" w:space="0"/>
            </w:tcBorders>
            <w:shd w:val="clear" w:color="auto" w:fill="auto"/>
            <w:noWrap/>
            <w:vAlign w:val="center"/>
          </w:tcPr>
          <w:p>
            <w:pPr>
              <w:jc w:val="center"/>
              <w:rPr>
                <w:bCs/>
                <w:sz w:val="18"/>
                <w:szCs w:val="18"/>
              </w:rPr>
            </w:pPr>
            <w:r>
              <w:rPr>
                <w:bCs/>
                <w:sz w:val="18"/>
                <w:szCs w:val="18"/>
              </w:rPr>
              <w:t>0.20</w:t>
            </w:r>
          </w:p>
        </w:tc>
        <w:tc>
          <w:tcPr>
            <w:tcW w:w="437"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p>
        </w:tc>
        <w:tc>
          <w:tcPr>
            <w:tcW w:w="517"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0.50</w:t>
            </w:r>
          </w:p>
        </w:tc>
        <w:tc>
          <w:tcPr>
            <w:tcW w:w="551"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0.50</w:t>
            </w:r>
          </w:p>
        </w:tc>
        <w:tc>
          <w:tcPr>
            <w:tcW w:w="483"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p>
        </w:tc>
        <w:tc>
          <w:tcPr>
            <w:tcW w:w="517"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0.10</w:t>
            </w:r>
          </w:p>
        </w:tc>
        <w:tc>
          <w:tcPr>
            <w:tcW w:w="564" w:type="pct"/>
            <w:tcBorders>
              <w:top w:val="nil"/>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0.10</w:t>
            </w:r>
          </w:p>
        </w:tc>
        <w:tc>
          <w:tcPr>
            <w:tcW w:w="43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p>
        </w:tc>
        <w:tc>
          <w:tcPr>
            <w:tcW w:w="46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0.50</w:t>
            </w:r>
          </w:p>
        </w:tc>
        <w:tc>
          <w:tcPr>
            <w:tcW w:w="48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0.17</w:t>
            </w:r>
          </w:p>
        </w:tc>
      </w:tr>
      <w:tr>
        <w:tblPrEx>
          <w:tblCellMar>
            <w:top w:w="0" w:type="dxa"/>
            <w:left w:w="108" w:type="dxa"/>
            <w:bottom w:w="0" w:type="dxa"/>
            <w:right w:w="108" w:type="dxa"/>
          </w:tblCellMar>
        </w:tblPrEx>
        <w:trPr>
          <w:trHeight w:val="1026" w:hRule="atLeast"/>
          <w:jc w:val="center"/>
        </w:trPr>
        <w:tc>
          <w:tcPr>
            <w:tcW w:w="2049" w:type="pct"/>
            <w:gridSpan w:val="5"/>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bCs/>
                <w:kern w:val="0"/>
                <w:sz w:val="18"/>
                <w:szCs w:val="18"/>
              </w:rPr>
            </w:pPr>
            <w:r>
              <w:rPr>
                <w:bCs/>
                <w:kern w:val="0"/>
                <w:sz w:val="18"/>
                <w:szCs w:val="18"/>
              </w:rPr>
              <w:t>各环节对课程目标达成的贡献率（</w:t>
            </w:r>
            <w:r>
              <w:rPr>
                <w:bCs/>
                <w:i/>
                <w:kern w:val="0"/>
                <w:sz w:val="18"/>
                <w:szCs w:val="18"/>
              </w:rPr>
              <w:t>M</w:t>
            </w:r>
            <w:r>
              <w:rPr>
                <w:bCs/>
                <w:i/>
                <w:kern w:val="0"/>
                <w:sz w:val="18"/>
                <w:szCs w:val="18"/>
                <w:vertAlign w:val="subscript"/>
              </w:rPr>
              <w:t>k</w:t>
            </w:r>
            <w:r>
              <w:rPr>
                <w:bCs/>
                <w:kern w:val="0"/>
                <w:sz w:val="18"/>
                <w:szCs w:val="18"/>
              </w:rPr>
              <w:t>）</w:t>
            </w:r>
          </w:p>
        </w:tc>
        <w:tc>
          <w:tcPr>
            <w:tcW w:w="48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Cs/>
                <w:sz w:val="18"/>
                <w:szCs w:val="18"/>
              </w:rPr>
            </w:pPr>
            <w:r>
              <w:rPr>
                <w:bCs/>
                <w:sz w:val="18"/>
                <w:szCs w:val="18"/>
              </w:rPr>
              <w:t>0.20</w:t>
            </w:r>
          </w:p>
        </w:tc>
        <w:tc>
          <w:tcPr>
            <w:tcW w:w="517"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0.20</w:t>
            </w:r>
          </w:p>
        </w:tc>
        <w:tc>
          <w:tcPr>
            <w:tcW w:w="564" w:type="pct"/>
            <w:tcBorders>
              <w:top w:val="single" w:color="auto" w:sz="4" w:space="0"/>
              <w:left w:val="nil"/>
              <w:bottom w:val="single" w:color="auto" w:sz="4" w:space="0"/>
              <w:right w:val="single" w:color="auto" w:sz="4" w:space="0"/>
            </w:tcBorders>
            <w:shd w:val="clear" w:color="auto" w:fill="auto"/>
            <w:noWrap/>
            <w:vAlign w:val="center"/>
          </w:tcPr>
          <w:p>
            <w:pPr>
              <w:jc w:val="center"/>
              <w:rPr>
                <w:bCs/>
                <w:sz w:val="18"/>
                <w:szCs w:val="18"/>
              </w:rPr>
            </w:pPr>
            <w:r>
              <w:rPr>
                <w:bCs/>
                <w:sz w:val="18"/>
                <w:szCs w:val="18"/>
              </w:rPr>
              <w:t>0.60</w:t>
            </w:r>
          </w:p>
        </w:tc>
        <w:tc>
          <w:tcPr>
            <w:tcW w:w="1387"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18"/>
                <w:szCs w:val="18"/>
              </w:rPr>
            </w:pPr>
            <w:r>
              <w:rPr>
                <w:bCs/>
                <w:sz w:val="18"/>
                <w:szCs w:val="18"/>
              </w:rPr>
              <w:t>教师出题或布置作业时</w:t>
            </w:r>
          </w:p>
          <w:p>
            <w:pPr>
              <w:jc w:val="center"/>
              <w:rPr>
                <w:bCs/>
                <w:sz w:val="18"/>
                <w:szCs w:val="18"/>
              </w:rPr>
            </w:pPr>
            <w:r>
              <w:rPr>
                <w:bCs/>
                <w:sz w:val="18"/>
                <w:szCs w:val="18"/>
              </w:rPr>
              <w:t>要尽量做到按照以上比例布局</w:t>
            </w:r>
          </w:p>
        </w:tc>
      </w:tr>
    </w:tbl>
    <w:p>
      <w:pPr>
        <w:spacing w:line="360" w:lineRule="auto"/>
        <w:jc w:val="left"/>
      </w:pPr>
    </w:p>
    <w:p>
      <w:pPr>
        <w:spacing w:line="360" w:lineRule="auto"/>
        <w:rPr>
          <w:color w:val="FF0000"/>
        </w:rPr>
        <w:sectPr>
          <w:pgSz w:w="16838" w:h="11906" w:orient="landscape"/>
          <w:pgMar w:top="1797" w:right="1440" w:bottom="1797" w:left="1440" w:header="851" w:footer="992" w:gutter="0"/>
          <w:pgNumType w:fmt="decimal"/>
          <w:cols w:space="425" w:num="1"/>
          <w:docGrid w:linePitch="312" w:charSpace="0"/>
        </w:sectPr>
      </w:pPr>
    </w:p>
    <w:p>
      <w:pPr>
        <w:spacing w:line="360" w:lineRule="auto"/>
        <w:ind w:firstLine="420" w:firstLineChars="200"/>
        <w:rPr>
          <w:szCs w:val="21"/>
        </w:rPr>
      </w:pPr>
      <w:r>
        <w:rPr>
          <w:rFonts w:hint="eastAsia"/>
          <w:szCs w:val="21"/>
        </w:rPr>
        <w:t>采用达成值计算法，辅以对学生的问卷调查法。</w:t>
      </w:r>
    </w:p>
    <w:p>
      <w:pPr>
        <w:spacing w:line="360" w:lineRule="auto"/>
        <w:ind w:firstLine="422" w:firstLineChars="200"/>
        <w:rPr>
          <w:b/>
          <w:bCs/>
          <w:szCs w:val="21"/>
        </w:rPr>
      </w:pPr>
      <w:r>
        <w:rPr>
          <w:rFonts w:hint="eastAsia"/>
          <w:b/>
          <w:bCs/>
          <w:szCs w:val="21"/>
        </w:rPr>
        <w:t>课程目标定量评价：</w:t>
      </w:r>
    </w:p>
    <w:p>
      <w:pPr>
        <w:spacing w:line="360" w:lineRule="auto"/>
        <w:ind w:firstLine="420" w:firstLineChars="200"/>
        <w:rPr>
          <w:szCs w:val="21"/>
        </w:rPr>
      </w:pPr>
      <w:r>
        <w:rPr>
          <w:szCs w:val="21"/>
        </w:rPr>
        <w:t>达成值计算法结合上表权重分配，采用</w:t>
      </w:r>
      <w:r>
        <w:rPr>
          <w:rFonts w:hint="eastAsia"/>
          <w:szCs w:val="21"/>
        </w:rPr>
        <w:t>下表进行计算。</w:t>
      </w:r>
    </w:p>
    <w:p>
      <w:pPr>
        <w:spacing w:line="360" w:lineRule="auto"/>
        <w:ind w:firstLine="420" w:firstLineChars="200"/>
        <w:rPr>
          <w:szCs w:val="21"/>
        </w:rPr>
      </w:pPr>
      <w:r>
        <w:rPr>
          <w:szCs w:val="21"/>
        </w:rPr>
        <w:t>单一课程目标达成度评价采用下式：</w:t>
      </w:r>
    </w:p>
    <w:p>
      <w:pPr>
        <w:spacing w:line="360" w:lineRule="auto"/>
        <w:ind w:firstLine="420" w:firstLineChars="200"/>
        <w:rPr>
          <w:szCs w:val="21"/>
        </w:rPr>
      </w:pPr>
      <w:r>
        <w:rPr>
          <w:position w:val="-30"/>
          <w:szCs w:val="21"/>
        </w:rPr>
        <w:object>
          <v:shape id="_x0000_i1145" o:spt="75" type="#_x0000_t75" style="height:36pt;width:165.5pt;" o:ole="t" filled="f" o:preferrelative="t" stroked="f" coordsize="21600,21600">
            <v:path/>
            <v:fill on="f" focussize="0,0"/>
            <v:stroke on="f" joinstyle="miter"/>
            <v:imagedata r:id="rId145" o:title=""/>
            <o:lock v:ext="edit" aspectratio="t"/>
            <w10:wrap type="none"/>
            <w10:anchorlock/>
          </v:shape>
          <o:OLEObject Type="Embed" ProgID="Equation.3" ShapeID="_x0000_i1145" DrawAspect="Content" ObjectID="_1468075845" r:id="rId283">
            <o:LockedField>false</o:LockedField>
          </o:OLEObject>
        </w:object>
      </w:r>
    </w:p>
    <w:p>
      <w:pPr>
        <w:spacing w:line="360" w:lineRule="auto"/>
        <w:ind w:firstLine="420" w:firstLineChars="200"/>
        <w:rPr>
          <w:szCs w:val="21"/>
        </w:rPr>
      </w:pPr>
      <w:r>
        <w:rPr>
          <w:szCs w:val="21"/>
        </w:rPr>
        <w:t>总的课程目标达成度评价采用下式：</w:t>
      </w:r>
    </w:p>
    <w:p>
      <w:pPr>
        <w:spacing w:line="360" w:lineRule="auto"/>
        <w:ind w:firstLine="420" w:firstLineChars="200"/>
        <w:rPr>
          <w:szCs w:val="21"/>
        </w:rPr>
      </w:pPr>
      <w:r>
        <w:rPr>
          <w:position w:val="-30"/>
          <w:szCs w:val="21"/>
        </w:rPr>
        <w:object>
          <v:shape id="_x0000_i1146" o:spt="75" type="#_x0000_t75" style="height:36pt;width:150pt;" o:ole="t" filled="f" o:preferrelative="t" stroked="f" coordsize="21600,21600">
            <v:path/>
            <v:fill on="f" focussize="0,0"/>
            <v:stroke on="f" joinstyle="miter"/>
            <v:imagedata r:id="rId147" o:title=""/>
            <o:lock v:ext="edit" aspectratio="t"/>
            <w10:wrap type="none"/>
            <w10:anchorlock/>
          </v:shape>
          <o:OLEObject Type="Embed" ProgID="Equation.3" ShapeID="_x0000_i1146" DrawAspect="Content" ObjectID="_1468075846" r:id="rId284">
            <o:LockedField>false</o:LockedField>
          </o:OLEObject>
        </w:object>
      </w:r>
    </w:p>
    <w:p>
      <w:pPr>
        <w:spacing w:line="360" w:lineRule="auto"/>
        <w:ind w:firstLine="420" w:firstLineChars="200"/>
        <w:rPr>
          <w:szCs w:val="21"/>
        </w:rPr>
      </w:pPr>
      <w:r>
        <w:rPr>
          <w:szCs w:val="21"/>
        </w:rPr>
        <w:t>以上公式中：</w:t>
      </w:r>
    </w:p>
    <w:p>
      <w:pPr>
        <w:spacing w:line="360" w:lineRule="auto"/>
        <w:ind w:firstLine="420" w:firstLineChars="200"/>
        <w:rPr>
          <w:szCs w:val="21"/>
        </w:rPr>
      </w:pPr>
      <w:r>
        <w:rPr>
          <w:i/>
          <w:szCs w:val="21"/>
        </w:rPr>
        <w:t>k</w:t>
      </w:r>
      <w:r>
        <w:rPr>
          <w:szCs w:val="21"/>
        </w:rPr>
        <w:t>表示不同的评价方式，</w:t>
      </w:r>
      <w:r>
        <w:rPr>
          <w:i/>
          <w:szCs w:val="21"/>
        </w:rPr>
        <w:t>i</w:t>
      </w:r>
      <w:r>
        <w:rPr>
          <w:szCs w:val="21"/>
        </w:rPr>
        <w:t>表示不同的课程目标。</w:t>
      </w:r>
    </w:p>
    <w:p>
      <w:pPr>
        <w:spacing w:line="360" w:lineRule="auto"/>
        <w:ind w:firstLine="420" w:firstLineChars="200"/>
      </w:pPr>
      <w:r>
        <w:rPr>
          <w:position w:val="-10"/>
        </w:rPr>
        <w:object>
          <v:shape id="_x0000_i1147" o:spt="75" type="#_x0000_t75" style="height:17.5pt;width:14.5pt;" o:ole="t" filled="f" o:preferrelative="t" stroked="f" coordsize="21600,21600">
            <v:path/>
            <v:fill on="f" focussize="0,0"/>
            <v:stroke on="f" joinstyle="miter"/>
            <v:imagedata r:id="rId149" o:title=""/>
            <o:lock v:ext="edit" aspectratio="t"/>
            <w10:wrap type="none"/>
            <w10:anchorlock/>
          </v:shape>
          <o:OLEObject Type="Embed" ProgID="Equation.3" ShapeID="_x0000_i1147" DrawAspect="Content" ObjectID="_1468075847" r:id="rId285">
            <o:LockedField>false</o:LockedField>
          </o:OLEObject>
        </w:object>
      </w:r>
      <w:r>
        <w:t>表示第</w:t>
      </w:r>
      <w:r>
        <w:rPr>
          <w:i/>
        </w:rPr>
        <w:t>k</w:t>
      </w:r>
      <w:r>
        <w:t>种评价方式期末评价成绩平均分，均为百分制；</w:t>
      </w:r>
    </w:p>
    <w:p>
      <w:pPr>
        <w:spacing w:line="360" w:lineRule="auto"/>
        <w:ind w:firstLine="420" w:firstLineChars="200"/>
      </w:pPr>
      <w:r>
        <w:rPr>
          <w:position w:val="-10"/>
        </w:rPr>
        <w:object>
          <v:shape id="_x0000_i1148" o:spt="75" type="#_x0000_t75" style="height:17.5pt;width:74.5pt;" o:ole="t" filled="f" o:preferrelative="t" stroked="f" coordsize="21600,21600">
            <v:path/>
            <v:fill on="f" focussize="0,0"/>
            <v:stroke on="f" joinstyle="miter"/>
            <v:imagedata r:id="rId151" o:title=""/>
            <o:lock v:ext="edit" aspectratio="t"/>
            <w10:wrap type="none"/>
            <w10:anchorlock/>
          </v:shape>
          <o:OLEObject Type="Embed" ProgID="Equation.3" ShapeID="_x0000_i1148" DrawAspect="Content" ObjectID="_1468075848" r:id="rId286">
            <o:LockedField>false</o:LockedField>
          </o:OLEObject>
        </w:object>
      </w:r>
      <w:r>
        <w:t>是第</w:t>
      </w:r>
      <w:r>
        <w:rPr>
          <w:i/>
        </w:rPr>
        <w:t>k</w:t>
      </w:r>
      <w:r>
        <w:t>种评价方式通过第</w:t>
      </w:r>
      <w:r>
        <w:rPr>
          <w:i/>
        </w:rPr>
        <w:t>i</w:t>
      </w:r>
      <w:r>
        <w:t>个课程目标反映在总的课程目标评分占比；</w:t>
      </w:r>
    </w:p>
    <w:p>
      <w:pPr>
        <w:spacing w:line="360" w:lineRule="auto"/>
        <w:ind w:firstLine="420" w:firstLineChars="200"/>
        <w:rPr>
          <w:szCs w:val="21"/>
        </w:rPr>
      </w:pPr>
      <w:r>
        <w:rPr>
          <w:position w:val="-10"/>
        </w:rPr>
        <w:object>
          <v:shape id="_x0000_i1149" o:spt="75" type="#_x0000_t75" style="height:17.5pt;width:17.5pt;" o:ole="t" filled="f" o:preferrelative="t" stroked="f" coordsize="21600,21600">
            <v:path/>
            <v:fill on="f" focussize="0,0"/>
            <v:stroke on="f" joinstyle="miter"/>
            <v:imagedata r:id="rId153" o:title=""/>
            <o:lock v:ext="edit" aspectratio="t"/>
            <w10:wrap type="none"/>
            <w10:anchorlock/>
          </v:shape>
          <o:OLEObject Type="Embed" ProgID="Equation.3" ShapeID="_x0000_i1149" DrawAspect="Content" ObjectID="_1468075849" r:id="rId287">
            <o:LockedField>false</o:LockedField>
          </o:OLEObject>
        </w:object>
      </w:r>
      <w:r>
        <w:t>表示第</w:t>
      </w:r>
      <w:r>
        <w:rPr>
          <w:i/>
        </w:rPr>
        <w:t>k</w:t>
      </w:r>
      <w:r>
        <w:t>种评价方式对第</w:t>
      </w:r>
      <w:r>
        <w:rPr>
          <w:i/>
        </w:rPr>
        <w:t>i</w:t>
      </w:r>
      <w:r>
        <w:t>个课程目标百分占比；</w:t>
      </w:r>
    </w:p>
    <w:p>
      <w:pPr>
        <w:spacing w:line="360" w:lineRule="auto"/>
        <w:ind w:firstLine="420" w:firstLineChars="200"/>
      </w:pPr>
      <w:r>
        <w:rPr>
          <w:position w:val="-10"/>
        </w:rPr>
        <w:object>
          <v:shape id="_x0000_i1150" o:spt="75" type="#_x0000_t75" style="height:17.5pt;width:13pt;" o:ole="t" filled="f" o:preferrelative="t" stroked="f" coordsize="21600,21600">
            <v:path/>
            <v:fill on="f" focussize="0,0"/>
            <v:stroke on="f" joinstyle="miter"/>
            <v:imagedata r:id="rId155" o:title=""/>
            <o:lock v:ext="edit" aspectratio="t"/>
            <w10:wrap type="none"/>
            <w10:anchorlock/>
          </v:shape>
          <o:OLEObject Type="Embed" ProgID="Equation.3" ShapeID="_x0000_i1150" DrawAspect="Content" ObjectID="_1468075850" r:id="rId288">
            <o:LockedField>false</o:LockedField>
          </o:OLEObject>
        </w:object>
      </w:r>
      <w:r>
        <w:t>表示第</w:t>
      </w:r>
      <w:r>
        <w:rPr>
          <w:i/>
        </w:rPr>
        <w:t>i</w:t>
      </w:r>
      <w:r>
        <w:t>个课程目标在课程总评价中的占比；</w:t>
      </w:r>
    </w:p>
    <w:p>
      <w:pPr>
        <w:spacing w:line="360" w:lineRule="auto"/>
        <w:ind w:firstLine="422" w:firstLineChars="200"/>
        <w:rPr>
          <w:b/>
          <w:bCs/>
          <w:position w:val="-10"/>
          <w:szCs w:val="22"/>
        </w:rPr>
      </w:pPr>
      <w:r>
        <w:rPr>
          <w:rFonts w:hint="eastAsia"/>
          <w:b/>
          <w:bCs/>
          <w:position w:val="-10"/>
          <w:szCs w:val="22"/>
        </w:rPr>
        <w:t>课程目标定性评价：</w:t>
      </w:r>
    </w:p>
    <w:p>
      <w:pPr>
        <w:spacing w:line="360" w:lineRule="auto"/>
        <w:ind w:firstLine="420" w:firstLineChars="200"/>
        <w:rPr>
          <w:rFonts w:ascii="宋体" w:hAnsi="宋体" w:cs="宋体"/>
          <w:szCs w:val="21"/>
        </w:rPr>
      </w:pPr>
      <w:r>
        <w:rPr>
          <w:rFonts w:hint="eastAsia" w:ascii="宋体" w:hAnsi="宋体" w:cs="宋体"/>
          <w:szCs w:val="21"/>
        </w:rPr>
        <w:t>针对每门课的课程目标，直接设计问题，并要求学生明确给出目标能力达到的程度“很好（0.95）、较好（0.75）、中（0.60）、较差（0.45）、很差（0.25）”，根据各区段统计比例与括号中的目标分值加权后求和得出定性评价的结果。</w:t>
      </w:r>
    </w:p>
    <w:p>
      <w:pPr>
        <w:spacing w:line="360" w:lineRule="auto"/>
        <w:ind w:firstLine="422" w:firstLineChars="200"/>
        <w:rPr>
          <w:b/>
          <w:bCs/>
          <w:position w:val="-10"/>
          <w:szCs w:val="22"/>
        </w:rPr>
      </w:pPr>
      <w:r>
        <w:rPr>
          <w:rFonts w:hint="eastAsia"/>
          <w:b/>
          <w:bCs/>
          <w:position w:val="-10"/>
          <w:szCs w:val="22"/>
        </w:rPr>
        <w:t>课程目标达成结果：</w:t>
      </w:r>
    </w:p>
    <w:p>
      <w:pPr>
        <w:spacing w:line="360" w:lineRule="auto"/>
        <w:ind w:firstLine="420" w:firstLineChars="200"/>
        <w:rPr>
          <w:rFonts w:ascii="宋体" w:hAnsi="宋体" w:cs="宋体"/>
          <w:szCs w:val="21"/>
        </w:rPr>
      </w:pPr>
      <w:r>
        <w:rPr>
          <w:rFonts w:hint="eastAsia" w:ascii="宋体" w:hAnsi="宋体" w:cs="宋体"/>
          <w:szCs w:val="21"/>
        </w:rPr>
        <w:t>同一课程目标的评价，取定性评价和定量评价的平均值，作为最终评价结果。</w:t>
      </w:r>
    </w:p>
    <w:p>
      <w:pPr>
        <w:spacing w:line="360" w:lineRule="auto"/>
        <w:ind w:firstLine="420" w:firstLineChars="200"/>
        <w:rPr>
          <w:position w:val="-10"/>
          <w:szCs w:val="22"/>
        </w:rPr>
      </w:pPr>
      <w:r>
        <w:rPr>
          <w:rFonts w:hint="eastAsia"/>
          <w:position w:val="-10"/>
          <w:szCs w:val="22"/>
        </w:rPr>
        <w:t>课程目标达成度大于等于0.71为一级达成，大于等于0.65为二级达成。</w:t>
      </w:r>
    </w:p>
    <w:p>
      <w:pPr>
        <w:widowControl/>
        <w:jc w:val="left"/>
        <w:rPr>
          <w:rFonts w:eastAsia="黑体"/>
          <w:szCs w:val="24"/>
        </w:rPr>
      </w:pPr>
    </w:p>
    <w:p>
      <w:pPr>
        <w:tabs>
          <w:tab w:val="left" w:pos="420"/>
        </w:tabs>
        <w:adjustRightInd w:val="0"/>
        <w:snapToGrid w:val="0"/>
        <w:spacing w:line="360" w:lineRule="auto"/>
        <w:ind w:left="420" w:hanging="420"/>
        <w:rPr>
          <w:rFonts w:eastAsia="黑体"/>
          <w:szCs w:val="24"/>
        </w:rPr>
      </w:pPr>
      <w:r>
        <w:rPr>
          <w:rFonts w:hint="eastAsia" w:eastAsia="黑体"/>
          <w:szCs w:val="24"/>
        </w:rPr>
        <w:t>十一、各环节评价标准</w:t>
      </w:r>
    </w:p>
    <w:p>
      <w:pPr>
        <w:spacing w:line="360" w:lineRule="auto"/>
        <w:ind w:firstLine="420" w:firstLineChars="200"/>
        <w:rPr>
          <w:szCs w:val="21"/>
        </w:rPr>
      </w:pPr>
      <w:r>
        <w:rPr>
          <w:rFonts w:hint="eastAsia"/>
          <w:szCs w:val="21"/>
        </w:rPr>
        <w:t>本课程允许教师在各评价环节根据具体情况采取多样化、个性化的考核手段，其评价标准应当在《</w:t>
      </w:r>
      <w:r>
        <w:rPr>
          <w:rFonts w:hint="eastAsia" w:ascii="宋体" w:hAnsi="宋体"/>
          <w:szCs w:val="21"/>
        </w:rPr>
        <w:t>SIE-CT-01：</w:t>
      </w:r>
      <w:r>
        <w:rPr>
          <w:rFonts w:hint="eastAsia"/>
          <w:szCs w:val="21"/>
        </w:rPr>
        <w:t>授课计划》中明确并向学生公布，教学过程中的考核评价应当严格按照标准完成。</w:t>
      </w:r>
    </w:p>
    <w:p>
      <w:pPr>
        <w:tabs>
          <w:tab w:val="left" w:pos="420"/>
        </w:tabs>
        <w:adjustRightInd w:val="0"/>
        <w:snapToGrid w:val="0"/>
        <w:spacing w:line="360" w:lineRule="auto"/>
        <w:ind w:left="420" w:hanging="420"/>
        <w:rPr>
          <w:color w:val="0000FF"/>
        </w:rPr>
      </w:pPr>
    </w:p>
    <w:p>
      <w:pPr>
        <w:tabs>
          <w:tab w:val="left" w:pos="420"/>
        </w:tabs>
        <w:adjustRightInd w:val="0"/>
        <w:snapToGrid w:val="0"/>
        <w:spacing w:line="360" w:lineRule="auto"/>
        <w:ind w:left="420" w:hanging="420"/>
        <w:rPr>
          <w:rFonts w:eastAsia="黑体"/>
          <w:szCs w:val="24"/>
        </w:rPr>
      </w:pPr>
      <w:r>
        <w:rPr>
          <w:rFonts w:hint="eastAsia" w:eastAsia="黑体"/>
          <w:szCs w:val="24"/>
        </w:rPr>
        <w:t>十二、课程目标达成评价结果用于持续改进</w:t>
      </w:r>
    </w:p>
    <w:p>
      <w:pPr>
        <w:spacing w:line="360" w:lineRule="auto"/>
        <w:ind w:firstLine="420" w:firstLineChars="200"/>
        <w:rPr>
          <w:szCs w:val="21"/>
        </w:rPr>
      </w:pPr>
      <w:r>
        <w:rPr>
          <w:rFonts w:hint="eastAsia"/>
          <w:szCs w:val="21"/>
        </w:rPr>
        <w:t>课程目标达成评价结果将用于后续教学过程的持续改进。</w:t>
      </w:r>
    </w:p>
    <w:p>
      <w:pPr>
        <w:spacing w:line="360" w:lineRule="auto"/>
        <w:ind w:firstLine="420" w:firstLineChars="200"/>
        <w:rPr>
          <w:szCs w:val="21"/>
        </w:rPr>
      </w:pPr>
      <w:r>
        <w:rPr>
          <w:rFonts w:hint="eastAsia"/>
          <w:szCs w:val="21"/>
        </w:rPr>
        <w:t>针对课程目标达成评价中发现的问题与不足，重点是达成值相对较低的项，在本次授课总结中应由授课教师分析具体原因，并给出改进建议。后续任课教师应当针对以前的问题和建议，在授课计划中做好落实改进计划，并在授课过程中予以落实。</w:t>
      </w:r>
    </w:p>
    <w:p>
      <w:pPr>
        <w:pStyle w:val="18"/>
        <w:spacing w:before="240" w:after="360"/>
      </w:pPr>
      <w:bookmarkStart w:id="40" w:name="_Toc28261"/>
      <w:r>
        <w:t>《量子传感原理及应用》教学大纲</w:t>
      </w:r>
      <w:bookmarkEnd w:id="40"/>
    </w:p>
    <w:p>
      <w:pPr>
        <w:adjustRightInd w:val="0"/>
        <w:snapToGrid w:val="0"/>
        <w:spacing w:line="360" w:lineRule="auto"/>
        <w:rPr>
          <w:bCs/>
          <w:kern w:val="0"/>
        </w:rPr>
      </w:pPr>
      <w:r>
        <w:rPr>
          <w:rFonts w:eastAsia="黑体"/>
          <w:szCs w:val="21"/>
        </w:rPr>
        <w:t>课程编号：Z06060111</w:t>
      </w:r>
    </w:p>
    <w:p>
      <w:pPr>
        <w:adjustRightInd w:val="0"/>
        <w:snapToGrid w:val="0"/>
        <w:spacing w:line="360" w:lineRule="auto"/>
        <w:rPr>
          <w:snapToGrid w:val="0"/>
          <w:kern w:val="0"/>
          <w:szCs w:val="21"/>
        </w:rPr>
      </w:pPr>
      <w:r>
        <w:rPr>
          <w:rFonts w:eastAsia="黑体"/>
          <w:szCs w:val="21"/>
        </w:rPr>
        <w:t>课程名称：</w:t>
      </w:r>
      <w:r>
        <w:rPr>
          <w:szCs w:val="21"/>
        </w:rPr>
        <w:t>量子传感原理及应用</w:t>
      </w:r>
      <w:r>
        <w:rPr>
          <w:szCs w:val="21"/>
        </w:rPr>
        <w:tab/>
      </w:r>
      <w:r>
        <w:rPr>
          <w:szCs w:val="21"/>
        </w:rPr>
        <w:tab/>
      </w:r>
      <w:r>
        <w:rPr>
          <w:szCs w:val="21"/>
        </w:rPr>
        <w:tab/>
      </w:r>
      <w:r>
        <w:rPr>
          <w:szCs w:val="21"/>
        </w:rPr>
        <w:tab/>
      </w:r>
      <w:r>
        <w:rPr>
          <w:szCs w:val="21"/>
        </w:rPr>
        <w:tab/>
      </w:r>
      <w:r>
        <w:rPr>
          <w:rFonts w:eastAsia="黑体"/>
          <w:szCs w:val="21"/>
        </w:rPr>
        <w:t>开课单位：</w:t>
      </w:r>
      <w:r>
        <w:rPr>
          <w:szCs w:val="21"/>
        </w:rPr>
        <w:t>仪器与电子学院</w:t>
      </w:r>
      <w:r>
        <w:rPr>
          <w:rFonts w:eastAsia="黑体"/>
          <w:szCs w:val="21"/>
        </w:rPr>
        <w:tab/>
      </w:r>
    </w:p>
    <w:p>
      <w:pPr>
        <w:adjustRightInd w:val="0"/>
        <w:snapToGrid w:val="0"/>
        <w:spacing w:line="360" w:lineRule="auto"/>
        <w:rPr>
          <w:rFonts w:eastAsia="黑体"/>
          <w:szCs w:val="21"/>
        </w:rPr>
      </w:pPr>
      <w:r>
        <w:rPr>
          <w:rFonts w:eastAsia="黑体"/>
          <w:szCs w:val="21"/>
        </w:rPr>
        <w:t>总学时：</w:t>
      </w:r>
      <w:r>
        <w:rPr>
          <w:szCs w:val="21"/>
        </w:rPr>
        <w:t>16(实验0学时)</w:t>
      </w:r>
      <w:r>
        <w:rPr>
          <w:rFonts w:eastAsia="黑体"/>
          <w:szCs w:val="21"/>
        </w:rPr>
        <w:tab/>
      </w:r>
      <w:r>
        <w:rPr>
          <w:rFonts w:eastAsia="黑体"/>
          <w:szCs w:val="21"/>
        </w:rPr>
        <w:tab/>
      </w:r>
      <w:r>
        <w:rPr>
          <w:rFonts w:eastAsia="黑体"/>
          <w:szCs w:val="21"/>
        </w:rPr>
        <w:tab/>
      </w:r>
      <w:r>
        <w:rPr>
          <w:rFonts w:eastAsia="黑体"/>
          <w:szCs w:val="21"/>
        </w:rPr>
        <w:tab/>
      </w:r>
      <w:r>
        <w:rPr>
          <w:rFonts w:eastAsia="黑体"/>
          <w:szCs w:val="21"/>
        </w:rPr>
        <w:t>学分：1</w:t>
      </w:r>
    </w:p>
    <w:p>
      <w:pPr>
        <w:adjustRightInd w:val="0"/>
        <w:snapToGrid w:val="0"/>
        <w:spacing w:line="360" w:lineRule="auto"/>
        <w:rPr>
          <w:rFonts w:hint="eastAsia" w:eastAsia="宋体"/>
          <w:szCs w:val="21"/>
          <w:lang w:eastAsia="zh-CN"/>
        </w:rPr>
      </w:pPr>
      <w:r>
        <w:rPr>
          <w:rFonts w:eastAsia="黑体"/>
          <w:szCs w:val="21"/>
        </w:rPr>
        <w:t>适用专业：</w:t>
      </w:r>
      <w:r>
        <w:rPr>
          <w:szCs w:val="21"/>
        </w:rPr>
        <w:t>测控技术与仪器专业</w:t>
      </w:r>
      <w:r>
        <w:rPr>
          <w:rFonts w:hint="eastAsia"/>
          <w:szCs w:val="21"/>
          <w:lang w:eastAsia="zh-CN"/>
        </w:rPr>
        <w:t>、智能感知工程</w:t>
      </w:r>
    </w:p>
    <w:p>
      <w:pPr>
        <w:adjustRightInd w:val="0"/>
        <w:snapToGrid w:val="0"/>
        <w:spacing w:line="360" w:lineRule="auto"/>
        <w:rPr>
          <w:szCs w:val="21"/>
        </w:rPr>
      </w:pPr>
      <w:r>
        <w:rPr>
          <w:rFonts w:eastAsia="黑体"/>
          <w:szCs w:val="21"/>
        </w:rPr>
        <w:t>先修课程：</w:t>
      </w:r>
      <w:r>
        <w:rPr>
          <w:rFonts w:hint="eastAsia"/>
          <w:szCs w:val="21"/>
        </w:rPr>
        <w:t>大学物理、电路原理、</w:t>
      </w:r>
      <w:r>
        <w:rPr>
          <w:szCs w:val="21"/>
        </w:rPr>
        <w:t>数字电子技术、</w:t>
      </w:r>
      <w:r>
        <w:rPr>
          <w:rFonts w:hint="eastAsia"/>
          <w:szCs w:val="21"/>
        </w:rPr>
        <w:t>信号与系统</w:t>
      </w:r>
    </w:p>
    <w:p>
      <w:pPr>
        <w:adjustRightInd w:val="0"/>
        <w:snapToGrid w:val="0"/>
        <w:spacing w:line="360" w:lineRule="auto"/>
        <w:rPr>
          <w:szCs w:val="21"/>
        </w:rPr>
      </w:pPr>
      <w:r>
        <w:rPr>
          <w:rFonts w:eastAsia="黑体"/>
          <w:szCs w:val="21"/>
        </w:rPr>
        <w:t>大纲撰写人：</w:t>
      </w:r>
      <w:r>
        <w:rPr>
          <w:szCs w:val="21"/>
        </w:rPr>
        <w:t>唐军</w:t>
      </w:r>
    </w:p>
    <w:p>
      <w:pPr>
        <w:adjustRightInd w:val="0"/>
        <w:snapToGrid w:val="0"/>
        <w:spacing w:line="360" w:lineRule="auto"/>
        <w:rPr>
          <w:rFonts w:eastAsiaTheme="minorEastAsia"/>
          <w:szCs w:val="21"/>
        </w:rPr>
      </w:pPr>
      <w:r>
        <w:rPr>
          <w:rFonts w:eastAsia="黑体"/>
          <w:szCs w:val="21"/>
        </w:rPr>
        <w:t>大纲编写（修订）时间：</w:t>
      </w:r>
      <w:r>
        <w:rPr>
          <w:rFonts w:eastAsiaTheme="minorEastAsia"/>
          <w:szCs w:val="21"/>
        </w:rPr>
        <w:t>2019年5月</w:t>
      </w:r>
    </w:p>
    <w:p>
      <w:pPr>
        <w:adjustRightInd w:val="0"/>
        <w:snapToGrid w:val="0"/>
        <w:spacing w:line="360" w:lineRule="auto"/>
        <w:rPr>
          <w:szCs w:val="21"/>
        </w:rPr>
      </w:pPr>
    </w:p>
    <w:p>
      <w:pPr>
        <w:tabs>
          <w:tab w:val="left" w:pos="562"/>
        </w:tabs>
        <w:adjustRightInd w:val="0"/>
        <w:snapToGrid w:val="0"/>
        <w:spacing w:line="360" w:lineRule="auto"/>
        <w:ind w:left="142"/>
        <w:rPr>
          <w:rFonts w:eastAsia="黑体"/>
          <w:szCs w:val="21"/>
        </w:rPr>
      </w:pPr>
      <w:r>
        <w:rPr>
          <w:rFonts w:hint="eastAsia" w:ascii="黑体" w:hAnsi="黑体" w:eastAsia="黑体"/>
          <w:szCs w:val="21"/>
        </w:rPr>
        <w:t>一、</w:t>
      </w:r>
      <w:r>
        <w:rPr>
          <w:rFonts w:eastAsia="黑体"/>
          <w:szCs w:val="21"/>
        </w:rPr>
        <w:t>课程在教学计划中的地位、作用</w:t>
      </w:r>
    </w:p>
    <w:p>
      <w:pPr>
        <w:spacing w:line="360" w:lineRule="auto"/>
        <w:ind w:firstLine="420" w:firstLineChars="200"/>
        <w:rPr>
          <w:szCs w:val="21"/>
        </w:rPr>
      </w:pPr>
      <w:r>
        <w:rPr>
          <w:rFonts w:hint="eastAsia"/>
          <w:szCs w:val="21"/>
        </w:rPr>
        <w:t>量子精密测量技术作为一种新型量子技术能够实现对物理量的超高精度标定和测量反馈，是未来精密测量技术发展的主引擎和技术驱动力量之一，所涉及的内容是测控技术</w:t>
      </w:r>
      <w:r>
        <w:rPr>
          <w:rFonts w:hint="eastAsia"/>
          <w:szCs w:val="21"/>
          <w:lang w:eastAsia="zh-CN"/>
        </w:rPr>
        <w:t>、智能感知</w:t>
      </w:r>
      <w:r>
        <w:rPr>
          <w:rFonts w:hint="eastAsia"/>
          <w:szCs w:val="21"/>
        </w:rPr>
        <w:t>专业学生必备的知识基础，</w:t>
      </w:r>
    </w:p>
    <w:p>
      <w:pPr>
        <w:spacing w:line="360" w:lineRule="auto"/>
        <w:ind w:firstLine="420" w:firstLineChars="200"/>
        <w:rPr>
          <w:szCs w:val="21"/>
        </w:rPr>
      </w:pPr>
      <w:r>
        <w:rPr>
          <w:rFonts w:hint="eastAsia"/>
          <w:szCs w:val="21"/>
        </w:rPr>
        <w:t>量子传感原理及应用属传感器领域</w:t>
      </w:r>
      <w:r>
        <w:rPr>
          <w:szCs w:val="21"/>
        </w:rPr>
        <w:t>，</w:t>
      </w:r>
      <w:r>
        <w:rPr>
          <w:rFonts w:hint="eastAsia"/>
          <w:szCs w:val="21"/>
        </w:rPr>
        <w:t>是近代新型物理理论快速发展及应用的新型范畴。其工作原理是量子力学中的原子动力学演化原理，需要学生具有一定的理论物理与量子力学推导的基础</w:t>
      </w:r>
      <w:r>
        <w:rPr>
          <w:szCs w:val="21"/>
        </w:rPr>
        <w:t>，</w:t>
      </w:r>
      <w:r>
        <w:rPr>
          <w:rFonts w:hint="eastAsia"/>
          <w:szCs w:val="21"/>
        </w:rPr>
        <w:t>传感器件的实现，则需要学生对信号处理、光电探测等技术领域有交为深刻的理解，是一门新型的交叉学科，多种领域专业知识的熟练应用与转换，是该课程学习的重点及难点，量子传感模型的明确理解，则是该门课程学习的基础</w:t>
      </w:r>
      <w:r>
        <w:rPr>
          <w:szCs w:val="21"/>
        </w:rPr>
        <w:t>。</w:t>
      </w:r>
    </w:p>
    <w:p>
      <w:pPr>
        <w:spacing w:line="360" w:lineRule="auto"/>
        <w:ind w:firstLine="420" w:firstLineChars="200"/>
        <w:rPr>
          <w:szCs w:val="21"/>
        </w:rPr>
      </w:pPr>
    </w:p>
    <w:p>
      <w:pPr>
        <w:tabs>
          <w:tab w:val="left" w:pos="420"/>
        </w:tabs>
        <w:adjustRightInd w:val="0"/>
        <w:snapToGrid w:val="0"/>
        <w:spacing w:line="360" w:lineRule="auto"/>
        <w:ind w:left="420" w:hanging="420"/>
        <w:rPr>
          <w:rFonts w:eastAsia="黑体"/>
          <w:szCs w:val="21"/>
        </w:rPr>
      </w:pPr>
      <w:r>
        <w:rPr>
          <w:rFonts w:eastAsia="黑体"/>
          <w:szCs w:val="21"/>
        </w:rPr>
        <w:t>二、课程目标</w:t>
      </w:r>
    </w:p>
    <w:p>
      <w:pPr>
        <w:tabs>
          <w:tab w:val="left" w:pos="420"/>
        </w:tabs>
        <w:adjustRightInd w:val="0"/>
        <w:snapToGrid w:val="0"/>
        <w:spacing w:line="360" w:lineRule="auto"/>
        <w:rPr>
          <w:rFonts w:ascii="宋体" w:hAnsi="宋体"/>
          <w:szCs w:val="21"/>
        </w:rPr>
      </w:pPr>
      <w:r>
        <w:rPr>
          <w:rFonts w:hint="eastAsia" w:ascii="宋体" w:hAnsi="宋体"/>
          <w:szCs w:val="21"/>
        </w:rPr>
        <w:t>测控技术与仪器专业：</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4320"/>
        <w:gridCol w:w="358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367" w:type="pct"/>
            <w:vAlign w:val="center"/>
          </w:tcPr>
          <w:p>
            <w:pPr>
              <w:spacing w:line="360" w:lineRule="auto"/>
              <w:jc w:val="center"/>
              <w:rPr>
                <w:sz w:val="18"/>
                <w:szCs w:val="18"/>
              </w:rPr>
            </w:pPr>
            <w:r>
              <w:rPr>
                <w:sz w:val="18"/>
                <w:szCs w:val="18"/>
              </w:rPr>
              <w:t>序号</w:t>
            </w:r>
          </w:p>
        </w:tc>
        <w:tc>
          <w:tcPr>
            <w:tcW w:w="2533" w:type="pct"/>
            <w:vAlign w:val="center"/>
          </w:tcPr>
          <w:p>
            <w:pPr>
              <w:spacing w:line="360" w:lineRule="auto"/>
              <w:jc w:val="center"/>
              <w:rPr>
                <w:sz w:val="18"/>
                <w:szCs w:val="18"/>
              </w:rPr>
            </w:pPr>
            <w:r>
              <w:rPr>
                <w:sz w:val="18"/>
                <w:szCs w:val="18"/>
              </w:rPr>
              <w:t>课程目标</w:t>
            </w:r>
          </w:p>
        </w:tc>
        <w:tc>
          <w:tcPr>
            <w:tcW w:w="2100" w:type="pct"/>
            <w:vAlign w:val="center"/>
          </w:tcPr>
          <w:p>
            <w:pPr>
              <w:spacing w:line="360" w:lineRule="auto"/>
              <w:jc w:val="center"/>
              <w:rPr>
                <w:sz w:val="18"/>
                <w:szCs w:val="18"/>
              </w:rPr>
            </w:pPr>
            <w:r>
              <w:rPr>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sz w:val="18"/>
                <w:szCs w:val="18"/>
              </w:rPr>
              <w:t>1</w:t>
            </w:r>
          </w:p>
        </w:tc>
        <w:tc>
          <w:tcPr>
            <w:tcW w:w="2533" w:type="pct"/>
          </w:tcPr>
          <w:p>
            <w:pPr>
              <w:spacing w:line="360" w:lineRule="auto"/>
              <w:rPr>
                <w:sz w:val="18"/>
                <w:szCs w:val="18"/>
              </w:rPr>
            </w:pPr>
            <w:r>
              <w:rPr>
                <w:sz w:val="18"/>
                <w:szCs w:val="18"/>
              </w:rPr>
              <w:t>通过对本课程的学</w:t>
            </w:r>
            <w:r>
              <w:rPr>
                <w:rFonts w:hint="eastAsia"/>
                <w:sz w:val="18"/>
                <w:szCs w:val="18"/>
              </w:rPr>
              <w:t>习，</w:t>
            </w:r>
            <w:r>
              <w:rPr>
                <w:sz w:val="18"/>
                <w:szCs w:val="18"/>
              </w:rPr>
              <w:t>对</w:t>
            </w:r>
            <w:r>
              <w:rPr>
                <w:rFonts w:hint="eastAsia"/>
                <w:sz w:val="18"/>
                <w:szCs w:val="18"/>
              </w:rPr>
              <w:t>量子传感的</w:t>
            </w:r>
            <w:r>
              <w:rPr>
                <w:sz w:val="18"/>
                <w:szCs w:val="18"/>
              </w:rPr>
              <w:t>基本概念、基本理论、基本方法能够有比较全面和系统的认识和正确的理解；掌握</w:t>
            </w:r>
            <w:r>
              <w:rPr>
                <w:rFonts w:hint="eastAsia"/>
                <w:sz w:val="18"/>
                <w:szCs w:val="18"/>
              </w:rPr>
              <w:t>新型量子动力学传感过程额</w:t>
            </w:r>
            <w:r>
              <w:rPr>
                <w:sz w:val="18"/>
                <w:szCs w:val="18"/>
              </w:rPr>
              <w:t>基本规律及其相关的应用；理解</w:t>
            </w:r>
            <w:r>
              <w:rPr>
                <w:rFonts w:hint="eastAsia"/>
                <w:sz w:val="18"/>
                <w:szCs w:val="18"/>
              </w:rPr>
              <w:t>新型传感器件的发展现状及应用前景；</w:t>
            </w:r>
          </w:p>
        </w:tc>
        <w:tc>
          <w:tcPr>
            <w:tcW w:w="2100" w:type="pct"/>
          </w:tcPr>
          <w:p>
            <w:pPr>
              <w:spacing w:line="360" w:lineRule="auto"/>
              <w:rPr>
                <w:sz w:val="18"/>
                <w:szCs w:val="18"/>
              </w:rPr>
            </w:pPr>
            <w:r>
              <w:rPr>
                <w:rFonts w:hint="eastAsia"/>
                <w:b/>
                <w:sz w:val="18"/>
                <w:szCs w:val="18"/>
              </w:rPr>
              <w:t>指标点1-1 知识体系</w:t>
            </w:r>
            <w:r>
              <w:rPr>
                <w:rFonts w:hint="eastAsia"/>
                <w:bCs/>
                <w:sz w:val="18"/>
                <w:szCs w:val="18"/>
              </w:rPr>
              <w:t>：具备本专业相关的数学、自然科学、光学和电子学工程基础及传感、测试、仪器等多方面的知识。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sz w:val="18"/>
                <w:szCs w:val="18"/>
              </w:rPr>
              <w:t>2</w:t>
            </w:r>
          </w:p>
        </w:tc>
        <w:tc>
          <w:tcPr>
            <w:tcW w:w="2533" w:type="pct"/>
          </w:tcPr>
          <w:p>
            <w:pPr>
              <w:spacing w:line="360" w:lineRule="auto"/>
              <w:rPr>
                <w:sz w:val="18"/>
                <w:szCs w:val="18"/>
              </w:rPr>
            </w:pPr>
            <w:r>
              <w:rPr>
                <w:rFonts w:hint="eastAsia"/>
                <w:sz w:val="18"/>
                <w:szCs w:val="18"/>
              </w:rPr>
              <w:t>获得基本的</w:t>
            </w:r>
            <w:r>
              <w:rPr>
                <w:sz w:val="18"/>
                <w:szCs w:val="18"/>
              </w:rPr>
              <w:t>科学思维方式及</w:t>
            </w:r>
            <w:r>
              <w:rPr>
                <w:rFonts w:hint="eastAsia"/>
                <w:sz w:val="18"/>
                <w:szCs w:val="18"/>
              </w:rPr>
              <w:t>具备较强的</w:t>
            </w:r>
            <w:r>
              <w:rPr>
                <w:sz w:val="18"/>
                <w:szCs w:val="18"/>
              </w:rPr>
              <w:t>创新能力，获得分析和处理一些问题的基本方法和解决问题的能力，提高逻辑推理</w:t>
            </w:r>
            <w:r>
              <w:rPr>
                <w:rFonts w:hint="eastAsia"/>
                <w:sz w:val="18"/>
                <w:szCs w:val="18"/>
              </w:rPr>
              <w:t>、</w:t>
            </w:r>
            <w:r>
              <w:rPr>
                <w:sz w:val="18"/>
                <w:szCs w:val="18"/>
              </w:rPr>
              <w:t>抽象思维</w:t>
            </w:r>
            <w:r>
              <w:rPr>
                <w:rFonts w:hint="eastAsia"/>
                <w:sz w:val="18"/>
                <w:szCs w:val="18"/>
              </w:rPr>
              <w:t>和多学科交叉应用学习的</w:t>
            </w:r>
            <w:r>
              <w:rPr>
                <w:sz w:val="18"/>
                <w:szCs w:val="18"/>
              </w:rPr>
              <w:t>能力</w:t>
            </w:r>
            <w:r>
              <w:rPr>
                <w:rFonts w:hint="eastAsia"/>
                <w:sz w:val="18"/>
                <w:szCs w:val="18"/>
              </w:rPr>
              <w:t>，掌握新型传感器实现的基本原理及方法。</w:t>
            </w:r>
          </w:p>
        </w:tc>
        <w:tc>
          <w:tcPr>
            <w:tcW w:w="2100" w:type="pct"/>
          </w:tcPr>
          <w:p>
            <w:pPr>
              <w:spacing w:line="360" w:lineRule="auto"/>
              <w:rPr>
                <w:sz w:val="18"/>
                <w:szCs w:val="18"/>
              </w:rPr>
            </w:pPr>
            <w:r>
              <w:rPr>
                <w:rFonts w:hint="eastAsia"/>
                <w:b/>
                <w:sz w:val="18"/>
                <w:szCs w:val="18"/>
              </w:rPr>
              <w:t>指标点4-1 领域现状认知能力</w:t>
            </w:r>
            <w:r>
              <w:rPr>
                <w:rFonts w:hint="eastAsia"/>
                <w:sz w:val="18"/>
                <w:szCs w:val="18"/>
              </w:rPr>
              <w:t>：了解测控技术与仪器专业领域背景及经典案例，能够针对复杂工程问题提出研究思路和分析方法，并有意识地将实验结果用于指导解决方案的改善和优化。</w:t>
            </w:r>
          </w:p>
        </w:tc>
      </w:tr>
    </w:tbl>
    <w:p>
      <w:pPr>
        <w:tabs>
          <w:tab w:val="left" w:pos="420"/>
        </w:tabs>
        <w:adjustRightInd w:val="0"/>
        <w:snapToGrid w:val="0"/>
        <w:spacing w:line="360" w:lineRule="auto"/>
        <w:rPr>
          <w:rFonts w:eastAsia="黑体"/>
          <w:szCs w:val="21"/>
        </w:rPr>
      </w:pPr>
    </w:p>
    <w:p>
      <w:pPr>
        <w:tabs>
          <w:tab w:val="left" w:pos="420"/>
        </w:tabs>
        <w:adjustRightInd w:val="0"/>
        <w:snapToGrid w:val="0"/>
        <w:spacing w:line="360" w:lineRule="auto"/>
        <w:rPr>
          <w:rFonts w:ascii="宋体" w:hAnsi="宋体"/>
          <w:szCs w:val="21"/>
        </w:rPr>
      </w:pPr>
      <w:r>
        <w:rPr>
          <w:rFonts w:hint="eastAsia" w:ascii="宋体" w:hAnsi="宋体"/>
          <w:szCs w:val="21"/>
          <w:lang w:eastAsia="zh-CN"/>
        </w:rPr>
        <w:t>智能感知工程</w:t>
      </w:r>
      <w:r>
        <w:rPr>
          <w:rFonts w:hint="eastAsia" w:ascii="宋体" w:hAnsi="宋体"/>
          <w:szCs w:val="21"/>
        </w:rPr>
        <w:t>专业：</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4320"/>
        <w:gridCol w:w="358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367" w:type="pct"/>
            <w:vAlign w:val="center"/>
          </w:tcPr>
          <w:p>
            <w:pPr>
              <w:spacing w:line="360" w:lineRule="auto"/>
              <w:jc w:val="center"/>
              <w:rPr>
                <w:sz w:val="18"/>
                <w:szCs w:val="18"/>
              </w:rPr>
            </w:pPr>
            <w:r>
              <w:rPr>
                <w:sz w:val="18"/>
                <w:szCs w:val="18"/>
              </w:rPr>
              <w:t>序号</w:t>
            </w:r>
          </w:p>
        </w:tc>
        <w:tc>
          <w:tcPr>
            <w:tcW w:w="2533" w:type="pct"/>
            <w:vAlign w:val="center"/>
          </w:tcPr>
          <w:p>
            <w:pPr>
              <w:spacing w:line="360" w:lineRule="auto"/>
              <w:jc w:val="center"/>
              <w:rPr>
                <w:sz w:val="18"/>
                <w:szCs w:val="18"/>
              </w:rPr>
            </w:pPr>
            <w:r>
              <w:rPr>
                <w:sz w:val="18"/>
                <w:szCs w:val="18"/>
              </w:rPr>
              <w:t>课程目标</w:t>
            </w:r>
          </w:p>
        </w:tc>
        <w:tc>
          <w:tcPr>
            <w:tcW w:w="2100" w:type="pct"/>
            <w:vAlign w:val="center"/>
          </w:tcPr>
          <w:p>
            <w:pPr>
              <w:spacing w:line="360" w:lineRule="auto"/>
              <w:jc w:val="center"/>
              <w:rPr>
                <w:sz w:val="18"/>
                <w:szCs w:val="18"/>
              </w:rPr>
            </w:pPr>
            <w:r>
              <w:rPr>
                <w:sz w:val="18"/>
                <w:szCs w:val="18"/>
              </w:rPr>
              <w:t>支撑毕业要求指标点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sz w:val="18"/>
                <w:szCs w:val="18"/>
              </w:rPr>
              <w:t>1</w:t>
            </w:r>
          </w:p>
        </w:tc>
        <w:tc>
          <w:tcPr>
            <w:tcW w:w="2533" w:type="pct"/>
          </w:tcPr>
          <w:p>
            <w:pPr>
              <w:spacing w:line="360" w:lineRule="auto"/>
              <w:rPr>
                <w:sz w:val="18"/>
                <w:szCs w:val="18"/>
              </w:rPr>
            </w:pPr>
            <w:r>
              <w:rPr>
                <w:sz w:val="18"/>
                <w:szCs w:val="18"/>
              </w:rPr>
              <w:t>通过对本课程的学</w:t>
            </w:r>
            <w:r>
              <w:rPr>
                <w:rFonts w:hint="eastAsia"/>
                <w:sz w:val="18"/>
                <w:szCs w:val="18"/>
              </w:rPr>
              <w:t>习，</w:t>
            </w:r>
            <w:r>
              <w:rPr>
                <w:sz w:val="18"/>
                <w:szCs w:val="18"/>
              </w:rPr>
              <w:t>对</w:t>
            </w:r>
            <w:r>
              <w:rPr>
                <w:rFonts w:hint="eastAsia"/>
                <w:sz w:val="18"/>
                <w:szCs w:val="18"/>
              </w:rPr>
              <w:t>量子传感的</w:t>
            </w:r>
            <w:r>
              <w:rPr>
                <w:sz w:val="18"/>
                <w:szCs w:val="18"/>
              </w:rPr>
              <w:t>基本概念、基本理论、基本方法能够有比较全面和系统的认识和正确的理解；掌握</w:t>
            </w:r>
            <w:r>
              <w:rPr>
                <w:rFonts w:hint="eastAsia"/>
                <w:sz w:val="18"/>
                <w:szCs w:val="18"/>
              </w:rPr>
              <w:t>新型量子动力学传感过程额</w:t>
            </w:r>
            <w:r>
              <w:rPr>
                <w:sz w:val="18"/>
                <w:szCs w:val="18"/>
              </w:rPr>
              <w:t>基本规律及其相关的应用；理解</w:t>
            </w:r>
            <w:r>
              <w:rPr>
                <w:rFonts w:hint="eastAsia"/>
                <w:sz w:val="18"/>
                <w:szCs w:val="18"/>
              </w:rPr>
              <w:t>新型传感器件的发展现状及应用前景；</w:t>
            </w:r>
          </w:p>
        </w:tc>
        <w:tc>
          <w:tcPr>
            <w:tcW w:w="2100" w:type="pct"/>
          </w:tcPr>
          <w:p>
            <w:pPr>
              <w:spacing w:line="360" w:lineRule="auto"/>
              <w:rPr>
                <w:sz w:val="18"/>
                <w:szCs w:val="18"/>
              </w:rPr>
            </w:pPr>
            <w:r>
              <w:rPr>
                <w:rFonts w:hint="eastAsia"/>
                <w:b/>
                <w:sz w:val="18"/>
                <w:szCs w:val="18"/>
              </w:rPr>
              <w:t>指标点1-1 知识体系</w:t>
            </w:r>
            <w:r>
              <w:rPr>
                <w:rFonts w:hint="eastAsia"/>
                <w:bCs/>
                <w:sz w:val="18"/>
                <w:szCs w:val="18"/>
              </w:rPr>
              <w:t>：</w:t>
            </w:r>
            <w:r>
              <w:rPr>
                <w:bCs/>
                <w:sz w:val="18"/>
                <w:szCs w:val="18"/>
              </w:rPr>
              <w:t>具备本专业相关的数学、自然科学、计算机和电子学工程基础及传感、控制等多方面的知识。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spacing w:line="360" w:lineRule="auto"/>
              <w:jc w:val="center"/>
              <w:rPr>
                <w:sz w:val="18"/>
                <w:szCs w:val="18"/>
              </w:rPr>
            </w:pPr>
            <w:r>
              <w:rPr>
                <w:sz w:val="18"/>
                <w:szCs w:val="18"/>
              </w:rPr>
              <w:t>2</w:t>
            </w:r>
          </w:p>
        </w:tc>
        <w:tc>
          <w:tcPr>
            <w:tcW w:w="2533" w:type="pct"/>
          </w:tcPr>
          <w:p>
            <w:pPr>
              <w:spacing w:line="360" w:lineRule="auto"/>
              <w:rPr>
                <w:sz w:val="18"/>
                <w:szCs w:val="18"/>
              </w:rPr>
            </w:pPr>
            <w:r>
              <w:rPr>
                <w:rFonts w:hint="eastAsia"/>
                <w:sz w:val="18"/>
                <w:szCs w:val="18"/>
              </w:rPr>
              <w:t>获得基本的</w:t>
            </w:r>
            <w:r>
              <w:rPr>
                <w:sz w:val="18"/>
                <w:szCs w:val="18"/>
              </w:rPr>
              <w:t>科学思维方式及</w:t>
            </w:r>
            <w:r>
              <w:rPr>
                <w:rFonts w:hint="eastAsia"/>
                <w:sz w:val="18"/>
                <w:szCs w:val="18"/>
              </w:rPr>
              <w:t>具备较强的</w:t>
            </w:r>
            <w:r>
              <w:rPr>
                <w:sz w:val="18"/>
                <w:szCs w:val="18"/>
              </w:rPr>
              <w:t>创新能力，获得分析和处理一些问题的基本方法和解决问题的能力，提高逻辑推理</w:t>
            </w:r>
            <w:r>
              <w:rPr>
                <w:rFonts w:hint="eastAsia"/>
                <w:sz w:val="18"/>
                <w:szCs w:val="18"/>
              </w:rPr>
              <w:t>、</w:t>
            </w:r>
            <w:r>
              <w:rPr>
                <w:sz w:val="18"/>
                <w:szCs w:val="18"/>
              </w:rPr>
              <w:t>抽象思维</w:t>
            </w:r>
            <w:r>
              <w:rPr>
                <w:rFonts w:hint="eastAsia"/>
                <w:sz w:val="18"/>
                <w:szCs w:val="18"/>
              </w:rPr>
              <w:t>和多学科交叉应用学习的</w:t>
            </w:r>
            <w:r>
              <w:rPr>
                <w:sz w:val="18"/>
                <w:szCs w:val="18"/>
              </w:rPr>
              <w:t>能力</w:t>
            </w:r>
            <w:r>
              <w:rPr>
                <w:rFonts w:hint="eastAsia"/>
                <w:sz w:val="18"/>
                <w:szCs w:val="18"/>
              </w:rPr>
              <w:t>，掌握新型传感器实现的基本原理及方法。</w:t>
            </w:r>
          </w:p>
        </w:tc>
        <w:tc>
          <w:tcPr>
            <w:tcW w:w="2100" w:type="pct"/>
          </w:tcPr>
          <w:p>
            <w:pPr>
              <w:spacing w:line="360" w:lineRule="auto"/>
              <w:rPr>
                <w:sz w:val="18"/>
                <w:szCs w:val="18"/>
              </w:rPr>
            </w:pPr>
            <w:r>
              <w:rPr>
                <w:rFonts w:hint="eastAsia"/>
                <w:b/>
                <w:sz w:val="18"/>
                <w:szCs w:val="18"/>
              </w:rPr>
              <w:t>指标点4-1 领域现状认知能力</w:t>
            </w:r>
            <w:r>
              <w:rPr>
                <w:rFonts w:hint="eastAsia"/>
                <w:sz w:val="18"/>
                <w:szCs w:val="18"/>
              </w:rPr>
              <w:t>：</w:t>
            </w:r>
            <w:r>
              <w:rPr>
                <w:bCs/>
                <w:sz w:val="18"/>
                <w:szCs w:val="18"/>
              </w:rPr>
              <w:t>了解智能感知工程专业领域背景及经典案例，能够针对复杂工程问题提出研究思路和分析方法，并有意识地将实验结果用于指导解决方案的改善和优化。</w:t>
            </w:r>
          </w:p>
        </w:tc>
      </w:tr>
    </w:tbl>
    <w:p>
      <w:pPr>
        <w:pStyle w:val="9"/>
      </w:pPr>
    </w:p>
    <w:p>
      <w:pPr>
        <w:tabs>
          <w:tab w:val="left" w:pos="420"/>
        </w:tabs>
        <w:adjustRightInd w:val="0"/>
        <w:snapToGrid w:val="0"/>
        <w:spacing w:line="360" w:lineRule="auto"/>
        <w:rPr>
          <w:rFonts w:eastAsia="黑体"/>
          <w:szCs w:val="21"/>
        </w:rPr>
      </w:pPr>
      <w:r>
        <w:rPr>
          <w:rFonts w:eastAsia="黑体"/>
          <w:szCs w:val="21"/>
        </w:rPr>
        <w:t>三、基本要求</w:t>
      </w:r>
    </w:p>
    <w:p>
      <w:pPr>
        <w:spacing w:line="360" w:lineRule="auto"/>
        <w:ind w:firstLine="420" w:firstLineChars="200"/>
        <w:rPr>
          <w:szCs w:val="21"/>
        </w:rPr>
      </w:pPr>
      <w:r>
        <w:rPr>
          <w:szCs w:val="21"/>
        </w:rPr>
        <w:t>1、本课程为专业任选课，要求先修大学物理</w:t>
      </w:r>
      <w:r>
        <w:rPr>
          <w:rFonts w:hint="eastAsia"/>
          <w:szCs w:val="21"/>
        </w:rPr>
        <w:t>和信号与系统等课程</w:t>
      </w:r>
      <w:r>
        <w:rPr>
          <w:szCs w:val="21"/>
        </w:rPr>
        <w:t>，在教学中应注重基础知识、基本概念和思维方法的传授，同时运用类比式和启发式教学，使学生掌握最重要的</w:t>
      </w:r>
      <w:r>
        <w:rPr>
          <w:rFonts w:hint="eastAsia"/>
          <w:szCs w:val="21"/>
        </w:rPr>
        <w:t>“量子传感”</w:t>
      </w:r>
      <w:r>
        <w:rPr>
          <w:szCs w:val="21"/>
        </w:rPr>
        <w:t>的概念，掌握相关现象的分析方法与手段，以培养逻辑分析能力。</w:t>
      </w:r>
    </w:p>
    <w:p>
      <w:pPr>
        <w:spacing w:line="360" w:lineRule="auto"/>
        <w:ind w:firstLine="420" w:firstLineChars="200"/>
        <w:rPr>
          <w:szCs w:val="21"/>
        </w:rPr>
      </w:pPr>
      <w:r>
        <w:rPr>
          <w:rFonts w:hint="eastAsia"/>
          <w:szCs w:val="21"/>
        </w:rPr>
        <w:t>2、教师通过多媒体、实物演示等多种教学方式，提升学生对知识的理解和使用能力。</w:t>
      </w:r>
    </w:p>
    <w:p>
      <w:pPr>
        <w:spacing w:line="360" w:lineRule="auto"/>
        <w:ind w:firstLine="420" w:firstLineChars="200"/>
        <w:rPr>
          <w:szCs w:val="21"/>
        </w:rPr>
      </w:pPr>
      <w:r>
        <w:rPr>
          <w:rFonts w:hint="eastAsia"/>
          <w:szCs w:val="21"/>
        </w:rPr>
        <w:t>3、学生通过自主查询学习，了解至少3种量子精密传感实现的方案及使用方法，了解光与自旋、磁、力、位移等的转化关系及关联模型，掌握实现量子传感与精密测量的基本原理。</w:t>
      </w:r>
    </w:p>
    <w:p>
      <w:pPr>
        <w:spacing w:line="360" w:lineRule="auto"/>
        <w:ind w:firstLine="420" w:firstLineChars="200"/>
        <w:rPr>
          <w:szCs w:val="21"/>
        </w:rPr>
      </w:pPr>
      <w:r>
        <w:rPr>
          <w:rFonts w:hint="eastAsia"/>
          <w:szCs w:val="21"/>
        </w:rPr>
        <w:t>4</w:t>
      </w:r>
      <w:r>
        <w:rPr>
          <w:szCs w:val="21"/>
        </w:rPr>
        <w:t>、深度和广度说明：对</w:t>
      </w:r>
      <w:r>
        <w:rPr>
          <w:rFonts w:hint="eastAsia"/>
          <w:szCs w:val="21"/>
        </w:rPr>
        <w:t>量子传感与精密测量基本原理</w:t>
      </w:r>
      <w:r>
        <w:rPr>
          <w:szCs w:val="21"/>
        </w:rPr>
        <w:t>要深入讲解，</w:t>
      </w:r>
      <w:r>
        <w:rPr>
          <w:rFonts w:hint="eastAsia"/>
          <w:szCs w:val="21"/>
        </w:rPr>
        <w:t>对传感器涉及的噪声抑制及特殊原理</w:t>
      </w:r>
      <w:r>
        <w:rPr>
          <w:szCs w:val="21"/>
        </w:rPr>
        <w:t>只做简单介绍，对</w:t>
      </w:r>
      <w:r>
        <w:rPr>
          <w:rFonts w:hint="eastAsia"/>
          <w:szCs w:val="21"/>
        </w:rPr>
        <w:t>各种新型量子传感器的类型及使用限制了</w:t>
      </w:r>
      <w:r>
        <w:rPr>
          <w:szCs w:val="21"/>
        </w:rPr>
        <w:t>解即可，</w:t>
      </w:r>
      <w:r>
        <w:rPr>
          <w:rFonts w:hint="eastAsia"/>
          <w:szCs w:val="21"/>
        </w:rPr>
        <w:t>量子传感器件的实现要素和未来发展趋势以及设计的基本原理是</w:t>
      </w:r>
      <w:r>
        <w:rPr>
          <w:szCs w:val="21"/>
        </w:rPr>
        <w:t>掌握和使用是重点。</w:t>
      </w:r>
    </w:p>
    <w:p>
      <w:pPr>
        <w:spacing w:line="360" w:lineRule="auto"/>
        <w:ind w:firstLine="420" w:firstLineChars="200"/>
        <w:rPr>
          <w:szCs w:val="21"/>
        </w:rPr>
      </w:pPr>
      <w:r>
        <w:rPr>
          <w:rFonts w:hint="eastAsia"/>
          <w:szCs w:val="21"/>
        </w:rPr>
        <w:t>5</w:t>
      </w:r>
      <w:r>
        <w:rPr>
          <w:szCs w:val="21"/>
        </w:rPr>
        <w:t>、偏差说明：为了鼓励教师引入个人授课风格或者适应技术发展的紧迫性，本课程允许教师授课内容做适当调整，最大正偏差为10%，不允许负偏差。正偏差通过压缩同等内容的学时数来完成。特殊情况，最大正偏差和置换偏差累计可达到20%，但在开课前要申请专业责任人批准。（正偏差指大纲知识点不变，新增知识点；负偏差是大纲知识点减少；置换偏差是指大纲中部分知识点被其它类似知识点替换）。</w:t>
      </w:r>
    </w:p>
    <w:p>
      <w:pPr>
        <w:spacing w:line="360" w:lineRule="auto"/>
        <w:ind w:firstLine="420" w:firstLineChars="200"/>
        <w:rPr>
          <w:szCs w:val="21"/>
        </w:rPr>
      </w:pPr>
    </w:p>
    <w:p>
      <w:pPr>
        <w:tabs>
          <w:tab w:val="left" w:pos="420"/>
        </w:tabs>
        <w:spacing w:line="360" w:lineRule="auto"/>
        <w:ind w:left="420" w:hanging="420"/>
        <w:rPr>
          <w:rFonts w:eastAsia="黑体"/>
          <w:szCs w:val="21"/>
        </w:rPr>
      </w:pPr>
      <w:r>
        <w:rPr>
          <w:rFonts w:eastAsia="黑体"/>
          <w:szCs w:val="21"/>
        </w:rPr>
        <w:t>四、教学内容和教学方法</w:t>
      </w:r>
    </w:p>
    <w:p>
      <w:pPr>
        <w:spacing w:line="360" w:lineRule="auto"/>
        <w:ind w:firstLine="420" w:firstLineChars="200"/>
        <w:rPr>
          <w:szCs w:val="21"/>
        </w:rPr>
      </w:pPr>
      <w:r>
        <w:rPr>
          <w:szCs w:val="21"/>
        </w:rPr>
        <w:t>本课程重点讲授的内容包括：</w:t>
      </w:r>
      <w:r>
        <w:rPr>
          <w:rFonts w:hint="eastAsia"/>
          <w:snapToGrid w:val="0"/>
          <w:kern w:val="0"/>
          <w:szCs w:val="21"/>
        </w:rPr>
        <w:t>原子磁强计的磁检测的基本工作原理、实现方案、原子陀螺的分类、特点、研究现状、</w:t>
      </w:r>
      <w:r>
        <w:rPr>
          <w:rFonts w:hint="eastAsia"/>
          <w:bCs/>
          <w:snapToGrid w:val="0"/>
          <w:kern w:val="0"/>
          <w:szCs w:val="21"/>
        </w:rPr>
        <w:t>SERF陀螺仪的工作原理、无自旋交换弛豫的基本概念、固态原子陀螺仪的实现基础、工作机制、研究意义、原子钟的基本工作原理、种类、测量精度</w:t>
      </w:r>
      <w:r>
        <w:rPr>
          <w:szCs w:val="21"/>
        </w:rPr>
        <w:t>等。</w:t>
      </w:r>
    </w:p>
    <w:p>
      <w:pPr>
        <w:spacing w:line="360" w:lineRule="auto"/>
        <w:ind w:firstLine="420" w:firstLineChars="200"/>
        <w:rPr>
          <w:szCs w:val="21"/>
        </w:rPr>
      </w:pPr>
      <w:r>
        <w:rPr>
          <w:szCs w:val="21"/>
        </w:rPr>
        <w:t>本课程在教学方法上，充分利用各种媒体教学手段，采取课堂教学、多媒体课件、验证性实验、</w:t>
      </w:r>
      <w:r>
        <w:rPr>
          <w:rFonts w:hint="eastAsia"/>
          <w:szCs w:val="21"/>
        </w:rPr>
        <w:t>学生参与式讲解、学习等方法</w:t>
      </w:r>
      <w:r>
        <w:rPr>
          <w:szCs w:val="21"/>
        </w:rPr>
        <w:t>，提高教学效率</w:t>
      </w:r>
      <w:r>
        <w:rPr>
          <w:rFonts w:hint="eastAsia"/>
          <w:szCs w:val="21"/>
        </w:rPr>
        <w:t>；结合课堂要求，引导学生按照课堂要求，积极完成课堂提问、作业等课程工作，不弄需作假；</w:t>
      </w:r>
    </w:p>
    <w:p>
      <w:pPr>
        <w:spacing w:line="360" w:lineRule="auto"/>
        <w:ind w:firstLine="420" w:firstLineChars="200"/>
        <w:rPr>
          <w:szCs w:val="21"/>
        </w:rPr>
      </w:pPr>
      <w:r>
        <w:rPr>
          <w:rFonts w:hint="eastAsia"/>
          <w:szCs w:val="21"/>
        </w:rPr>
        <w:t>固态原子陀螺仪的实现</w:t>
      </w:r>
      <w:r>
        <w:rPr>
          <w:szCs w:val="21"/>
        </w:rPr>
        <w:t>、</w:t>
      </w:r>
      <w:r>
        <w:rPr>
          <w:rFonts w:hint="eastAsia"/>
          <w:szCs w:val="21"/>
        </w:rPr>
        <w:t>工作原理在实际应用中</w:t>
      </w:r>
      <w:r>
        <w:rPr>
          <w:szCs w:val="21"/>
        </w:rPr>
        <w:t>占有非常重要的地位，教师要重点讲授以使学生完全掌握。</w:t>
      </w:r>
    </w:p>
    <w:p>
      <w:pPr>
        <w:spacing w:line="360" w:lineRule="auto"/>
        <w:ind w:firstLine="420" w:firstLineChars="200"/>
        <w:rPr>
          <w:szCs w:val="21"/>
        </w:rPr>
      </w:pPr>
      <w:r>
        <w:rPr>
          <w:szCs w:val="21"/>
        </w:rPr>
        <w:t>为了提高学生的学习兴趣，并取得良好的教学效果，教师在知识讲解的过程中要充分利用问题引导、案例分析等多种教学方法，以进一步提高教学质量</w:t>
      </w:r>
      <w:r>
        <w:rPr>
          <w:rFonts w:hint="eastAsia"/>
          <w:szCs w:val="21"/>
        </w:rPr>
        <w:t>；了解新型前沿科学技术及相关发展需求，结合“中国智造”新时代发展理念，鼓励学生积极参与、投身到新型传感器设计开发领域，为我国新型传感器设计开发做出贡献。</w:t>
      </w:r>
    </w:p>
    <w:p>
      <w:pPr>
        <w:widowControl/>
        <w:adjustRightInd w:val="0"/>
        <w:snapToGrid w:val="0"/>
        <w:spacing w:line="360" w:lineRule="auto"/>
        <w:ind w:left="426"/>
        <w:jc w:val="left"/>
        <w:rPr>
          <w:rFonts w:eastAsia="黑体"/>
          <w:kern w:val="0"/>
          <w:szCs w:val="21"/>
        </w:rPr>
      </w:pPr>
      <w:r>
        <w:rPr>
          <w:rFonts w:eastAsia="黑体"/>
          <w:snapToGrid w:val="0"/>
          <w:kern w:val="0"/>
          <w:szCs w:val="21"/>
        </w:rPr>
        <w:t>1 绪论（2学时）</w:t>
      </w:r>
    </w:p>
    <w:p>
      <w:pPr>
        <w:widowControl/>
        <w:adjustRightInd w:val="0"/>
        <w:snapToGrid w:val="0"/>
        <w:spacing w:line="360" w:lineRule="auto"/>
        <w:ind w:left="426"/>
        <w:jc w:val="left"/>
        <w:rPr>
          <w:snapToGrid w:val="0"/>
          <w:kern w:val="0"/>
          <w:szCs w:val="21"/>
        </w:rPr>
      </w:pPr>
      <w:r>
        <w:rPr>
          <w:snapToGrid w:val="0"/>
          <w:kern w:val="0"/>
          <w:szCs w:val="21"/>
        </w:rPr>
        <w:t>1.1、本课程在专业课程体系中的地位和作用介绍；</w:t>
      </w:r>
    </w:p>
    <w:p>
      <w:pPr>
        <w:widowControl/>
        <w:adjustRightInd w:val="0"/>
        <w:snapToGrid w:val="0"/>
        <w:spacing w:line="360" w:lineRule="auto"/>
        <w:ind w:left="426"/>
        <w:jc w:val="left"/>
        <w:rPr>
          <w:snapToGrid w:val="0"/>
          <w:kern w:val="0"/>
          <w:szCs w:val="21"/>
        </w:rPr>
      </w:pPr>
      <w:r>
        <w:rPr>
          <w:snapToGrid w:val="0"/>
          <w:kern w:val="0"/>
          <w:szCs w:val="21"/>
        </w:rPr>
        <w:t>1.2、课程内容、学习方法、讲授方式、评价方式介绍；</w:t>
      </w:r>
    </w:p>
    <w:p>
      <w:pPr>
        <w:widowControl/>
        <w:adjustRightInd w:val="0"/>
        <w:snapToGrid w:val="0"/>
        <w:spacing w:line="360" w:lineRule="auto"/>
        <w:ind w:left="426"/>
        <w:jc w:val="left"/>
        <w:rPr>
          <w:snapToGrid w:val="0"/>
          <w:kern w:val="0"/>
          <w:szCs w:val="21"/>
        </w:rPr>
      </w:pPr>
      <w:r>
        <w:rPr>
          <w:snapToGrid w:val="0"/>
          <w:kern w:val="0"/>
          <w:szCs w:val="21"/>
        </w:rPr>
        <w:t>1.3、</w:t>
      </w:r>
      <w:r>
        <w:rPr>
          <w:rFonts w:hint="eastAsia"/>
          <w:snapToGrid w:val="0"/>
          <w:kern w:val="0"/>
          <w:szCs w:val="21"/>
        </w:rPr>
        <w:t>精密测量技术的发展及高精度量子传感技术的发展背景</w:t>
      </w:r>
      <w:r>
        <w:rPr>
          <w:snapToGrid w:val="0"/>
          <w:kern w:val="0"/>
          <w:szCs w:val="21"/>
        </w:rPr>
        <w:t>。</w:t>
      </w:r>
    </w:p>
    <w:p>
      <w:pPr>
        <w:widowControl/>
        <w:adjustRightInd w:val="0"/>
        <w:snapToGrid w:val="0"/>
        <w:spacing w:line="360" w:lineRule="auto"/>
        <w:ind w:left="426"/>
        <w:jc w:val="left"/>
        <w:rPr>
          <w:snapToGrid w:val="0"/>
          <w:kern w:val="0"/>
          <w:szCs w:val="21"/>
        </w:rPr>
      </w:pPr>
      <w:r>
        <w:rPr>
          <w:rFonts w:hint="eastAsia"/>
          <w:snapToGrid w:val="0"/>
          <w:kern w:val="0"/>
          <w:szCs w:val="21"/>
        </w:rPr>
        <w:t>本章支持课程目标1。</w:t>
      </w:r>
    </w:p>
    <w:p>
      <w:pPr>
        <w:widowControl/>
        <w:adjustRightInd w:val="0"/>
        <w:snapToGrid w:val="0"/>
        <w:spacing w:line="360" w:lineRule="auto"/>
        <w:ind w:firstLine="420" w:firstLineChars="200"/>
        <w:jc w:val="left"/>
        <w:rPr>
          <w:rFonts w:eastAsia="黑体"/>
          <w:kern w:val="0"/>
          <w:szCs w:val="21"/>
        </w:rPr>
      </w:pPr>
      <w:r>
        <w:rPr>
          <w:rFonts w:eastAsia="黑体"/>
          <w:snapToGrid w:val="0"/>
          <w:kern w:val="0"/>
          <w:szCs w:val="21"/>
        </w:rPr>
        <w:t xml:space="preserve">2 </w:t>
      </w:r>
      <w:r>
        <w:rPr>
          <w:rFonts w:hint="eastAsia" w:eastAsia="黑体"/>
          <w:snapToGrid w:val="0"/>
          <w:kern w:val="0"/>
          <w:szCs w:val="21"/>
        </w:rPr>
        <w:t>原子磁强计</w:t>
      </w:r>
      <w:r>
        <w:rPr>
          <w:rFonts w:eastAsia="黑体"/>
          <w:snapToGrid w:val="0"/>
          <w:kern w:val="0"/>
          <w:szCs w:val="21"/>
        </w:rPr>
        <w:t>（</w:t>
      </w:r>
      <w:r>
        <w:rPr>
          <w:rFonts w:hint="eastAsia" w:eastAsia="黑体"/>
          <w:snapToGrid w:val="0"/>
          <w:kern w:val="0"/>
          <w:szCs w:val="21"/>
        </w:rPr>
        <w:t>3</w:t>
      </w:r>
      <w:r>
        <w:rPr>
          <w:rFonts w:eastAsia="黑体"/>
          <w:snapToGrid w:val="0"/>
          <w:kern w:val="0"/>
          <w:szCs w:val="21"/>
        </w:rPr>
        <w:t>学时）</w:t>
      </w:r>
    </w:p>
    <w:p>
      <w:pPr>
        <w:widowControl/>
        <w:adjustRightInd w:val="0"/>
        <w:snapToGrid w:val="0"/>
        <w:spacing w:line="360" w:lineRule="auto"/>
        <w:ind w:left="426"/>
        <w:jc w:val="left"/>
        <w:rPr>
          <w:snapToGrid w:val="0"/>
          <w:kern w:val="0"/>
          <w:szCs w:val="21"/>
        </w:rPr>
      </w:pPr>
      <w:r>
        <w:rPr>
          <w:snapToGrid w:val="0"/>
          <w:kern w:val="0"/>
          <w:szCs w:val="21"/>
        </w:rPr>
        <w:t>2.1、掌握</w:t>
      </w:r>
      <w:r>
        <w:rPr>
          <w:rFonts w:hint="eastAsia"/>
          <w:snapToGrid w:val="0"/>
          <w:kern w:val="0"/>
          <w:szCs w:val="21"/>
        </w:rPr>
        <w:t>原子磁强计的磁检测的基本工作原理、实现方案；(重点、难点)</w:t>
      </w:r>
    </w:p>
    <w:p>
      <w:pPr>
        <w:widowControl/>
        <w:adjustRightInd w:val="0"/>
        <w:snapToGrid w:val="0"/>
        <w:spacing w:line="360" w:lineRule="auto"/>
        <w:ind w:left="426"/>
        <w:jc w:val="left"/>
        <w:rPr>
          <w:kern w:val="0"/>
          <w:szCs w:val="21"/>
        </w:rPr>
      </w:pPr>
      <w:r>
        <w:rPr>
          <w:snapToGrid w:val="0"/>
          <w:kern w:val="0"/>
          <w:szCs w:val="21"/>
        </w:rPr>
        <w:t>2.2、</w:t>
      </w:r>
      <w:r>
        <w:rPr>
          <w:rFonts w:hint="eastAsia"/>
          <w:snapToGrid w:val="0"/>
          <w:kern w:val="0"/>
          <w:szCs w:val="21"/>
        </w:rPr>
        <w:t>了解原子磁强计的基本物理结构、基本组成单元、信号提取等</w:t>
      </w:r>
      <w:r>
        <w:rPr>
          <w:snapToGrid w:val="0"/>
          <w:kern w:val="0"/>
          <w:szCs w:val="21"/>
        </w:rPr>
        <w:t>；</w:t>
      </w:r>
    </w:p>
    <w:p>
      <w:pPr>
        <w:adjustRightInd w:val="0"/>
        <w:snapToGrid w:val="0"/>
        <w:spacing w:line="360" w:lineRule="auto"/>
        <w:ind w:left="426"/>
        <w:rPr>
          <w:snapToGrid w:val="0"/>
          <w:kern w:val="0"/>
          <w:szCs w:val="21"/>
        </w:rPr>
      </w:pPr>
      <w:r>
        <w:rPr>
          <w:snapToGrid w:val="0"/>
          <w:kern w:val="0"/>
          <w:szCs w:val="21"/>
        </w:rPr>
        <w:t>2.3、</w:t>
      </w:r>
      <w:r>
        <w:rPr>
          <w:rFonts w:hint="eastAsia"/>
          <w:snapToGrid w:val="0"/>
          <w:kern w:val="0"/>
          <w:szCs w:val="21"/>
        </w:rPr>
        <w:t>了解原子磁强计的发展状况及发展趋势</w:t>
      </w:r>
      <w:r>
        <w:rPr>
          <w:snapToGrid w:val="0"/>
          <w:kern w:val="0"/>
          <w:szCs w:val="21"/>
        </w:rPr>
        <w:t>；</w:t>
      </w:r>
    </w:p>
    <w:p>
      <w:pPr>
        <w:adjustRightInd w:val="0"/>
        <w:snapToGrid w:val="0"/>
        <w:spacing w:line="360" w:lineRule="auto"/>
        <w:ind w:firstLine="420" w:firstLineChars="200"/>
        <w:rPr>
          <w:bCs/>
          <w:snapToGrid w:val="0"/>
          <w:kern w:val="0"/>
          <w:szCs w:val="21"/>
        </w:rPr>
      </w:pPr>
      <w:r>
        <w:rPr>
          <w:bCs/>
          <w:snapToGrid w:val="0"/>
          <w:kern w:val="0"/>
          <w:szCs w:val="21"/>
        </w:rPr>
        <w:t>本章内容支撑课程目标</w:t>
      </w:r>
      <w:r>
        <w:rPr>
          <w:rFonts w:hint="eastAsia"/>
          <w:bCs/>
          <w:snapToGrid w:val="0"/>
          <w:kern w:val="0"/>
          <w:szCs w:val="21"/>
        </w:rPr>
        <w:t>1、2。</w:t>
      </w:r>
    </w:p>
    <w:p>
      <w:pPr>
        <w:adjustRightInd w:val="0"/>
        <w:snapToGrid w:val="0"/>
        <w:spacing w:line="360" w:lineRule="auto"/>
        <w:ind w:left="426"/>
      </w:pPr>
      <w:r>
        <w:rPr>
          <w:rFonts w:eastAsia="黑体"/>
        </w:rPr>
        <w:t xml:space="preserve">3 </w:t>
      </w:r>
      <w:r>
        <w:rPr>
          <w:rFonts w:hint="eastAsia" w:eastAsia="黑体"/>
          <w:snapToGrid w:val="0"/>
          <w:kern w:val="0"/>
          <w:szCs w:val="21"/>
        </w:rPr>
        <w:t>原子陀螺</w:t>
      </w:r>
      <w:r>
        <w:rPr>
          <w:rFonts w:eastAsia="黑体"/>
          <w:snapToGrid w:val="0"/>
          <w:kern w:val="0"/>
          <w:szCs w:val="21"/>
        </w:rPr>
        <w:t>（</w:t>
      </w:r>
      <w:r>
        <w:rPr>
          <w:rFonts w:hint="eastAsia" w:eastAsia="黑体"/>
          <w:snapToGrid w:val="0"/>
          <w:kern w:val="0"/>
          <w:szCs w:val="21"/>
        </w:rPr>
        <w:t>6</w:t>
      </w:r>
      <w:r>
        <w:rPr>
          <w:rFonts w:eastAsia="黑体"/>
          <w:snapToGrid w:val="0"/>
          <w:kern w:val="0"/>
          <w:szCs w:val="21"/>
        </w:rPr>
        <w:t>学时）</w:t>
      </w:r>
    </w:p>
    <w:p>
      <w:pPr>
        <w:adjustRightInd w:val="0"/>
        <w:snapToGrid w:val="0"/>
        <w:spacing w:line="360" w:lineRule="auto"/>
        <w:ind w:left="426"/>
        <w:rPr>
          <w:snapToGrid w:val="0"/>
          <w:kern w:val="0"/>
          <w:szCs w:val="21"/>
        </w:rPr>
      </w:pPr>
      <w:r>
        <w:rPr>
          <w:snapToGrid w:val="0"/>
          <w:kern w:val="0"/>
          <w:szCs w:val="21"/>
        </w:rPr>
        <w:t>3.1、</w:t>
      </w:r>
      <w:r>
        <w:rPr>
          <w:rFonts w:hint="eastAsia"/>
          <w:snapToGrid w:val="0"/>
          <w:kern w:val="0"/>
          <w:szCs w:val="21"/>
        </w:rPr>
        <w:t>掌握原子陀螺的分类、特点、研究现状</w:t>
      </w:r>
      <w:r>
        <w:rPr>
          <w:snapToGrid w:val="0"/>
          <w:kern w:val="0"/>
          <w:szCs w:val="21"/>
        </w:rPr>
        <w:t>；（重点）</w:t>
      </w:r>
    </w:p>
    <w:p>
      <w:pPr>
        <w:adjustRightInd w:val="0"/>
        <w:snapToGrid w:val="0"/>
        <w:spacing w:line="360" w:lineRule="auto"/>
        <w:ind w:left="426"/>
      </w:pPr>
      <w:r>
        <w:t>3.2、</w:t>
      </w:r>
      <w:r>
        <w:rPr>
          <w:rFonts w:hint="eastAsia"/>
        </w:rPr>
        <w:t>掌握核磁共振陀螺仪实现的基本原理、发展历史、目前的指标参数</w:t>
      </w:r>
      <w:r>
        <w:rPr>
          <w:snapToGrid w:val="0"/>
          <w:kern w:val="0"/>
          <w:szCs w:val="21"/>
        </w:rPr>
        <w:t>；</w:t>
      </w:r>
    </w:p>
    <w:p>
      <w:pPr>
        <w:adjustRightInd w:val="0"/>
        <w:snapToGrid w:val="0"/>
        <w:spacing w:line="360" w:lineRule="auto"/>
        <w:ind w:left="426"/>
      </w:pPr>
      <w:r>
        <w:t>3.3、</w:t>
      </w:r>
      <w:r>
        <w:rPr>
          <w:rFonts w:hint="eastAsia"/>
          <w:bCs/>
          <w:snapToGrid w:val="0"/>
          <w:kern w:val="0"/>
          <w:szCs w:val="21"/>
        </w:rPr>
        <w:t>了解SERF陀螺仪的工作原理、无自旋交换弛豫的基本概念</w:t>
      </w:r>
      <w:r>
        <w:rPr>
          <w:bCs/>
          <w:snapToGrid w:val="0"/>
          <w:kern w:val="0"/>
          <w:szCs w:val="21"/>
        </w:rPr>
        <w:t>；</w:t>
      </w:r>
      <w:r>
        <w:rPr>
          <w:snapToGrid w:val="0"/>
          <w:kern w:val="0"/>
          <w:szCs w:val="21"/>
        </w:rPr>
        <w:t>（重点）</w:t>
      </w:r>
    </w:p>
    <w:p>
      <w:pPr>
        <w:adjustRightInd w:val="0"/>
        <w:snapToGrid w:val="0"/>
        <w:spacing w:line="360" w:lineRule="auto"/>
        <w:ind w:left="426"/>
        <w:rPr>
          <w:bCs/>
          <w:snapToGrid w:val="0"/>
          <w:kern w:val="0"/>
          <w:szCs w:val="21"/>
        </w:rPr>
      </w:pPr>
      <w:r>
        <w:t>3.4、</w:t>
      </w:r>
      <w:r>
        <w:rPr>
          <w:rFonts w:hint="eastAsia"/>
          <w:snapToGrid w:val="0"/>
          <w:kern w:val="0"/>
          <w:szCs w:val="21"/>
        </w:rPr>
        <w:t>了解冷原子干涉陀螺的基本工作原理、量子态制备过程及信号检测方案</w:t>
      </w:r>
      <w:r>
        <w:rPr>
          <w:bCs/>
          <w:snapToGrid w:val="0"/>
          <w:kern w:val="0"/>
          <w:szCs w:val="21"/>
        </w:rPr>
        <w:t>；</w:t>
      </w:r>
    </w:p>
    <w:p>
      <w:pPr>
        <w:adjustRightInd w:val="0"/>
        <w:snapToGrid w:val="0"/>
        <w:spacing w:line="360" w:lineRule="auto"/>
        <w:ind w:left="426"/>
        <w:rPr>
          <w:bCs/>
          <w:snapToGrid w:val="0"/>
          <w:kern w:val="0"/>
          <w:szCs w:val="21"/>
        </w:rPr>
      </w:pPr>
      <w:r>
        <w:rPr>
          <w:bCs/>
          <w:snapToGrid w:val="0"/>
          <w:kern w:val="0"/>
          <w:szCs w:val="21"/>
        </w:rPr>
        <w:t>3.5、</w:t>
      </w:r>
      <w:r>
        <w:rPr>
          <w:rFonts w:hint="eastAsia"/>
          <w:bCs/>
          <w:snapToGrid w:val="0"/>
          <w:kern w:val="0"/>
          <w:szCs w:val="21"/>
        </w:rPr>
        <w:t>掌握固态原子陀螺仪的实现基础、工作机制、研究意义等。(重点)</w:t>
      </w:r>
    </w:p>
    <w:p>
      <w:pPr>
        <w:adjustRightInd w:val="0"/>
        <w:snapToGrid w:val="0"/>
        <w:spacing w:line="360" w:lineRule="auto"/>
        <w:ind w:firstLine="420" w:firstLineChars="200"/>
        <w:rPr>
          <w:bCs/>
          <w:snapToGrid w:val="0"/>
          <w:color w:val="FF0000"/>
          <w:kern w:val="0"/>
          <w:szCs w:val="21"/>
        </w:rPr>
      </w:pPr>
      <w:r>
        <w:rPr>
          <w:bCs/>
          <w:snapToGrid w:val="0"/>
          <w:kern w:val="0"/>
          <w:szCs w:val="21"/>
        </w:rPr>
        <w:t>本章内容支撑课程目标</w:t>
      </w:r>
      <w:r>
        <w:rPr>
          <w:rFonts w:hint="eastAsia"/>
          <w:bCs/>
          <w:snapToGrid w:val="0"/>
          <w:kern w:val="0"/>
          <w:szCs w:val="21"/>
        </w:rPr>
        <w:t>1</w:t>
      </w:r>
      <w:r>
        <w:rPr>
          <w:bCs/>
          <w:snapToGrid w:val="0"/>
          <w:kern w:val="0"/>
          <w:szCs w:val="21"/>
        </w:rPr>
        <w:t>、</w:t>
      </w:r>
      <w:r>
        <w:rPr>
          <w:rFonts w:hint="eastAsia"/>
          <w:bCs/>
          <w:snapToGrid w:val="0"/>
          <w:kern w:val="0"/>
          <w:szCs w:val="21"/>
        </w:rPr>
        <w:t>2。</w:t>
      </w:r>
      <w:r>
        <w:rPr>
          <w:bCs/>
          <w:snapToGrid w:val="0"/>
          <w:kern w:val="0"/>
          <w:szCs w:val="21"/>
        </w:rPr>
        <w:tab/>
      </w:r>
      <w:r>
        <w:rPr>
          <w:bCs/>
          <w:snapToGrid w:val="0"/>
          <w:kern w:val="0"/>
          <w:szCs w:val="21"/>
        </w:rPr>
        <w:tab/>
      </w:r>
      <w:r>
        <w:rPr>
          <w:bCs/>
          <w:snapToGrid w:val="0"/>
          <w:color w:val="FF0000"/>
          <w:kern w:val="0"/>
          <w:szCs w:val="21"/>
        </w:rPr>
        <w:tab/>
      </w:r>
      <w:r>
        <w:rPr>
          <w:bCs/>
          <w:snapToGrid w:val="0"/>
          <w:color w:val="FF0000"/>
          <w:kern w:val="0"/>
          <w:szCs w:val="21"/>
        </w:rPr>
        <w:tab/>
      </w:r>
      <w:r>
        <w:rPr>
          <w:bCs/>
          <w:snapToGrid w:val="0"/>
          <w:color w:val="FF0000"/>
          <w:kern w:val="0"/>
          <w:szCs w:val="21"/>
        </w:rPr>
        <w:tab/>
      </w:r>
    </w:p>
    <w:p>
      <w:pPr>
        <w:tabs>
          <w:tab w:val="left" w:pos="1260"/>
        </w:tabs>
        <w:adjustRightInd w:val="0"/>
        <w:snapToGrid w:val="0"/>
        <w:spacing w:line="360" w:lineRule="auto"/>
        <w:ind w:left="426"/>
      </w:pPr>
      <w:r>
        <w:rPr>
          <w:rFonts w:eastAsia="黑体"/>
        </w:rPr>
        <w:t xml:space="preserve">4 </w:t>
      </w:r>
      <w:r>
        <w:rPr>
          <w:rFonts w:hint="eastAsia" w:eastAsia="黑体"/>
          <w:snapToGrid w:val="0"/>
          <w:kern w:val="0"/>
          <w:szCs w:val="21"/>
        </w:rPr>
        <w:t>原子钟</w:t>
      </w:r>
      <w:r>
        <w:rPr>
          <w:rFonts w:eastAsia="黑体"/>
          <w:snapToGrid w:val="0"/>
          <w:kern w:val="0"/>
          <w:szCs w:val="21"/>
        </w:rPr>
        <w:t>（</w:t>
      </w:r>
      <w:r>
        <w:rPr>
          <w:rFonts w:hint="eastAsia" w:eastAsia="黑体"/>
          <w:snapToGrid w:val="0"/>
          <w:kern w:val="0"/>
          <w:szCs w:val="21"/>
        </w:rPr>
        <w:t>3</w:t>
      </w:r>
      <w:r>
        <w:rPr>
          <w:rFonts w:eastAsia="黑体"/>
          <w:snapToGrid w:val="0"/>
          <w:kern w:val="0"/>
          <w:szCs w:val="21"/>
        </w:rPr>
        <w:t>学时）</w:t>
      </w:r>
    </w:p>
    <w:p>
      <w:pPr>
        <w:widowControl/>
        <w:tabs>
          <w:tab w:val="left" w:pos="900"/>
        </w:tabs>
        <w:adjustRightInd w:val="0"/>
        <w:snapToGrid w:val="0"/>
        <w:spacing w:line="360" w:lineRule="auto"/>
        <w:ind w:left="426"/>
        <w:jc w:val="left"/>
        <w:rPr>
          <w:bCs/>
          <w:snapToGrid w:val="0"/>
          <w:kern w:val="0"/>
          <w:szCs w:val="21"/>
        </w:rPr>
      </w:pPr>
      <w:r>
        <w:rPr>
          <w:bCs/>
          <w:snapToGrid w:val="0"/>
          <w:kern w:val="0"/>
          <w:szCs w:val="21"/>
        </w:rPr>
        <w:t>4.1、</w:t>
      </w:r>
      <w:r>
        <w:rPr>
          <w:rFonts w:hint="eastAsia"/>
          <w:bCs/>
          <w:snapToGrid w:val="0"/>
          <w:kern w:val="0"/>
          <w:szCs w:val="21"/>
        </w:rPr>
        <w:t>掌握原子钟的基本工作原理、种类、测量精度等</w:t>
      </w:r>
      <w:r>
        <w:rPr>
          <w:bCs/>
          <w:snapToGrid w:val="0"/>
          <w:kern w:val="0"/>
          <w:szCs w:val="21"/>
        </w:rPr>
        <w:t>；</w:t>
      </w:r>
      <w:r>
        <w:rPr>
          <w:snapToGrid w:val="0"/>
          <w:kern w:val="0"/>
          <w:szCs w:val="21"/>
        </w:rPr>
        <w:t>（重点）</w:t>
      </w:r>
    </w:p>
    <w:p>
      <w:pPr>
        <w:widowControl/>
        <w:tabs>
          <w:tab w:val="left" w:pos="900"/>
        </w:tabs>
        <w:adjustRightInd w:val="0"/>
        <w:snapToGrid w:val="0"/>
        <w:spacing w:line="360" w:lineRule="auto"/>
        <w:ind w:left="426"/>
        <w:jc w:val="left"/>
        <w:rPr>
          <w:bCs/>
          <w:snapToGrid w:val="0"/>
          <w:kern w:val="0"/>
          <w:szCs w:val="21"/>
        </w:rPr>
      </w:pPr>
      <w:r>
        <w:rPr>
          <w:bCs/>
          <w:snapToGrid w:val="0"/>
          <w:kern w:val="0"/>
          <w:szCs w:val="21"/>
        </w:rPr>
        <w:t>4.2、</w:t>
      </w:r>
      <w:r>
        <w:rPr>
          <w:rFonts w:hint="eastAsia"/>
          <w:bCs/>
          <w:snapToGrid w:val="0"/>
          <w:kern w:val="0"/>
          <w:szCs w:val="21"/>
        </w:rPr>
        <w:t>了解目前芯片级原子钟、冷原子钟的基本工作原理及研究进展，能够理解原子钟高精度时间标准对的选择及应用背景；</w:t>
      </w:r>
    </w:p>
    <w:p>
      <w:pPr>
        <w:widowControl/>
        <w:tabs>
          <w:tab w:val="left" w:pos="900"/>
        </w:tabs>
        <w:adjustRightInd w:val="0"/>
        <w:snapToGrid w:val="0"/>
        <w:spacing w:line="360" w:lineRule="auto"/>
        <w:ind w:left="426"/>
        <w:jc w:val="left"/>
        <w:rPr>
          <w:bCs/>
          <w:snapToGrid w:val="0"/>
          <w:kern w:val="0"/>
          <w:szCs w:val="21"/>
        </w:rPr>
      </w:pPr>
      <w:r>
        <w:rPr>
          <w:rFonts w:hint="eastAsia"/>
          <w:bCs/>
          <w:snapToGrid w:val="0"/>
          <w:kern w:val="0"/>
          <w:szCs w:val="21"/>
        </w:rPr>
        <w:t>4.3、了解原子钟发展的历程及研究意义。</w:t>
      </w:r>
    </w:p>
    <w:p>
      <w:pPr>
        <w:adjustRightInd w:val="0"/>
        <w:snapToGrid w:val="0"/>
        <w:spacing w:line="360" w:lineRule="auto"/>
        <w:ind w:firstLine="420" w:firstLineChars="200"/>
        <w:rPr>
          <w:bCs/>
          <w:snapToGrid w:val="0"/>
          <w:color w:val="FF0000"/>
          <w:kern w:val="0"/>
          <w:szCs w:val="21"/>
        </w:rPr>
      </w:pPr>
      <w:r>
        <w:rPr>
          <w:bCs/>
          <w:snapToGrid w:val="0"/>
          <w:kern w:val="0"/>
          <w:szCs w:val="21"/>
        </w:rPr>
        <w:t>本章内容支撑课程目标1、</w:t>
      </w:r>
      <w:r>
        <w:rPr>
          <w:rFonts w:hint="eastAsia"/>
          <w:bCs/>
          <w:snapToGrid w:val="0"/>
          <w:kern w:val="0"/>
          <w:szCs w:val="21"/>
        </w:rPr>
        <w:t>2</w:t>
      </w:r>
      <w:r>
        <w:rPr>
          <w:bCs/>
          <w:snapToGrid w:val="0"/>
          <w:kern w:val="0"/>
          <w:szCs w:val="21"/>
        </w:rPr>
        <w:t>。</w:t>
      </w:r>
      <w:r>
        <w:rPr>
          <w:bCs/>
          <w:snapToGrid w:val="0"/>
          <w:kern w:val="0"/>
          <w:szCs w:val="21"/>
        </w:rPr>
        <w:tab/>
      </w:r>
      <w:r>
        <w:rPr>
          <w:bCs/>
          <w:snapToGrid w:val="0"/>
          <w:color w:val="FF0000"/>
          <w:kern w:val="0"/>
          <w:szCs w:val="21"/>
        </w:rPr>
        <w:tab/>
      </w:r>
      <w:r>
        <w:rPr>
          <w:bCs/>
          <w:snapToGrid w:val="0"/>
          <w:color w:val="FF0000"/>
          <w:kern w:val="0"/>
          <w:szCs w:val="21"/>
        </w:rPr>
        <w:tab/>
      </w:r>
      <w:r>
        <w:rPr>
          <w:bCs/>
          <w:snapToGrid w:val="0"/>
          <w:color w:val="FF0000"/>
          <w:kern w:val="0"/>
          <w:szCs w:val="21"/>
        </w:rPr>
        <w:tab/>
      </w:r>
      <w:r>
        <w:rPr>
          <w:bCs/>
          <w:snapToGrid w:val="0"/>
          <w:color w:val="FF0000"/>
          <w:kern w:val="0"/>
          <w:szCs w:val="21"/>
        </w:rPr>
        <w:tab/>
      </w:r>
      <w:r>
        <w:rPr>
          <w:bCs/>
          <w:snapToGrid w:val="0"/>
          <w:color w:val="FF0000"/>
          <w:kern w:val="0"/>
          <w:szCs w:val="21"/>
        </w:rPr>
        <w:tab/>
      </w:r>
      <w:r>
        <w:rPr>
          <w:bCs/>
          <w:snapToGrid w:val="0"/>
          <w:color w:val="FF0000"/>
          <w:kern w:val="0"/>
          <w:szCs w:val="21"/>
        </w:rPr>
        <w:tab/>
      </w:r>
      <w:r>
        <w:rPr>
          <w:bCs/>
          <w:snapToGrid w:val="0"/>
          <w:color w:val="FF0000"/>
          <w:kern w:val="0"/>
          <w:szCs w:val="21"/>
        </w:rPr>
        <w:tab/>
      </w:r>
      <w:r>
        <w:rPr>
          <w:bCs/>
          <w:snapToGrid w:val="0"/>
          <w:color w:val="FF0000"/>
          <w:kern w:val="0"/>
          <w:szCs w:val="21"/>
        </w:rPr>
        <w:tab/>
      </w:r>
      <w:r>
        <w:rPr>
          <w:bCs/>
          <w:snapToGrid w:val="0"/>
          <w:color w:val="FF0000"/>
          <w:kern w:val="0"/>
          <w:szCs w:val="21"/>
        </w:rPr>
        <w:tab/>
      </w:r>
    </w:p>
    <w:p>
      <w:pPr>
        <w:widowControl/>
        <w:adjustRightInd w:val="0"/>
        <w:snapToGrid w:val="0"/>
        <w:spacing w:line="360" w:lineRule="auto"/>
        <w:ind w:left="426"/>
        <w:jc w:val="left"/>
        <w:rPr>
          <w:rFonts w:eastAsia="黑体"/>
          <w:snapToGrid w:val="0"/>
          <w:kern w:val="0"/>
          <w:szCs w:val="21"/>
        </w:rPr>
      </w:pPr>
      <w:r>
        <w:rPr>
          <w:rFonts w:hint="eastAsia" w:eastAsia="黑体"/>
          <w:snapToGrid w:val="0"/>
          <w:kern w:val="0"/>
          <w:szCs w:val="21"/>
        </w:rPr>
        <w:t>5量子传感研究现状及未来发展趋势</w:t>
      </w:r>
      <w:r>
        <w:rPr>
          <w:rFonts w:eastAsia="黑体"/>
          <w:snapToGrid w:val="0"/>
          <w:kern w:val="0"/>
          <w:szCs w:val="21"/>
        </w:rPr>
        <w:t>（</w:t>
      </w:r>
      <w:r>
        <w:rPr>
          <w:rFonts w:hint="eastAsia" w:eastAsia="黑体"/>
          <w:snapToGrid w:val="0"/>
          <w:kern w:val="0"/>
          <w:szCs w:val="21"/>
        </w:rPr>
        <w:t>2</w:t>
      </w:r>
      <w:r>
        <w:rPr>
          <w:rFonts w:eastAsia="黑体"/>
          <w:snapToGrid w:val="0"/>
          <w:kern w:val="0"/>
          <w:szCs w:val="21"/>
        </w:rPr>
        <w:t>学时）</w:t>
      </w:r>
    </w:p>
    <w:p>
      <w:pPr>
        <w:widowControl/>
        <w:tabs>
          <w:tab w:val="left" w:pos="900"/>
        </w:tabs>
        <w:adjustRightInd w:val="0"/>
        <w:snapToGrid w:val="0"/>
        <w:spacing w:line="360" w:lineRule="auto"/>
        <w:ind w:left="426"/>
        <w:jc w:val="left"/>
        <w:rPr>
          <w:bCs/>
          <w:snapToGrid w:val="0"/>
          <w:kern w:val="0"/>
          <w:szCs w:val="21"/>
        </w:rPr>
      </w:pPr>
      <w:r>
        <w:rPr>
          <w:rFonts w:hint="eastAsia"/>
          <w:bCs/>
          <w:snapToGrid w:val="0"/>
          <w:kern w:val="0"/>
          <w:szCs w:val="21"/>
        </w:rPr>
        <w:t>5</w:t>
      </w:r>
      <w:r>
        <w:rPr>
          <w:bCs/>
          <w:snapToGrid w:val="0"/>
          <w:kern w:val="0"/>
          <w:szCs w:val="21"/>
        </w:rPr>
        <w:t>.1、</w:t>
      </w:r>
      <w:r>
        <w:rPr>
          <w:rFonts w:hint="eastAsia"/>
          <w:bCs/>
          <w:snapToGrid w:val="0"/>
          <w:kern w:val="0"/>
          <w:szCs w:val="21"/>
        </w:rPr>
        <w:t>了解目前量子传感技术的发展现状；</w:t>
      </w:r>
    </w:p>
    <w:p>
      <w:pPr>
        <w:widowControl/>
        <w:tabs>
          <w:tab w:val="left" w:pos="900"/>
        </w:tabs>
        <w:adjustRightInd w:val="0"/>
        <w:snapToGrid w:val="0"/>
        <w:spacing w:line="360" w:lineRule="auto"/>
        <w:ind w:left="426"/>
        <w:jc w:val="left"/>
        <w:rPr>
          <w:bCs/>
          <w:snapToGrid w:val="0"/>
          <w:kern w:val="0"/>
          <w:szCs w:val="21"/>
        </w:rPr>
      </w:pPr>
      <w:r>
        <w:rPr>
          <w:rFonts w:hint="eastAsia"/>
          <w:bCs/>
          <w:snapToGrid w:val="0"/>
          <w:kern w:val="0"/>
          <w:szCs w:val="21"/>
        </w:rPr>
        <w:t>5</w:t>
      </w:r>
      <w:r>
        <w:rPr>
          <w:bCs/>
          <w:snapToGrid w:val="0"/>
          <w:kern w:val="0"/>
          <w:szCs w:val="21"/>
        </w:rPr>
        <w:t>.2、了解</w:t>
      </w:r>
      <w:r>
        <w:rPr>
          <w:rFonts w:hint="eastAsia"/>
          <w:bCs/>
          <w:snapToGrid w:val="0"/>
          <w:kern w:val="0"/>
          <w:szCs w:val="21"/>
        </w:rPr>
        <w:t>量子传感技术工程应用的难题和挑战</w:t>
      </w:r>
      <w:r>
        <w:rPr>
          <w:bCs/>
          <w:snapToGrid w:val="0"/>
          <w:kern w:val="0"/>
          <w:szCs w:val="21"/>
        </w:rPr>
        <w:t>；</w:t>
      </w:r>
    </w:p>
    <w:p>
      <w:pPr>
        <w:widowControl/>
        <w:tabs>
          <w:tab w:val="left" w:pos="900"/>
        </w:tabs>
        <w:adjustRightInd w:val="0"/>
        <w:snapToGrid w:val="0"/>
        <w:spacing w:line="360" w:lineRule="auto"/>
        <w:ind w:left="426"/>
        <w:jc w:val="left"/>
        <w:rPr>
          <w:bCs/>
          <w:snapToGrid w:val="0"/>
          <w:kern w:val="0"/>
          <w:szCs w:val="21"/>
        </w:rPr>
      </w:pPr>
      <w:r>
        <w:rPr>
          <w:rFonts w:hint="eastAsia"/>
          <w:bCs/>
          <w:snapToGrid w:val="0"/>
          <w:kern w:val="0"/>
          <w:szCs w:val="21"/>
        </w:rPr>
        <w:t>5</w:t>
      </w:r>
      <w:r>
        <w:rPr>
          <w:bCs/>
          <w:snapToGrid w:val="0"/>
          <w:kern w:val="0"/>
          <w:szCs w:val="21"/>
        </w:rPr>
        <w:t>.3、</w:t>
      </w:r>
      <w:r>
        <w:rPr>
          <w:rFonts w:hint="eastAsia"/>
          <w:bCs/>
          <w:snapToGrid w:val="0"/>
          <w:kern w:val="0"/>
          <w:szCs w:val="21"/>
        </w:rPr>
        <w:t>了解量子精密传感技术的发展趋势及未来的应用前景</w:t>
      </w:r>
      <w:r>
        <w:rPr>
          <w:bCs/>
          <w:snapToGrid w:val="0"/>
          <w:kern w:val="0"/>
          <w:szCs w:val="21"/>
        </w:rPr>
        <w:t>。</w:t>
      </w:r>
    </w:p>
    <w:p>
      <w:pPr>
        <w:adjustRightInd w:val="0"/>
        <w:snapToGrid w:val="0"/>
        <w:spacing w:line="360" w:lineRule="auto"/>
        <w:ind w:firstLine="420" w:firstLineChars="200"/>
        <w:rPr>
          <w:bCs/>
          <w:snapToGrid w:val="0"/>
          <w:kern w:val="0"/>
          <w:szCs w:val="21"/>
        </w:rPr>
      </w:pPr>
      <w:r>
        <w:rPr>
          <w:bCs/>
          <w:snapToGrid w:val="0"/>
          <w:kern w:val="0"/>
          <w:szCs w:val="21"/>
        </w:rPr>
        <w:t>本章内容支撑课程目标</w:t>
      </w:r>
      <w:r>
        <w:rPr>
          <w:rFonts w:hint="eastAsia"/>
          <w:bCs/>
          <w:snapToGrid w:val="0"/>
          <w:kern w:val="0"/>
          <w:szCs w:val="21"/>
        </w:rPr>
        <w:t>1</w:t>
      </w:r>
      <w:r>
        <w:rPr>
          <w:bCs/>
          <w:snapToGrid w:val="0"/>
          <w:kern w:val="0"/>
          <w:szCs w:val="21"/>
        </w:rPr>
        <w:t>。</w:t>
      </w:r>
    </w:p>
    <w:p>
      <w:pPr>
        <w:adjustRightInd w:val="0"/>
        <w:snapToGrid w:val="0"/>
        <w:spacing w:line="360" w:lineRule="auto"/>
        <w:ind w:firstLine="420" w:firstLineChars="200"/>
        <w:rPr>
          <w:bCs/>
          <w:snapToGrid w:val="0"/>
          <w:color w:val="FF0000"/>
          <w:kern w:val="0"/>
          <w:szCs w:val="21"/>
        </w:rPr>
      </w:pPr>
      <w:r>
        <w:rPr>
          <w:bCs/>
          <w:snapToGrid w:val="0"/>
          <w:kern w:val="0"/>
          <w:szCs w:val="21"/>
        </w:rPr>
        <w:tab/>
      </w:r>
      <w:r>
        <w:rPr>
          <w:bCs/>
          <w:snapToGrid w:val="0"/>
          <w:kern w:val="0"/>
          <w:szCs w:val="21"/>
        </w:rPr>
        <w:tab/>
      </w:r>
      <w:r>
        <w:rPr>
          <w:bCs/>
          <w:snapToGrid w:val="0"/>
          <w:color w:val="FF0000"/>
          <w:kern w:val="0"/>
          <w:szCs w:val="21"/>
        </w:rPr>
        <w:tab/>
      </w:r>
      <w:r>
        <w:rPr>
          <w:bCs/>
          <w:snapToGrid w:val="0"/>
          <w:color w:val="FF0000"/>
          <w:kern w:val="0"/>
          <w:szCs w:val="21"/>
        </w:rPr>
        <w:tab/>
      </w:r>
      <w:r>
        <w:rPr>
          <w:bCs/>
          <w:snapToGrid w:val="0"/>
          <w:color w:val="FF0000"/>
          <w:kern w:val="0"/>
          <w:szCs w:val="21"/>
        </w:rPr>
        <w:tab/>
      </w:r>
      <w:r>
        <w:rPr>
          <w:bCs/>
          <w:snapToGrid w:val="0"/>
          <w:color w:val="FF0000"/>
          <w:kern w:val="0"/>
          <w:szCs w:val="21"/>
        </w:rPr>
        <w:tab/>
      </w:r>
    </w:p>
    <w:p>
      <w:pPr>
        <w:tabs>
          <w:tab w:val="left" w:pos="420"/>
        </w:tabs>
        <w:adjustRightInd w:val="0"/>
        <w:snapToGrid w:val="0"/>
        <w:spacing w:line="360" w:lineRule="auto"/>
        <w:ind w:left="420" w:hanging="420"/>
        <w:rPr>
          <w:rFonts w:eastAsia="黑体"/>
          <w:szCs w:val="24"/>
        </w:rPr>
      </w:pPr>
      <w:r>
        <w:rPr>
          <w:rFonts w:eastAsia="黑体"/>
          <w:szCs w:val="24"/>
        </w:rPr>
        <w:t>五、实验内容</w:t>
      </w:r>
    </w:p>
    <w:p>
      <w:pPr>
        <w:adjustRightInd w:val="0"/>
        <w:snapToGrid w:val="0"/>
        <w:spacing w:line="360" w:lineRule="auto"/>
        <w:ind w:firstLine="420" w:firstLineChars="200"/>
        <w:rPr>
          <w:kern w:val="0"/>
          <w:szCs w:val="21"/>
        </w:rPr>
      </w:pPr>
      <w:r>
        <w:rPr>
          <w:kern w:val="0"/>
          <w:szCs w:val="21"/>
        </w:rPr>
        <w:t>无</w:t>
      </w:r>
    </w:p>
    <w:p>
      <w:pPr>
        <w:adjustRightInd w:val="0"/>
        <w:snapToGrid w:val="0"/>
        <w:spacing w:line="360" w:lineRule="auto"/>
        <w:ind w:firstLine="420" w:firstLineChars="200"/>
        <w:rPr>
          <w:color w:val="00B050"/>
          <w:kern w:val="0"/>
          <w:szCs w:val="21"/>
        </w:rPr>
      </w:pPr>
    </w:p>
    <w:p>
      <w:pPr>
        <w:widowControl/>
        <w:spacing w:line="360" w:lineRule="auto"/>
        <w:jc w:val="left"/>
        <w:rPr>
          <w:rFonts w:eastAsia="黑体"/>
          <w:kern w:val="0"/>
          <w:szCs w:val="21"/>
        </w:rPr>
      </w:pPr>
      <w:r>
        <w:rPr>
          <w:rFonts w:eastAsia="黑体"/>
          <w:kern w:val="0"/>
          <w:szCs w:val="21"/>
        </w:rPr>
        <w:t>六、学时分配</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781"/>
        <w:gridCol w:w="1699"/>
        <w:gridCol w:w="1677"/>
        <w:gridCol w:w="137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217" w:type="pct"/>
            <w:vAlign w:val="center"/>
          </w:tcPr>
          <w:p>
            <w:pPr>
              <w:adjustRightInd w:val="0"/>
              <w:snapToGrid w:val="0"/>
              <w:jc w:val="center"/>
              <w:rPr>
                <w:sz w:val="18"/>
                <w:szCs w:val="18"/>
              </w:rPr>
            </w:pPr>
            <w:r>
              <w:rPr>
                <w:sz w:val="18"/>
                <w:szCs w:val="18"/>
              </w:rPr>
              <w:t>知识点及内容</w:t>
            </w:r>
          </w:p>
        </w:tc>
        <w:tc>
          <w:tcPr>
            <w:tcW w:w="996" w:type="pct"/>
            <w:vAlign w:val="center"/>
          </w:tcPr>
          <w:p>
            <w:pPr>
              <w:adjustRightInd w:val="0"/>
              <w:snapToGrid w:val="0"/>
              <w:jc w:val="center"/>
              <w:rPr>
                <w:sz w:val="18"/>
                <w:szCs w:val="18"/>
              </w:rPr>
            </w:pPr>
            <w:r>
              <w:rPr>
                <w:sz w:val="18"/>
                <w:szCs w:val="18"/>
              </w:rPr>
              <w:t>讲授（学时）</w:t>
            </w:r>
          </w:p>
        </w:tc>
        <w:tc>
          <w:tcPr>
            <w:tcW w:w="983" w:type="pct"/>
            <w:vAlign w:val="center"/>
          </w:tcPr>
          <w:p>
            <w:pPr>
              <w:adjustRightInd w:val="0"/>
              <w:snapToGrid w:val="0"/>
              <w:jc w:val="center"/>
              <w:rPr>
                <w:sz w:val="18"/>
                <w:szCs w:val="18"/>
              </w:rPr>
            </w:pPr>
            <w:r>
              <w:rPr>
                <w:sz w:val="18"/>
                <w:szCs w:val="18"/>
              </w:rPr>
              <w:t>实验（学时）</w:t>
            </w:r>
          </w:p>
        </w:tc>
        <w:tc>
          <w:tcPr>
            <w:tcW w:w="804" w:type="pct"/>
            <w:vAlign w:val="center"/>
          </w:tcPr>
          <w:p>
            <w:pPr>
              <w:adjustRightInd w:val="0"/>
              <w:snapToGrid w:val="0"/>
              <w:jc w:val="center"/>
              <w:rPr>
                <w:sz w:val="18"/>
                <w:szCs w:val="18"/>
              </w:rPr>
            </w:pPr>
            <w:r>
              <w:rPr>
                <w:sz w:val="18"/>
                <w:szCs w:val="18"/>
              </w:rPr>
              <w:t>小计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217" w:type="pct"/>
            <w:vAlign w:val="center"/>
          </w:tcPr>
          <w:p>
            <w:pPr>
              <w:widowControl/>
              <w:adjustRightInd w:val="0"/>
              <w:snapToGrid w:val="0"/>
              <w:jc w:val="center"/>
              <w:rPr>
                <w:snapToGrid w:val="0"/>
                <w:kern w:val="0"/>
                <w:sz w:val="18"/>
                <w:szCs w:val="18"/>
              </w:rPr>
            </w:pPr>
            <w:r>
              <w:rPr>
                <w:bCs/>
                <w:snapToGrid w:val="0"/>
                <w:kern w:val="0"/>
                <w:sz w:val="18"/>
                <w:szCs w:val="18"/>
              </w:rPr>
              <w:t>1量子传感技术概述</w:t>
            </w:r>
          </w:p>
        </w:tc>
        <w:tc>
          <w:tcPr>
            <w:tcW w:w="996" w:type="pct"/>
            <w:vAlign w:val="center"/>
          </w:tcPr>
          <w:p>
            <w:pPr>
              <w:widowControl/>
              <w:adjustRightInd w:val="0"/>
              <w:snapToGrid w:val="0"/>
              <w:jc w:val="center"/>
              <w:rPr>
                <w:kern w:val="0"/>
                <w:sz w:val="18"/>
                <w:szCs w:val="18"/>
              </w:rPr>
            </w:pPr>
            <w:r>
              <w:rPr>
                <w:kern w:val="0"/>
                <w:sz w:val="18"/>
                <w:szCs w:val="18"/>
              </w:rPr>
              <w:t>2</w:t>
            </w:r>
          </w:p>
        </w:tc>
        <w:tc>
          <w:tcPr>
            <w:tcW w:w="983" w:type="pct"/>
            <w:vAlign w:val="center"/>
          </w:tcPr>
          <w:p>
            <w:pPr>
              <w:widowControl/>
              <w:adjustRightInd w:val="0"/>
              <w:snapToGrid w:val="0"/>
              <w:jc w:val="center"/>
              <w:rPr>
                <w:kern w:val="0"/>
                <w:sz w:val="18"/>
                <w:szCs w:val="18"/>
              </w:rPr>
            </w:pPr>
            <w:r>
              <w:rPr>
                <w:kern w:val="0"/>
                <w:sz w:val="18"/>
                <w:szCs w:val="18"/>
              </w:rPr>
              <w:t>0</w:t>
            </w:r>
          </w:p>
        </w:tc>
        <w:tc>
          <w:tcPr>
            <w:tcW w:w="804" w:type="pct"/>
            <w:vAlign w:val="center"/>
          </w:tcPr>
          <w:p>
            <w:pPr>
              <w:widowControl/>
              <w:adjustRightInd w:val="0"/>
              <w:snapToGrid w:val="0"/>
              <w:jc w:val="center"/>
              <w:rPr>
                <w:kern w:val="0"/>
                <w:sz w:val="18"/>
                <w:szCs w:val="18"/>
              </w:rPr>
            </w:pPr>
            <w:r>
              <w:rPr>
                <w:kern w:val="0"/>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217" w:type="pct"/>
            <w:vAlign w:val="center"/>
          </w:tcPr>
          <w:p>
            <w:pPr>
              <w:widowControl/>
              <w:adjustRightInd w:val="0"/>
              <w:snapToGrid w:val="0"/>
              <w:jc w:val="center"/>
              <w:rPr>
                <w:snapToGrid w:val="0"/>
                <w:kern w:val="0"/>
                <w:sz w:val="18"/>
                <w:szCs w:val="18"/>
              </w:rPr>
            </w:pPr>
            <w:r>
              <w:rPr>
                <w:bCs/>
                <w:snapToGrid w:val="0"/>
                <w:kern w:val="0"/>
                <w:sz w:val="18"/>
                <w:szCs w:val="18"/>
              </w:rPr>
              <w:t>2原子磁</w:t>
            </w:r>
            <w:r>
              <w:rPr>
                <w:rFonts w:hint="eastAsia"/>
                <w:bCs/>
                <w:snapToGrid w:val="0"/>
                <w:kern w:val="0"/>
                <w:sz w:val="18"/>
                <w:szCs w:val="18"/>
              </w:rPr>
              <w:t>强</w:t>
            </w:r>
            <w:r>
              <w:rPr>
                <w:bCs/>
                <w:snapToGrid w:val="0"/>
                <w:kern w:val="0"/>
                <w:sz w:val="18"/>
                <w:szCs w:val="18"/>
              </w:rPr>
              <w:t>计</w:t>
            </w:r>
            <w:r>
              <w:rPr>
                <w:rFonts w:hint="eastAsia"/>
                <w:bCs/>
                <w:snapToGrid w:val="0"/>
                <w:kern w:val="0"/>
                <w:sz w:val="18"/>
                <w:szCs w:val="18"/>
              </w:rPr>
              <w:t>原理及介绍</w:t>
            </w:r>
          </w:p>
        </w:tc>
        <w:tc>
          <w:tcPr>
            <w:tcW w:w="996" w:type="pct"/>
            <w:vAlign w:val="center"/>
          </w:tcPr>
          <w:p>
            <w:pPr>
              <w:widowControl/>
              <w:adjustRightInd w:val="0"/>
              <w:snapToGrid w:val="0"/>
              <w:jc w:val="center"/>
              <w:rPr>
                <w:kern w:val="0"/>
                <w:sz w:val="18"/>
                <w:szCs w:val="18"/>
              </w:rPr>
            </w:pPr>
            <w:r>
              <w:rPr>
                <w:rFonts w:hint="eastAsia"/>
                <w:kern w:val="0"/>
                <w:sz w:val="18"/>
                <w:szCs w:val="18"/>
              </w:rPr>
              <w:t>3</w:t>
            </w:r>
          </w:p>
        </w:tc>
        <w:tc>
          <w:tcPr>
            <w:tcW w:w="983" w:type="pct"/>
            <w:vAlign w:val="center"/>
          </w:tcPr>
          <w:p>
            <w:pPr>
              <w:widowControl/>
              <w:adjustRightInd w:val="0"/>
              <w:snapToGrid w:val="0"/>
              <w:jc w:val="center"/>
              <w:rPr>
                <w:kern w:val="0"/>
                <w:sz w:val="18"/>
                <w:szCs w:val="18"/>
              </w:rPr>
            </w:pPr>
            <w:r>
              <w:rPr>
                <w:kern w:val="0"/>
                <w:sz w:val="18"/>
                <w:szCs w:val="18"/>
              </w:rPr>
              <w:t>0</w:t>
            </w:r>
          </w:p>
        </w:tc>
        <w:tc>
          <w:tcPr>
            <w:tcW w:w="804" w:type="pct"/>
            <w:vAlign w:val="center"/>
          </w:tcPr>
          <w:p>
            <w:pPr>
              <w:widowControl/>
              <w:adjustRightInd w:val="0"/>
              <w:snapToGrid w:val="0"/>
              <w:jc w:val="center"/>
              <w:rPr>
                <w:kern w:val="0"/>
                <w:sz w:val="18"/>
                <w:szCs w:val="18"/>
              </w:rPr>
            </w:pPr>
            <w:r>
              <w:rPr>
                <w:rFonts w:hint="eastAsia"/>
                <w:kern w:val="0"/>
                <w:sz w:val="18"/>
                <w:szCs w:val="18"/>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217" w:type="pct"/>
            <w:vAlign w:val="center"/>
          </w:tcPr>
          <w:p>
            <w:pPr>
              <w:widowControl/>
              <w:adjustRightInd w:val="0"/>
              <w:snapToGrid w:val="0"/>
              <w:jc w:val="center"/>
              <w:rPr>
                <w:kern w:val="0"/>
                <w:sz w:val="18"/>
                <w:szCs w:val="18"/>
              </w:rPr>
            </w:pPr>
            <w:r>
              <w:rPr>
                <w:snapToGrid w:val="0"/>
                <w:kern w:val="0"/>
                <w:sz w:val="18"/>
                <w:szCs w:val="18"/>
              </w:rPr>
              <w:t>3原子陀螺</w:t>
            </w:r>
            <w:r>
              <w:rPr>
                <w:rFonts w:hint="eastAsia"/>
                <w:snapToGrid w:val="0"/>
                <w:kern w:val="0"/>
                <w:sz w:val="18"/>
                <w:szCs w:val="18"/>
              </w:rPr>
              <w:t>及其分类介绍</w:t>
            </w:r>
          </w:p>
        </w:tc>
        <w:tc>
          <w:tcPr>
            <w:tcW w:w="996" w:type="pct"/>
            <w:vAlign w:val="center"/>
          </w:tcPr>
          <w:p>
            <w:pPr>
              <w:widowControl/>
              <w:adjustRightInd w:val="0"/>
              <w:snapToGrid w:val="0"/>
              <w:jc w:val="center"/>
              <w:rPr>
                <w:kern w:val="0"/>
                <w:sz w:val="18"/>
                <w:szCs w:val="18"/>
              </w:rPr>
            </w:pPr>
            <w:r>
              <w:rPr>
                <w:rFonts w:hint="eastAsia"/>
                <w:kern w:val="0"/>
                <w:sz w:val="18"/>
                <w:szCs w:val="18"/>
              </w:rPr>
              <w:t>6</w:t>
            </w:r>
          </w:p>
        </w:tc>
        <w:tc>
          <w:tcPr>
            <w:tcW w:w="983" w:type="pct"/>
            <w:vAlign w:val="center"/>
          </w:tcPr>
          <w:p>
            <w:pPr>
              <w:widowControl/>
              <w:adjustRightInd w:val="0"/>
              <w:snapToGrid w:val="0"/>
              <w:jc w:val="center"/>
              <w:rPr>
                <w:kern w:val="0"/>
                <w:sz w:val="18"/>
                <w:szCs w:val="18"/>
              </w:rPr>
            </w:pPr>
            <w:r>
              <w:rPr>
                <w:kern w:val="0"/>
                <w:sz w:val="18"/>
                <w:szCs w:val="18"/>
              </w:rPr>
              <w:t>0</w:t>
            </w:r>
          </w:p>
        </w:tc>
        <w:tc>
          <w:tcPr>
            <w:tcW w:w="804" w:type="pct"/>
            <w:vAlign w:val="center"/>
          </w:tcPr>
          <w:p>
            <w:pPr>
              <w:widowControl/>
              <w:adjustRightInd w:val="0"/>
              <w:snapToGrid w:val="0"/>
              <w:jc w:val="center"/>
              <w:rPr>
                <w:kern w:val="0"/>
                <w:sz w:val="18"/>
                <w:szCs w:val="18"/>
              </w:rPr>
            </w:pPr>
            <w:r>
              <w:rPr>
                <w:rFonts w:hint="eastAsia"/>
                <w:kern w:val="0"/>
                <w:sz w:val="18"/>
                <w:szCs w:val="18"/>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217" w:type="pct"/>
            <w:vAlign w:val="center"/>
          </w:tcPr>
          <w:p>
            <w:pPr>
              <w:widowControl/>
              <w:adjustRightInd w:val="0"/>
              <w:snapToGrid w:val="0"/>
              <w:jc w:val="center"/>
              <w:rPr>
                <w:kern w:val="0"/>
                <w:sz w:val="18"/>
                <w:szCs w:val="18"/>
              </w:rPr>
            </w:pPr>
            <w:r>
              <w:rPr>
                <w:snapToGrid w:val="0"/>
                <w:kern w:val="0"/>
                <w:sz w:val="18"/>
                <w:szCs w:val="18"/>
              </w:rPr>
              <w:t>4原子钟</w:t>
            </w:r>
            <w:r>
              <w:rPr>
                <w:rFonts w:hint="eastAsia"/>
                <w:snapToGrid w:val="0"/>
                <w:kern w:val="0"/>
                <w:sz w:val="18"/>
                <w:szCs w:val="18"/>
              </w:rPr>
              <w:t>基本原理及介绍</w:t>
            </w:r>
          </w:p>
        </w:tc>
        <w:tc>
          <w:tcPr>
            <w:tcW w:w="996" w:type="pct"/>
            <w:vAlign w:val="center"/>
          </w:tcPr>
          <w:p>
            <w:pPr>
              <w:widowControl/>
              <w:adjustRightInd w:val="0"/>
              <w:snapToGrid w:val="0"/>
              <w:jc w:val="center"/>
              <w:rPr>
                <w:kern w:val="0"/>
                <w:sz w:val="18"/>
                <w:szCs w:val="18"/>
              </w:rPr>
            </w:pPr>
            <w:r>
              <w:rPr>
                <w:rFonts w:hint="eastAsia"/>
                <w:kern w:val="0"/>
                <w:sz w:val="18"/>
                <w:szCs w:val="18"/>
              </w:rPr>
              <w:t>3</w:t>
            </w:r>
          </w:p>
        </w:tc>
        <w:tc>
          <w:tcPr>
            <w:tcW w:w="983" w:type="pct"/>
            <w:vAlign w:val="center"/>
          </w:tcPr>
          <w:p>
            <w:pPr>
              <w:widowControl/>
              <w:adjustRightInd w:val="0"/>
              <w:snapToGrid w:val="0"/>
              <w:jc w:val="center"/>
              <w:rPr>
                <w:kern w:val="0"/>
                <w:sz w:val="18"/>
                <w:szCs w:val="18"/>
              </w:rPr>
            </w:pPr>
            <w:r>
              <w:rPr>
                <w:kern w:val="0"/>
                <w:sz w:val="18"/>
                <w:szCs w:val="18"/>
              </w:rPr>
              <w:t>0</w:t>
            </w:r>
          </w:p>
        </w:tc>
        <w:tc>
          <w:tcPr>
            <w:tcW w:w="804" w:type="pct"/>
            <w:vAlign w:val="center"/>
          </w:tcPr>
          <w:p>
            <w:pPr>
              <w:widowControl/>
              <w:adjustRightInd w:val="0"/>
              <w:snapToGrid w:val="0"/>
              <w:jc w:val="center"/>
              <w:rPr>
                <w:kern w:val="0"/>
                <w:sz w:val="18"/>
                <w:szCs w:val="18"/>
              </w:rPr>
            </w:pPr>
            <w:r>
              <w:rPr>
                <w:rFonts w:hint="eastAsia"/>
                <w:kern w:val="0"/>
                <w:sz w:val="18"/>
                <w:szCs w:val="18"/>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217" w:type="pct"/>
            <w:vAlign w:val="center"/>
          </w:tcPr>
          <w:p>
            <w:pPr>
              <w:widowControl/>
              <w:adjustRightInd w:val="0"/>
              <w:snapToGrid w:val="0"/>
              <w:jc w:val="center"/>
              <w:rPr>
                <w:kern w:val="0"/>
                <w:sz w:val="18"/>
                <w:szCs w:val="18"/>
              </w:rPr>
            </w:pPr>
            <w:r>
              <w:rPr>
                <w:kern w:val="0"/>
                <w:sz w:val="18"/>
                <w:szCs w:val="18"/>
              </w:rPr>
              <w:t>6</w:t>
            </w:r>
            <w:r>
              <w:rPr>
                <w:rFonts w:hint="eastAsia"/>
                <w:kern w:val="0"/>
                <w:sz w:val="18"/>
                <w:szCs w:val="18"/>
              </w:rPr>
              <w:t>量子传感研究现状及未来发展趋势</w:t>
            </w:r>
          </w:p>
        </w:tc>
        <w:tc>
          <w:tcPr>
            <w:tcW w:w="996" w:type="pct"/>
            <w:vAlign w:val="center"/>
          </w:tcPr>
          <w:p>
            <w:pPr>
              <w:widowControl/>
              <w:adjustRightInd w:val="0"/>
              <w:snapToGrid w:val="0"/>
              <w:jc w:val="center"/>
              <w:rPr>
                <w:kern w:val="0"/>
                <w:sz w:val="18"/>
                <w:szCs w:val="18"/>
              </w:rPr>
            </w:pPr>
            <w:r>
              <w:rPr>
                <w:rFonts w:hint="eastAsia"/>
                <w:kern w:val="0"/>
                <w:sz w:val="18"/>
                <w:szCs w:val="18"/>
              </w:rPr>
              <w:t>2</w:t>
            </w:r>
          </w:p>
        </w:tc>
        <w:tc>
          <w:tcPr>
            <w:tcW w:w="983" w:type="pct"/>
            <w:vAlign w:val="center"/>
          </w:tcPr>
          <w:p>
            <w:pPr>
              <w:widowControl/>
              <w:adjustRightInd w:val="0"/>
              <w:snapToGrid w:val="0"/>
              <w:jc w:val="center"/>
              <w:rPr>
                <w:kern w:val="0"/>
                <w:sz w:val="18"/>
                <w:szCs w:val="18"/>
              </w:rPr>
            </w:pPr>
            <w:r>
              <w:rPr>
                <w:kern w:val="0"/>
                <w:sz w:val="18"/>
                <w:szCs w:val="18"/>
              </w:rPr>
              <w:t>0</w:t>
            </w:r>
          </w:p>
        </w:tc>
        <w:tc>
          <w:tcPr>
            <w:tcW w:w="804" w:type="pct"/>
            <w:vAlign w:val="center"/>
          </w:tcPr>
          <w:p>
            <w:pPr>
              <w:widowControl/>
              <w:adjustRightInd w:val="0"/>
              <w:snapToGrid w:val="0"/>
              <w:jc w:val="center"/>
              <w:rPr>
                <w:kern w:val="0"/>
                <w:sz w:val="18"/>
                <w:szCs w:val="18"/>
              </w:rPr>
            </w:pPr>
            <w:r>
              <w:rPr>
                <w:rFonts w:hint="eastAsia"/>
                <w:kern w:val="0"/>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217" w:type="pct"/>
            <w:vAlign w:val="center"/>
          </w:tcPr>
          <w:p>
            <w:pPr>
              <w:widowControl/>
              <w:adjustRightInd w:val="0"/>
              <w:snapToGrid w:val="0"/>
              <w:jc w:val="center"/>
              <w:rPr>
                <w:kern w:val="0"/>
                <w:sz w:val="18"/>
                <w:szCs w:val="18"/>
              </w:rPr>
            </w:pPr>
            <w:r>
              <w:rPr>
                <w:kern w:val="0"/>
                <w:sz w:val="18"/>
                <w:szCs w:val="18"/>
              </w:rPr>
              <w:t>合计</w:t>
            </w:r>
          </w:p>
        </w:tc>
        <w:tc>
          <w:tcPr>
            <w:tcW w:w="996" w:type="pct"/>
            <w:vAlign w:val="center"/>
          </w:tcPr>
          <w:p>
            <w:pPr>
              <w:widowControl/>
              <w:adjustRightInd w:val="0"/>
              <w:snapToGrid w:val="0"/>
              <w:jc w:val="center"/>
              <w:rPr>
                <w:kern w:val="0"/>
                <w:sz w:val="18"/>
                <w:szCs w:val="18"/>
              </w:rPr>
            </w:pPr>
            <w:r>
              <w:rPr>
                <w:rFonts w:hint="eastAsia"/>
                <w:kern w:val="0"/>
                <w:sz w:val="18"/>
                <w:szCs w:val="18"/>
              </w:rPr>
              <w:t>16</w:t>
            </w:r>
          </w:p>
        </w:tc>
        <w:tc>
          <w:tcPr>
            <w:tcW w:w="983" w:type="pct"/>
            <w:vAlign w:val="center"/>
          </w:tcPr>
          <w:p>
            <w:pPr>
              <w:widowControl/>
              <w:adjustRightInd w:val="0"/>
              <w:snapToGrid w:val="0"/>
              <w:jc w:val="center"/>
              <w:rPr>
                <w:kern w:val="0"/>
                <w:sz w:val="18"/>
                <w:szCs w:val="18"/>
              </w:rPr>
            </w:pPr>
            <w:r>
              <w:rPr>
                <w:kern w:val="0"/>
                <w:sz w:val="18"/>
                <w:szCs w:val="18"/>
              </w:rPr>
              <w:t>0</w:t>
            </w:r>
          </w:p>
        </w:tc>
        <w:tc>
          <w:tcPr>
            <w:tcW w:w="804" w:type="pct"/>
            <w:vAlign w:val="center"/>
          </w:tcPr>
          <w:p>
            <w:pPr>
              <w:widowControl/>
              <w:adjustRightInd w:val="0"/>
              <w:snapToGrid w:val="0"/>
              <w:jc w:val="center"/>
              <w:rPr>
                <w:kern w:val="0"/>
                <w:sz w:val="18"/>
                <w:szCs w:val="18"/>
              </w:rPr>
            </w:pPr>
            <w:r>
              <w:rPr>
                <w:rFonts w:hint="eastAsia"/>
                <w:kern w:val="0"/>
                <w:sz w:val="18"/>
                <w:szCs w:val="18"/>
              </w:rPr>
              <w:t>16</w:t>
            </w:r>
          </w:p>
        </w:tc>
      </w:tr>
    </w:tbl>
    <w:p>
      <w:pPr>
        <w:spacing w:line="360" w:lineRule="auto"/>
        <w:rPr>
          <w:b/>
          <w:sz w:val="24"/>
          <w:szCs w:val="24"/>
        </w:rPr>
      </w:pPr>
    </w:p>
    <w:p>
      <w:pPr>
        <w:tabs>
          <w:tab w:val="left" w:pos="420"/>
        </w:tabs>
        <w:spacing w:line="360" w:lineRule="auto"/>
        <w:rPr>
          <w:rFonts w:eastAsia="黑体"/>
          <w:szCs w:val="24"/>
        </w:rPr>
      </w:pPr>
      <w:r>
        <w:rPr>
          <w:rFonts w:eastAsia="黑体"/>
          <w:szCs w:val="24"/>
        </w:rPr>
        <w:t>七、教材、补充教材及参考资料</w:t>
      </w:r>
    </w:p>
    <w:p>
      <w:pPr>
        <w:spacing w:line="360" w:lineRule="auto"/>
        <w:ind w:firstLine="420" w:firstLineChars="200"/>
        <w:rPr>
          <w:szCs w:val="21"/>
        </w:rPr>
      </w:pPr>
      <w:r>
        <w:rPr>
          <w:rFonts w:hint="eastAsia"/>
          <w:szCs w:val="21"/>
        </w:rPr>
        <w:t>1、周世勋，《量子力学教程》，高等教育出版社，ISBN 9787040262780</w:t>
      </w:r>
    </w:p>
    <w:p>
      <w:pPr>
        <w:spacing w:line="360" w:lineRule="auto"/>
        <w:ind w:firstLine="420" w:firstLineChars="200"/>
        <w:rPr>
          <w:szCs w:val="21"/>
        </w:rPr>
      </w:pPr>
      <w:r>
        <w:rPr>
          <w:rFonts w:hint="eastAsia"/>
          <w:szCs w:val="21"/>
        </w:rPr>
        <w:t>2、C. L. Degen、F. Reinhard、P. Cappellaro，《Quantum Sensing》，APS</w:t>
      </w:r>
    </w:p>
    <w:p>
      <w:pPr>
        <w:spacing w:line="360" w:lineRule="auto"/>
        <w:ind w:firstLine="420" w:firstLineChars="200"/>
        <w:rPr>
          <w:szCs w:val="21"/>
        </w:rPr>
      </w:pPr>
      <w:r>
        <w:rPr>
          <w:rFonts w:hint="eastAsia"/>
          <w:szCs w:val="21"/>
        </w:rPr>
        <w:t>3</w:t>
      </w:r>
      <w:r>
        <w:rPr>
          <w:szCs w:val="21"/>
        </w:rPr>
        <w:t>、</w:t>
      </w:r>
      <w:r>
        <w:rPr>
          <w:rFonts w:hint="eastAsia"/>
          <w:szCs w:val="21"/>
        </w:rPr>
        <w:t>J. F. Barry等，</w:t>
      </w:r>
      <w:r>
        <w:rPr>
          <w:szCs w:val="21"/>
        </w:rPr>
        <w:t>《</w:t>
      </w:r>
      <w:r>
        <w:rPr>
          <w:rFonts w:hint="eastAsia"/>
          <w:szCs w:val="21"/>
        </w:rPr>
        <w:t>Sensitivity Optimzation for NV- diamond Magnetometry</w:t>
      </w:r>
      <w:r>
        <w:rPr>
          <w:szCs w:val="21"/>
        </w:rPr>
        <w:t>》</w:t>
      </w:r>
      <w:r>
        <w:rPr>
          <w:rFonts w:hint="eastAsia"/>
          <w:szCs w:val="21"/>
        </w:rPr>
        <w:t>，APS</w:t>
      </w:r>
    </w:p>
    <w:p>
      <w:pPr>
        <w:tabs>
          <w:tab w:val="left" w:pos="420"/>
        </w:tabs>
        <w:spacing w:line="360" w:lineRule="auto"/>
        <w:ind w:left="420" w:hanging="420"/>
        <w:rPr>
          <w:szCs w:val="21"/>
        </w:rPr>
      </w:pPr>
      <w:r>
        <w:rPr>
          <w:rFonts w:hint="eastAsia"/>
          <w:szCs w:val="21"/>
        </w:rPr>
        <w:t xml:space="preserve"> 4、</w:t>
      </w:r>
      <w:r>
        <w:rPr>
          <w:szCs w:val="21"/>
        </w:rPr>
        <w:t>R</w:t>
      </w:r>
      <w:r>
        <w:rPr>
          <w:rFonts w:hint="eastAsia"/>
          <w:szCs w:val="21"/>
        </w:rPr>
        <w:t xml:space="preserve">. </w:t>
      </w:r>
      <w:r>
        <w:rPr>
          <w:szCs w:val="21"/>
        </w:rPr>
        <w:t>Ansorge</w:t>
      </w:r>
      <w:r>
        <w:rPr>
          <w:rFonts w:hint="eastAsia"/>
          <w:szCs w:val="21"/>
        </w:rPr>
        <w:t>，</w:t>
      </w:r>
      <w:r>
        <w:rPr>
          <w:szCs w:val="21"/>
        </w:rPr>
        <w:t>M</w:t>
      </w:r>
      <w:r>
        <w:rPr>
          <w:rFonts w:hint="eastAsia"/>
          <w:szCs w:val="21"/>
        </w:rPr>
        <w:t>.</w:t>
      </w:r>
      <w:r>
        <w:rPr>
          <w:szCs w:val="21"/>
        </w:rPr>
        <w:t xml:space="preserve"> Graves</w:t>
      </w:r>
      <w:r>
        <w:rPr>
          <w:rFonts w:hint="eastAsia"/>
          <w:szCs w:val="21"/>
        </w:rPr>
        <w:t>，《</w:t>
      </w:r>
      <w:r>
        <w:rPr>
          <w:szCs w:val="21"/>
        </w:rPr>
        <w:t>The Physics and Mathematicsof MRI</w:t>
      </w:r>
      <w:r>
        <w:rPr>
          <w:rFonts w:hint="eastAsia"/>
          <w:szCs w:val="21"/>
        </w:rPr>
        <w:t>》，</w:t>
      </w:r>
      <w:r>
        <w:rPr>
          <w:szCs w:val="21"/>
        </w:rPr>
        <w:t>IOPscience</w:t>
      </w:r>
    </w:p>
    <w:p>
      <w:pPr>
        <w:tabs>
          <w:tab w:val="left" w:pos="420"/>
        </w:tabs>
        <w:spacing w:line="360" w:lineRule="auto"/>
        <w:ind w:left="420" w:hanging="420"/>
        <w:rPr>
          <w:szCs w:val="21"/>
        </w:rPr>
      </w:pPr>
    </w:p>
    <w:p>
      <w:pPr>
        <w:tabs>
          <w:tab w:val="left" w:pos="420"/>
        </w:tabs>
        <w:spacing w:line="360" w:lineRule="auto"/>
        <w:ind w:left="420" w:hanging="420"/>
        <w:rPr>
          <w:rFonts w:eastAsia="黑体"/>
          <w:szCs w:val="24"/>
        </w:rPr>
      </w:pPr>
      <w:r>
        <w:rPr>
          <w:rFonts w:eastAsia="黑体"/>
          <w:szCs w:val="24"/>
        </w:rPr>
        <w:t>八、课程目标达成的途径和措施</w:t>
      </w:r>
    </w:p>
    <w:p>
      <w:pPr>
        <w:spacing w:line="360" w:lineRule="auto"/>
        <w:ind w:firstLine="420" w:firstLineChars="200"/>
        <w:rPr>
          <w:szCs w:val="21"/>
        </w:rPr>
      </w:pPr>
      <w:r>
        <w:rPr>
          <w:szCs w:val="21"/>
        </w:rPr>
        <w:t>1、考核目标：在考核学生对</w:t>
      </w:r>
      <w:r>
        <w:rPr>
          <w:rFonts w:hint="eastAsia"/>
          <w:szCs w:val="21"/>
        </w:rPr>
        <w:t>量子传感</w:t>
      </w:r>
      <w:r>
        <w:rPr>
          <w:szCs w:val="21"/>
        </w:rPr>
        <w:t>基本知识、基本原理和方法的基础上，重点考核学生的</w:t>
      </w:r>
      <w:r>
        <w:rPr>
          <w:rFonts w:hint="eastAsia"/>
          <w:szCs w:val="21"/>
        </w:rPr>
        <w:t>对不同种类的量子传感器的发展、优缺点及工程</w:t>
      </w:r>
      <w:r>
        <w:rPr>
          <w:szCs w:val="21"/>
        </w:rPr>
        <w:t>选</w:t>
      </w:r>
      <w:r>
        <w:rPr>
          <w:rFonts w:hint="eastAsia"/>
          <w:szCs w:val="21"/>
        </w:rPr>
        <w:t>取</w:t>
      </w:r>
      <w:r>
        <w:rPr>
          <w:szCs w:val="21"/>
        </w:rPr>
        <w:t>。</w:t>
      </w:r>
    </w:p>
    <w:p>
      <w:pPr>
        <w:spacing w:line="360" w:lineRule="auto"/>
        <w:ind w:firstLine="420" w:firstLineChars="200"/>
        <w:rPr>
          <w:szCs w:val="21"/>
        </w:rPr>
      </w:pPr>
      <w:r>
        <w:rPr>
          <w:szCs w:val="21"/>
        </w:rPr>
        <w:t>2、考核方式：考试、课外分组综合实验、课内实验、作业及课堂提问。</w:t>
      </w:r>
    </w:p>
    <w:p>
      <w:pPr>
        <w:spacing w:line="360" w:lineRule="auto"/>
        <w:ind w:firstLine="420" w:firstLineChars="200"/>
        <w:rPr>
          <w:color w:val="0000FF"/>
        </w:rPr>
      </w:pPr>
      <w:r>
        <w:rPr>
          <w:szCs w:val="21"/>
        </w:rPr>
        <w:t>3、评价环节对课程目标达成贡献率及支撑材料：</w:t>
      </w:r>
    </w:p>
    <w:tbl>
      <w:tblPr>
        <w:tblStyle w:val="19"/>
        <w:tblW w:w="5000" w:type="pct"/>
        <w:jc w:val="center"/>
        <w:tblLayout w:type="fixed"/>
        <w:tblCellMar>
          <w:top w:w="0" w:type="dxa"/>
          <w:left w:w="108" w:type="dxa"/>
          <w:bottom w:w="0" w:type="dxa"/>
          <w:right w:w="108" w:type="dxa"/>
        </w:tblCellMar>
      </w:tblPr>
      <w:tblGrid>
        <w:gridCol w:w="2132"/>
        <w:gridCol w:w="2132"/>
        <w:gridCol w:w="2132"/>
        <w:gridCol w:w="2132"/>
      </w:tblGrid>
      <w:tr>
        <w:tblPrEx>
          <w:tblCellMar>
            <w:top w:w="0" w:type="dxa"/>
            <w:left w:w="108" w:type="dxa"/>
            <w:bottom w:w="0" w:type="dxa"/>
            <w:right w:w="108" w:type="dxa"/>
          </w:tblCellMar>
        </w:tblPrEx>
        <w:trPr>
          <w:trHeight w:val="691" w:hRule="atLeast"/>
          <w:jc w:val="center"/>
        </w:trPr>
        <w:tc>
          <w:tcPr>
            <w:tcW w:w="1250" w:type="pct"/>
            <w:tcBorders>
              <w:top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考察环节</w:t>
            </w:r>
          </w:p>
        </w:tc>
        <w:tc>
          <w:tcPr>
            <w:tcW w:w="1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课堂情况</w:t>
            </w:r>
          </w:p>
        </w:tc>
        <w:tc>
          <w:tcPr>
            <w:tcW w:w="1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作业</w:t>
            </w:r>
          </w:p>
        </w:tc>
        <w:tc>
          <w:tcPr>
            <w:tcW w:w="1250" w:type="pct"/>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期末考试</w:t>
            </w:r>
          </w:p>
        </w:tc>
      </w:tr>
      <w:tr>
        <w:tblPrEx>
          <w:tblCellMar>
            <w:top w:w="0" w:type="dxa"/>
            <w:left w:w="108" w:type="dxa"/>
            <w:bottom w:w="0" w:type="dxa"/>
            <w:right w:w="108" w:type="dxa"/>
          </w:tblCellMar>
        </w:tblPrEx>
        <w:trPr>
          <w:trHeight w:val="800" w:hRule="atLeast"/>
          <w:jc w:val="center"/>
        </w:trPr>
        <w:tc>
          <w:tcPr>
            <w:tcW w:w="1250" w:type="pct"/>
            <w:tcBorders>
              <w:top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课程目标达成</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的贡献率</w:t>
            </w:r>
          </w:p>
        </w:tc>
        <w:tc>
          <w:tcPr>
            <w:tcW w:w="12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18"/>
                <w:szCs w:val="18"/>
              </w:rPr>
            </w:pPr>
            <w:r>
              <w:rPr>
                <w:sz w:val="18"/>
                <w:szCs w:val="18"/>
              </w:rPr>
              <w:t>0.</w:t>
            </w:r>
            <w:r>
              <w:rPr>
                <w:rFonts w:hint="eastAsia"/>
                <w:sz w:val="18"/>
                <w:szCs w:val="18"/>
              </w:rPr>
              <w:t>22</w:t>
            </w:r>
          </w:p>
        </w:tc>
        <w:tc>
          <w:tcPr>
            <w:tcW w:w="12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18"/>
                <w:szCs w:val="18"/>
              </w:rPr>
            </w:pPr>
            <w:r>
              <w:rPr>
                <w:sz w:val="18"/>
                <w:szCs w:val="18"/>
              </w:rPr>
              <w:t>0.</w:t>
            </w:r>
            <w:r>
              <w:rPr>
                <w:rFonts w:hint="eastAsia"/>
                <w:sz w:val="18"/>
                <w:szCs w:val="18"/>
              </w:rPr>
              <w:t>28</w:t>
            </w:r>
          </w:p>
        </w:tc>
        <w:tc>
          <w:tcPr>
            <w:tcW w:w="1250" w:type="pct"/>
            <w:tcBorders>
              <w:top w:val="single" w:color="auto" w:sz="4" w:space="0"/>
              <w:left w:val="single" w:color="auto" w:sz="4" w:space="0"/>
              <w:bottom w:val="single" w:color="auto" w:sz="4" w:space="0"/>
            </w:tcBorders>
            <w:shd w:val="clear" w:color="auto" w:fill="auto"/>
            <w:noWrap/>
            <w:vAlign w:val="center"/>
          </w:tcPr>
          <w:p>
            <w:pPr>
              <w:jc w:val="center"/>
              <w:rPr>
                <w:sz w:val="18"/>
                <w:szCs w:val="18"/>
              </w:rPr>
            </w:pPr>
            <w:r>
              <w:rPr>
                <w:sz w:val="18"/>
                <w:szCs w:val="18"/>
              </w:rPr>
              <w:t>0.</w:t>
            </w:r>
            <w:r>
              <w:rPr>
                <w:rFonts w:hint="eastAsia"/>
                <w:sz w:val="18"/>
                <w:szCs w:val="18"/>
              </w:rPr>
              <w:t>50</w:t>
            </w:r>
          </w:p>
        </w:tc>
      </w:tr>
      <w:tr>
        <w:tblPrEx>
          <w:tblCellMar>
            <w:top w:w="0" w:type="dxa"/>
            <w:left w:w="108" w:type="dxa"/>
            <w:bottom w:w="0" w:type="dxa"/>
            <w:right w:w="108" w:type="dxa"/>
          </w:tblCellMar>
        </w:tblPrEx>
        <w:trPr>
          <w:trHeight w:val="1061" w:hRule="atLeast"/>
          <w:jc w:val="center"/>
        </w:trPr>
        <w:tc>
          <w:tcPr>
            <w:tcW w:w="1250" w:type="pct"/>
            <w:tcBorders>
              <w:top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支撑材料</w:t>
            </w:r>
          </w:p>
        </w:tc>
        <w:tc>
          <w:tcPr>
            <w:tcW w:w="12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18"/>
                <w:szCs w:val="18"/>
              </w:rPr>
            </w:pPr>
            <w:r>
              <w:rPr>
                <w:rFonts w:ascii="宋体" w:hAnsi="宋体" w:cs="宋体"/>
                <w:color w:val="000000"/>
                <w:kern w:val="0"/>
                <w:sz w:val="18"/>
                <w:szCs w:val="18"/>
              </w:rPr>
              <w:t>课堂评价标准，</w:t>
            </w:r>
            <w:r>
              <w:rPr>
                <w:rFonts w:hint="eastAsia" w:ascii="宋体" w:hAnsi="宋体" w:cs="宋体"/>
                <w:color w:val="000000"/>
                <w:kern w:val="0"/>
                <w:sz w:val="18"/>
                <w:szCs w:val="18"/>
              </w:rPr>
              <w:t>课堂提问记录</w:t>
            </w:r>
            <w:r>
              <w:rPr>
                <w:rFonts w:ascii="宋体" w:hAnsi="宋体" w:cs="宋体"/>
                <w:color w:val="000000"/>
                <w:kern w:val="0"/>
                <w:sz w:val="18"/>
                <w:szCs w:val="18"/>
              </w:rPr>
              <w:t>或随堂考试，结合出勤率等</w:t>
            </w:r>
          </w:p>
        </w:tc>
        <w:tc>
          <w:tcPr>
            <w:tcW w:w="12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18"/>
                <w:szCs w:val="18"/>
              </w:rPr>
            </w:pPr>
            <w:r>
              <w:rPr>
                <w:rFonts w:ascii="宋体" w:hAnsi="宋体" w:cs="宋体"/>
                <w:color w:val="000000"/>
                <w:kern w:val="0"/>
                <w:sz w:val="18"/>
                <w:szCs w:val="18"/>
              </w:rPr>
              <w:t>作业评价标准，</w:t>
            </w:r>
            <w:r>
              <w:rPr>
                <w:rFonts w:hint="eastAsia" w:ascii="宋体" w:hAnsi="宋体" w:cs="宋体"/>
                <w:color w:val="000000"/>
                <w:kern w:val="0"/>
                <w:sz w:val="18"/>
                <w:szCs w:val="18"/>
              </w:rPr>
              <w:t>典型作业</w:t>
            </w:r>
            <w:r>
              <w:rPr>
                <w:rFonts w:ascii="宋体" w:hAnsi="宋体" w:cs="宋体"/>
                <w:color w:val="000000"/>
                <w:kern w:val="0"/>
                <w:sz w:val="18"/>
                <w:szCs w:val="18"/>
              </w:rPr>
              <w:t>拍照，或电子版</w:t>
            </w:r>
          </w:p>
        </w:tc>
        <w:tc>
          <w:tcPr>
            <w:tcW w:w="1250" w:type="pct"/>
            <w:tcBorders>
              <w:top w:val="single" w:color="auto" w:sz="4" w:space="0"/>
              <w:left w:val="single" w:color="auto" w:sz="4" w:space="0"/>
              <w:bottom w:val="single" w:color="auto" w:sz="4" w:space="0"/>
            </w:tcBorders>
            <w:shd w:val="clear" w:color="auto" w:fill="auto"/>
            <w:noWrap/>
            <w:vAlign w:val="center"/>
          </w:tcPr>
          <w:p>
            <w:pPr>
              <w:jc w:val="center"/>
              <w:rPr>
                <w:sz w:val="18"/>
                <w:szCs w:val="18"/>
              </w:rPr>
            </w:pPr>
            <w:r>
              <w:rPr>
                <w:rFonts w:hint="eastAsia" w:ascii="宋体" w:hAnsi="宋体" w:cs="宋体"/>
                <w:color w:val="000000"/>
                <w:kern w:val="0"/>
                <w:sz w:val="18"/>
                <w:szCs w:val="18"/>
              </w:rPr>
              <w:t>期末考查报告标准、报告</w:t>
            </w:r>
          </w:p>
        </w:tc>
      </w:tr>
    </w:tbl>
    <w:p>
      <w:pPr>
        <w:widowControl/>
        <w:spacing w:line="360" w:lineRule="auto"/>
        <w:jc w:val="left"/>
        <w:rPr>
          <w:rFonts w:eastAsia="黑体"/>
          <w:szCs w:val="24"/>
        </w:rPr>
      </w:pPr>
    </w:p>
    <w:p>
      <w:pPr>
        <w:tabs>
          <w:tab w:val="left" w:pos="420"/>
        </w:tabs>
        <w:adjustRightInd w:val="0"/>
        <w:snapToGrid w:val="0"/>
        <w:spacing w:line="360" w:lineRule="auto"/>
        <w:ind w:left="420" w:hanging="420"/>
        <w:rPr>
          <w:rFonts w:eastAsiaTheme="minorEastAsia"/>
          <w:sz w:val="18"/>
          <w:szCs w:val="18"/>
        </w:rPr>
      </w:pPr>
      <w:r>
        <w:rPr>
          <w:rFonts w:eastAsia="黑体"/>
          <w:szCs w:val="24"/>
        </w:rPr>
        <w:t>九、覆盖课程目标达成评价的知识点及权重</w:t>
      </w:r>
    </w:p>
    <w:tbl>
      <w:tblPr>
        <w:tblStyle w:val="20"/>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562"/>
        <w:gridCol w:w="1179"/>
        <w:gridCol w:w="178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vAlign w:val="center"/>
          </w:tcPr>
          <w:p>
            <w:pPr>
              <w:jc w:val="center"/>
              <w:rPr>
                <w:sz w:val="18"/>
                <w:szCs w:val="18"/>
              </w:rPr>
            </w:pPr>
            <w:r>
              <w:rPr>
                <w:sz w:val="18"/>
                <w:szCs w:val="18"/>
              </w:rPr>
              <w:t>知识点</w:t>
            </w:r>
          </w:p>
        </w:tc>
        <w:tc>
          <w:tcPr>
            <w:tcW w:w="691" w:type="pct"/>
            <w:vAlign w:val="center"/>
          </w:tcPr>
          <w:p>
            <w:pPr>
              <w:jc w:val="center"/>
              <w:rPr>
                <w:sz w:val="18"/>
                <w:szCs w:val="18"/>
              </w:rPr>
            </w:pPr>
            <w:r>
              <w:rPr>
                <w:sz w:val="18"/>
                <w:szCs w:val="18"/>
              </w:rPr>
              <w:t>权重</w:t>
            </w:r>
          </w:p>
        </w:tc>
        <w:tc>
          <w:tcPr>
            <w:tcW w:w="1048" w:type="pct"/>
            <w:vAlign w:val="center"/>
          </w:tcPr>
          <w:p>
            <w:pPr>
              <w:jc w:val="center"/>
              <w:rPr>
                <w:sz w:val="18"/>
                <w:szCs w:val="18"/>
              </w:rPr>
            </w:pPr>
            <w:r>
              <w:rPr>
                <w:sz w:val="18"/>
                <w:szCs w:val="18"/>
              </w:rPr>
              <w:t>支撑课程目标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40" w:hRule="atLeast"/>
          <w:jc w:val="center"/>
        </w:trPr>
        <w:tc>
          <w:tcPr>
            <w:tcW w:w="3261" w:type="pct"/>
            <w:vAlign w:val="center"/>
          </w:tcPr>
          <w:p>
            <w:pPr>
              <w:rPr>
                <w:sz w:val="18"/>
                <w:szCs w:val="18"/>
              </w:rPr>
            </w:pPr>
            <w:r>
              <w:rPr>
                <w:sz w:val="18"/>
                <w:szCs w:val="18"/>
              </w:rPr>
              <w:t>1、</w:t>
            </w:r>
            <w:r>
              <w:rPr>
                <w:snapToGrid w:val="0"/>
                <w:kern w:val="0"/>
                <w:sz w:val="18"/>
                <w:szCs w:val="18"/>
              </w:rPr>
              <w:t>量子传感技术</w:t>
            </w:r>
            <w:r>
              <w:rPr>
                <w:rFonts w:hint="eastAsia"/>
                <w:snapToGrid w:val="0"/>
                <w:kern w:val="0"/>
                <w:sz w:val="18"/>
                <w:szCs w:val="18"/>
              </w:rPr>
              <w:t>的基本介绍及发展背景</w:t>
            </w:r>
          </w:p>
        </w:tc>
        <w:tc>
          <w:tcPr>
            <w:tcW w:w="691" w:type="pct"/>
            <w:vAlign w:val="center"/>
          </w:tcPr>
          <w:p>
            <w:pPr>
              <w:jc w:val="center"/>
              <w:rPr>
                <w:sz w:val="18"/>
                <w:szCs w:val="18"/>
              </w:rPr>
            </w:pPr>
            <w:r>
              <w:rPr>
                <w:sz w:val="18"/>
                <w:szCs w:val="18"/>
              </w:rPr>
              <w:t>0.10</w:t>
            </w:r>
          </w:p>
        </w:tc>
        <w:tc>
          <w:tcPr>
            <w:tcW w:w="1048" w:type="pct"/>
            <w:vAlign w:val="center"/>
          </w:tcPr>
          <w:p>
            <w:pPr>
              <w:jc w:val="center"/>
              <w:rPr>
                <w:sz w:val="18"/>
                <w:szCs w:val="18"/>
              </w:rPr>
            </w:pPr>
            <w:r>
              <w:rPr>
                <w:rFonts w:hint="eastAsia"/>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vAlign w:val="center"/>
          </w:tcPr>
          <w:p>
            <w:pPr>
              <w:rPr>
                <w:sz w:val="18"/>
                <w:szCs w:val="18"/>
              </w:rPr>
            </w:pPr>
            <w:r>
              <w:rPr>
                <w:sz w:val="18"/>
                <w:szCs w:val="18"/>
              </w:rPr>
              <w:t>2、</w:t>
            </w:r>
            <w:r>
              <w:rPr>
                <w:rFonts w:hint="eastAsia"/>
                <w:sz w:val="18"/>
                <w:szCs w:val="18"/>
              </w:rPr>
              <w:t>核磁共振、SERF磁强计基本原理及介绍</w:t>
            </w:r>
            <w:r>
              <w:rPr>
                <w:sz w:val="18"/>
                <w:szCs w:val="18"/>
              </w:rPr>
              <w:t>；</w:t>
            </w:r>
          </w:p>
        </w:tc>
        <w:tc>
          <w:tcPr>
            <w:tcW w:w="691" w:type="pct"/>
            <w:vAlign w:val="center"/>
          </w:tcPr>
          <w:p>
            <w:pPr>
              <w:jc w:val="center"/>
              <w:rPr>
                <w:sz w:val="18"/>
                <w:szCs w:val="18"/>
              </w:rPr>
            </w:pPr>
            <w:r>
              <w:rPr>
                <w:sz w:val="18"/>
                <w:szCs w:val="18"/>
              </w:rPr>
              <w:t>0.</w:t>
            </w:r>
            <w:r>
              <w:rPr>
                <w:rFonts w:hint="eastAsia"/>
                <w:sz w:val="18"/>
                <w:szCs w:val="18"/>
              </w:rPr>
              <w:t>20</w:t>
            </w:r>
          </w:p>
        </w:tc>
        <w:tc>
          <w:tcPr>
            <w:tcW w:w="1048" w:type="pct"/>
            <w:vAlign w:val="center"/>
          </w:tcPr>
          <w:p>
            <w:pPr>
              <w:jc w:val="center"/>
              <w:rPr>
                <w:sz w:val="18"/>
                <w:szCs w:val="18"/>
              </w:rPr>
            </w:pPr>
            <w:r>
              <w:rPr>
                <w:rFonts w:hint="eastAsia"/>
                <w:sz w:val="18"/>
                <w:szCs w:val="18"/>
              </w:rPr>
              <w:t>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vAlign w:val="center"/>
          </w:tcPr>
          <w:p>
            <w:pPr>
              <w:rPr>
                <w:sz w:val="18"/>
                <w:szCs w:val="18"/>
              </w:rPr>
            </w:pPr>
            <w:r>
              <w:rPr>
                <w:sz w:val="18"/>
                <w:szCs w:val="18"/>
              </w:rPr>
              <w:t>3、</w:t>
            </w:r>
            <w:r>
              <w:rPr>
                <w:rFonts w:hint="eastAsia"/>
                <w:sz w:val="18"/>
                <w:szCs w:val="18"/>
              </w:rPr>
              <w:t>核磁共振陀螺、无自旋交换陀螺、固态自旋陀螺、原子干涉陀螺原理、特点、精度</w:t>
            </w:r>
            <w:r>
              <w:rPr>
                <w:sz w:val="18"/>
                <w:szCs w:val="18"/>
              </w:rPr>
              <w:t>；</w:t>
            </w:r>
          </w:p>
        </w:tc>
        <w:tc>
          <w:tcPr>
            <w:tcW w:w="691" w:type="pct"/>
            <w:vAlign w:val="center"/>
          </w:tcPr>
          <w:p>
            <w:pPr>
              <w:jc w:val="center"/>
              <w:rPr>
                <w:sz w:val="18"/>
                <w:szCs w:val="18"/>
              </w:rPr>
            </w:pPr>
            <w:r>
              <w:rPr>
                <w:sz w:val="18"/>
                <w:szCs w:val="18"/>
              </w:rPr>
              <w:t>0.</w:t>
            </w:r>
            <w:r>
              <w:rPr>
                <w:rFonts w:hint="eastAsia"/>
                <w:sz w:val="18"/>
                <w:szCs w:val="18"/>
              </w:rPr>
              <w:t>40</w:t>
            </w:r>
          </w:p>
        </w:tc>
        <w:tc>
          <w:tcPr>
            <w:tcW w:w="1048" w:type="pct"/>
            <w:vAlign w:val="center"/>
          </w:tcPr>
          <w:p>
            <w:pPr>
              <w:jc w:val="center"/>
              <w:rPr>
                <w:sz w:val="18"/>
                <w:szCs w:val="18"/>
              </w:rPr>
            </w:pPr>
            <w:r>
              <w:rPr>
                <w:sz w:val="18"/>
                <w:szCs w:val="18"/>
              </w:rPr>
              <w:t>1</w:t>
            </w:r>
            <w:r>
              <w:rPr>
                <w:rFonts w:hint="eastAsia"/>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vAlign w:val="center"/>
          </w:tcPr>
          <w:p>
            <w:pPr>
              <w:rPr>
                <w:sz w:val="18"/>
                <w:szCs w:val="18"/>
              </w:rPr>
            </w:pPr>
            <w:r>
              <w:rPr>
                <w:sz w:val="18"/>
                <w:szCs w:val="18"/>
              </w:rPr>
              <w:t>4、</w:t>
            </w:r>
            <w:r>
              <w:rPr>
                <w:rFonts w:hint="eastAsia"/>
                <w:sz w:val="18"/>
                <w:szCs w:val="18"/>
              </w:rPr>
              <w:t>原子钟的基本原理及发展情况介绍</w:t>
            </w:r>
            <w:r>
              <w:rPr>
                <w:sz w:val="18"/>
                <w:szCs w:val="18"/>
              </w:rPr>
              <w:t>；</w:t>
            </w:r>
          </w:p>
        </w:tc>
        <w:tc>
          <w:tcPr>
            <w:tcW w:w="691" w:type="pct"/>
            <w:vAlign w:val="center"/>
          </w:tcPr>
          <w:p>
            <w:pPr>
              <w:jc w:val="center"/>
              <w:rPr>
                <w:sz w:val="18"/>
                <w:szCs w:val="18"/>
              </w:rPr>
            </w:pPr>
            <w:r>
              <w:rPr>
                <w:sz w:val="18"/>
                <w:szCs w:val="18"/>
              </w:rPr>
              <w:t>0.</w:t>
            </w:r>
            <w:r>
              <w:rPr>
                <w:rFonts w:hint="eastAsia"/>
                <w:sz w:val="18"/>
                <w:szCs w:val="18"/>
              </w:rPr>
              <w:t>20</w:t>
            </w:r>
          </w:p>
        </w:tc>
        <w:tc>
          <w:tcPr>
            <w:tcW w:w="1048" w:type="pct"/>
            <w:vAlign w:val="center"/>
          </w:tcPr>
          <w:p>
            <w:pPr>
              <w:jc w:val="center"/>
              <w:rPr>
                <w:sz w:val="18"/>
                <w:szCs w:val="18"/>
              </w:rPr>
            </w:pPr>
            <w:r>
              <w:rPr>
                <w:rFonts w:hint="eastAsia"/>
                <w:sz w:val="18"/>
                <w:szCs w:val="18"/>
              </w:rPr>
              <w:t>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vAlign w:val="center"/>
          </w:tcPr>
          <w:p>
            <w:pPr>
              <w:rPr>
                <w:sz w:val="18"/>
                <w:szCs w:val="18"/>
              </w:rPr>
            </w:pPr>
            <w:r>
              <w:rPr>
                <w:sz w:val="18"/>
                <w:szCs w:val="18"/>
              </w:rPr>
              <w:t>6、</w:t>
            </w:r>
            <w:r>
              <w:rPr>
                <w:rFonts w:hint="eastAsia"/>
                <w:kern w:val="0"/>
                <w:sz w:val="18"/>
                <w:szCs w:val="18"/>
              </w:rPr>
              <w:t>量子传感研究现状、目前技术瓶颈及未来发展趋势</w:t>
            </w:r>
            <w:r>
              <w:rPr>
                <w:sz w:val="18"/>
                <w:szCs w:val="18"/>
              </w:rPr>
              <w:t>；</w:t>
            </w:r>
          </w:p>
        </w:tc>
        <w:tc>
          <w:tcPr>
            <w:tcW w:w="691" w:type="pct"/>
            <w:vAlign w:val="center"/>
          </w:tcPr>
          <w:p>
            <w:pPr>
              <w:jc w:val="center"/>
              <w:rPr>
                <w:sz w:val="18"/>
                <w:szCs w:val="18"/>
              </w:rPr>
            </w:pPr>
            <w:r>
              <w:rPr>
                <w:sz w:val="18"/>
                <w:szCs w:val="18"/>
              </w:rPr>
              <w:t>0.10</w:t>
            </w:r>
          </w:p>
        </w:tc>
        <w:tc>
          <w:tcPr>
            <w:tcW w:w="1048" w:type="pct"/>
            <w:vAlign w:val="center"/>
          </w:tcPr>
          <w:p>
            <w:pPr>
              <w:jc w:val="center"/>
              <w:rPr>
                <w:sz w:val="18"/>
                <w:szCs w:val="18"/>
              </w:rPr>
            </w:pPr>
            <w:r>
              <w:rPr>
                <w:sz w:val="18"/>
                <w:szCs w:val="18"/>
              </w:rPr>
              <w:t>1</w:t>
            </w:r>
          </w:p>
        </w:tc>
      </w:tr>
    </w:tbl>
    <w:p>
      <w:pPr>
        <w:spacing w:before="120" w:beforeLines="50" w:line="360" w:lineRule="auto"/>
        <w:ind w:firstLine="420" w:firstLineChars="200"/>
        <w:rPr>
          <w:color w:val="000000"/>
          <w:sz w:val="24"/>
          <w:szCs w:val="24"/>
        </w:rPr>
        <w:sectPr>
          <w:headerReference r:id="rId120" w:type="first"/>
          <w:footerReference r:id="rId123" w:type="first"/>
          <w:headerReference r:id="rId118" w:type="default"/>
          <w:footerReference r:id="rId121" w:type="default"/>
          <w:headerReference r:id="rId119" w:type="even"/>
          <w:footerReference r:id="rId122" w:type="even"/>
          <w:pgSz w:w="11906" w:h="16838"/>
          <w:pgMar w:top="1440" w:right="1797" w:bottom="1440" w:left="1797" w:header="851" w:footer="992" w:gutter="0"/>
          <w:pgNumType w:fmt="decimal"/>
          <w:cols w:space="425" w:num="1"/>
          <w:docGrid w:linePitch="312" w:charSpace="0"/>
        </w:sectPr>
      </w:pPr>
      <w:r>
        <w:rPr>
          <w:rFonts w:hint="eastAsia" w:ascii="宋体" w:hAnsi="宋体" w:cs="宋体"/>
          <w:szCs w:val="21"/>
        </w:rPr>
        <w:t>本课程不可以申请免修</w:t>
      </w:r>
      <w:r>
        <w:rPr>
          <w:szCs w:val="21"/>
        </w:rPr>
        <w:t>。</w:t>
      </w:r>
    </w:p>
    <w:p>
      <w:pPr>
        <w:tabs>
          <w:tab w:val="left" w:pos="420"/>
        </w:tabs>
        <w:adjustRightInd w:val="0"/>
        <w:snapToGrid w:val="0"/>
        <w:spacing w:line="360" w:lineRule="auto"/>
        <w:ind w:left="420" w:hanging="420"/>
        <w:rPr>
          <w:rFonts w:eastAsia="黑体"/>
          <w:szCs w:val="24"/>
        </w:rPr>
      </w:pPr>
      <w:r>
        <w:rPr>
          <w:rFonts w:eastAsia="黑体"/>
          <w:szCs w:val="24"/>
        </w:rPr>
        <w:t>十、课程目标达成评价</w:t>
      </w:r>
    </w:p>
    <w:p>
      <w:pPr>
        <w:spacing w:line="360" w:lineRule="auto"/>
        <w:ind w:firstLine="420" w:firstLineChars="200"/>
        <w:jc w:val="center"/>
      </w:pPr>
      <w:r>
        <w:t>各环节对课程目标达成评价所使用到的权重占比分配及考核权重分配</w:t>
      </w:r>
    </w:p>
    <w:tbl>
      <w:tblPr>
        <w:tblStyle w:val="19"/>
        <w:tblW w:w="5000" w:type="pct"/>
        <w:jc w:val="center"/>
        <w:tblLayout w:type="autofit"/>
        <w:tblCellMar>
          <w:top w:w="0" w:type="dxa"/>
          <w:left w:w="108" w:type="dxa"/>
          <w:bottom w:w="0" w:type="dxa"/>
          <w:right w:w="108" w:type="dxa"/>
        </w:tblCellMar>
      </w:tblPr>
      <w:tblGrid>
        <w:gridCol w:w="584"/>
        <w:gridCol w:w="958"/>
        <w:gridCol w:w="1449"/>
        <w:gridCol w:w="1307"/>
        <w:gridCol w:w="1511"/>
        <w:gridCol w:w="1392"/>
        <w:gridCol w:w="1446"/>
        <w:gridCol w:w="1596"/>
        <w:gridCol w:w="1366"/>
        <w:gridCol w:w="1284"/>
        <w:gridCol w:w="1281"/>
      </w:tblGrid>
      <w:tr>
        <w:tblPrEx>
          <w:tblCellMar>
            <w:top w:w="0" w:type="dxa"/>
            <w:left w:w="108" w:type="dxa"/>
            <w:bottom w:w="0" w:type="dxa"/>
            <w:right w:w="108" w:type="dxa"/>
          </w:tblCellMar>
        </w:tblPrEx>
        <w:trPr>
          <w:trHeight w:val="1015" w:hRule="atLeast"/>
          <w:jc w:val="center"/>
        </w:trPr>
        <w:tc>
          <w:tcPr>
            <w:tcW w:w="2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课程目标</w:t>
            </w:r>
          </w:p>
        </w:tc>
        <w:tc>
          <w:tcPr>
            <w:tcW w:w="3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知识面比例</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（本列总和为1）</w:t>
            </w:r>
          </w:p>
          <w:p>
            <w:pPr>
              <w:widowControl/>
              <w:jc w:val="center"/>
              <w:rPr>
                <w:i/>
                <w:color w:val="000000" w:themeColor="text1"/>
                <w:kern w:val="0"/>
                <w:sz w:val="18"/>
                <w:szCs w:val="18"/>
                <w14:textFill>
                  <w14:solidFill>
                    <w14:schemeClr w14:val="tx1"/>
                  </w14:solidFill>
                </w14:textFill>
              </w:rPr>
            </w:pPr>
            <w:r>
              <w:rPr>
                <w:i/>
                <w:color w:val="000000" w:themeColor="text1"/>
                <w:kern w:val="0"/>
                <w:sz w:val="18"/>
                <w:szCs w:val="18"/>
                <w14:textFill>
                  <w14:solidFill>
                    <w14:schemeClr w14:val="tx1"/>
                  </w14:solidFill>
                </w14:textFill>
              </w:rPr>
              <w:t>P</w:t>
            </w:r>
            <w:r>
              <w:rPr>
                <w:i/>
                <w:color w:val="000000" w:themeColor="text1"/>
                <w:kern w:val="0"/>
                <w:sz w:val="18"/>
                <w:szCs w:val="18"/>
                <w:vertAlign w:val="subscript"/>
                <w14:textFill>
                  <w14:solidFill>
                    <w14:schemeClr w14:val="tx1"/>
                  </w14:solidFill>
                </w14:textFill>
              </w:rPr>
              <w:t>i</w:t>
            </w:r>
          </w:p>
        </w:tc>
        <w:tc>
          <w:tcPr>
            <w:tcW w:w="150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各环节评价比例分配</w:t>
            </w:r>
            <w:r>
              <w:rPr>
                <w:color w:val="000000" w:themeColor="text1"/>
                <w:sz w:val="18"/>
                <w:szCs w:val="18"/>
                <w14:textFill>
                  <w14:solidFill>
                    <w14:schemeClr w14:val="tx1"/>
                  </w14:solidFill>
                </w14:textFill>
              </w:rPr>
              <w:br w:type="textWrapping"/>
            </w:r>
            <w:r>
              <w:rPr>
                <w:color w:val="000000" w:themeColor="text1"/>
                <w:sz w:val="18"/>
                <w:szCs w:val="18"/>
                <w14:textFill>
                  <w14:solidFill>
                    <w14:schemeClr w14:val="tx1"/>
                  </w14:solidFill>
                </w14:textFill>
              </w:rPr>
              <w:t>（每行总和为1）</w:t>
            </w:r>
            <w:r>
              <w:rPr>
                <w:color w:val="000000" w:themeColor="text1"/>
                <w:sz w:val="18"/>
                <w:szCs w:val="18"/>
                <w14:textFill>
                  <w14:solidFill>
                    <w14:schemeClr w14:val="tx1"/>
                  </w14:solidFill>
                </w14:textFill>
              </w:rPr>
              <w:br w:type="textWrapping"/>
            </w:r>
            <w:r>
              <w:rPr>
                <w:i/>
                <w:color w:val="000000" w:themeColor="text1"/>
                <w:sz w:val="18"/>
                <w:szCs w:val="18"/>
                <w14:textFill>
                  <w14:solidFill>
                    <w14:schemeClr w14:val="tx1"/>
                  </w14:solidFill>
                </w14:textFill>
              </w:rPr>
              <w:t>W</w:t>
            </w:r>
            <w:r>
              <w:rPr>
                <w:i/>
                <w:color w:val="000000" w:themeColor="text1"/>
                <w:sz w:val="18"/>
                <w:szCs w:val="18"/>
                <w:vertAlign w:val="subscript"/>
                <w14:textFill>
                  <w14:solidFill>
                    <w14:schemeClr w14:val="tx1"/>
                  </w14:solidFill>
                </w14:textFill>
              </w:rPr>
              <w:t>ik</w:t>
            </w:r>
          </w:p>
        </w:tc>
        <w:tc>
          <w:tcPr>
            <w:tcW w:w="1564" w:type="pct"/>
            <w:gridSpan w:val="3"/>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各环节在课程达成中的占比</w:t>
            </w:r>
            <w:r>
              <w:rPr>
                <w:color w:val="000000" w:themeColor="text1"/>
                <w:sz w:val="18"/>
                <w:szCs w:val="18"/>
                <w14:textFill>
                  <w14:solidFill>
                    <w14:schemeClr w14:val="tx1"/>
                  </w14:solidFill>
                </w14:textFill>
              </w:rPr>
              <w:br w:type="textWrapping"/>
            </w:r>
            <w:r>
              <w:rPr>
                <w:color w:val="000000" w:themeColor="text1"/>
                <w:sz w:val="18"/>
                <w:szCs w:val="18"/>
                <w14:textFill>
                  <w14:solidFill>
                    <w14:schemeClr w14:val="tx1"/>
                  </w14:solidFill>
                </w14:textFill>
              </w:rPr>
              <w:t>（所有行列总和为1）</w:t>
            </w:r>
            <w:r>
              <w:rPr>
                <w:color w:val="000000" w:themeColor="text1"/>
                <w:sz w:val="18"/>
                <w:szCs w:val="18"/>
                <w14:textFill>
                  <w14:solidFill>
                    <w14:schemeClr w14:val="tx1"/>
                  </w14:solidFill>
                </w14:textFill>
              </w:rPr>
              <w:br w:type="textWrapping"/>
            </w:r>
            <w:r>
              <w:rPr>
                <w:i/>
                <w:color w:val="000000" w:themeColor="text1"/>
                <w:sz w:val="18"/>
                <w:szCs w:val="18"/>
                <w14:textFill>
                  <w14:solidFill>
                    <w14:schemeClr w14:val="tx1"/>
                  </w14:solidFill>
                </w14:textFill>
              </w:rPr>
              <w:t>S</w:t>
            </w:r>
            <w:r>
              <w:rPr>
                <w:i/>
                <w:color w:val="000000" w:themeColor="text1"/>
                <w:sz w:val="18"/>
                <w:szCs w:val="18"/>
                <w:vertAlign w:val="subscript"/>
                <w14:textFill>
                  <w14:solidFill>
                    <w14:schemeClr w14:val="tx1"/>
                  </w14:solidFill>
                </w14:textFill>
              </w:rPr>
              <w:t>ik</w:t>
            </w:r>
            <w:r>
              <w:rPr>
                <w:i/>
                <w:color w:val="000000" w:themeColor="text1"/>
                <w:sz w:val="18"/>
                <w:szCs w:val="18"/>
                <w14:textFill>
                  <w14:solidFill>
                    <w14:schemeClr w14:val="tx1"/>
                  </w14:solidFill>
                </w14:textFill>
              </w:rPr>
              <w:t>=P</w:t>
            </w:r>
            <w:r>
              <w:rPr>
                <w:i/>
                <w:color w:val="000000" w:themeColor="text1"/>
                <w:sz w:val="18"/>
                <w:szCs w:val="18"/>
                <w:vertAlign w:val="subscript"/>
                <w14:textFill>
                  <w14:solidFill>
                    <w14:schemeClr w14:val="tx1"/>
                  </w14:solidFill>
                </w14:textFill>
              </w:rPr>
              <w:t>i</w:t>
            </w:r>
            <w:r>
              <w:rPr>
                <w:i/>
                <w:color w:val="000000" w:themeColor="text1"/>
                <w:sz w:val="18"/>
                <w:szCs w:val="18"/>
                <w14:textFill>
                  <w14:solidFill>
                    <w14:schemeClr w14:val="tx1"/>
                  </w14:solidFill>
                </w14:textFill>
              </w:rPr>
              <w:t>*W</w:t>
            </w:r>
            <w:r>
              <w:rPr>
                <w:i/>
                <w:color w:val="000000" w:themeColor="text1"/>
                <w:sz w:val="18"/>
                <w:szCs w:val="18"/>
                <w:vertAlign w:val="subscript"/>
                <w14:textFill>
                  <w14:solidFill>
                    <w14:schemeClr w14:val="tx1"/>
                  </w14:solidFill>
                </w14:textFill>
              </w:rPr>
              <w:t>ik</w:t>
            </w:r>
          </w:p>
        </w:tc>
        <w:tc>
          <w:tcPr>
            <w:tcW w:w="1387"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各环节课程目标考核权重分布</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（每一列总和为1）</w:t>
            </w:r>
          </w:p>
          <w:p>
            <w:pPr>
              <w:jc w:val="center"/>
              <w:rPr>
                <w:i/>
                <w:color w:val="000000" w:themeColor="text1"/>
                <w:sz w:val="18"/>
                <w:szCs w:val="18"/>
                <w14:textFill>
                  <w14:solidFill>
                    <w14:schemeClr w14:val="tx1"/>
                  </w14:solidFill>
                </w14:textFill>
              </w:rPr>
            </w:pPr>
            <w:r>
              <w:rPr>
                <w:i/>
                <w:color w:val="000000" w:themeColor="text1"/>
                <w:sz w:val="18"/>
                <w:szCs w:val="18"/>
                <w14:textFill>
                  <w14:solidFill>
                    <w14:schemeClr w14:val="tx1"/>
                  </w14:solidFill>
                </w14:textFill>
              </w:rPr>
              <w:t>E</w:t>
            </w:r>
            <w:r>
              <w:rPr>
                <w:i/>
                <w:color w:val="000000" w:themeColor="text1"/>
                <w:sz w:val="18"/>
                <w:szCs w:val="18"/>
                <w:vertAlign w:val="subscript"/>
                <w14:textFill>
                  <w14:solidFill>
                    <w14:schemeClr w14:val="tx1"/>
                  </w14:solidFill>
                </w14:textFill>
              </w:rPr>
              <w:t>ik</w:t>
            </w:r>
            <w:r>
              <w:rPr>
                <w:i/>
                <w:color w:val="000000" w:themeColor="text1"/>
                <w:sz w:val="18"/>
                <w:szCs w:val="18"/>
                <w14:textFill>
                  <w14:solidFill>
                    <w14:schemeClr w14:val="tx1"/>
                  </w14:solidFill>
                </w14:textFill>
              </w:rPr>
              <w:t>=S</w:t>
            </w:r>
            <w:r>
              <w:rPr>
                <w:i/>
                <w:color w:val="000000" w:themeColor="text1"/>
                <w:sz w:val="18"/>
                <w:szCs w:val="18"/>
                <w:vertAlign w:val="subscript"/>
                <w14:textFill>
                  <w14:solidFill>
                    <w14:schemeClr w14:val="tx1"/>
                  </w14:solidFill>
                </w14:textFill>
              </w:rPr>
              <w:t>ik</w:t>
            </w:r>
            <w:r>
              <w:rPr>
                <w:i/>
                <w:color w:val="000000" w:themeColor="text1"/>
                <w:sz w:val="18"/>
                <w:szCs w:val="18"/>
                <w14:textFill>
                  <w14:solidFill>
                    <w14:schemeClr w14:val="tx1"/>
                  </w14:solidFill>
                </w14:textFill>
              </w:rPr>
              <w:t>/M</w:t>
            </w:r>
            <w:r>
              <w:rPr>
                <w:i/>
                <w:color w:val="000000" w:themeColor="text1"/>
                <w:sz w:val="18"/>
                <w:szCs w:val="18"/>
                <w:vertAlign w:val="subscript"/>
                <w14:textFill>
                  <w14:solidFill>
                    <w14:schemeClr w14:val="tx1"/>
                  </w14:solidFill>
                </w14:textFill>
              </w:rPr>
              <w:t>ik</w:t>
            </w:r>
          </w:p>
        </w:tc>
      </w:tr>
      <w:tr>
        <w:tblPrEx>
          <w:tblCellMar>
            <w:top w:w="0" w:type="dxa"/>
            <w:left w:w="108" w:type="dxa"/>
            <w:bottom w:w="0" w:type="dxa"/>
            <w:right w:w="108" w:type="dxa"/>
          </w:tblCellMar>
        </w:tblPrEx>
        <w:trPr>
          <w:trHeight w:val="986" w:hRule="atLeast"/>
          <w:jc w:val="center"/>
        </w:trPr>
        <w:tc>
          <w:tcPr>
            <w:tcW w:w="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3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511" w:type="pct"/>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课堂情况</w:t>
            </w:r>
          </w:p>
        </w:tc>
        <w:tc>
          <w:tcPr>
            <w:tcW w:w="461" w:type="pct"/>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作业成绩</w:t>
            </w:r>
          </w:p>
        </w:tc>
        <w:tc>
          <w:tcPr>
            <w:tcW w:w="532" w:type="pct"/>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期末考试</w:t>
            </w:r>
          </w:p>
        </w:tc>
        <w:tc>
          <w:tcPr>
            <w:tcW w:w="491" w:type="pct"/>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课堂情况</w:t>
            </w:r>
          </w:p>
        </w:tc>
        <w:tc>
          <w:tcPr>
            <w:tcW w:w="510" w:type="pct"/>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作业成绩</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期末考试</w:t>
            </w:r>
          </w:p>
        </w:tc>
        <w:tc>
          <w:tcPr>
            <w:tcW w:w="4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课堂情况</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作业成绩</w:t>
            </w:r>
          </w:p>
        </w:tc>
        <w:tc>
          <w:tcPr>
            <w:tcW w:w="45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期末考试</w:t>
            </w:r>
          </w:p>
        </w:tc>
      </w:tr>
      <w:tr>
        <w:tblPrEx>
          <w:tblCellMar>
            <w:top w:w="0" w:type="dxa"/>
            <w:left w:w="108" w:type="dxa"/>
            <w:bottom w:w="0" w:type="dxa"/>
            <w:right w:w="108" w:type="dxa"/>
          </w:tblCellMar>
        </w:tblPrEx>
        <w:trPr>
          <w:trHeight w:val="1020" w:hRule="atLeast"/>
          <w:jc w:val="center"/>
        </w:trPr>
        <w:tc>
          <w:tcPr>
            <w:tcW w:w="206" w:type="pct"/>
            <w:tcBorders>
              <w:top w:val="nil"/>
              <w:left w:val="single" w:color="auto" w:sz="4" w:space="0"/>
              <w:bottom w:val="single" w:color="auto" w:sz="4" w:space="0"/>
              <w:right w:val="single" w:color="auto" w:sz="4" w:space="0"/>
            </w:tcBorders>
            <w:shd w:val="clear" w:color="auto" w:fill="auto"/>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w:t>
            </w:r>
          </w:p>
        </w:tc>
        <w:tc>
          <w:tcPr>
            <w:tcW w:w="338"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0.</w:t>
            </w:r>
            <w:r>
              <w:rPr>
                <w:rFonts w:hint="eastAsia"/>
                <w:bCs/>
                <w:color w:val="000000" w:themeColor="text1"/>
                <w:sz w:val="18"/>
                <w:szCs w:val="18"/>
                <w14:textFill>
                  <w14:solidFill>
                    <w14:schemeClr w14:val="tx1"/>
                  </w14:solidFill>
                </w14:textFill>
              </w:rPr>
              <w:t>6</w:t>
            </w:r>
          </w:p>
        </w:tc>
        <w:tc>
          <w:tcPr>
            <w:tcW w:w="511" w:type="pct"/>
            <w:tcBorders>
              <w:top w:val="single" w:color="auto" w:sz="4" w:space="0"/>
              <w:left w:val="nil"/>
              <w:bottom w:val="single" w:color="auto" w:sz="4" w:space="0"/>
              <w:right w:val="single" w:color="auto" w:sz="4" w:space="0"/>
            </w:tcBorders>
            <w:shd w:val="clear" w:color="auto" w:fill="auto"/>
            <w:noWrap/>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0.2</w:t>
            </w:r>
          </w:p>
        </w:tc>
        <w:tc>
          <w:tcPr>
            <w:tcW w:w="461" w:type="pct"/>
            <w:tcBorders>
              <w:top w:val="single" w:color="auto" w:sz="4" w:space="0"/>
              <w:left w:val="nil"/>
              <w:bottom w:val="single" w:color="auto" w:sz="4" w:space="0"/>
              <w:right w:val="single" w:color="auto" w:sz="4" w:space="0"/>
            </w:tcBorders>
            <w:shd w:val="clear" w:color="auto" w:fill="auto"/>
            <w:noWrap/>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0.30</w:t>
            </w:r>
          </w:p>
        </w:tc>
        <w:tc>
          <w:tcPr>
            <w:tcW w:w="532" w:type="pct"/>
            <w:tcBorders>
              <w:top w:val="single" w:color="auto" w:sz="4" w:space="0"/>
              <w:left w:val="nil"/>
              <w:bottom w:val="single" w:color="auto" w:sz="4" w:space="0"/>
              <w:right w:val="single" w:color="auto" w:sz="4" w:space="0"/>
            </w:tcBorders>
            <w:shd w:val="clear" w:color="auto" w:fill="auto"/>
            <w:noWrap/>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0.50</w:t>
            </w:r>
          </w:p>
        </w:tc>
        <w:tc>
          <w:tcPr>
            <w:tcW w:w="491" w:type="pct"/>
            <w:tcBorders>
              <w:top w:val="single" w:color="auto" w:sz="4" w:space="0"/>
              <w:left w:val="nil"/>
              <w:bottom w:val="single" w:color="auto" w:sz="4" w:space="0"/>
              <w:right w:val="single" w:color="auto" w:sz="4" w:space="0"/>
            </w:tcBorders>
            <w:shd w:val="clear" w:color="auto" w:fill="auto"/>
            <w:noWrap/>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0.12</w:t>
            </w:r>
          </w:p>
        </w:tc>
        <w:tc>
          <w:tcPr>
            <w:tcW w:w="510" w:type="pct"/>
            <w:tcBorders>
              <w:top w:val="single" w:color="auto" w:sz="4" w:space="0"/>
              <w:left w:val="nil"/>
              <w:bottom w:val="single" w:color="auto" w:sz="4" w:space="0"/>
              <w:right w:val="single" w:color="auto" w:sz="4" w:space="0"/>
            </w:tcBorders>
            <w:shd w:val="clear" w:color="auto" w:fill="auto"/>
            <w:noWrap/>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0.18</w:t>
            </w:r>
          </w:p>
        </w:tc>
        <w:tc>
          <w:tcPr>
            <w:tcW w:w="563" w:type="pct"/>
            <w:tcBorders>
              <w:top w:val="single" w:color="auto" w:sz="4" w:space="0"/>
              <w:left w:val="nil"/>
              <w:bottom w:val="single" w:color="auto" w:sz="4" w:space="0"/>
              <w:right w:val="single" w:color="auto" w:sz="4" w:space="0"/>
            </w:tcBorders>
            <w:shd w:val="clear" w:color="auto" w:fill="auto"/>
            <w:noWrap/>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0.30</w:t>
            </w:r>
          </w:p>
        </w:tc>
        <w:tc>
          <w:tcPr>
            <w:tcW w:w="48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0.55</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0.64</w:t>
            </w:r>
          </w:p>
        </w:tc>
        <w:tc>
          <w:tcPr>
            <w:tcW w:w="45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0.60</w:t>
            </w:r>
          </w:p>
        </w:tc>
      </w:tr>
      <w:tr>
        <w:tblPrEx>
          <w:tblCellMar>
            <w:top w:w="0" w:type="dxa"/>
            <w:left w:w="108" w:type="dxa"/>
            <w:bottom w:w="0" w:type="dxa"/>
            <w:right w:w="108" w:type="dxa"/>
          </w:tblCellMar>
        </w:tblPrEx>
        <w:trPr>
          <w:trHeight w:val="694" w:hRule="atLeast"/>
          <w:jc w:val="center"/>
        </w:trPr>
        <w:tc>
          <w:tcPr>
            <w:tcW w:w="206" w:type="pct"/>
            <w:tcBorders>
              <w:top w:val="nil"/>
              <w:left w:val="single" w:color="auto" w:sz="4" w:space="0"/>
              <w:bottom w:val="single" w:color="auto" w:sz="4" w:space="0"/>
              <w:right w:val="single" w:color="auto" w:sz="4" w:space="0"/>
            </w:tcBorders>
            <w:shd w:val="clear" w:color="auto" w:fill="auto"/>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2</w:t>
            </w:r>
          </w:p>
        </w:tc>
        <w:tc>
          <w:tcPr>
            <w:tcW w:w="338" w:type="pct"/>
            <w:tcBorders>
              <w:top w:val="nil"/>
              <w:left w:val="single" w:color="auto" w:sz="4" w:space="0"/>
              <w:bottom w:val="single" w:color="auto" w:sz="4" w:space="0"/>
              <w:right w:val="single" w:color="auto" w:sz="4" w:space="0"/>
            </w:tcBorders>
            <w:shd w:val="clear" w:color="auto" w:fill="auto"/>
            <w:noWrap/>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0.</w:t>
            </w:r>
            <w:r>
              <w:rPr>
                <w:rFonts w:hint="eastAsia"/>
                <w:bCs/>
                <w:color w:val="000000" w:themeColor="text1"/>
                <w:sz w:val="18"/>
                <w:szCs w:val="18"/>
                <w14:textFill>
                  <w14:solidFill>
                    <w14:schemeClr w14:val="tx1"/>
                  </w14:solidFill>
                </w14:textFill>
              </w:rPr>
              <w:t>4</w:t>
            </w:r>
          </w:p>
        </w:tc>
        <w:tc>
          <w:tcPr>
            <w:tcW w:w="511" w:type="pct"/>
            <w:tcBorders>
              <w:top w:val="nil"/>
              <w:left w:val="nil"/>
              <w:bottom w:val="single" w:color="auto" w:sz="4" w:space="0"/>
              <w:right w:val="single" w:color="auto" w:sz="4" w:space="0"/>
            </w:tcBorders>
            <w:shd w:val="clear" w:color="auto" w:fill="auto"/>
            <w:noWrap/>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0.25</w:t>
            </w:r>
          </w:p>
        </w:tc>
        <w:tc>
          <w:tcPr>
            <w:tcW w:w="461" w:type="pct"/>
            <w:tcBorders>
              <w:top w:val="nil"/>
              <w:left w:val="nil"/>
              <w:bottom w:val="single" w:color="auto" w:sz="4" w:space="0"/>
              <w:right w:val="single" w:color="auto" w:sz="4" w:space="0"/>
            </w:tcBorders>
            <w:shd w:val="clear" w:color="auto" w:fill="auto"/>
            <w:noWrap/>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0.25</w:t>
            </w:r>
          </w:p>
        </w:tc>
        <w:tc>
          <w:tcPr>
            <w:tcW w:w="532" w:type="pct"/>
            <w:tcBorders>
              <w:top w:val="nil"/>
              <w:left w:val="nil"/>
              <w:bottom w:val="single" w:color="auto" w:sz="4" w:space="0"/>
              <w:right w:val="single" w:color="auto" w:sz="4" w:space="0"/>
            </w:tcBorders>
            <w:shd w:val="clear" w:color="auto" w:fill="auto"/>
            <w:noWrap/>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0.50</w:t>
            </w:r>
          </w:p>
        </w:tc>
        <w:tc>
          <w:tcPr>
            <w:tcW w:w="491" w:type="pct"/>
            <w:tcBorders>
              <w:top w:val="nil"/>
              <w:left w:val="nil"/>
              <w:bottom w:val="single" w:color="auto" w:sz="4" w:space="0"/>
              <w:right w:val="single" w:color="auto" w:sz="4" w:space="0"/>
            </w:tcBorders>
            <w:shd w:val="clear" w:color="auto" w:fill="auto"/>
            <w:noWrap/>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0.10</w:t>
            </w:r>
          </w:p>
        </w:tc>
        <w:tc>
          <w:tcPr>
            <w:tcW w:w="510" w:type="pct"/>
            <w:tcBorders>
              <w:top w:val="nil"/>
              <w:left w:val="nil"/>
              <w:bottom w:val="single" w:color="auto" w:sz="4" w:space="0"/>
              <w:right w:val="single" w:color="auto" w:sz="4" w:space="0"/>
            </w:tcBorders>
            <w:shd w:val="clear" w:color="auto" w:fill="auto"/>
            <w:noWrap/>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0.10</w:t>
            </w:r>
          </w:p>
        </w:tc>
        <w:tc>
          <w:tcPr>
            <w:tcW w:w="563" w:type="pct"/>
            <w:tcBorders>
              <w:top w:val="nil"/>
              <w:left w:val="nil"/>
              <w:bottom w:val="single" w:color="auto" w:sz="4" w:space="0"/>
              <w:right w:val="single" w:color="auto" w:sz="4" w:space="0"/>
            </w:tcBorders>
            <w:shd w:val="clear" w:color="auto" w:fill="auto"/>
            <w:noWrap/>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0.20</w:t>
            </w:r>
          </w:p>
        </w:tc>
        <w:tc>
          <w:tcPr>
            <w:tcW w:w="48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0.45</w:t>
            </w:r>
          </w:p>
        </w:tc>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0.36</w:t>
            </w:r>
          </w:p>
        </w:tc>
        <w:tc>
          <w:tcPr>
            <w:tcW w:w="45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0.40</w:t>
            </w:r>
          </w:p>
        </w:tc>
      </w:tr>
      <w:tr>
        <w:tblPrEx>
          <w:tblCellMar>
            <w:top w:w="0" w:type="dxa"/>
            <w:left w:w="108" w:type="dxa"/>
            <w:bottom w:w="0" w:type="dxa"/>
            <w:right w:w="108" w:type="dxa"/>
          </w:tblCellMar>
        </w:tblPrEx>
        <w:trPr>
          <w:trHeight w:val="1026" w:hRule="atLeast"/>
          <w:jc w:val="center"/>
        </w:trPr>
        <w:tc>
          <w:tcPr>
            <w:tcW w:w="2049" w:type="pct"/>
            <w:gridSpan w:val="5"/>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bCs/>
                <w:color w:val="000000" w:themeColor="text1"/>
                <w:kern w:val="0"/>
                <w:sz w:val="18"/>
                <w:szCs w:val="18"/>
                <w14:textFill>
                  <w14:solidFill>
                    <w14:schemeClr w14:val="tx1"/>
                  </w14:solidFill>
                </w14:textFill>
              </w:rPr>
            </w:pPr>
            <w:r>
              <w:rPr>
                <w:bCs/>
                <w:color w:val="000000" w:themeColor="text1"/>
                <w:kern w:val="0"/>
                <w:sz w:val="18"/>
                <w:szCs w:val="18"/>
                <w14:textFill>
                  <w14:solidFill>
                    <w14:schemeClr w14:val="tx1"/>
                  </w14:solidFill>
                </w14:textFill>
              </w:rPr>
              <w:t>各环节对课程目标达成的贡献率（</w:t>
            </w:r>
            <w:r>
              <w:rPr>
                <w:bCs/>
                <w:i/>
                <w:color w:val="000000" w:themeColor="text1"/>
                <w:kern w:val="0"/>
                <w:sz w:val="18"/>
                <w:szCs w:val="18"/>
                <w14:textFill>
                  <w14:solidFill>
                    <w14:schemeClr w14:val="tx1"/>
                  </w14:solidFill>
                </w14:textFill>
              </w:rPr>
              <w:t>M</w:t>
            </w:r>
            <w:r>
              <w:rPr>
                <w:bCs/>
                <w:i/>
                <w:color w:val="000000" w:themeColor="text1"/>
                <w:kern w:val="0"/>
                <w:sz w:val="18"/>
                <w:szCs w:val="18"/>
                <w:vertAlign w:val="subscript"/>
                <w14:textFill>
                  <w14:solidFill>
                    <w14:schemeClr w14:val="tx1"/>
                  </w14:solidFill>
                </w14:textFill>
              </w:rPr>
              <w:t>k</w:t>
            </w:r>
            <w:r>
              <w:rPr>
                <w:bCs/>
                <w:color w:val="000000" w:themeColor="text1"/>
                <w:kern w:val="0"/>
                <w:sz w:val="18"/>
                <w:szCs w:val="18"/>
                <w14:textFill>
                  <w14:solidFill>
                    <w14:schemeClr w14:val="tx1"/>
                  </w14:solidFill>
                </w14:textFill>
              </w:rPr>
              <w:t>）</w:t>
            </w:r>
          </w:p>
        </w:tc>
        <w:tc>
          <w:tcPr>
            <w:tcW w:w="49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0.22</w:t>
            </w:r>
          </w:p>
        </w:tc>
        <w:tc>
          <w:tcPr>
            <w:tcW w:w="510" w:type="pct"/>
            <w:tcBorders>
              <w:top w:val="single" w:color="auto" w:sz="4" w:space="0"/>
              <w:left w:val="nil"/>
              <w:bottom w:val="single" w:color="auto" w:sz="4" w:space="0"/>
              <w:right w:val="single" w:color="auto" w:sz="4" w:space="0"/>
            </w:tcBorders>
            <w:shd w:val="clear" w:color="auto" w:fill="auto"/>
            <w:noWrap/>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0.28</w:t>
            </w:r>
          </w:p>
        </w:tc>
        <w:tc>
          <w:tcPr>
            <w:tcW w:w="563" w:type="pct"/>
            <w:tcBorders>
              <w:top w:val="single" w:color="auto" w:sz="4" w:space="0"/>
              <w:left w:val="nil"/>
              <w:bottom w:val="single" w:color="auto" w:sz="4" w:space="0"/>
              <w:right w:val="single" w:color="auto" w:sz="4" w:space="0"/>
            </w:tcBorders>
            <w:shd w:val="clear" w:color="auto" w:fill="auto"/>
            <w:noWrap/>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0.50</w:t>
            </w:r>
          </w:p>
        </w:tc>
        <w:tc>
          <w:tcPr>
            <w:tcW w:w="1387"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教师出题或布置作业时</w:t>
            </w:r>
          </w:p>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要尽量做到按照以上比例布局</w:t>
            </w:r>
          </w:p>
        </w:tc>
      </w:tr>
    </w:tbl>
    <w:p>
      <w:pPr>
        <w:spacing w:line="360" w:lineRule="auto"/>
        <w:jc w:val="left"/>
      </w:pPr>
    </w:p>
    <w:p>
      <w:pPr>
        <w:spacing w:line="360" w:lineRule="auto"/>
        <w:rPr>
          <w:color w:val="000000" w:themeColor="text1"/>
          <w14:textFill>
            <w14:solidFill>
              <w14:schemeClr w14:val="tx1"/>
            </w14:solidFill>
          </w14:textFill>
        </w:rPr>
        <w:sectPr>
          <w:pgSz w:w="16838" w:h="11906" w:orient="landscape"/>
          <w:pgMar w:top="1797" w:right="1440" w:bottom="1797" w:left="1440" w:header="851" w:footer="992" w:gutter="0"/>
          <w:pgNumType w:fmt="decimal"/>
          <w:cols w:space="425" w:num="1"/>
          <w:docGrid w:linePitch="312" w:charSpace="0"/>
        </w:sectPr>
      </w:pPr>
    </w:p>
    <w:p>
      <w:pPr>
        <w:adjustRightInd w:val="0"/>
        <w:snapToGrid w:val="0"/>
        <w:spacing w:line="360" w:lineRule="auto"/>
        <w:ind w:firstLine="420" w:firstLineChars="200"/>
        <w:rPr>
          <w:szCs w:val="21"/>
        </w:rPr>
      </w:pPr>
      <w:bookmarkStart w:id="41" w:name="_Toc14719"/>
      <w:r>
        <w:rPr>
          <w:rFonts w:hint="eastAsia"/>
          <w:szCs w:val="21"/>
        </w:rPr>
        <w:t>采用达成值计算法，辅以对学生的问卷调查法。</w:t>
      </w:r>
    </w:p>
    <w:p>
      <w:pPr>
        <w:adjustRightInd w:val="0"/>
        <w:snapToGrid w:val="0"/>
        <w:spacing w:line="360" w:lineRule="auto"/>
        <w:ind w:firstLine="422" w:firstLineChars="200"/>
        <w:rPr>
          <w:b/>
          <w:bCs/>
          <w:szCs w:val="21"/>
        </w:rPr>
      </w:pPr>
      <w:r>
        <w:rPr>
          <w:rFonts w:hint="eastAsia"/>
          <w:b/>
          <w:bCs/>
          <w:szCs w:val="21"/>
        </w:rPr>
        <w:t>课程目标定量评价：</w:t>
      </w:r>
    </w:p>
    <w:p>
      <w:pPr>
        <w:adjustRightInd w:val="0"/>
        <w:snapToGrid w:val="0"/>
        <w:spacing w:line="360" w:lineRule="auto"/>
        <w:ind w:firstLine="420" w:firstLineChars="200"/>
        <w:rPr>
          <w:szCs w:val="21"/>
        </w:rPr>
      </w:pPr>
      <w:r>
        <w:rPr>
          <w:szCs w:val="21"/>
        </w:rPr>
        <w:t>达成值计算法结合上表权重分配，采用</w:t>
      </w:r>
      <w:r>
        <w:rPr>
          <w:rFonts w:hint="eastAsia"/>
          <w:szCs w:val="21"/>
        </w:rPr>
        <w:t>下表进行计算。</w:t>
      </w:r>
    </w:p>
    <w:p>
      <w:pPr>
        <w:adjustRightInd w:val="0"/>
        <w:snapToGrid w:val="0"/>
        <w:spacing w:line="360" w:lineRule="auto"/>
        <w:ind w:firstLine="420" w:firstLineChars="200"/>
        <w:rPr>
          <w:szCs w:val="21"/>
        </w:rPr>
      </w:pPr>
      <w:r>
        <w:rPr>
          <w:szCs w:val="21"/>
        </w:rPr>
        <w:t>单一课程目标达成度评价采用下式：</w:t>
      </w:r>
    </w:p>
    <w:p>
      <w:pPr>
        <w:adjustRightInd w:val="0"/>
        <w:snapToGrid w:val="0"/>
        <w:spacing w:line="360" w:lineRule="auto"/>
        <w:ind w:firstLine="420" w:firstLineChars="200"/>
        <w:rPr>
          <w:szCs w:val="21"/>
        </w:rPr>
      </w:pPr>
      <w:r>
        <w:rPr>
          <w:position w:val="-30"/>
          <w:szCs w:val="21"/>
        </w:rPr>
        <w:object>
          <v:shape id="_x0000_i1151" o:spt="75" type="#_x0000_t75" style="height:36pt;width:165.5pt;" o:ole="t" filled="f" o:preferrelative="t" stroked="f" coordsize="21600,21600">
            <v:path/>
            <v:fill on="f" focussize="0,0"/>
            <v:stroke on="f" joinstyle="miter"/>
            <v:imagedata r:id="rId145" o:title=""/>
            <o:lock v:ext="edit" aspectratio="t"/>
            <w10:wrap type="none"/>
            <w10:anchorlock/>
          </v:shape>
          <o:OLEObject Type="Embed" ProgID="Equation.3" ShapeID="_x0000_i1151" DrawAspect="Content" ObjectID="_1468075851" r:id="rId289">
            <o:LockedField>false</o:LockedField>
          </o:OLEObject>
        </w:object>
      </w:r>
    </w:p>
    <w:p>
      <w:pPr>
        <w:adjustRightInd w:val="0"/>
        <w:snapToGrid w:val="0"/>
        <w:spacing w:line="360" w:lineRule="auto"/>
        <w:ind w:firstLine="420" w:firstLineChars="200"/>
        <w:rPr>
          <w:szCs w:val="21"/>
        </w:rPr>
      </w:pPr>
      <w:r>
        <w:rPr>
          <w:szCs w:val="21"/>
        </w:rPr>
        <w:t>总的课程目标达成度评价采用下式：</w:t>
      </w:r>
    </w:p>
    <w:p>
      <w:pPr>
        <w:adjustRightInd w:val="0"/>
        <w:snapToGrid w:val="0"/>
        <w:spacing w:line="360" w:lineRule="auto"/>
        <w:ind w:firstLine="420" w:firstLineChars="200"/>
        <w:rPr>
          <w:szCs w:val="21"/>
        </w:rPr>
      </w:pPr>
      <w:r>
        <w:rPr>
          <w:position w:val="-30"/>
          <w:szCs w:val="21"/>
        </w:rPr>
        <w:object>
          <v:shape id="_x0000_i1152" o:spt="75" type="#_x0000_t75" style="height:36pt;width:150pt;" o:ole="t" filled="f" o:preferrelative="t" stroked="f" coordsize="21600,21600">
            <v:path/>
            <v:fill on="f" focussize="0,0"/>
            <v:stroke on="f" joinstyle="miter"/>
            <v:imagedata r:id="rId147" o:title=""/>
            <o:lock v:ext="edit" aspectratio="t"/>
            <w10:wrap type="none"/>
            <w10:anchorlock/>
          </v:shape>
          <o:OLEObject Type="Embed" ProgID="Equation.3" ShapeID="_x0000_i1152" DrawAspect="Content" ObjectID="_1468075852" r:id="rId290">
            <o:LockedField>false</o:LockedField>
          </o:OLEObject>
        </w:object>
      </w:r>
    </w:p>
    <w:p>
      <w:pPr>
        <w:adjustRightInd w:val="0"/>
        <w:snapToGrid w:val="0"/>
        <w:spacing w:line="360" w:lineRule="auto"/>
        <w:ind w:firstLine="420" w:firstLineChars="200"/>
        <w:rPr>
          <w:szCs w:val="21"/>
        </w:rPr>
      </w:pPr>
      <w:r>
        <w:rPr>
          <w:szCs w:val="21"/>
        </w:rPr>
        <w:t>以上公式中：</w:t>
      </w:r>
    </w:p>
    <w:p>
      <w:pPr>
        <w:adjustRightInd w:val="0"/>
        <w:snapToGrid w:val="0"/>
        <w:spacing w:line="360" w:lineRule="auto"/>
        <w:ind w:firstLine="420" w:firstLineChars="200"/>
        <w:rPr>
          <w:szCs w:val="21"/>
        </w:rPr>
      </w:pPr>
      <w:r>
        <w:rPr>
          <w:i/>
          <w:szCs w:val="21"/>
        </w:rPr>
        <w:t>k</w:t>
      </w:r>
      <w:r>
        <w:rPr>
          <w:szCs w:val="21"/>
        </w:rPr>
        <w:t>表示不同的评价方式，</w:t>
      </w:r>
      <w:r>
        <w:rPr>
          <w:i/>
          <w:szCs w:val="21"/>
        </w:rPr>
        <w:t>i</w:t>
      </w:r>
      <w:r>
        <w:rPr>
          <w:szCs w:val="21"/>
        </w:rPr>
        <w:t>表示不同的课程目标。</w:t>
      </w:r>
    </w:p>
    <w:p>
      <w:pPr>
        <w:adjustRightInd w:val="0"/>
        <w:snapToGrid w:val="0"/>
        <w:spacing w:line="360" w:lineRule="auto"/>
        <w:ind w:firstLine="420" w:firstLineChars="200"/>
      </w:pPr>
      <w:r>
        <w:rPr>
          <w:position w:val="-10"/>
        </w:rPr>
        <w:object>
          <v:shape id="_x0000_i1153" o:spt="75" type="#_x0000_t75" style="height:17.5pt;width:14.5pt;" o:ole="t" filled="f" o:preferrelative="t" stroked="f" coordsize="21600,21600">
            <v:path/>
            <v:fill on="f" focussize="0,0"/>
            <v:stroke on="f" joinstyle="miter"/>
            <v:imagedata r:id="rId149" o:title=""/>
            <o:lock v:ext="edit" aspectratio="t"/>
            <w10:wrap type="none"/>
            <w10:anchorlock/>
          </v:shape>
          <o:OLEObject Type="Embed" ProgID="Equation.3" ShapeID="_x0000_i1153" DrawAspect="Content" ObjectID="_1468075853" r:id="rId291">
            <o:LockedField>false</o:LockedField>
          </o:OLEObject>
        </w:object>
      </w:r>
      <w:r>
        <w:t>表示第</w:t>
      </w:r>
      <w:r>
        <w:rPr>
          <w:i/>
        </w:rPr>
        <w:t>k</w:t>
      </w:r>
      <w:r>
        <w:t>种评价方式期末评价成绩平均分，均为百分制；</w:t>
      </w:r>
    </w:p>
    <w:p>
      <w:pPr>
        <w:adjustRightInd w:val="0"/>
        <w:snapToGrid w:val="0"/>
        <w:spacing w:line="360" w:lineRule="auto"/>
        <w:ind w:firstLine="420" w:firstLineChars="200"/>
      </w:pPr>
      <w:r>
        <w:rPr>
          <w:position w:val="-10"/>
        </w:rPr>
        <w:object>
          <v:shape id="_x0000_i1154" o:spt="75" type="#_x0000_t75" style="height:17.5pt;width:74.5pt;" o:ole="t" filled="f" o:preferrelative="t" stroked="f" coordsize="21600,21600">
            <v:path/>
            <v:fill on="f" focussize="0,0"/>
            <v:stroke on="f" joinstyle="miter"/>
            <v:imagedata r:id="rId151" o:title=""/>
            <o:lock v:ext="edit" aspectratio="t"/>
            <w10:wrap type="none"/>
            <w10:anchorlock/>
          </v:shape>
          <o:OLEObject Type="Embed" ProgID="Equation.3" ShapeID="_x0000_i1154" DrawAspect="Content" ObjectID="_1468075854" r:id="rId292">
            <o:LockedField>false</o:LockedField>
          </o:OLEObject>
        </w:object>
      </w:r>
      <w:r>
        <w:t>是第</w:t>
      </w:r>
      <w:r>
        <w:rPr>
          <w:i/>
        </w:rPr>
        <w:t>k</w:t>
      </w:r>
      <w:r>
        <w:t>种评价方式通过第</w:t>
      </w:r>
      <w:r>
        <w:rPr>
          <w:i/>
        </w:rPr>
        <w:t>i</w:t>
      </w:r>
      <w:r>
        <w:t>个课程目标反映在总的课程目标评分占比；</w:t>
      </w:r>
    </w:p>
    <w:p>
      <w:pPr>
        <w:adjustRightInd w:val="0"/>
        <w:snapToGrid w:val="0"/>
        <w:spacing w:line="360" w:lineRule="auto"/>
        <w:ind w:firstLine="420" w:firstLineChars="200"/>
        <w:rPr>
          <w:szCs w:val="21"/>
        </w:rPr>
      </w:pPr>
      <w:r>
        <w:rPr>
          <w:position w:val="-10"/>
        </w:rPr>
        <w:object>
          <v:shape id="_x0000_i1155" o:spt="75" type="#_x0000_t75" style="height:17.5pt;width:17.5pt;" o:ole="t" filled="f" o:preferrelative="t" stroked="f" coordsize="21600,21600">
            <v:path/>
            <v:fill on="f" focussize="0,0"/>
            <v:stroke on="f" joinstyle="miter"/>
            <v:imagedata r:id="rId153" o:title=""/>
            <o:lock v:ext="edit" aspectratio="t"/>
            <w10:wrap type="none"/>
            <w10:anchorlock/>
          </v:shape>
          <o:OLEObject Type="Embed" ProgID="Equation.3" ShapeID="_x0000_i1155" DrawAspect="Content" ObjectID="_1468075855" r:id="rId293">
            <o:LockedField>false</o:LockedField>
          </o:OLEObject>
        </w:object>
      </w:r>
      <w:r>
        <w:t>表示第</w:t>
      </w:r>
      <w:r>
        <w:rPr>
          <w:i/>
        </w:rPr>
        <w:t>k</w:t>
      </w:r>
      <w:r>
        <w:t>种评价方式对第</w:t>
      </w:r>
      <w:r>
        <w:rPr>
          <w:i/>
        </w:rPr>
        <w:t>i</w:t>
      </w:r>
      <w:r>
        <w:t>个课程目标百分占比；</w:t>
      </w:r>
    </w:p>
    <w:p>
      <w:pPr>
        <w:adjustRightInd w:val="0"/>
        <w:snapToGrid w:val="0"/>
        <w:spacing w:line="360" w:lineRule="auto"/>
        <w:ind w:firstLine="420" w:firstLineChars="200"/>
      </w:pPr>
      <w:r>
        <w:rPr>
          <w:position w:val="-10"/>
        </w:rPr>
        <w:object>
          <v:shape id="_x0000_i1156" o:spt="75" type="#_x0000_t75" style="height:17.5pt;width:13pt;" o:ole="t" filled="f" o:preferrelative="t" stroked="f" coordsize="21600,21600">
            <v:path/>
            <v:fill on="f" focussize="0,0"/>
            <v:stroke on="f" joinstyle="miter"/>
            <v:imagedata r:id="rId155" o:title=""/>
            <o:lock v:ext="edit" aspectratio="t"/>
            <w10:wrap type="none"/>
            <w10:anchorlock/>
          </v:shape>
          <o:OLEObject Type="Embed" ProgID="Equation.3" ShapeID="_x0000_i1156" DrawAspect="Content" ObjectID="_1468075856" r:id="rId294">
            <o:LockedField>false</o:LockedField>
          </o:OLEObject>
        </w:object>
      </w:r>
      <w:r>
        <w:t>表示第</w:t>
      </w:r>
      <w:r>
        <w:rPr>
          <w:i/>
        </w:rPr>
        <w:t>i</w:t>
      </w:r>
      <w:r>
        <w:t>个课程目标在课程总评价中的占比；</w:t>
      </w:r>
    </w:p>
    <w:p>
      <w:pPr>
        <w:adjustRightInd w:val="0"/>
        <w:snapToGrid w:val="0"/>
        <w:spacing w:line="360" w:lineRule="auto"/>
        <w:ind w:firstLine="422" w:firstLineChars="200"/>
        <w:rPr>
          <w:b/>
          <w:bCs/>
          <w:position w:val="-10"/>
          <w:szCs w:val="22"/>
        </w:rPr>
      </w:pPr>
      <w:r>
        <w:rPr>
          <w:rFonts w:hint="eastAsia"/>
          <w:b/>
          <w:bCs/>
          <w:position w:val="-10"/>
          <w:szCs w:val="22"/>
        </w:rPr>
        <w:t>课程目标定性评价：</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针对每门课的课程目标，直接设计问题，并要求学生明确给出目标能力达到的程度“很好（0.95）、较好（0.75）、中（0.60）、较差（0.45）、很差（0.25）”，根据各区段统计比例与括号中的目标分值加权后求和得出定性评价的结果。</w:t>
      </w:r>
    </w:p>
    <w:p>
      <w:pPr>
        <w:adjustRightInd w:val="0"/>
        <w:snapToGrid w:val="0"/>
        <w:spacing w:line="360" w:lineRule="auto"/>
        <w:ind w:firstLine="422" w:firstLineChars="200"/>
        <w:rPr>
          <w:b/>
          <w:bCs/>
          <w:position w:val="-10"/>
          <w:szCs w:val="22"/>
        </w:rPr>
      </w:pPr>
      <w:r>
        <w:rPr>
          <w:rFonts w:hint="eastAsia"/>
          <w:b/>
          <w:bCs/>
          <w:position w:val="-10"/>
          <w:szCs w:val="22"/>
        </w:rPr>
        <w:t>课程目标达成结果：</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同一课程目标的评价，取定性评价和定量评价的平均值，作为最终评价结果。</w:t>
      </w:r>
    </w:p>
    <w:p>
      <w:pPr>
        <w:adjustRightInd w:val="0"/>
        <w:snapToGrid w:val="0"/>
        <w:spacing w:line="360" w:lineRule="auto"/>
        <w:ind w:firstLine="420" w:firstLineChars="200"/>
        <w:rPr>
          <w:position w:val="-10"/>
          <w:szCs w:val="22"/>
        </w:rPr>
      </w:pPr>
      <w:r>
        <w:rPr>
          <w:rFonts w:hint="eastAsia"/>
          <w:position w:val="-10"/>
          <w:szCs w:val="22"/>
        </w:rPr>
        <w:t>课程目标达成度大于等于0.71为一级达成，大于等于0.65为二级达成。</w:t>
      </w:r>
    </w:p>
    <w:p>
      <w:pPr>
        <w:widowControl/>
        <w:adjustRightInd w:val="0"/>
        <w:snapToGrid w:val="0"/>
        <w:jc w:val="left"/>
        <w:rPr>
          <w:rFonts w:eastAsia="黑体"/>
          <w:szCs w:val="24"/>
        </w:rPr>
      </w:pPr>
    </w:p>
    <w:p>
      <w:pPr>
        <w:tabs>
          <w:tab w:val="left" w:pos="420"/>
        </w:tabs>
        <w:adjustRightInd w:val="0"/>
        <w:snapToGrid w:val="0"/>
        <w:spacing w:line="360" w:lineRule="auto"/>
        <w:ind w:left="420" w:hanging="420"/>
        <w:rPr>
          <w:rFonts w:eastAsia="黑体"/>
          <w:szCs w:val="24"/>
        </w:rPr>
      </w:pPr>
      <w:r>
        <w:rPr>
          <w:rFonts w:hint="eastAsia" w:eastAsia="黑体"/>
          <w:szCs w:val="24"/>
        </w:rPr>
        <w:t>十一、各环节评价标准</w:t>
      </w:r>
    </w:p>
    <w:p>
      <w:pPr>
        <w:adjustRightInd w:val="0"/>
        <w:snapToGrid w:val="0"/>
        <w:spacing w:line="360" w:lineRule="auto"/>
        <w:ind w:firstLine="420" w:firstLineChars="200"/>
        <w:rPr>
          <w:szCs w:val="21"/>
        </w:rPr>
      </w:pPr>
      <w:r>
        <w:rPr>
          <w:rFonts w:hint="eastAsia"/>
          <w:szCs w:val="21"/>
        </w:rPr>
        <w:t>本课程允许教师在各评价环节根据具体情况采取多样化、个性化的考核手段，其评价标准应当在《</w:t>
      </w:r>
      <w:r>
        <w:rPr>
          <w:rFonts w:hint="eastAsia" w:ascii="宋体" w:hAnsi="宋体"/>
          <w:szCs w:val="21"/>
        </w:rPr>
        <w:t>SIE-CT-01：</w:t>
      </w:r>
      <w:r>
        <w:rPr>
          <w:rFonts w:hint="eastAsia"/>
          <w:szCs w:val="21"/>
        </w:rPr>
        <w:t>授课计划》中明确并向学生公布，教学过程中的考核评价应当严格按照标准完成。</w:t>
      </w:r>
    </w:p>
    <w:p>
      <w:pPr>
        <w:tabs>
          <w:tab w:val="left" w:pos="420"/>
        </w:tabs>
        <w:adjustRightInd w:val="0"/>
        <w:snapToGrid w:val="0"/>
        <w:spacing w:line="360" w:lineRule="auto"/>
        <w:ind w:left="420" w:hanging="420"/>
        <w:rPr>
          <w:color w:val="0000FF"/>
        </w:rPr>
      </w:pPr>
    </w:p>
    <w:p>
      <w:pPr>
        <w:tabs>
          <w:tab w:val="left" w:pos="420"/>
        </w:tabs>
        <w:adjustRightInd w:val="0"/>
        <w:snapToGrid w:val="0"/>
        <w:spacing w:line="360" w:lineRule="auto"/>
        <w:ind w:left="420" w:hanging="420"/>
        <w:rPr>
          <w:rFonts w:eastAsia="黑体"/>
          <w:szCs w:val="24"/>
        </w:rPr>
      </w:pPr>
      <w:r>
        <w:rPr>
          <w:rFonts w:hint="eastAsia" w:eastAsia="黑体"/>
          <w:szCs w:val="24"/>
        </w:rPr>
        <w:t>十二、课程目标达成评价结果用于持续改进</w:t>
      </w:r>
    </w:p>
    <w:p>
      <w:pPr>
        <w:adjustRightInd w:val="0"/>
        <w:snapToGrid w:val="0"/>
        <w:spacing w:line="360" w:lineRule="auto"/>
        <w:ind w:firstLine="420" w:firstLineChars="200"/>
        <w:rPr>
          <w:szCs w:val="21"/>
        </w:rPr>
      </w:pPr>
      <w:r>
        <w:rPr>
          <w:rFonts w:hint="eastAsia"/>
          <w:szCs w:val="21"/>
        </w:rPr>
        <w:t>课程目标达成评价结果将用于后续教学过程的持续改进。</w:t>
      </w:r>
    </w:p>
    <w:p>
      <w:pPr>
        <w:adjustRightInd w:val="0"/>
        <w:snapToGrid w:val="0"/>
        <w:spacing w:line="360" w:lineRule="auto"/>
        <w:ind w:firstLine="420" w:firstLineChars="200"/>
        <w:rPr>
          <w:szCs w:val="21"/>
        </w:rPr>
        <w:sectPr>
          <w:headerReference r:id="rId126" w:type="first"/>
          <w:footerReference r:id="rId129" w:type="first"/>
          <w:headerReference r:id="rId124" w:type="default"/>
          <w:footerReference r:id="rId127" w:type="default"/>
          <w:headerReference r:id="rId125" w:type="even"/>
          <w:footerReference r:id="rId128" w:type="even"/>
          <w:pgSz w:w="11906" w:h="16838"/>
          <w:pgMar w:top="1440" w:right="1800" w:bottom="1440" w:left="1800" w:header="851" w:footer="992" w:gutter="0"/>
          <w:pgNumType w:fmt="decimal"/>
          <w:cols w:space="425" w:num="1"/>
          <w:docGrid w:type="lines" w:linePitch="312" w:charSpace="0"/>
        </w:sectPr>
      </w:pPr>
      <w:r>
        <w:rPr>
          <w:rFonts w:hint="eastAsia"/>
          <w:szCs w:val="21"/>
        </w:rPr>
        <w:t>针对课程目标达成评价中发现的问题与不足，重点是达成值相对较低的项，在本次授课总结中应由授课教师分析具体原因，并给出改进建议。后续任课教师应当针对以前的问题和建议，在授课计划中做好落实改进计划，并在授课过程中予以落实。</w:t>
      </w:r>
    </w:p>
    <w:bookmarkEnd w:id="41"/>
    <w:p>
      <w:pPr>
        <w:pStyle w:val="18"/>
        <w:spacing w:before="312" w:after="468"/>
        <w:rPr>
          <w:rFonts w:hint="eastAsia"/>
          <w:bCs w:val="0"/>
          <w:szCs w:val="28"/>
        </w:rPr>
      </w:pPr>
      <w:bookmarkStart w:id="42" w:name="_Toc32005"/>
      <w:r>
        <w:rPr>
          <w:rFonts w:hint="eastAsia" w:ascii="Times New Roman" w:hAnsi="Times New Roman" w:cs="Times New Roman"/>
        </w:rPr>
        <w:t>《计算思维导论》课程教学大纲</w:t>
      </w:r>
      <w:bookmarkEnd w:id="42"/>
      <w:r>
        <w:rPr>
          <w:rFonts w:hint="eastAsia"/>
          <w:bCs w:val="0"/>
          <w:szCs w:val="28"/>
        </w:rPr>
        <w:t xml:space="preserve"> </w:t>
      </w:r>
    </w:p>
    <w:p>
      <w:pPr>
        <w:spacing w:line="360" w:lineRule="auto"/>
        <w:ind w:firstLine="420" w:firstLineChars="200"/>
        <w:rPr>
          <w:rFonts w:hint="eastAsia" w:eastAsia="黑体"/>
          <w:bCs/>
          <w:szCs w:val="21"/>
        </w:rPr>
      </w:pPr>
      <w:r>
        <w:rPr>
          <w:rFonts w:hint="eastAsia" w:eastAsia="黑体"/>
          <w:bCs/>
          <w:szCs w:val="21"/>
        </w:rPr>
        <w:t>一、课程基本信息</w:t>
      </w:r>
    </w:p>
    <w:p>
      <w:pPr>
        <w:spacing w:line="360" w:lineRule="auto"/>
        <w:ind w:firstLine="420" w:firstLineChars="200"/>
        <w:rPr>
          <w:rFonts w:hint="eastAsia" w:eastAsia="黑体"/>
          <w:bCs/>
          <w:szCs w:val="21"/>
          <w:lang w:eastAsia="zh-CN"/>
        </w:rPr>
      </w:pPr>
      <w:r>
        <w:rPr>
          <w:rFonts w:hint="eastAsia" w:eastAsia="黑体"/>
          <w:bCs/>
          <w:szCs w:val="21"/>
        </w:rPr>
        <w:t>制定人：王佳云                          教学基层组织审核人：</w:t>
      </w:r>
      <w:r>
        <w:rPr>
          <w:rFonts w:hint="eastAsia" w:eastAsia="黑体"/>
          <w:bCs/>
          <w:szCs w:val="21"/>
          <w:lang w:eastAsia="zh-CN"/>
        </w:rPr>
        <w:t>刘文耀</w:t>
      </w:r>
    </w:p>
    <w:p>
      <w:pPr>
        <w:spacing w:line="360" w:lineRule="auto"/>
        <w:ind w:firstLine="420" w:firstLineChars="200"/>
        <w:rPr>
          <w:rFonts w:hint="eastAsia" w:eastAsia="黑体"/>
          <w:bCs/>
          <w:szCs w:val="21"/>
          <w:lang w:eastAsia="zh-CN"/>
        </w:rPr>
      </w:pPr>
      <w:r>
        <w:rPr>
          <w:rFonts w:hint="eastAsia" w:eastAsia="黑体"/>
          <w:bCs/>
          <w:szCs w:val="21"/>
        </w:rPr>
        <w:t>开课学院：仪器与电子学院                开课学院审核人：</w:t>
      </w:r>
      <w:r>
        <w:rPr>
          <w:rFonts w:hint="eastAsia" w:eastAsia="黑体"/>
          <w:bCs/>
          <w:szCs w:val="21"/>
          <w:lang w:eastAsia="zh-CN"/>
        </w:rPr>
        <w:t>刘文怡</w:t>
      </w:r>
    </w:p>
    <w:p>
      <w:pPr>
        <w:spacing w:line="360" w:lineRule="auto"/>
        <w:ind w:firstLine="420" w:firstLineChars="200"/>
        <w:rPr>
          <w:rFonts w:hint="eastAsia" w:eastAsia="黑体"/>
          <w:bCs/>
          <w:szCs w:val="21"/>
        </w:rPr>
      </w:pPr>
      <w:r>
        <w:rPr>
          <w:rFonts w:hint="eastAsia" w:eastAsia="黑体"/>
          <w:bCs/>
          <w:szCs w:val="21"/>
        </w:rPr>
        <w:t>课程名称（中文）：计算思维导论</w:t>
      </w:r>
    </w:p>
    <w:p>
      <w:pPr>
        <w:spacing w:line="360" w:lineRule="auto"/>
        <w:ind w:firstLine="420" w:firstLineChars="200"/>
        <w:rPr>
          <w:rFonts w:hint="eastAsia" w:eastAsia="黑体"/>
          <w:bCs/>
          <w:szCs w:val="21"/>
        </w:rPr>
      </w:pPr>
      <w:r>
        <w:rPr>
          <w:rFonts w:hint="eastAsia" w:eastAsia="黑体"/>
          <w:bCs/>
          <w:szCs w:val="21"/>
        </w:rPr>
        <w:t>课程名称（英文）：</w:t>
      </w:r>
      <w:r>
        <w:rPr>
          <w:rFonts w:eastAsia="黑体"/>
          <w:bCs/>
          <w:szCs w:val="21"/>
        </w:rPr>
        <w:t>An introduction to computational thinking</w:t>
      </w:r>
    </w:p>
    <w:p>
      <w:pPr>
        <w:spacing w:line="360" w:lineRule="auto"/>
        <w:ind w:firstLine="420" w:firstLineChars="200"/>
        <w:rPr>
          <w:rFonts w:hint="eastAsia" w:eastAsia="黑体"/>
          <w:bCs/>
          <w:szCs w:val="21"/>
        </w:rPr>
      </w:pPr>
      <w:r>
        <w:rPr>
          <w:rFonts w:hint="eastAsia" w:eastAsia="黑体"/>
          <w:bCs/>
          <w:szCs w:val="21"/>
        </w:rPr>
        <w:t>课程类别：专业类教育课程                课程性质：必修</w:t>
      </w:r>
    </w:p>
    <w:p>
      <w:pPr>
        <w:spacing w:line="360" w:lineRule="auto"/>
        <w:ind w:firstLine="420" w:firstLineChars="200"/>
        <w:rPr>
          <w:rFonts w:hint="eastAsia" w:eastAsia="黑体"/>
          <w:bCs/>
          <w:szCs w:val="21"/>
        </w:rPr>
      </w:pPr>
      <w:r>
        <w:rPr>
          <w:rFonts w:hint="eastAsia" w:eastAsia="黑体"/>
          <w:bCs/>
          <w:szCs w:val="21"/>
        </w:rPr>
        <w:t xml:space="preserve">课程代码：Z03060401  </w:t>
      </w:r>
      <w:r>
        <w:rPr>
          <w:rFonts w:hint="eastAsia" w:eastAsia="黑体"/>
          <w:bCs/>
          <w:szCs w:val="21"/>
        </w:rPr>
        <w:tab/>
      </w:r>
      <w:r>
        <w:rPr>
          <w:rFonts w:hint="eastAsia" w:eastAsia="黑体"/>
          <w:bCs/>
          <w:szCs w:val="21"/>
          <w:lang w:val="en-US" w:eastAsia="zh-CN"/>
        </w:rPr>
        <w:t xml:space="preserve">                </w:t>
      </w:r>
      <w:r>
        <w:rPr>
          <w:rFonts w:hint="eastAsia" w:eastAsia="黑体"/>
          <w:bCs/>
          <w:szCs w:val="21"/>
        </w:rPr>
        <w:t>适用层次（本科）：本科</w:t>
      </w:r>
    </w:p>
    <w:p>
      <w:pPr>
        <w:spacing w:line="360" w:lineRule="auto"/>
        <w:ind w:firstLine="420" w:firstLineChars="200"/>
        <w:rPr>
          <w:rFonts w:eastAsia="黑体"/>
          <w:bCs/>
          <w:szCs w:val="21"/>
        </w:rPr>
      </w:pPr>
      <w:r>
        <w:rPr>
          <w:rFonts w:hint="eastAsia" w:eastAsia="黑体"/>
          <w:bCs/>
          <w:szCs w:val="21"/>
        </w:rPr>
        <w:t>适用专业：智能感知工程                  计划学分</w:t>
      </w:r>
      <w:r>
        <w:rPr>
          <w:rFonts w:eastAsia="黑体"/>
          <w:bCs/>
          <w:szCs w:val="21"/>
        </w:rPr>
        <w:t>：2.5</w:t>
      </w:r>
    </w:p>
    <w:p>
      <w:pPr>
        <w:spacing w:line="360" w:lineRule="auto"/>
        <w:ind w:firstLine="420" w:firstLineChars="200"/>
        <w:rPr>
          <w:rFonts w:eastAsia="黑体"/>
          <w:bCs/>
          <w:szCs w:val="21"/>
        </w:rPr>
      </w:pPr>
      <w:r>
        <w:rPr>
          <w:rFonts w:eastAsia="黑体"/>
          <w:bCs/>
          <w:szCs w:val="21"/>
        </w:rPr>
        <w:t>计划学时（周数）：40                     讲课学时：40       实验学时：0</w:t>
      </w:r>
    </w:p>
    <w:p>
      <w:pPr>
        <w:spacing w:line="360" w:lineRule="auto"/>
        <w:ind w:firstLine="420" w:firstLineChars="200"/>
        <w:rPr>
          <w:rFonts w:hint="eastAsia" w:eastAsia="黑体"/>
          <w:bCs/>
          <w:szCs w:val="21"/>
          <w:lang w:eastAsia="zh-CN"/>
        </w:rPr>
      </w:pPr>
      <w:r>
        <w:rPr>
          <w:rFonts w:eastAsia="黑体"/>
          <w:bCs/>
          <w:szCs w:val="21"/>
        </w:rPr>
        <w:t>开课学期：4                             考核方式：</w:t>
      </w:r>
      <w:r>
        <w:rPr>
          <w:rFonts w:hint="eastAsia" w:eastAsia="黑体"/>
          <w:bCs/>
          <w:szCs w:val="21"/>
          <w:lang w:eastAsia="zh-CN"/>
        </w:rPr>
        <w:t>考试</w:t>
      </w:r>
    </w:p>
    <w:p>
      <w:pPr>
        <w:spacing w:line="360" w:lineRule="auto"/>
        <w:ind w:firstLine="420" w:firstLineChars="200"/>
        <w:rPr>
          <w:rFonts w:eastAsia="黑体"/>
          <w:bCs/>
          <w:szCs w:val="21"/>
        </w:rPr>
      </w:pPr>
      <w:r>
        <w:rPr>
          <w:rFonts w:eastAsia="黑体"/>
          <w:bCs/>
          <w:szCs w:val="21"/>
        </w:rPr>
        <w:t>先修课程：</w:t>
      </w:r>
      <w:r>
        <w:rPr>
          <w:rFonts w:hint="eastAsia" w:eastAsia="黑体"/>
          <w:bCs/>
          <w:szCs w:val="21"/>
          <w:lang w:val="en-US" w:eastAsia="zh-CN"/>
        </w:rPr>
        <w:t>C语言</w:t>
      </w:r>
      <w:r>
        <w:rPr>
          <w:rFonts w:hint="eastAsia" w:eastAsia="黑体"/>
          <w:bCs/>
          <w:szCs w:val="21"/>
        </w:rPr>
        <w:t>程序设计</w:t>
      </w:r>
    </w:p>
    <w:p>
      <w:pPr>
        <w:spacing w:line="360" w:lineRule="auto"/>
        <w:ind w:firstLine="420" w:firstLineChars="200"/>
        <w:rPr>
          <w:rFonts w:hint="eastAsia" w:eastAsia="黑体"/>
          <w:bCs/>
          <w:szCs w:val="21"/>
        </w:rPr>
      </w:pPr>
      <w:r>
        <w:rPr>
          <w:rFonts w:hint="eastAsia" w:eastAsia="黑体"/>
          <w:bCs/>
          <w:szCs w:val="21"/>
        </w:rPr>
        <w:t>后续课程：数字信号处理、云计算与物理网</w:t>
      </w:r>
    </w:p>
    <w:p>
      <w:pPr>
        <w:pStyle w:val="9"/>
        <w:rPr>
          <w:rFonts w:hint="eastAsia"/>
        </w:rPr>
      </w:pPr>
    </w:p>
    <w:p>
      <w:pPr>
        <w:spacing w:line="360" w:lineRule="auto"/>
        <w:ind w:firstLine="420" w:firstLineChars="200"/>
        <w:rPr>
          <w:rFonts w:hint="eastAsia" w:eastAsia="黑体"/>
          <w:szCs w:val="21"/>
        </w:rPr>
      </w:pPr>
      <w:r>
        <w:rPr>
          <w:rFonts w:hint="eastAsia" w:eastAsia="黑体"/>
          <w:szCs w:val="21"/>
        </w:rPr>
        <w:t>一、课程性质与教学目标</w:t>
      </w:r>
    </w:p>
    <w:p>
      <w:pPr>
        <w:spacing w:line="360" w:lineRule="auto"/>
        <w:ind w:firstLine="632" w:firstLineChars="300"/>
        <w:rPr>
          <w:rFonts w:ascii="宋体" w:hAnsi="宋体"/>
          <w:b/>
          <w:szCs w:val="21"/>
        </w:rPr>
      </w:pPr>
      <w:r>
        <w:rPr>
          <w:rFonts w:hint="eastAsia" w:ascii="宋体" w:hAnsi="宋体"/>
          <w:b/>
          <w:szCs w:val="21"/>
        </w:rPr>
        <w:t>1、</w:t>
      </w:r>
      <w:r>
        <w:rPr>
          <w:rFonts w:ascii="宋体" w:hAnsi="宋体"/>
          <w:b/>
          <w:szCs w:val="21"/>
        </w:rPr>
        <w:t>课程性质</w:t>
      </w:r>
      <w:r>
        <w:rPr>
          <w:rFonts w:hint="eastAsia" w:ascii="宋体" w:hAnsi="宋体"/>
          <w:b/>
          <w:szCs w:val="21"/>
        </w:rPr>
        <w:t>与任务</w:t>
      </w:r>
      <w:r>
        <w:rPr>
          <w:rFonts w:ascii="宋体" w:hAnsi="宋体"/>
          <w:b/>
          <w:szCs w:val="21"/>
        </w:rPr>
        <w:t>（需说明课程对人才培养</w:t>
      </w:r>
      <w:r>
        <w:rPr>
          <w:rFonts w:hint="eastAsia" w:ascii="宋体" w:hAnsi="宋体"/>
          <w:b/>
          <w:szCs w:val="21"/>
        </w:rPr>
        <w:t>方面</w:t>
      </w:r>
      <w:r>
        <w:rPr>
          <w:rFonts w:ascii="宋体" w:hAnsi="宋体"/>
          <w:b/>
          <w:szCs w:val="21"/>
        </w:rPr>
        <w:t>的贡献）</w:t>
      </w:r>
    </w:p>
    <w:p>
      <w:pPr>
        <w:adjustRightInd w:val="0"/>
        <w:snapToGrid w:val="0"/>
        <w:spacing w:line="360" w:lineRule="auto"/>
        <w:ind w:firstLine="420" w:firstLineChars="200"/>
        <w:rPr>
          <w:rFonts w:hint="eastAsia"/>
          <w:szCs w:val="21"/>
        </w:rPr>
      </w:pPr>
      <w:r>
        <w:rPr>
          <w:rFonts w:hint="eastAsia"/>
          <w:szCs w:val="21"/>
        </w:rPr>
        <w:t>本课程是智能感知工程专业的一门专业类必修课程，是培养学生通过现代工具及媒体构建知识、提升能力的重要课程。本课程的任务是使学生通过本课程的学习培养学生计算思维解能力，了解计算机基础理论知识，具备计算机基本操作、数据库基本应用、网络应用、多媒体技术应用、程序设计、信息系统设计与开发等方面的技能，培养学生利用计算机解决常见实际问题的能力以及终身学习的意识与能力。该课程以</w:t>
      </w:r>
      <w:r>
        <w:rPr>
          <w:szCs w:val="21"/>
        </w:rPr>
        <w:t>《高等数学》、《线性代数》</w:t>
      </w:r>
      <w:r>
        <w:rPr>
          <w:rFonts w:hint="eastAsia"/>
          <w:szCs w:val="21"/>
        </w:rPr>
        <w:t>、《大学计算机基础》为基础，在整个智能感知工程专业教学计划中起到奠基计算理论基础的作用，为后续《数字信号处理》、《云计算与物理网》等专业课程的学习奠定基本的计算思维理论基础。</w:t>
      </w:r>
    </w:p>
    <w:p>
      <w:pPr>
        <w:spacing w:line="360" w:lineRule="auto"/>
        <w:ind w:firstLine="632" w:firstLineChars="300"/>
        <w:rPr>
          <w:rFonts w:hint="eastAsia" w:ascii="宋体" w:hAnsi="宋体"/>
          <w:b/>
          <w:szCs w:val="21"/>
        </w:rPr>
      </w:pPr>
      <w:r>
        <w:rPr>
          <w:rFonts w:hint="eastAsia" w:ascii="宋体" w:hAnsi="宋体"/>
          <w:b/>
          <w:szCs w:val="21"/>
        </w:rPr>
        <w:t>2、课程</w:t>
      </w:r>
      <w:r>
        <w:rPr>
          <w:rFonts w:ascii="宋体" w:hAnsi="宋体"/>
          <w:b/>
          <w:szCs w:val="21"/>
        </w:rPr>
        <w:t>目标</w:t>
      </w:r>
    </w:p>
    <w:p>
      <w:pPr>
        <w:adjustRightInd w:val="0"/>
        <w:snapToGrid w:val="0"/>
        <w:spacing w:line="360" w:lineRule="auto"/>
        <w:ind w:firstLine="420" w:firstLineChars="200"/>
        <w:rPr>
          <w:rFonts w:hint="eastAsia"/>
          <w:bCs/>
          <w:szCs w:val="21"/>
        </w:rPr>
      </w:pPr>
      <w:r>
        <w:rPr>
          <w:rFonts w:hint="eastAsia" w:hAnsi="宋体"/>
          <w:bCs/>
          <w:szCs w:val="21"/>
        </w:rPr>
        <w:t>课程目标</w:t>
      </w:r>
      <w:r>
        <w:rPr>
          <w:rFonts w:hint="eastAsia"/>
          <w:bCs/>
          <w:szCs w:val="21"/>
        </w:rPr>
        <w:t>1</w:t>
      </w:r>
      <w:r>
        <w:rPr>
          <w:rFonts w:hint="eastAsia" w:hAnsi="宋体"/>
          <w:bCs/>
          <w:szCs w:val="21"/>
        </w:rPr>
        <w:t>：能够利用系统思维、算法思维、数据思维、网络化思维以及网络安全与伦理思维进行问题分析，逻辑推理，提高解决问题的能力。</w:t>
      </w:r>
      <w:r>
        <w:rPr>
          <w:rFonts w:hAnsi="宋体"/>
          <w:bCs/>
          <w:szCs w:val="21"/>
        </w:rPr>
        <w:t>（支撑</w:t>
      </w:r>
      <w:r>
        <w:rPr>
          <w:rFonts w:hint="eastAsia" w:hAnsi="宋体"/>
          <w:bCs/>
          <w:szCs w:val="21"/>
        </w:rPr>
        <w:t>毕业要求指标点1-1 知识体系：系统地学习本专业相关的数学、自然科学、电子类工程基础和专业等多方面的知识。</w:t>
      </w:r>
      <w:r>
        <w:rPr>
          <w:rFonts w:hAnsi="宋体"/>
          <w:bCs/>
          <w:szCs w:val="21"/>
        </w:rPr>
        <w:t>）</w:t>
      </w:r>
    </w:p>
    <w:p>
      <w:pPr>
        <w:adjustRightInd w:val="0"/>
        <w:snapToGrid w:val="0"/>
        <w:spacing w:line="360" w:lineRule="auto"/>
        <w:ind w:firstLine="420" w:firstLineChars="200"/>
        <w:rPr>
          <w:rFonts w:hAnsi="宋体"/>
          <w:bCs/>
          <w:szCs w:val="21"/>
        </w:rPr>
      </w:pPr>
      <w:r>
        <w:rPr>
          <w:rFonts w:hint="eastAsia" w:hAnsi="宋体"/>
          <w:bCs/>
          <w:szCs w:val="21"/>
        </w:rPr>
        <w:t>课程目标</w:t>
      </w:r>
      <w:r>
        <w:rPr>
          <w:bCs/>
          <w:szCs w:val="21"/>
        </w:rPr>
        <w:t>2</w:t>
      </w:r>
      <w:r>
        <w:rPr>
          <w:rFonts w:hint="eastAsia" w:hAnsi="宋体"/>
          <w:bCs/>
          <w:szCs w:val="21"/>
        </w:rPr>
        <w:t>：能够运用典型计算思维进行计算系统的构建，并模拟不同计算环境的执行程序。</w:t>
      </w:r>
      <w:r>
        <w:rPr>
          <w:rFonts w:hAnsi="宋体"/>
          <w:bCs/>
          <w:szCs w:val="21"/>
        </w:rPr>
        <w:t>（支撑毕业要求</w:t>
      </w:r>
      <w:r>
        <w:rPr>
          <w:rFonts w:hint="eastAsia" w:hAnsi="宋体"/>
          <w:bCs/>
          <w:szCs w:val="21"/>
        </w:rPr>
        <w:t>指标点1-2 知识运用能力：能将基础知识与本专业基本工程问题结合起来，灵活、恰当地将其运用到复杂电子类工程问题的解决中。</w:t>
      </w:r>
      <w:r>
        <w:rPr>
          <w:rFonts w:hAnsi="宋体"/>
          <w:bCs/>
          <w:szCs w:val="21"/>
        </w:rPr>
        <w:t>）</w:t>
      </w:r>
    </w:p>
    <w:p>
      <w:pPr>
        <w:adjustRightInd w:val="0"/>
        <w:snapToGrid w:val="0"/>
        <w:spacing w:line="360" w:lineRule="auto"/>
        <w:ind w:firstLine="420" w:firstLineChars="200"/>
        <w:rPr>
          <w:rFonts w:hint="eastAsia" w:hAnsi="宋体"/>
          <w:bCs/>
          <w:szCs w:val="21"/>
        </w:rPr>
      </w:pPr>
      <w:r>
        <w:rPr>
          <w:rFonts w:hint="eastAsia" w:hAnsi="宋体"/>
          <w:bCs/>
          <w:szCs w:val="21"/>
        </w:rPr>
        <w:t>课程目标</w:t>
      </w:r>
      <w:r>
        <w:rPr>
          <w:bCs/>
          <w:szCs w:val="21"/>
        </w:rPr>
        <w:t>3</w:t>
      </w:r>
      <w:r>
        <w:rPr>
          <w:rFonts w:hint="eastAsia" w:hAnsi="宋体"/>
          <w:bCs/>
          <w:szCs w:val="21"/>
        </w:rPr>
        <w:t>：能够利用计算手段进行求解的基本思维模式，能够针对复杂系统的问题，利用计算思维进行计算处理的优化。</w:t>
      </w:r>
      <w:r>
        <w:rPr>
          <w:rFonts w:hAnsi="宋体"/>
          <w:bCs/>
          <w:szCs w:val="21"/>
        </w:rPr>
        <w:t>（支撑毕业要求</w:t>
      </w:r>
      <w:r>
        <w:rPr>
          <w:rFonts w:hint="eastAsia" w:hAnsi="宋体"/>
          <w:bCs/>
          <w:szCs w:val="21"/>
        </w:rPr>
        <w:t>指标点3-1 按需设计：能够根据用户特定需求设计复杂工程问题的解决方案，设计相关的电路、系统和工艺流程。并能够针对方案进行优化选择。</w:t>
      </w:r>
      <w:r>
        <w:rPr>
          <w:rFonts w:hAnsi="宋体"/>
          <w:bCs/>
          <w:szCs w:val="21"/>
        </w:rPr>
        <w:t>）</w:t>
      </w:r>
    </w:p>
    <w:p>
      <w:pPr>
        <w:spacing w:line="360" w:lineRule="auto"/>
        <w:ind w:firstLine="420" w:firstLineChars="200"/>
        <w:rPr>
          <w:rFonts w:eastAsia="黑体"/>
          <w:szCs w:val="21"/>
        </w:rPr>
        <w:sectPr>
          <w:headerReference r:id="rId130" w:type="default"/>
          <w:headerReference r:id="rId131" w:type="even"/>
          <w:pgSz w:w="11906" w:h="16838"/>
          <w:pgMar w:top="1440" w:right="1418" w:bottom="1440" w:left="1418" w:header="851" w:footer="992" w:gutter="0"/>
          <w:pgNumType w:fmt="decimal"/>
          <w:cols w:space="720" w:num="1"/>
          <w:docGrid w:type="lines" w:linePitch="312" w:charSpace="0"/>
        </w:sectPr>
      </w:pPr>
      <w:r>
        <w:rPr>
          <w:rFonts w:hint="eastAsia" w:hAnsi="宋体"/>
          <w:bCs/>
          <w:color w:val="000000"/>
          <w:szCs w:val="21"/>
        </w:rPr>
        <w:t>思政目标：计算思维是以计算机科学求解问题的重要思维方式。通过学习相关知识，引导学生树立正确认识世界改造世界的方法；通过了解该课程涉及相关知识技术的国内外发展现状，激发学生重视专业技术进步与创新、为国家发展贡献力量的意识。</w:t>
      </w:r>
    </w:p>
    <w:p>
      <w:pPr>
        <w:numPr>
          <w:ilvl w:val="0"/>
          <w:numId w:val="13"/>
        </w:numPr>
        <w:spacing w:before="156" w:beforeLines="50" w:after="156" w:afterLines="50" w:line="360" w:lineRule="auto"/>
        <w:ind w:left="420" w:leftChars="200" w:firstLine="105" w:firstLineChars="50"/>
        <w:rPr>
          <w:rFonts w:eastAsia="黑体"/>
          <w:szCs w:val="21"/>
        </w:rPr>
      </w:pPr>
      <w:r>
        <w:rPr>
          <w:rFonts w:hint="eastAsia" w:eastAsia="黑体"/>
          <w:szCs w:val="21"/>
        </w:rPr>
        <w:t>课程内容、思政融入点、</w:t>
      </w:r>
      <w:r>
        <w:rPr>
          <w:rFonts w:eastAsia="黑体"/>
          <w:szCs w:val="21"/>
        </w:rPr>
        <w:t>学时分配及对毕业要求指标点的支撑</w:t>
      </w:r>
    </w:p>
    <w:p>
      <w:pPr>
        <w:spacing w:before="156" w:beforeLines="50" w:after="156" w:afterLines="50" w:line="360" w:lineRule="auto"/>
        <w:ind w:left="422"/>
        <w:jc w:val="center"/>
        <w:rPr>
          <w:rFonts w:hint="eastAsia" w:eastAsia="黑体"/>
          <w:b/>
          <w:szCs w:val="21"/>
        </w:rPr>
      </w:pPr>
      <w:r>
        <w:rPr>
          <w:rFonts w:hint="eastAsia" w:ascii="宋体" w:hAnsi="宋体" w:cs="宋体"/>
          <w:b/>
          <w:szCs w:val="21"/>
        </w:rPr>
        <w:t>表2.1课程内容、学时分配及对毕业要求指标点的支撑</w:t>
      </w:r>
    </w:p>
    <w:tbl>
      <w:tblPr>
        <w:tblStyle w:val="19"/>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756"/>
        <w:gridCol w:w="682"/>
        <w:gridCol w:w="682"/>
        <w:gridCol w:w="602"/>
        <w:gridCol w:w="955"/>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shd w:val="clear" w:color="auto" w:fill="D9D9D9"/>
            <w:vAlign w:val="center"/>
          </w:tcPr>
          <w:p>
            <w:pPr>
              <w:jc w:val="center"/>
              <w:rPr>
                <w:b/>
                <w:sz w:val="18"/>
                <w:szCs w:val="18"/>
              </w:rPr>
            </w:pPr>
            <w:r>
              <w:rPr>
                <w:b/>
                <w:sz w:val="18"/>
                <w:szCs w:val="18"/>
              </w:rPr>
              <w:t>章节</w:t>
            </w:r>
          </w:p>
        </w:tc>
        <w:tc>
          <w:tcPr>
            <w:tcW w:w="7756" w:type="dxa"/>
            <w:shd w:val="clear" w:color="auto" w:fill="D9D9D9"/>
            <w:vAlign w:val="center"/>
          </w:tcPr>
          <w:p>
            <w:pPr>
              <w:jc w:val="center"/>
              <w:rPr>
                <w:b/>
                <w:sz w:val="18"/>
                <w:szCs w:val="18"/>
              </w:rPr>
            </w:pPr>
            <w:r>
              <w:rPr>
                <w:rFonts w:hint="eastAsia"/>
                <w:b/>
                <w:sz w:val="18"/>
                <w:szCs w:val="18"/>
              </w:rPr>
              <w:t>内            容</w:t>
            </w:r>
          </w:p>
        </w:tc>
        <w:tc>
          <w:tcPr>
            <w:tcW w:w="682" w:type="dxa"/>
            <w:shd w:val="clear" w:color="auto" w:fill="D9D9D9"/>
            <w:vAlign w:val="center"/>
          </w:tcPr>
          <w:p>
            <w:pPr>
              <w:jc w:val="center"/>
              <w:rPr>
                <w:b/>
                <w:sz w:val="18"/>
                <w:szCs w:val="18"/>
              </w:rPr>
            </w:pPr>
            <w:r>
              <w:rPr>
                <w:b/>
                <w:sz w:val="18"/>
                <w:szCs w:val="18"/>
              </w:rPr>
              <w:t>讲课</w:t>
            </w:r>
          </w:p>
        </w:tc>
        <w:tc>
          <w:tcPr>
            <w:tcW w:w="682" w:type="dxa"/>
            <w:shd w:val="clear" w:color="auto" w:fill="D9D9D9"/>
            <w:vAlign w:val="center"/>
          </w:tcPr>
          <w:p>
            <w:pPr>
              <w:jc w:val="center"/>
              <w:rPr>
                <w:b/>
                <w:sz w:val="18"/>
                <w:szCs w:val="18"/>
              </w:rPr>
            </w:pPr>
            <w:r>
              <w:rPr>
                <w:b/>
                <w:sz w:val="18"/>
                <w:szCs w:val="18"/>
              </w:rPr>
              <w:t>实验</w:t>
            </w:r>
          </w:p>
        </w:tc>
        <w:tc>
          <w:tcPr>
            <w:tcW w:w="602" w:type="dxa"/>
            <w:shd w:val="clear" w:color="auto" w:fill="D9D9D9"/>
            <w:vAlign w:val="center"/>
          </w:tcPr>
          <w:p>
            <w:pPr>
              <w:jc w:val="center"/>
              <w:rPr>
                <w:b/>
                <w:sz w:val="18"/>
                <w:szCs w:val="18"/>
              </w:rPr>
            </w:pPr>
            <w:r>
              <w:rPr>
                <w:rFonts w:hint="eastAsia"/>
                <w:b/>
                <w:sz w:val="18"/>
                <w:szCs w:val="18"/>
              </w:rPr>
              <w:t>小计</w:t>
            </w:r>
          </w:p>
        </w:tc>
        <w:tc>
          <w:tcPr>
            <w:tcW w:w="955" w:type="dxa"/>
            <w:shd w:val="clear" w:color="auto" w:fill="D9D9D9"/>
            <w:vAlign w:val="center"/>
          </w:tcPr>
          <w:p>
            <w:pPr>
              <w:jc w:val="center"/>
              <w:rPr>
                <w:b/>
                <w:sz w:val="18"/>
                <w:szCs w:val="18"/>
              </w:rPr>
            </w:pPr>
            <w:r>
              <w:rPr>
                <w:b/>
                <w:sz w:val="18"/>
                <w:szCs w:val="18"/>
              </w:rPr>
              <w:t>支撑课程目标</w:t>
            </w:r>
          </w:p>
        </w:tc>
        <w:tc>
          <w:tcPr>
            <w:tcW w:w="1259" w:type="dxa"/>
            <w:shd w:val="clear" w:color="auto" w:fill="D9D9D9"/>
            <w:vAlign w:val="center"/>
          </w:tcPr>
          <w:p>
            <w:pPr>
              <w:jc w:val="center"/>
              <w:rPr>
                <w:b/>
                <w:sz w:val="18"/>
                <w:szCs w:val="18"/>
              </w:rPr>
            </w:pPr>
            <w:r>
              <w:rPr>
                <w:b/>
                <w:sz w:val="18"/>
                <w:szCs w:val="18"/>
              </w:rPr>
              <w:t>支撑的毕业要求指标点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280" w:lineRule="exact"/>
              <w:jc w:val="center"/>
              <w:rPr>
                <w:sz w:val="18"/>
                <w:szCs w:val="18"/>
              </w:rPr>
            </w:pPr>
            <w:r>
              <w:rPr>
                <w:sz w:val="18"/>
                <w:szCs w:val="18"/>
              </w:rPr>
              <w:t>第1章</w:t>
            </w:r>
          </w:p>
        </w:tc>
        <w:tc>
          <w:tcPr>
            <w:tcW w:w="7756" w:type="dxa"/>
          </w:tcPr>
          <w:p>
            <w:pPr>
              <w:spacing w:line="280" w:lineRule="exact"/>
              <w:rPr>
                <w:rFonts w:hint="eastAsia" w:cs="Calibri"/>
                <w:b/>
                <w:sz w:val="18"/>
                <w:szCs w:val="18"/>
              </w:rPr>
            </w:pPr>
            <w:r>
              <w:rPr>
                <w:rFonts w:hint="eastAsia" w:cs="Calibri"/>
                <w:b/>
                <w:sz w:val="18"/>
                <w:szCs w:val="18"/>
              </w:rPr>
              <w:t xml:space="preserve">1  </w:t>
            </w:r>
            <w:r>
              <w:rPr>
                <w:rFonts w:hint="eastAsia"/>
                <w:b/>
                <w:sz w:val="18"/>
                <w:szCs w:val="18"/>
              </w:rPr>
              <w:t>计算机与计算思维</w:t>
            </w:r>
          </w:p>
          <w:p>
            <w:pPr>
              <w:spacing w:line="280" w:lineRule="exact"/>
              <w:ind w:firstLine="180" w:firstLineChars="100"/>
              <w:rPr>
                <w:sz w:val="18"/>
                <w:szCs w:val="18"/>
              </w:rPr>
            </w:pPr>
            <w:r>
              <w:rPr>
                <w:sz w:val="18"/>
                <w:szCs w:val="18"/>
              </w:rPr>
              <w:t xml:space="preserve">1.1 </w:t>
            </w:r>
            <w:r>
              <w:rPr>
                <w:rFonts w:hint="eastAsia"/>
                <w:sz w:val="18"/>
                <w:szCs w:val="18"/>
              </w:rPr>
              <w:t>计算机科学；主要内容：计算机科学的发展及其含义，计算机科学涵盖的领域和发展方向。</w:t>
            </w:r>
          </w:p>
          <w:p>
            <w:pPr>
              <w:spacing w:line="280" w:lineRule="exact"/>
              <w:ind w:firstLine="180" w:firstLineChars="100"/>
              <w:rPr>
                <w:rFonts w:hint="eastAsia"/>
                <w:sz w:val="18"/>
                <w:szCs w:val="18"/>
              </w:rPr>
            </w:pPr>
            <w:r>
              <w:rPr>
                <w:sz w:val="18"/>
                <w:szCs w:val="18"/>
              </w:rPr>
              <w:t>1.2 计算思维</w:t>
            </w:r>
            <w:r>
              <w:rPr>
                <w:rFonts w:hint="eastAsia"/>
                <w:sz w:val="18"/>
                <w:szCs w:val="18"/>
              </w:rPr>
              <w:t>；主要内容：计算思维的概念和本质，计算思维与各学科的关系。</w:t>
            </w:r>
          </w:p>
          <w:p>
            <w:pPr>
              <w:spacing w:line="280" w:lineRule="exact"/>
              <w:ind w:firstLine="180" w:firstLineChars="100"/>
              <w:rPr>
                <w:sz w:val="18"/>
                <w:szCs w:val="18"/>
              </w:rPr>
            </w:pPr>
            <w:r>
              <w:rPr>
                <w:sz w:val="18"/>
                <w:szCs w:val="18"/>
              </w:rPr>
              <w:t>1.3 计算机的发展</w:t>
            </w:r>
            <w:r>
              <w:rPr>
                <w:rFonts w:hint="eastAsia"/>
                <w:sz w:val="18"/>
                <w:szCs w:val="18"/>
              </w:rPr>
              <w:t>；主要内容：计算机的发展概况，计算机的特点、分类及应用。</w:t>
            </w:r>
          </w:p>
          <w:p>
            <w:pPr>
              <w:spacing w:line="280" w:lineRule="exact"/>
              <w:ind w:firstLine="180" w:firstLineChars="100"/>
              <w:rPr>
                <w:sz w:val="18"/>
                <w:szCs w:val="18"/>
              </w:rPr>
            </w:pPr>
            <w:r>
              <w:rPr>
                <w:rFonts w:hint="eastAsia"/>
                <w:sz w:val="18"/>
                <w:szCs w:val="18"/>
              </w:rPr>
              <w:t>重点：计算思维与计算的基本概念，计算机的发展现状。</w:t>
            </w:r>
          </w:p>
          <w:p>
            <w:pPr>
              <w:spacing w:line="280" w:lineRule="exact"/>
              <w:ind w:firstLine="180" w:firstLineChars="100"/>
              <w:rPr>
                <w:rFonts w:hint="eastAsia"/>
                <w:sz w:val="18"/>
                <w:szCs w:val="18"/>
              </w:rPr>
            </w:pPr>
            <w:r>
              <w:rPr>
                <w:rFonts w:hint="eastAsia"/>
                <w:sz w:val="18"/>
                <w:szCs w:val="18"/>
              </w:rPr>
              <w:t>难点：计算思维的本质。</w:t>
            </w:r>
          </w:p>
        </w:tc>
        <w:tc>
          <w:tcPr>
            <w:tcW w:w="682" w:type="dxa"/>
            <w:vAlign w:val="center"/>
          </w:tcPr>
          <w:p>
            <w:pPr>
              <w:spacing w:line="280" w:lineRule="exact"/>
              <w:rPr>
                <w:rFonts w:cs="Calibri"/>
                <w:b/>
                <w:sz w:val="18"/>
                <w:szCs w:val="18"/>
              </w:rPr>
            </w:pPr>
            <w:r>
              <w:rPr>
                <w:rFonts w:hint="eastAsia" w:cs="Calibri"/>
                <w:b/>
                <w:sz w:val="18"/>
                <w:szCs w:val="18"/>
              </w:rPr>
              <w:t>4</w:t>
            </w:r>
          </w:p>
        </w:tc>
        <w:tc>
          <w:tcPr>
            <w:tcW w:w="682" w:type="dxa"/>
            <w:vAlign w:val="center"/>
          </w:tcPr>
          <w:p>
            <w:pPr>
              <w:spacing w:line="280" w:lineRule="exact"/>
              <w:rPr>
                <w:rFonts w:cs="Calibri"/>
                <w:b/>
                <w:sz w:val="18"/>
                <w:szCs w:val="18"/>
              </w:rPr>
            </w:pPr>
            <w:r>
              <w:rPr>
                <w:rFonts w:hint="eastAsia" w:cs="Calibri"/>
                <w:b/>
                <w:sz w:val="18"/>
                <w:szCs w:val="18"/>
              </w:rPr>
              <w:t>0</w:t>
            </w:r>
          </w:p>
        </w:tc>
        <w:tc>
          <w:tcPr>
            <w:tcW w:w="602" w:type="dxa"/>
            <w:vAlign w:val="center"/>
          </w:tcPr>
          <w:p>
            <w:pPr>
              <w:spacing w:line="280" w:lineRule="exact"/>
              <w:rPr>
                <w:rFonts w:cs="Calibri"/>
                <w:b/>
                <w:sz w:val="18"/>
                <w:szCs w:val="18"/>
              </w:rPr>
            </w:pPr>
            <w:r>
              <w:rPr>
                <w:rFonts w:hint="eastAsia" w:cs="Calibri"/>
                <w:b/>
                <w:sz w:val="18"/>
                <w:szCs w:val="18"/>
              </w:rPr>
              <w:t>4</w:t>
            </w:r>
          </w:p>
        </w:tc>
        <w:tc>
          <w:tcPr>
            <w:tcW w:w="955" w:type="dxa"/>
            <w:vAlign w:val="center"/>
          </w:tcPr>
          <w:p>
            <w:pPr>
              <w:spacing w:line="280" w:lineRule="exact"/>
              <w:rPr>
                <w:rFonts w:cs="Calibri"/>
                <w:b/>
                <w:sz w:val="18"/>
                <w:szCs w:val="18"/>
              </w:rPr>
            </w:pPr>
            <w:r>
              <w:rPr>
                <w:rFonts w:hint="eastAsia" w:cs="Calibri"/>
                <w:b/>
                <w:sz w:val="18"/>
                <w:szCs w:val="18"/>
              </w:rPr>
              <w:t>1</w:t>
            </w:r>
          </w:p>
        </w:tc>
        <w:tc>
          <w:tcPr>
            <w:tcW w:w="1259" w:type="dxa"/>
            <w:vAlign w:val="center"/>
          </w:tcPr>
          <w:p>
            <w:pPr>
              <w:spacing w:line="280" w:lineRule="exact"/>
              <w:rPr>
                <w:rFonts w:cs="Calibri"/>
                <w:b/>
                <w:sz w:val="18"/>
                <w:szCs w:val="18"/>
              </w:rPr>
            </w:pPr>
            <w:r>
              <w:rPr>
                <w:rFonts w:hint="eastAsia" w:cs="Calibri"/>
                <w:b/>
                <w:sz w:val="18"/>
                <w:szCs w:val="18"/>
              </w:rPr>
              <w:t>1-</w:t>
            </w:r>
            <w:r>
              <w:rPr>
                <w:rFonts w:cs="Calibri"/>
                <w:b/>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280" w:lineRule="exact"/>
              <w:jc w:val="center"/>
              <w:rPr>
                <w:sz w:val="18"/>
                <w:szCs w:val="18"/>
              </w:rPr>
            </w:pPr>
            <w:r>
              <w:rPr>
                <w:sz w:val="18"/>
                <w:szCs w:val="18"/>
              </w:rPr>
              <w:t>第2章</w:t>
            </w:r>
          </w:p>
        </w:tc>
        <w:tc>
          <w:tcPr>
            <w:tcW w:w="7756" w:type="dxa"/>
          </w:tcPr>
          <w:p>
            <w:pPr>
              <w:spacing w:line="280" w:lineRule="exact"/>
              <w:rPr>
                <w:rFonts w:hint="eastAsia"/>
                <w:b/>
                <w:bCs/>
                <w:sz w:val="18"/>
                <w:szCs w:val="18"/>
              </w:rPr>
            </w:pPr>
            <w:r>
              <w:rPr>
                <w:rFonts w:hint="eastAsia"/>
                <w:b/>
                <w:bCs/>
                <w:sz w:val="18"/>
                <w:szCs w:val="18"/>
              </w:rPr>
              <w:t>2  0和1的思维——信息在计算机中的表示</w:t>
            </w:r>
          </w:p>
          <w:p>
            <w:pPr>
              <w:spacing w:line="280" w:lineRule="exact"/>
              <w:ind w:firstLine="180" w:firstLineChars="100"/>
              <w:rPr>
                <w:rFonts w:hint="eastAsia"/>
                <w:sz w:val="18"/>
                <w:szCs w:val="18"/>
              </w:rPr>
            </w:pPr>
            <w:r>
              <w:rPr>
                <w:rFonts w:hint="eastAsia"/>
                <w:sz w:val="18"/>
                <w:szCs w:val="18"/>
              </w:rPr>
              <w:t>2.</w:t>
            </w:r>
            <w:r>
              <w:rPr>
                <w:sz w:val="18"/>
                <w:szCs w:val="18"/>
              </w:rPr>
              <w:t>1</w:t>
            </w:r>
            <w:r>
              <w:rPr>
                <w:rFonts w:hint="eastAsia"/>
                <w:sz w:val="18"/>
                <w:szCs w:val="18"/>
              </w:rPr>
              <w:t xml:space="preserve"> </w:t>
            </w:r>
            <w:r>
              <w:rPr>
                <w:sz w:val="18"/>
                <w:szCs w:val="18"/>
              </w:rPr>
              <w:t>计算机中的数制</w:t>
            </w:r>
            <w:r>
              <w:rPr>
                <w:rFonts w:hint="eastAsia"/>
                <w:sz w:val="18"/>
                <w:szCs w:val="18"/>
              </w:rPr>
              <w:t>；主要内容：计算机中的二进制数字系统，十进制数、二进制数、八进制数和十六进制数及其相互转换。</w:t>
            </w:r>
          </w:p>
          <w:p>
            <w:pPr>
              <w:spacing w:line="280" w:lineRule="exact"/>
              <w:ind w:firstLine="180" w:firstLineChars="100"/>
              <w:rPr>
                <w:rFonts w:hint="eastAsia"/>
                <w:sz w:val="18"/>
                <w:szCs w:val="18"/>
              </w:rPr>
            </w:pPr>
            <w:r>
              <w:rPr>
                <w:rFonts w:hint="eastAsia"/>
                <w:sz w:val="18"/>
                <w:szCs w:val="18"/>
              </w:rPr>
              <w:t>2.</w:t>
            </w:r>
            <w:r>
              <w:rPr>
                <w:sz w:val="18"/>
                <w:szCs w:val="18"/>
              </w:rPr>
              <w:t>2 数值信息的表示</w:t>
            </w:r>
            <w:r>
              <w:rPr>
                <w:rFonts w:hint="eastAsia"/>
                <w:sz w:val="18"/>
                <w:szCs w:val="18"/>
              </w:rPr>
              <w:t>；主要内容：数值的机器数表示，原码、反码、补码的转换与运算，ASCII码的介绍与使用。</w:t>
            </w:r>
          </w:p>
          <w:p>
            <w:pPr>
              <w:spacing w:line="280" w:lineRule="exact"/>
              <w:ind w:firstLine="180" w:firstLineChars="100"/>
              <w:rPr>
                <w:rFonts w:hint="eastAsia"/>
                <w:sz w:val="18"/>
                <w:szCs w:val="18"/>
              </w:rPr>
            </w:pPr>
            <w:r>
              <w:rPr>
                <w:rFonts w:hint="eastAsia"/>
                <w:sz w:val="18"/>
                <w:szCs w:val="18"/>
              </w:rPr>
              <w:t>2.</w:t>
            </w:r>
            <w:r>
              <w:rPr>
                <w:sz w:val="18"/>
                <w:szCs w:val="18"/>
              </w:rPr>
              <w:t>3</w:t>
            </w:r>
            <w:r>
              <w:rPr>
                <w:rFonts w:hint="eastAsia"/>
                <w:sz w:val="18"/>
                <w:szCs w:val="18"/>
              </w:rPr>
              <w:t xml:space="preserve"> </w:t>
            </w:r>
            <w:r>
              <w:rPr>
                <w:sz w:val="18"/>
                <w:szCs w:val="18"/>
              </w:rPr>
              <w:t>文字符号的表示</w:t>
            </w:r>
            <w:r>
              <w:rPr>
                <w:rFonts w:hint="eastAsia"/>
                <w:sz w:val="18"/>
                <w:szCs w:val="18"/>
              </w:rPr>
              <w:t>；主要内容：机内码表示文字的规则，输入码和输出码的介绍。</w:t>
            </w:r>
          </w:p>
          <w:p>
            <w:pPr>
              <w:spacing w:line="280" w:lineRule="exact"/>
              <w:ind w:firstLine="180" w:firstLineChars="100"/>
              <w:rPr>
                <w:rFonts w:hint="eastAsia"/>
                <w:sz w:val="18"/>
                <w:szCs w:val="18"/>
              </w:rPr>
            </w:pPr>
            <w:r>
              <w:rPr>
                <w:rFonts w:hint="eastAsia"/>
                <w:sz w:val="18"/>
                <w:szCs w:val="18"/>
              </w:rPr>
              <w:t>2.</w:t>
            </w:r>
            <w:r>
              <w:rPr>
                <w:sz w:val="18"/>
                <w:szCs w:val="18"/>
              </w:rPr>
              <w:t>4 数字图像的表示</w:t>
            </w:r>
            <w:r>
              <w:rPr>
                <w:rFonts w:hint="eastAsia"/>
                <w:sz w:val="18"/>
                <w:szCs w:val="18"/>
              </w:rPr>
              <w:t>；主要内容：图像数字化的主要过程，采样、量化和编码等步骤。</w:t>
            </w:r>
          </w:p>
          <w:p>
            <w:pPr>
              <w:spacing w:line="280" w:lineRule="exact"/>
              <w:ind w:firstLine="180" w:firstLineChars="100"/>
              <w:rPr>
                <w:rFonts w:hint="eastAsia"/>
                <w:sz w:val="18"/>
                <w:szCs w:val="18"/>
              </w:rPr>
            </w:pPr>
            <w:r>
              <w:rPr>
                <w:rFonts w:hint="eastAsia"/>
                <w:sz w:val="18"/>
                <w:szCs w:val="18"/>
              </w:rPr>
              <w:t>2.</w:t>
            </w:r>
            <w:r>
              <w:rPr>
                <w:sz w:val="18"/>
                <w:szCs w:val="18"/>
              </w:rPr>
              <w:t>5</w:t>
            </w:r>
            <w:r>
              <w:rPr>
                <w:rFonts w:hint="eastAsia"/>
                <w:sz w:val="18"/>
                <w:szCs w:val="18"/>
              </w:rPr>
              <w:t xml:space="preserve"> </w:t>
            </w:r>
            <w:r>
              <w:rPr>
                <w:sz w:val="18"/>
                <w:szCs w:val="18"/>
              </w:rPr>
              <w:t>数字音频的表示</w:t>
            </w:r>
            <w:r>
              <w:rPr>
                <w:rFonts w:hint="eastAsia"/>
                <w:sz w:val="18"/>
                <w:szCs w:val="18"/>
              </w:rPr>
              <w:t>；主要内容：模拟音频数字化处理过程。</w:t>
            </w:r>
          </w:p>
          <w:p>
            <w:pPr>
              <w:spacing w:line="280" w:lineRule="exact"/>
              <w:ind w:firstLine="180" w:firstLineChars="100"/>
              <w:rPr>
                <w:sz w:val="18"/>
                <w:szCs w:val="18"/>
              </w:rPr>
            </w:pPr>
            <w:r>
              <w:rPr>
                <w:rFonts w:hint="eastAsia"/>
                <w:sz w:val="18"/>
                <w:szCs w:val="18"/>
              </w:rPr>
              <w:t>重点：数制之间的转换，文字、图像和音频的数字化过程。</w:t>
            </w:r>
          </w:p>
          <w:p>
            <w:pPr>
              <w:spacing w:line="280" w:lineRule="exact"/>
              <w:ind w:firstLine="180" w:firstLineChars="100"/>
              <w:rPr>
                <w:rFonts w:hint="eastAsia"/>
                <w:sz w:val="18"/>
                <w:szCs w:val="18"/>
              </w:rPr>
            </w:pPr>
            <w:r>
              <w:rPr>
                <w:rFonts w:hint="eastAsia"/>
                <w:sz w:val="18"/>
                <w:szCs w:val="18"/>
              </w:rPr>
              <w:t>难点：计算机中的数据编码表示。</w:t>
            </w:r>
          </w:p>
        </w:tc>
        <w:tc>
          <w:tcPr>
            <w:tcW w:w="682" w:type="dxa"/>
            <w:vAlign w:val="center"/>
          </w:tcPr>
          <w:p>
            <w:pPr>
              <w:spacing w:line="280" w:lineRule="exact"/>
              <w:rPr>
                <w:rFonts w:cs="Calibri"/>
                <w:b/>
                <w:sz w:val="18"/>
                <w:szCs w:val="18"/>
              </w:rPr>
            </w:pPr>
            <w:r>
              <w:rPr>
                <w:rFonts w:cs="Calibri"/>
                <w:b/>
                <w:sz w:val="18"/>
                <w:szCs w:val="18"/>
              </w:rPr>
              <w:t>6</w:t>
            </w:r>
          </w:p>
        </w:tc>
        <w:tc>
          <w:tcPr>
            <w:tcW w:w="682" w:type="dxa"/>
            <w:vAlign w:val="center"/>
          </w:tcPr>
          <w:p>
            <w:pPr>
              <w:spacing w:line="280" w:lineRule="exact"/>
              <w:rPr>
                <w:rFonts w:cs="Calibri"/>
                <w:b/>
                <w:sz w:val="18"/>
                <w:szCs w:val="18"/>
              </w:rPr>
            </w:pPr>
            <w:r>
              <w:rPr>
                <w:rFonts w:hint="eastAsia" w:cs="Calibri"/>
                <w:b/>
                <w:sz w:val="18"/>
                <w:szCs w:val="18"/>
              </w:rPr>
              <w:t>0</w:t>
            </w:r>
          </w:p>
        </w:tc>
        <w:tc>
          <w:tcPr>
            <w:tcW w:w="602" w:type="dxa"/>
            <w:vAlign w:val="center"/>
          </w:tcPr>
          <w:p>
            <w:pPr>
              <w:spacing w:line="280" w:lineRule="exact"/>
              <w:rPr>
                <w:rFonts w:cs="Calibri"/>
                <w:b/>
                <w:sz w:val="18"/>
                <w:szCs w:val="18"/>
              </w:rPr>
            </w:pPr>
            <w:r>
              <w:rPr>
                <w:rFonts w:hint="eastAsia" w:cs="Calibri"/>
                <w:b/>
                <w:sz w:val="18"/>
                <w:szCs w:val="18"/>
              </w:rPr>
              <w:t>6</w:t>
            </w:r>
          </w:p>
        </w:tc>
        <w:tc>
          <w:tcPr>
            <w:tcW w:w="955" w:type="dxa"/>
            <w:vAlign w:val="center"/>
          </w:tcPr>
          <w:p>
            <w:pPr>
              <w:spacing w:line="280" w:lineRule="exact"/>
              <w:rPr>
                <w:rFonts w:hint="eastAsia" w:cs="Calibri"/>
                <w:b/>
                <w:sz w:val="18"/>
                <w:szCs w:val="18"/>
              </w:rPr>
            </w:pPr>
            <w:r>
              <w:rPr>
                <w:rFonts w:hint="eastAsia" w:cs="Calibri"/>
                <w:b/>
                <w:sz w:val="18"/>
                <w:szCs w:val="18"/>
              </w:rPr>
              <w:t>1</w:t>
            </w:r>
          </w:p>
        </w:tc>
        <w:tc>
          <w:tcPr>
            <w:tcW w:w="1259" w:type="dxa"/>
            <w:vAlign w:val="center"/>
          </w:tcPr>
          <w:p>
            <w:pPr>
              <w:spacing w:line="280" w:lineRule="exact"/>
              <w:rPr>
                <w:rFonts w:cs="Calibri"/>
                <w:b/>
                <w:sz w:val="18"/>
                <w:szCs w:val="18"/>
              </w:rPr>
            </w:pPr>
            <w:r>
              <w:rPr>
                <w:rFonts w:hint="eastAsia" w:cs="Calibri"/>
                <w:b/>
                <w:sz w:val="18"/>
                <w:szCs w:val="18"/>
              </w:rPr>
              <w:t>1-</w:t>
            </w:r>
            <w:r>
              <w:rPr>
                <w:rFonts w:cs="Calibri"/>
                <w:b/>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280" w:lineRule="exact"/>
              <w:jc w:val="center"/>
              <w:rPr>
                <w:sz w:val="18"/>
                <w:szCs w:val="18"/>
              </w:rPr>
            </w:pPr>
            <w:r>
              <w:rPr>
                <w:sz w:val="18"/>
                <w:szCs w:val="18"/>
              </w:rPr>
              <w:t>第3章</w:t>
            </w:r>
          </w:p>
        </w:tc>
        <w:tc>
          <w:tcPr>
            <w:tcW w:w="7756" w:type="dxa"/>
          </w:tcPr>
          <w:p>
            <w:pPr>
              <w:spacing w:line="280" w:lineRule="exact"/>
              <w:rPr>
                <w:rFonts w:hint="eastAsia"/>
                <w:b/>
                <w:bCs/>
                <w:sz w:val="18"/>
                <w:szCs w:val="18"/>
              </w:rPr>
            </w:pPr>
            <w:r>
              <w:rPr>
                <w:rFonts w:hint="eastAsia"/>
                <w:b/>
                <w:bCs/>
                <w:sz w:val="18"/>
                <w:szCs w:val="18"/>
              </w:rPr>
              <w:t>3</w:t>
            </w:r>
            <w:r>
              <w:rPr>
                <w:b/>
                <w:bCs/>
                <w:sz w:val="18"/>
                <w:szCs w:val="18"/>
              </w:rPr>
              <w:t xml:space="preserve">  </w:t>
            </w:r>
            <w:r>
              <w:rPr>
                <w:rFonts w:hint="eastAsia"/>
                <w:b/>
                <w:bCs/>
                <w:sz w:val="18"/>
                <w:szCs w:val="18"/>
              </w:rPr>
              <w:t>系统思维</w:t>
            </w:r>
          </w:p>
          <w:p>
            <w:pPr>
              <w:spacing w:line="280" w:lineRule="exact"/>
              <w:ind w:firstLine="180" w:firstLineChars="100"/>
              <w:rPr>
                <w:sz w:val="18"/>
                <w:szCs w:val="18"/>
              </w:rPr>
            </w:pPr>
            <w:r>
              <w:rPr>
                <w:rFonts w:hint="eastAsia"/>
                <w:sz w:val="18"/>
                <w:szCs w:val="18"/>
              </w:rPr>
              <w:t>3.</w:t>
            </w:r>
            <w:r>
              <w:rPr>
                <w:sz w:val="18"/>
                <w:szCs w:val="18"/>
              </w:rPr>
              <w:t>1 计算机系统概述</w:t>
            </w:r>
            <w:r>
              <w:rPr>
                <w:rFonts w:hint="eastAsia"/>
                <w:sz w:val="18"/>
                <w:szCs w:val="18"/>
              </w:rPr>
              <w:t>；主要内容：计算机系统的发展，计算机的体系结构。</w:t>
            </w:r>
          </w:p>
          <w:p>
            <w:pPr>
              <w:spacing w:line="280" w:lineRule="exact"/>
              <w:ind w:firstLine="180" w:firstLineChars="100"/>
              <w:rPr>
                <w:rFonts w:hint="eastAsia"/>
                <w:sz w:val="18"/>
                <w:szCs w:val="18"/>
              </w:rPr>
            </w:pPr>
            <w:r>
              <w:rPr>
                <w:rFonts w:hint="eastAsia"/>
                <w:sz w:val="18"/>
                <w:szCs w:val="18"/>
              </w:rPr>
              <w:t>3.</w:t>
            </w:r>
            <w:r>
              <w:rPr>
                <w:sz w:val="18"/>
                <w:szCs w:val="18"/>
              </w:rPr>
              <w:t>2 计算机硬件系统</w:t>
            </w:r>
            <w:r>
              <w:rPr>
                <w:rFonts w:hint="eastAsia"/>
                <w:sz w:val="18"/>
                <w:szCs w:val="18"/>
              </w:rPr>
              <w:t>；主要内容：CPU的结构和原理，指令与指令系统，主板、芯片组与BIOS。</w:t>
            </w:r>
          </w:p>
          <w:p>
            <w:pPr>
              <w:spacing w:line="280" w:lineRule="exact"/>
              <w:ind w:firstLine="180" w:firstLineChars="100"/>
              <w:rPr>
                <w:rFonts w:hint="eastAsia"/>
                <w:sz w:val="18"/>
                <w:szCs w:val="18"/>
              </w:rPr>
            </w:pPr>
            <w:r>
              <w:rPr>
                <w:rFonts w:hint="eastAsia"/>
                <w:sz w:val="18"/>
                <w:szCs w:val="18"/>
              </w:rPr>
              <w:t>3.</w:t>
            </w:r>
            <w:r>
              <w:rPr>
                <w:sz w:val="18"/>
                <w:szCs w:val="18"/>
              </w:rPr>
              <w:t>3 计算机软件系统</w:t>
            </w:r>
            <w:r>
              <w:rPr>
                <w:rFonts w:hint="eastAsia"/>
                <w:sz w:val="18"/>
                <w:szCs w:val="18"/>
              </w:rPr>
              <w:t>；主要内容：计算机软件的分类，程序设计语言，程序设计语言处理系统。</w:t>
            </w:r>
          </w:p>
          <w:p>
            <w:pPr>
              <w:spacing w:line="280" w:lineRule="exact"/>
              <w:ind w:firstLine="180" w:firstLineChars="100"/>
              <w:rPr>
                <w:rFonts w:hint="eastAsia"/>
                <w:sz w:val="18"/>
                <w:szCs w:val="18"/>
              </w:rPr>
            </w:pPr>
            <w:r>
              <w:rPr>
                <w:rFonts w:hint="eastAsia"/>
                <w:sz w:val="18"/>
                <w:szCs w:val="18"/>
              </w:rPr>
              <w:t>3.</w:t>
            </w:r>
            <w:r>
              <w:rPr>
                <w:sz w:val="18"/>
                <w:szCs w:val="18"/>
              </w:rPr>
              <w:t>4 操作系统</w:t>
            </w:r>
            <w:r>
              <w:rPr>
                <w:rFonts w:hint="eastAsia"/>
                <w:sz w:val="18"/>
                <w:szCs w:val="18"/>
              </w:rPr>
              <w:t>；主要内容：操作系统简介与主要功能，文件与文件系统，常用操作系统。</w:t>
            </w:r>
          </w:p>
          <w:p>
            <w:pPr>
              <w:spacing w:line="280" w:lineRule="exact"/>
              <w:ind w:firstLine="180" w:firstLineChars="100"/>
              <w:rPr>
                <w:rFonts w:hint="eastAsia"/>
                <w:sz w:val="18"/>
                <w:szCs w:val="18"/>
              </w:rPr>
            </w:pPr>
            <w:r>
              <w:rPr>
                <w:rFonts w:hint="eastAsia"/>
                <w:sz w:val="18"/>
                <w:szCs w:val="18"/>
              </w:rPr>
              <w:t>3.</w:t>
            </w:r>
            <w:r>
              <w:rPr>
                <w:sz w:val="18"/>
                <w:szCs w:val="18"/>
              </w:rPr>
              <w:t>5 计算机系统工作过程</w:t>
            </w:r>
            <w:r>
              <w:rPr>
                <w:rFonts w:hint="eastAsia"/>
                <w:sz w:val="18"/>
                <w:szCs w:val="18"/>
              </w:rPr>
              <w:t>；主要内容：计算机系统工作的基本原理与过程。</w:t>
            </w:r>
          </w:p>
          <w:p>
            <w:pPr>
              <w:spacing w:line="280" w:lineRule="exact"/>
              <w:ind w:firstLine="180" w:firstLineChars="100"/>
              <w:rPr>
                <w:sz w:val="18"/>
                <w:szCs w:val="18"/>
              </w:rPr>
            </w:pPr>
            <w:r>
              <w:rPr>
                <w:rFonts w:hint="eastAsia"/>
                <w:sz w:val="18"/>
                <w:szCs w:val="18"/>
              </w:rPr>
              <w:t>重点：计算机的软件、硬件系统以及操作系统。</w:t>
            </w:r>
          </w:p>
          <w:p>
            <w:pPr>
              <w:spacing w:line="280" w:lineRule="exact"/>
              <w:ind w:firstLine="180" w:firstLineChars="100"/>
              <w:rPr>
                <w:rFonts w:hint="eastAsia"/>
                <w:sz w:val="18"/>
                <w:szCs w:val="18"/>
              </w:rPr>
            </w:pPr>
            <w:r>
              <w:rPr>
                <w:rFonts w:hint="eastAsia"/>
                <w:sz w:val="18"/>
                <w:szCs w:val="18"/>
              </w:rPr>
              <w:t>难点：计算机系统的工作原理。</w:t>
            </w:r>
          </w:p>
        </w:tc>
        <w:tc>
          <w:tcPr>
            <w:tcW w:w="682" w:type="dxa"/>
            <w:vAlign w:val="center"/>
          </w:tcPr>
          <w:p>
            <w:pPr>
              <w:spacing w:line="280" w:lineRule="exact"/>
              <w:rPr>
                <w:rFonts w:cs="Calibri"/>
                <w:b/>
                <w:sz w:val="18"/>
                <w:szCs w:val="18"/>
              </w:rPr>
            </w:pPr>
            <w:r>
              <w:rPr>
                <w:rFonts w:cs="Calibri"/>
                <w:b/>
                <w:sz w:val="18"/>
                <w:szCs w:val="18"/>
              </w:rPr>
              <w:t>6</w:t>
            </w:r>
          </w:p>
        </w:tc>
        <w:tc>
          <w:tcPr>
            <w:tcW w:w="682" w:type="dxa"/>
            <w:vAlign w:val="center"/>
          </w:tcPr>
          <w:p>
            <w:pPr>
              <w:spacing w:line="280" w:lineRule="exact"/>
              <w:rPr>
                <w:rFonts w:cs="Calibri"/>
                <w:b/>
                <w:sz w:val="18"/>
                <w:szCs w:val="18"/>
              </w:rPr>
            </w:pPr>
            <w:r>
              <w:rPr>
                <w:rFonts w:hint="eastAsia" w:cs="Calibri"/>
                <w:b/>
                <w:sz w:val="18"/>
                <w:szCs w:val="18"/>
              </w:rPr>
              <w:t>0</w:t>
            </w:r>
          </w:p>
        </w:tc>
        <w:tc>
          <w:tcPr>
            <w:tcW w:w="602" w:type="dxa"/>
            <w:vAlign w:val="center"/>
          </w:tcPr>
          <w:p>
            <w:pPr>
              <w:spacing w:line="280" w:lineRule="exact"/>
              <w:rPr>
                <w:rFonts w:cs="Calibri"/>
                <w:b/>
                <w:sz w:val="18"/>
                <w:szCs w:val="18"/>
              </w:rPr>
            </w:pPr>
            <w:r>
              <w:rPr>
                <w:rFonts w:hint="eastAsia" w:cs="Calibri"/>
                <w:b/>
                <w:sz w:val="18"/>
                <w:szCs w:val="18"/>
              </w:rPr>
              <w:t>6</w:t>
            </w:r>
          </w:p>
        </w:tc>
        <w:tc>
          <w:tcPr>
            <w:tcW w:w="955" w:type="dxa"/>
            <w:vAlign w:val="center"/>
          </w:tcPr>
          <w:p>
            <w:pPr>
              <w:spacing w:line="280" w:lineRule="exact"/>
              <w:rPr>
                <w:rFonts w:cs="Calibri"/>
                <w:b/>
                <w:sz w:val="18"/>
                <w:szCs w:val="18"/>
              </w:rPr>
            </w:pPr>
            <w:r>
              <w:rPr>
                <w:rFonts w:hint="eastAsia" w:cs="Calibri"/>
                <w:b/>
                <w:sz w:val="18"/>
                <w:szCs w:val="18"/>
              </w:rPr>
              <w:t>2</w:t>
            </w:r>
          </w:p>
        </w:tc>
        <w:tc>
          <w:tcPr>
            <w:tcW w:w="1259" w:type="dxa"/>
            <w:vAlign w:val="center"/>
          </w:tcPr>
          <w:p>
            <w:pPr>
              <w:spacing w:line="280" w:lineRule="exact"/>
              <w:rPr>
                <w:rFonts w:cs="Calibri"/>
                <w:b/>
                <w:sz w:val="18"/>
                <w:szCs w:val="18"/>
              </w:rPr>
            </w:pPr>
            <w:r>
              <w:rPr>
                <w:rFonts w:hint="eastAsia" w:cs="Calibri"/>
                <w:b/>
                <w:sz w:val="18"/>
                <w:szCs w:val="18"/>
              </w:rPr>
              <w:t>1-</w:t>
            </w:r>
            <w:r>
              <w:rPr>
                <w:rFonts w:cs="Calibri"/>
                <w:b/>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280" w:lineRule="exact"/>
              <w:jc w:val="center"/>
              <w:rPr>
                <w:sz w:val="18"/>
                <w:szCs w:val="18"/>
              </w:rPr>
            </w:pPr>
            <w:r>
              <w:rPr>
                <w:sz w:val="18"/>
                <w:szCs w:val="18"/>
              </w:rPr>
              <w:t>第4章</w:t>
            </w:r>
          </w:p>
        </w:tc>
        <w:tc>
          <w:tcPr>
            <w:tcW w:w="7756" w:type="dxa"/>
          </w:tcPr>
          <w:p>
            <w:pPr>
              <w:spacing w:line="280" w:lineRule="exact"/>
              <w:rPr>
                <w:rFonts w:hint="eastAsia"/>
                <w:b/>
                <w:bCs/>
                <w:sz w:val="18"/>
                <w:szCs w:val="18"/>
              </w:rPr>
            </w:pPr>
            <w:r>
              <w:rPr>
                <w:b/>
                <w:bCs/>
                <w:sz w:val="18"/>
                <w:szCs w:val="18"/>
              </w:rPr>
              <w:t xml:space="preserve">4  </w:t>
            </w:r>
            <w:r>
              <w:rPr>
                <w:rFonts w:hint="eastAsia"/>
                <w:b/>
                <w:bCs/>
                <w:sz w:val="18"/>
                <w:szCs w:val="18"/>
              </w:rPr>
              <w:t>算法思维</w:t>
            </w:r>
          </w:p>
          <w:p>
            <w:pPr>
              <w:spacing w:line="280" w:lineRule="exact"/>
              <w:ind w:firstLine="180" w:firstLineChars="100"/>
              <w:rPr>
                <w:sz w:val="18"/>
                <w:szCs w:val="18"/>
              </w:rPr>
            </w:pPr>
            <w:r>
              <w:rPr>
                <w:sz w:val="18"/>
                <w:szCs w:val="18"/>
              </w:rPr>
              <w:t>4</w:t>
            </w:r>
            <w:r>
              <w:rPr>
                <w:rFonts w:hint="eastAsia"/>
                <w:sz w:val="18"/>
                <w:szCs w:val="18"/>
              </w:rPr>
              <w:t>.</w:t>
            </w:r>
            <w:r>
              <w:rPr>
                <w:sz w:val="18"/>
                <w:szCs w:val="18"/>
              </w:rPr>
              <w:t>1 什么是算法</w:t>
            </w:r>
            <w:r>
              <w:rPr>
                <w:rFonts w:hint="eastAsia"/>
                <w:sz w:val="18"/>
                <w:szCs w:val="18"/>
              </w:rPr>
              <w:t>；主要内容：算法的基本概念，算法表示和算法分析。</w:t>
            </w:r>
          </w:p>
          <w:p>
            <w:pPr>
              <w:spacing w:line="280" w:lineRule="exact"/>
              <w:ind w:firstLine="180" w:firstLineChars="100"/>
              <w:rPr>
                <w:rFonts w:hint="eastAsia"/>
                <w:sz w:val="18"/>
                <w:szCs w:val="18"/>
              </w:rPr>
            </w:pPr>
            <w:r>
              <w:rPr>
                <w:sz w:val="18"/>
                <w:szCs w:val="18"/>
              </w:rPr>
              <w:t>4</w:t>
            </w:r>
            <w:r>
              <w:rPr>
                <w:rFonts w:hint="eastAsia"/>
                <w:sz w:val="18"/>
                <w:szCs w:val="18"/>
              </w:rPr>
              <w:t>.</w:t>
            </w:r>
            <w:r>
              <w:rPr>
                <w:sz w:val="18"/>
                <w:szCs w:val="18"/>
              </w:rPr>
              <w:t>2 常用算法概述</w:t>
            </w:r>
            <w:r>
              <w:rPr>
                <w:rFonts w:hint="eastAsia"/>
                <w:sz w:val="18"/>
                <w:szCs w:val="18"/>
              </w:rPr>
              <w:t>；主要内容：查找算法和排序算法的介绍及使用。</w:t>
            </w:r>
          </w:p>
          <w:p>
            <w:pPr>
              <w:spacing w:line="280" w:lineRule="exact"/>
              <w:ind w:firstLine="180" w:firstLineChars="100"/>
              <w:rPr>
                <w:rFonts w:hint="eastAsia"/>
                <w:sz w:val="18"/>
                <w:szCs w:val="18"/>
              </w:rPr>
            </w:pPr>
            <w:r>
              <w:rPr>
                <w:sz w:val="18"/>
                <w:szCs w:val="18"/>
              </w:rPr>
              <w:t>4</w:t>
            </w:r>
            <w:r>
              <w:rPr>
                <w:rFonts w:hint="eastAsia"/>
                <w:sz w:val="18"/>
                <w:szCs w:val="18"/>
              </w:rPr>
              <w:t>.</w:t>
            </w:r>
            <w:r>
              <w:rPr>
                <w:sz w:val="18"/>
                <w:szCs w:val="18"/>
              </w:rPr>
              <w:t>3 算法设计与分析</w:t>
            </w:r>
            <w:r>
              <w:rPr>
                <w:rFonts w:hint="eastAsia"/>
                <w:sz w:val="18"/>
                <w:szCs w:val="18"/>
              </w:rPr>
              <w:t>；主要内容：问题分析和建模，算法描述问题，常用的算法设计策略。</w:t>
            </w:r>
          </w:p>
          <w:p>
            <w:pPr>
              <w:spacing w:line="280" w:lineRule="exact"/>
              <w:ind w:firstLine="180" w:firstLineChars="100"/>
              <w:rPr>
                <w:sz w:val="18"/>
                <w:szCs w:val="18"/>
              </w:rPr>
            </w:pPr>
            <w:r>
              <w:rPr>
                <w:rFonts w:hint="eastAsia"/>
                <w:sz w:val="18"/>
                <w:szCs w:val="18"/>
              </w:rPr>
              <w:t>重点：常用算法的使用，问题分析建模和算法设计。</w:t>
            </w:r>
          </w:p>
          <w:p>
            <w:pPr>
              <w:spacing w:line="280" w:lineRule="exact"/>
              <w:ind w:firstLine="180" w:firstLineChars="100"/>
              <w:rPr>
                <w:rFonts w:cs="Calibri"/>
                <w:b/>
                <w:sz w:val="18"/>
                <w:szCs w:val="18"/>
              </w:rPr>
            </w:pPr>
            <w:r>
              <w:rPr>
                <w:rFonts w:hint="eastAsia"/>
                <w:sz w:val="18"/>
                <w:szCs w:val="18"/>
              </w:rPr>
              <w:t>难点：常用算法的设计方法</w:t>
            </w:r>
          </w:p>
        </w:tc>
        <w:tc>
          <w:tcPr>
            <w:tcW w:w="682" w:type="dxa"/>
            <w:vAlign w:val="center"/>
          </w:tcPr>
          <w:p>
            <w:pPr>
              <w:spacing w:line="280" w:lineRule="exact"/>
              <w:rPr>
                <w:rFonts w:cs="Calibri"/>
                <w:b/>
                <w:sz w:val="18"/>
                <w:szCs w:val="18"/>
              </w:rPr>
            </w:pPr>
            <w:r>
              <w:rPr>
                <w:rFonts w:cs="Calibri"/>
                <w:b/>
                <w:sz w:val="18"/>
                <w:szCs w:val="18"/>
              </w:rPr>
              <w:t>4</w:t>
            </w:r>
          </w:p>
        </w:tc>
        <w:tc>
          <w:tcPr>
            <w:tcW w:w="682" w:type="dxa"/>
            <w:vAlign w:val="center"/>
          </w:tcPr>
          <w:p>
            <w:pPr>
              <w:spacing w:line="280" w:lineRule="exact"/>
              <w:rPr>
                <w:rFonts w:hint="eastAsia" w:cs="Calibri"/>
                <w:b/>
                <w:sz w:val="18"/>
                <w:szCs w:val="18"/>
              </w:rPr>
            </w:pPr>
            <w:r>
              <w:rPr>
                <w:rFonts w:hint="eastAsia" w:cs="Calibri"/>
                <w:b/>
                <w:sz w:val="18"/>
                <w:szCs w:val="18"/>
              </w:rPr>
              <w:t>0</w:t>
            </w:r>
          </w:p>
        </w:tc>
        <w:tc>
          <w:tcPr>
            <w:tcW w:w="602" w:type="dxa"/>
            <w:vAlign w:val="center"/>
          </w:tcPr>
          <w:p>
            <w:pPr>
              <w:spacing w:line="280" w:lineRule="exact"/>
              <w:rPr>
                <w:rFonts w:cs="Calibri"/>
                <w:b/>
                <w:sz w:val="18"/>
                <w:szCs w:val="18"/>
              </w:rPr>
            </w:pPr>
            <w:r>
              <w:rPr>
                <w:rFonts w:hint="eastAsia" w:cs="Calibri"/>
                <w:b/>
                <w:sz w:val="18"/>
                <w:szCs w:val="18"/>
              </w:rPr>
              <w:t>4</w:t>
            </w:r>
          </w:p>
        </w:tc>
        <w:tc>
          <w:tcPr>
            <w:tcW w:w="955" w:type="dxa"/>
            <w:vAlign w:val="center"/>
          </w:tcPr>
          <w:p>
            <w:pPr>
              <w:spacing w:line="280" w:lineRule="exact"/>
              <w:rPr>
                <w:rFonts w:cs="Calibri"/>
                <w:b/>
                <w:sz w:val="18"/>
                <w:szCs w:val="18"/>
              </w:rPr>
            </w:pPr>
            <w:r>
              <w:rPr>
                <w:rFonts w:hint="eastAsia" w:cs="Calibri"/>
                <w:b/>
                <w:sz w:val="18"/>
                <w:szCs w:val="18"/>
              </w:rPr>
              <w:t>2</w:t>
            </w:r>
          </w:p>
        </w:tc>
        <w:tc>
          <w:tcPr>
            <w:tcW w:w="1259" w:type="dxa"/>
            <w:vAlign w:val="center"/>
          </w:tcPr>
          <w:p>
            <w:pPr>
              <w:spacing w:line="280" w:lineRule="exact"/>
              <w:rPr>
                <w:rFonts w:cs="Calibri"/>
                <w:b/>
                <w:sz w:val="18"/>
                <w:szCs w:val="18"/>
              </w:rPr>
            </w:pPr>
            <w:r>
              <w:rPr>
                <w:rFonts w:hint="eastAsia" w:cs="Calibri"/>
                <w:b/>
                <w:sz w:val="18"/>
                <w:szCs w:val="18"/>
              </w:rPr>
              <w:t>1-</w:t>
            </w:r>
            <w:r>
              <w:rPr>
                <w:rFonts w:cs="Calibri"/>
                <w:b/>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280" w:lineRule="exact"/>
              <w:jc w:val="center"/>
              <w:rPr>
                <w:sz w:val="18"/>
                <w:szCs w:val="18"/>
              </w:rPr>
            </w:pPr>
            <w:r>
              <w:rPr>
                <w:sz w:val="18"/>
                <w:szCs w:val="18"/>
              </w:rPr>
              <w:t>第5章</w:t>
            </w:r>
          </w:p>
        </w:tc>
        <w:tc>
          <w:tcPr>
            <w:tcW w:w="7756" w:type="dxa"/>
          </w:tcPr>
          <w:p>
            <w:pPr>
              <w:spacing w:line="280" w:lineRule="exact"/>
              <w:rPr>
                <w:rFonts w:hint="eastAsia"/>
                <w:b/>
                <w:bCs/>
                <w:sz w:val="18"/>
                <w:szCs w:val="18"/>
              </w:rPr>
            </w:pPr>
            <w:r>
              <w:rPr>
                <w:b/>
                <w:bCs/>
                <w:sz w:val="18"/>
                <w:szCs w:val="18"/>
              </w:rPr>
              <w:t xml:space="preserve">5  </w:t>
            </w:r>
            <w:r>
              <w:rPr>
                <w:rFonts w:hint="eastAsia"/>
                <w:b/>
                <w:bCs/>
                <w:sz w:val="18"/>
                <w:szCs w:val="18"/>
              </w:rPr>
              <w:t>数据思维</w:t>
            </w:r>
          </w:p>
          <w:p>
            <w:pPr>
              <w:spacing w:line="280" w:lineRule="exact"/>
              <w:ind w:firstLine="180" w:firstLineChars="100"/>
              <w:rPr>
                <w:sz w:val="18"/>
                <w:szCs w:val="18"/>
              </w:rPr>
            </w:pPr>
            <w:r>
              <w:rPr>
                <w:sz w:val="18"/>
                <w:szCs w:val="18"/>
              </w:rPr>
              <w:t>5</w:t>
            </w:r>
            <w:r>
              <w:rPr>
                <w:rFonts w:hint="eastAsia"/>
                <w:sz w:val="18"/>
                <w:szCs w:val="18"/>
              </w:rPr>
              <w:t>.</w:t>
            </w:r>
            <w:r>
              <w:rPr>
                <w:sz w:val="18"/>
                <w:szCs w:val="18"/>
              </w:rPr>
              <w:t>1 数据的表示</w:t>
            </w:r>
            <w:r>
              <w:rPr>
                <w:rFonts w:hint="eastAsia"/>
                <w:sz w:val="18"/>
                <w:szCs w:val="18"/>
              </w:rPr>
              <w:t>；主要内容：数据结构，线性表，栈和队列，树和二叉树的相关知识及使用。</w:t>
            </w:r>
          </w:p>
          <w:p>
            <w:pPr>
              <w:spacing w:line="280" w:lineRule="exact"/>
              <w:ind w:firstLine="180" w:firstLineChars="100"/>
              <w:rPr>
                <w:rFonts w:hint="eastAsia"/>
                <w:sz w:val="18"/>
                <w:szCs w:val="18"/>
              </w:rPr>
            </w:pPr>
            <w:r>
              <w:rPr>
                <w:sz w:val="18"/>
                <w:szCs w:val="18"/>
              </w:rPr>
              <w:t>5</w:t>
            </w:r>
            <w:r>
              <w:rPr>
                <w:rFonts w:hint="eastAsia"/>
                <w:sz w:val="18"/>
                <w:szCs w:val="18"/>
              </w:rPr>
              <w:t>.</w:t>
            </w:r>
            <w:r>
              <w:rPr>
                <w:sz w:val="18"/>
                <w:szCs w:val="18"/>
              </w:rPr>
              <w:t>2 数据的存储与管理</w:t>
            </w:r>
            <w:r>
              <w:rPr>
                <w:rFonts w:hint="eastAsia"/>
                <w:sz w:val="18"/>
                <w:szCs w:val="18"/>
              </w:rPr>
              <w:t>；主要内容：文件系统，数据库设计基础。</w:t>
            </w:r>
          </w:p>
          <w:p>
            <w:pPr>
              <w:spacing w:line="280" w:lineRule="exact"/>
              <w:ind w:firstLine="180" w:firstLineChars="100"/>
              <w:rPr>
                <w:rFonts w:hint="eastAsia"/>
                <w:sz w:val="18"/>
                <w:szCs w:val="18"/>
              </w:rPr>
            </w:pPr>
            <w:r>
              <w:rPr>
                <w:sz w:val="18"/>
                <w:szCs w:val="18"/>
              </w:rPr>
              <w:t>5</w:t>
            </w:r>
            <w:r>
              <w:rPr>
                <w:rFonts w:hint="eastAsia"/>
                <w:sz w:val="18"/>
                <w:szCs w:val="18"/>
              </w:rPr>
              <w:t>.</w:t>
            </w:r>
            <w:r>
              <w:rPr>
                <w:sz w:val="18"/>
                <w:szCs w:val="18"/>
              </w:rPr>
              <w:t>3 数据分析</w:t>
            </w:r>
            <w:r>
              <w:rPr>
                <w:rFonts w:hint="eastAsia"/>
                <w:sz w:val="18"/>
                <w:szCs w:val="18"/>
              </w:rPr>
              <w:t>；主要内容：大数据，数据挖掘，数据仓库的基础。</w:t>
            </w:r>
          </w:p>
          <w:p>
            <w:pPr>
              <w:spacing w:line="280" w:lineRule="exact"/>
              <w:ind w:firstLine="180" w:firstLineChars="100"/>
              <w:rPr>
                <w:sz w:val="18"/>
                <w:szCs w:val="18"/>
              </w:rPr>
            </w:pPr>
            <w:r>
              <w:rPr>
                <w:rFonts w:hint="eastAsia"/>
                <w:sz w:val="18"/>
                <w:szCs w:val="18"/>
              </w:rPr>
              <w:t>重点：数据的表示方法，数据库的基础知识，数据分析处理的过程。</w:t>
            </w:r>
          </w:p>
          <w:p>
            <w:pPr>
              <w:spacing w:line="280" w:lineRule="exact"/>
              <w:ind w:firstLine="180" w:firstLineChars="100"/>
              <w:rPr>
                <w:rFonts w:cs="Calibri"/>
                <w:b/>
                <w:sz w:val="18"/>
                <w:szCs w:val="18"/>
              </w:rPr>
            </w:pPr>
            <w:r>
              <w:rPr>
                <w:rFonts w:hint="eastAsia"/>
                <w:sz w:val="18"/>
                <w:szCs w:val="18"/>
              </w:rPr>
              <w:t>难点：数据分析处理，数据库的设计及使用。</w:t>
            </w:r>
          </w:p>
        </w:tc>
        <w:tc>
          <w:tcPr>
            <w:tcW w:w="682" w:type="dxa"/>
            <w:vAlign w:val="center"/>
          </w:tcPr>
          <w:p>
            <w:pPr>
              <w:spacing w:line="280" w:lineRule="exact"/>
              <w:rPr>
                <w:rFonts w:cs="Calibri"/>
                <w:b/>
                <w:sz w:val="18"/>
                <w:szCs w:val="18"/>
              </w:rPr>
            </w:pPr>
            <w:r>
              <w:rPr>
                <w:rFonts w:hint="eastAsia" w:cs="Calibri"/>
                <w:b/>
                <w:sz w:val="18"/>
                <w:szCs w:val="18"/>
              </w:rPr>
              <w:t>6</w:t>
            </w:r>
          </w:p>
        </w:tc>
        <w:tc>
          <w:tcPr>
            <w:tcW w:w="682" w:type="dxa"/>
            <w:vAlign w:val="center"/>
          </w:tcPr>
          <w:p>
            <w:pPr>
              <w:spacing w:line="280" w:lineRule="exact"/>
              <w:rPr>
                <w:rFonts w:hint="eastAsia" w:cs="Calibri"/>
                <w:b/>
                <w:sz w:val="18"/>
                <w:szCs w:val="18"/>
              </w:rPr>
            </w:pPr>
            <w:r>
              <w:rPr>
                <w:rFonts w:hint="eastAsia" w:cs="Calibri"/>
                <w:b/>
                <w:sz w:val="18"/>
                <w:szCs w:val="18"/>
              </w:rPr>
              <w:t>0</w:t>
            </w:r>
          </w:p>
        </w:tc>
        <w:tc>
          <w:tcPr>
            <w:tcW w:w="602" w:type="dxa"/>
            <w:vAlign w:val="center"/>
          </w:tcPr>
          <w:p>
            <w:pPr>
              <w:spacing w:line="280" w:lineRule="exact"/>
              <w:rPr>
                <w:rFonts w:cs="Calibri"/>
                <w:b/>
                <w:sz w:val="18"/>
                <w:szCs w:val="18"/>
              </w:rPr>
            </w:pPr>
            <w:r>
              <w:rPr>
                <w:rFonts w:hint="eastAsia" w:cs="Calibri"/>
                <w:b/>
                <w:sz w:val="18"/>
                <w:szCs w:val="18"/>
              </w:rPr>
              <w:t>6</w:t>
            </w:r>
          </w:p>
        </w:tc>
        <w:tc>
          <w:tcPr>
            <w:tcW w:w="955" w:type="dxa"/>
            <w:vAlign w:val="center"/>
          </w:tcPr>
          <w:p>
            <w:pPr>
              <w:spacing w:line="280" w:lineRule="exact"/>
              <w:rPr>
                <w:rFonts w:cs="Calibri"/>
                <w:b/>
                <w:sz w:val="18"/>
                <w:szCs w:val="18"/>
              </w:rPr>
            </w:pPr>
            <w:r>
              <w:rPr>
                <w:rFonts w:hint="eastAsia" w:cs="Calibri"/>
                <w:b/>
                <w:sz w:val="18"/>
                <w:szCs w:val="18"/>
              </w:rPr>
              <w:t>2</w:t>
            </w:r>
          </w:p>
        </w:tc>
        <w:tc>
          <w:tcPr>
            <w:tcW w:w="1259" w:type="dxa"/>
            <w:vAlign w:val="center"/>
          </w:tcPr>
          <w:p>
            <w:pPr>
              <w:spacing w:line="280" w:lineRule="exact"/>
              <w:rPr>
                <w:rFonts w:cs="Calibri"/>
                <w:b/>
                <w:sz w:val="18"/>
                <w:szCs w:val="18"/>
              </w:rPr>
            </w:pPr>
            <w:r>
              <w:rPr>
                <w:rFonts w:hint="eastAsia" w:cs="Calibri"/>
                <w:b/>
                <w:sz w:val="18"/>
                <w:szCs w:val="18"/>
              </w:rPr>
              <w:t>1-</w:t>
            </w:r>
            <w:r>
              <w:rPr>
                <w:rFonts w:cs="Calibri"/>
                <w:b/>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280" w:lineRule="exact"/>
              <w:jc w:val="center"/>
              <w:rPr>
                <w:sz w:val="18"/>
                <w:szCs w:val="18"/>
              </w:rPr>
            </w:pPr>
            <w:r>
              <w:rPr>
                <w:sz w:val="18"/>
                <w:szCs w:val="18"/>
              </w:rPr>
              <w:t>第6章</w:t>
            </w:r>
          </w:p>
        </w:tc>
        <w:tc>
          <w:tcPr>
            <w:tcW w:w="7756" w:type="dxa"/>
          </w:tcPr>
          <w:p>
            <w:pPr>
              <w:spacing w:line="280" w:lineRule="exact"/>
              <w:rPr>
                <w:rFonts w:hint="eastAsia"/>
                <w:b/>
                <w:bCs/>
                <w:sz w:val="18"/>
                <w:szCs w:val="18"/>
              </w:rPr>
            </w:pPr>
            <w:r>
              <w:rPr>
                <w:b/>
                <w:bCs/>
                <w:sz w:val="18"/>
                <w:szCs w:val="18"/>
              </w:rPr>
              <w:t>6</w:t>
            </w:r>
            <w:r>
              <w:rPr>
                <w:rFonts w:hint="eastAsia"/>
                <w:b/>
                <w:bCs/>
                <w:sz w:val="18"/>
                <w:szCs w:val="18"/>
              </w:rPr>
              <w:t xml:space="preserve">  网络化思维</w:t>
            </w:r>
          </w:p>
          <w:p>
            <w:pPr>
              <w:spacing w:line="280" w:lineRule="exact"/>
              <w:ind w:firstLine="180" w:firstLineChars="100"/>
              <w:rPr>
                <w:rFonts w:hint="eastAsia"/>
                <w:sz w:val="18"/>
                <w:szCs w:val="18"/>
              </w:rPr>
            </w:pPr>
            <w:r>
              <w:rPr>
                <w:sz w:val="18"/>
                <w:szCs w:val="18"/>
              </w:rPr>
              <w:t>6</w:t>
            </w:r>
            <w:r>
              <w:rPr>
                <w:rFonts w:hint="eastAsia"/>
                <w:sz w:val="18"/>
                <w:szCs w:val="18"/>
              </w:rPr>
              <w:t>.</w:t>
            </w:r>
            <w:r>
              <w:rPr>
                <w:sz w:val="18"/>
                <w:szCs w:val="18"/>
              </w:rPr>
              <w:t>1</w:t>
            </w:r>
            <w:r>
              <w:rPr>
                <w:rFonts w:hint="eastAsia"/>
                <w:sz w:val="18"/>
                <w:szCs w:val="18"/>
              </w:rPr>
              <w:t xml:space="preserve"> </w:t>
            </w:r>
            <w:r>
              <w:rPr>
                <w:sz w:val="18"/>
                <w:szCs w:val="18"/>
              </w:rPr>
              <w:t>互联网的产生和发展</w:t>
            </w:r>
            <w:r>
              <w:rPr>
                <w:rFonts w:hint="eastAsia"/>
                <w:sz w:val="18"/>
                <w:szCs w:val="18"/>
              </w:rPr>
              <w:t>；主要内容：互联网的基本概念，计算机网络和互联网的发展阶段。</w:t>
            </w:r>
          </w:p>
          <w:p>
            <w:pPr>
              <w:spacing w:line="280" w:lineRule="exact"/>
              <w:ind w:firstLine="180" w:firstLineChars="100"/>
              <w:rPr>
                <w:rFonts w:hint="eastAsia"/>
                <w:sz w:val="18"/>
                <w:szCs w:val="18"/>
              </w:rPr>
            </w:pPr>
            <w:r>
              <w:rPr>
                <w:sz w:val="18"/>
                <w:szCs w:val="18"/>
              </w:rPr>
              <w:t>6</w:t>
            </w:r>
            <w:r>
              <w:rPr>
                <w:rFonts w:hint="eastAsia"/>
                <w:sz w:val="18"/>
                <w:szCs w:val="18"/>
              </w:rPr>
              <w:t>.</w:t>
            </w:r>
            <w:r>
              <w:rPr>
                <w:sz w:val="18"/>
                <w:szCs w:val="18"/>
              </w:rPr>
              <w:t>2 计算机网络概述</w:t>
            </w:r>
            <w:r>
              <w:rPr>
                <w:rFonts w:hint="eastAsia"/>
                <w:sz w:val="18"/>
                <w:szCs w:val="18"/>
              </w:rPr>
              <w:t>；主要内容：计算机网络概念及分类，通信技术基础，计算机网络性能指标，网络的体系结构，IP地址与MAC地址，传输介质及常见的网络设备。</w:t>
            </w:r>
          </w:p>
          <w:p>
            <w:pPr>
              <w:spacing w:line="280" w:lineRule="exact"/>
              <w:ind w:firstLine="180" w:firstLineChars="100"/>
              <w:rPr>
                <w:rFonts w:hint="eastAsia"/>
                <w:sz w:val="18"/>
                <w:szCs w:val="18"/>
              </w:rPr>
            </w:pPr>
            <w:r>
              <w:rPr>
                <w:sz w:val="18"/>
                <w:szCs w:val="18"/>
              </w:rPr>
              <w:t>6</w:t>
            </w:r>
            <w:r>
              <w:rPr>
                <w:rFonts w:hint="eastAsia"/>
                <w:sz w:val="18"/>
                <w:szCs w:val="18"/>
              </w:rPr>
              <w:t>.</w:t>
            </w:r>
            <w:r>
              <w:rPr>
                <w:sz w:val="18"/>
                <w:szCs w:val="18"/>
              </w:rPr>
              <w:t>3</w:t>
            </w:r>
            <w:r>
              <w:rPr>
                <w:rFonts w:hint="eastAsia"/>
                <w:sz w:val="18"/>
                <w:szCs w:val="18"/>
              </w:rPr>
              <w:t xml:space="preserve"> </w:t>
            </w:r>
            <w:r>
              <w:rPr>
                <w:sz w:val="18"/>
                <w:szCs w:val="18"/>
              </w:rPr>
              <w:t>局域网</w:t>
            </w:r>
            <w:r>
              <w:rPr>
                <w:rFonts w:hint="eastAsia"/>
                <w:sz w:val="18"/>
                <w:szCs w:val="18"/>
              </w:rPr>
              <w:t>；主要内容：局域网特点和参考模型，以太网技术，无线局域网技术。</w:t>
            </w:r>
          </w:p>
          <w:p>
            <w:pPr>
              <w:spacing w:line="280" w:lineRule="exact"/>
              <w:ind w:firstLine="180" w:firstLineChars="100"/>
              <w:rPr>
                <w:rFonts w:hint="eastAsia"/>
                <w:sz w:val="18"/>
                <w:szCs w:val="18"/>
              </w:rPr>
            </w:pPr>
            <w:r>
              <w:rPr>
                <w:sz w:val="18"/>
                <w:szCs w:val="18"/>
              </w:rPr>
              <w:t>6</w:t>
            </w:r>
            <w:r>
              <w:rPr>
                <w:rFonts w:hint="eastAsia"/>
                <w:sz w:val="18"/>
                <w:szCs w:val="18"/>
              </w:rPr>
              <w:t>.</w:t>
            </w:r>
            <w:r>
              <w:rPr>
                <w:sz w:val="18"/>
                <w:szCs w:val="18"/>
              </w:rPr>
              <w:t>4 因特网</w:t>
            </w:r>
            <w:r>
              <w:rPr>
                <w:rFonts w:hint="eastAsia"/>
                <w:sz w:val="18"/>
                <w:szCs w:val="18"/>
              </w:rPr>
              <w:t>；主要内容：因特网的核心特征和架构TCP/IP协议簇，因特网宽带接入方式及应用。</w:t>
            </w:r>
          </w:p>
          <w:p>
            <w:pPr>
              <w:spacing w:line="280" w:lineRule="exact"/>
              <w:ind w:firstLine="180" w:firstLineChars="100"/>
              <w:rPr>
                <w:sz w:val="18"/>
                <w:szCs w:val="18"/>
              </w:rPr>
            </w:pPr>
            <w:r>
              <w:rPr>
                <w:sz w:val="18"/>
                <w:szCs w:val="18"/>
              </w:rPr>
              <w:t>6</w:t>
            </w:r>
            <w:r>
              <w:rPr>
                <w:rFonts w:hint="eastAsia"/>
                <w:sz w:val="18"/>
                <w:szCs w:val="18"/>
              </w:rPr>
              <w:t>.</w:t>
            </w:r>
            <w:r>
              <w:rPr>
                <w:sz w:val="18"/>
                <w:szCs w:val="18"/>
              </w:rPr>
              <w:t>5</w:t>
            </w:r>
            <w:r>
              <w:rPr>
                <w:rFonts w:hint="eastAsia"/>
                <w:sz w:val="18"/>
                <w:szCs w:val="18"/>
              </w:rPr>
              <w:t xml:space="preserve"> </w:t>
            </w:r>
            <w:r>
              <w:rPr>
                <w:sz w:val="18"/>
                <w:szCs w:val="18"/>
              </w:rPr>
              <w:t>物联网</w:t>
            </w:r>
            <w:r>
              <w:rPr>
                <w:rFonts w:hint="eastAsia"/>
                <w:sz w:val="18"/>
                <w:szCs w:val="18"/>
              </w:rPr>
              <w:t>；主要内容：物联网定义、特征及工作流程，云计算、人工智能与物联网的关系。</w:t>
            </w:r>
          </w:p>
          <w:p>
            <w:pPr>
              <w:spacing w:line="280" w:lineRule="exact"/>
              <w:ind w:firstLine="180" w:firstLineChars="100"/>
              <w:rPr>
                <w:sz w:val="18"/>
                <w:szCs w:val="18"/>
              </w:rPr>
            </w:pPr>
            <w:r>
              <w:rPr>
                <w:rFonts w:hint="eastAsia"/>
                <w:sz w:val="18"/>
                <w:szCs w:val="18"/>
              </w:rPr>
              <w:t>重点：计算机网络的概念和分类，局域网、因特网和物联网的基础知识和工作原理。</w:t>
            </w:r>
          </w:p>
          <w:p>
            <w:pPr>
              <w:spacing w:line="280" w:lineRule="exact"/>
              <w:ind w:firstLine="180" w:firstLineChars="100"/>
              <w:rPr>
                <w:rFonts w:cs="Calibri"/>
                <w:b/>
                <w:sz w:val="18"/>
                <w:szCs w:val="18"/>
              </w:rPr>
            </w:pPr>
            <w:r>
              <w:rPr>
                <w:rFonts w:hint="eastAsia"/>
                <w:sz w:val="18"/>
                <w:szCs w:val="18"/>
              </w:rPr>
              <w:t>难点：不同计算机网络的区别与联系。</w:t>
            </w:r>
          </w:p>
        </w:tc>
        <w:tc>
          <w:tcPr>
            <w:tcW w:w="682" w:type="dxa"/>
            <w:vAlign w:val="center"/>
          </w:tcPr>
          <w:p>
            <w:pPr>
              <w:spacing w:line="280" w:lineRule="exact"/>
              <w:rPr>
                <w:rFonts w:cs="Calibri"/>
                <w:b/>
                <w:sz w:val="18"/>
                <w:szCs w:val="18"/>
              </w:rPr>
            </w:pPr>
            <w:r>
              <w:rPr>
                <w:rFonts w:cs="Calibri"/>
                <w:b/>
                <w:sz w:val="18"/>
                <w:szCs w:val="18"/>
              </w:rPr>
              <w:t>6</w:t>
            </w:r>
          </w:p>
        </w:tc>
        <w:tc>
          <w:tcPr>
            <w:tcW w:w="682" w:type="dxa"/>
            <w:vAlign w:val="center"/>
          </w:tcPr>
          <w:p>
            <w:pPr>
              <w:spacing w:line="280" w:lineRule="exact"/>
              <w:rPr>
                <w:rFonts w:hint="eastAsia" w:cs="Calibri"/>
                <w:b/>
                <w:sz w:val="18"/>
                <w:szCs w:val="18"/>
              </w:rPr>
            </w:pPr>
            <w:r>
              <w:rPr>
                <w:rFonts w:hint="eastAsia" w:cs="Calibri"/>
                <w:b/>
                <w:sz w:val="18"/>
                <w:szCs w:val="18"/>
              </w:rPr>
              <w:t>0</w:t>
            </w:r>
          </w:p>
        </w:tc>
        <w:tc>
          <w:tcPr>
            <w:tcW w:w="602" w:type="dxa"/>
            <w:vAlign w:val="center"/>
          </w:tcPr>
          <w:p>
            <w:pPr>
              <w:spacing w:line="280" w:lineRule="exact"/>
              <w:rPr>
                <w:rFonts w:cs="Calibri"/>
                <w:b/>
                <w:sz w:val="18"/>
                <w:szCs w:val="18"/>
              </w:rPr>
            </w:pPr>
            <w:r>
              <w:rPr>
                <w:rFonts w:hint="eastAsia" w:cs="Calibri"/>
                <w:b/>
                <w:sz w:val="18"/>
                <w:szCs w:val="18"/>
              </w:rPr>
              <w:t>6</w:t>
            </w:r>
          </w:p>
        </w:tc>
        <w:tc>
          <w:tcPr>
            <w:tcW w:w="955" w:type="dxa"/>
            <w:vAlign w:val="center"/>
          </w:tcPr>
          <w:p>
            <w:pPr>
              <w:spacing w:line="280" w:lineRule="exact"/>
              <w:rPr>
                <w:rFonts w:cs="Calibri"/>
                <w:b/>
                <w:sz w:val="18"/>
                <w:szCs w:val="18"/>
              </w:rPr>
            </w:pPr>
            <w:r>
              <w:rPr>
                <w:rFonts w:hint="eastAsia" w:cs="Calibri"/>
                <w:b/>
                <w:sz w:val="18"/>
                <w:szCs w:val="18"/>
              </w:rPr>
              <w:t>3</w:t>
            </w:r>
          </w:p>
        </w:tc>
        <w:tc>
          <w:tcPr>
            <w:tcW w:w="1259" w:type="dxa"/>
            <w:vAlign w:val="center"/>
          </w:tcPr>
          <w:p>
            <w:pPr>
              <w:spacing w:line="280" w:lineRule="exact"/>
              <w:rPr>
                <w:rFonts w:cs="Calibri"/>
                <w:b/>
                <w:sz w:val="18"/>
                <w:szCs w:val="18"/>
              </w:rPr>
            </w:pPr>
            <w:r>
              <w:rPr>
                <w:rFonts w:cs="Calibri"/>
                <w:b/>
                <w:sz w:val="18"/>
                <w:szCs w:val="18"/>
              </w:rPr>
              <w:t>3</w:t>
            </w:r>
            <w:r>
              <w:rPr>
                <w:rFonts w:hint="eastAsia" w:cs="Calibri"/>
                <w:b/>
                <w:sz w:val="18"/>
                <w:szCs w:val="18"/>
              </w:rPr>
              <w:t>-</w:t>
            </w:r>
            <w:r>
              <w:rPr>
                <w:rFonts w:cs="Calibri"/>
                <w:b/>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59" w:type="dxa"/>
            <w:vAlign w:val="center"/>
          </w:tcPr>
          <w:p>
            <w:pPr>
              <w:spacing w:line="280" w:lineRule="exact"/>
              <w:jc w:val="center"/>
              <w:rPr>
                <w:b/>
                <w:sz w:val="18"/>
                <w:szCs w:val="18"/>
              </w:rPr>
            </w:pPr>
            <w:r>
              <w:rPr>
                <w:sz w:val="18"/>
                <w:szCs w:val="18"/>
              </w:rPr>
              <w:t>第7章</w:t>
            </w:r>
          </w:p>
        </w:tc>
        <w:tc>
          <w:tcPr>
            <w:tcW w:w="7756" w:type="dxa"/>
          </w:tcPr>
          <w:p>
            <w:pPr>
              <w:spacing w:line="280" w:lineRule="exact"/>
              <w:rPr>
                <w:rFonts w:hint="eastAsia"/>
                <w:b/>
                <w:bCs/>
                <w:sz w:val="18"/>
                <w:szCs w:val="18"/>
              </w:rPr>
            </w:pPr>
            <w:r>
              <w:rPr>
                <w:b/>
                <w:bCs/>
                <w:sz w:val="18"/>
                <w:szCs w:val="18"/>
              </w:rPr>
              <w:t>7</w:t>
            </w:r>
            <w:r>
              <w:rPr>
                <w:rFonts w:hint="eastAsia"/>
                <w:b/>
                <w:bCs/>
                <w:sz w:val="18"/>
                <w:szCs w:val="18"/>
              </w:rPr>
              <w:t xml:space="preserve">  伦理思维——网络安全与信息伦理</w:t>
            </w:r>
          </w:p>
          <w:p>
            <w:pPr>
              <w:spacing w:line="280" w:lineRule="exact"/>
              <w:ind w:firstLine="180" w:firstLineChars="100"/>
              <w:rPr>
                <w:sz w:val="18"/>
                <w:szCs w:val="18"/>
              </w:rPr>
            </w:pPr>
            <w:r>
              <w:rPr>
                <w:sz w:val="18"/>
                <w:szCs w:val="18"/>
              </w:rPr>
              <w:t>7</w:t>
            </w:r>
            <w:r>
              <w:rPr>
                <w:rFonts w:hint="eastAsia"/>
                <w:sz w:val="18"/>
                <w:szCs w:val="18"/>
              </w:rPr>
              <w:t>.</w:t>
            </w:r>
            <w:r>
              <w:rPr>
                <w:sz w:val="18"/>
                <w:szCs w:val="18"/>
              </w:rPr>
              <w:t>1</w:t>
            </w:r>
            <w:r>
              <w:rPr>
                <w:rFonts w:hint="eastAsia"/>
                <w:sz w:val="18"/>
                <w:szCs w:val="18"/>
              </w:rPr>
              <w:t xml:space="preserve"> </w:t>
            </w:r>
            <w:r>
              <w:rPr>
                <w:sz w:val="18"/>
                <w:szCs w:val="18"/>
              </w:rPr>
              <w:t>恶意代码的概念及关键技术</w:t>
            </w:r>
            <w:r>
              <w:rPr>
                <w:rFonts w:hint="eastAsia"/>
                <w:sz w:val="18"/>
                <w:szCs w:val="18"/>
              </w:rPr>
              <w:t>；主要内容：恶意代码概念，恶意代码生存技术和隐藏技术。</w:t>
            </w:r>
          </w:p>
          <w:p>
            <w:pPr>
              <w:spacing w:line="280" w:lineRule="exact"/>
              <w:ind w:firstLine="180" w:firstLineChars="100"/>
              <w:rPr>
                <w:sz w:val="18"/>
                <w:szCs w:val="18"/>
              </w:rPr>
            </w:pPr>
            <w:r>
              <w:rPr>
                <w:sz w:val="18"/>
                <w:szCs w:val="18"/>
              </w:rPr>
              <w:t>7</w:t>
            </w:r>
            <w:r>
              <w:rPr>
                <w:rFonts w:hint="eastAsia"/>
                <w:sz w:val="18"/>
                <w:szCs w:val="18"/>
              </w:rPr>
              <w:t>.</w:t>
            </w:r>
            <w:r>
              <w:rPr>
                <w:sz w:val="18"/>
                <w:szCs w:val="18"/>
              </w:rPr>
              <w:t>2 计算机病毒</w:t>
            </w:r>
            <w:r>
              <w:rPr>
                <w:rFonts w:hint="eastAsia"/>
                <w:sz w:val="18"/>
                <w:szCs w:val="18"/>
              </w:rPr>
              <w:t>；主要内容：计算机病毒概述，计算机病毒防治技术。</w:t>
            </w:r>
          </w:p>
          <w:p>
            <w:pPr>
              <w:spacing w:line="280" w:lineRule="exact"/>
              <w:ind w:firstLine="180" w:firstLineChars="100"/>
              <w:rPr>
                <w:rFonts w:hint="eastAsia"/>
                <w:sz w:val="18"/>
                <w:szCs w:val="18"/>
              </w:rPr>
            </w:pPr>
            <w:r>
              <w:rPr>
                <w:sz w:val="18"/>
                <w:szCs w:val="18"/>
              </w:rPr>
              <w:t>7</w:t>
            </w:r>
            <w:r>
              <w:rPr>
                <w:rFonts w:hint="eastAsia"/>
                <w:sz w:val="18"/>
                <w:szCs w:val="18"/>
              </w:rPr>
              <w:t>.</w:t>
            </w:r>
            <w:r>
              <w:rPr>
                <w:sz w:val="18"/>
                <w:szCs w:val="18"/>
              </w:rPr>
              <w:t>3</w:t>
            </w:r>
            <w:r>
              <w:rPr>
                <w:rFonts w:hint="eastAsia"/>
                <w:sz w:val="18"/>
                <w:szCs w:val="18"/>
              </w:rPr>
              <w:t xml:space="preserve"> </w:t>
            </w:r>
            <w:r>
              <w:rPr>
                <w:sz w:val="18"/>
                <w:szCs w:val="18"/>
              </w:rPr>
              <w:t>木马</w:t>
            </w:r>
            <w:r>
              <w:rPr>
                <w:rFonts w:hint="eastAsia"/>
                <w:sz w:val="18"/>
                <w:szCs w:val="18"/>
              </w:rPr>
              <w:t>；主要内容：木马概述，木马工作原理及木马防治技术。</w:t>
            </w:r>
          </w:p>
          <w:p>
            <w:pPr>
              <w:spacing w:line="280" w:lineRule="exact"/>
              <w:ind w:firstLine="180" w:firstLineChars="100"/>
              <w:rPr>
                <w:rFonts w:hint="eastAsia"/>
                <w:sz w:val="18"/>
                <w:szCs w:val="18"/>
              </w:rPr>
            </w:pPr>
            <w:r>
              <w:rPr>
                <w:sz w:val="18"/>
                <w:szCs w:val="18"/>
              </w:rPr>
              <w:t>7</w:t>
            </w:r>
            <w:r>
              <w:rPr>
                <w:rFonts w:hint="eastAsia"/>
                <w:sz w:val="18"/>
                <w:szCs w:val="18"/>
              </w:rPr>
              <w:t>.</w:t>
            </w:r>
            <w:r>
              <w:rPr>
                <w:sz w:val="18"/>
                <w:szCs w:val="18"/>
              </w:rPr>
              <w:t>4 蠕虫</w:t>
            </w:r>
            <w:r>
              <w:rPr>
                <w:rFonts w:hint="eastAsia"/>
                <w:sz w:val="18"/>
                <w:szCs w:val="18"/>
              </w:rPr>
              <w:t>；主要内容：蠕虫概述，蠕虫的传播过程，蠕虫的分析和防范措施。</w:t>
            </w:r>
          </w:p>
          <w:p>
            <w:pPr>
              <w:spacing w:line="280" w:lineRule="exact"/>
              <w:ind w:firstLine="180" w:firstLineChars="100"/>
              <w:rPr>
                <w:sz w:val="18"/>
                <w:szCs w:val="18"/>
              </w:rPr>
            </w:pPr>
            <w:r>
              <w:rPr>
                <w:sz w:val="18"/>
                <w:szCs w:val="18"/>
              </w:rPr>
              <w:t>7</w:t>
            </w:r>
            <w:r>
              <w:rPr>
                <w:rFonts w:hint="eastAsia"/>
                <w:sz w:val="18"/>
                <w:szCs w:val="18"/>
              </w:rPr>
              <w:t>.</w:t>
            </w:r>
            <w:r>
              <w:rPr>
                <w:sz w:val="18"/>
                <w:szCs w:val="18"/>
              </w:rPr>
              <w:t>5</w:t>
            </w:r>
            <w:r>
              <w:rPr>
                <w:rFonts w:hint="eastAsia"/>
                <w:sz w:val="18"/>
                <w:szCs w:val="18"/>
              </w:rPr>
              <w:t xml:space="preserve"> </w:t>
            </w:r>
            <w:r>
              <w:rPr>
                <w:sz w:val="18"/>
                <w:szCs w:val="18"/>
              </w:rPr>
              <w:t>网络安全管理体系与信息伦理</w:t>
            </w:r>
            <w:r>
              <w:rPr>
                <w:rFonts w:hint="eastAsia"/>
                <w:sz w:val="18"/>
                <w:szCs w:val="18"/>
              </w:rPr>
              <w:t>；主要内容：网络安全管理体系，信息伦理的基础知识。</w:t>
            </w:r>
          </w:p>
          <w:p>
            <w:pPr>
              <w:spacing w:line="280" w:lineRule="exact"/>
              <w:ind w:firstLine="180" w:firstLineChars="100"/>
              <w:rPr>
                <w:sz w:val="18"/>
                <w:szCs w:val="18"/>
              </w:rPr>
            </w:pPr>
            <w:r>
              <w:rPr>
                <w:sz w:val="18"/>
                <w:szCs w:val="18"/>
              </w:rPr>
              <w:t>7</w:t>
            </w:r>
            <w:r>
              <w:rPr>
                <w:rFonts w:hint="eastAsia"/>
                <w:sz w:val="18"/>
                <w:szCs w:val="18"/>
              </w:rPr>
              <w:t>.</w:t>
            </w:r>
            <w:r>
              <w:rPr>
                <w:sz w:val="18"/>
                <w:szCs w:val="18"/>
              </w:rPr>
              <w:t>6</w:t>
            </w:r>
            <w:r>
              <w:rPr>
                <w:rFonts w:hint="eastAsia"/>
                <w:sz w:val="18"/>
                <w:szCs w:val="18"/>
              </w:rPr>
              <w:t xml:space="preserve"> </w:t>
            </w:r>
            <w:r>
              <w:rPr>
                <w:sz w:val="18"/>
                <w:szCs w:val="18"/>
              </w:rPr>
              <w:t>保障信息安全常用手段</w:t>
            </w:r>
            <w:r>
              <w:rPr>
                <w:rFonts w:hint="eastAsia"/>
                <w:sz w:val="18"/>
                <w:szCs w:val="18"/>
              </w:rPr>
              <w:t>；主要内容：安全保障的常用技术，如数据加密、数字签名、数字证书、身份认证、区块链技术等。</w:t>
            </w:r>
          </w:p>
          <w:p>
            <w:pPr>
              <w:spacing w:line="280" w:lineRule="exact"/>
              <w:ind w:firstLine="180" w:firstLineChars="100"/>
              <w:rPr>
                <w:sz w:val="18"/>
                <w:szCs w:val="18"/>
              </w:rPr>
            </w:pPr>
            <w:r>
              <w:rPr>
                <w:rFonts w:hint="eastAsia"/>
                <w:sz w:val="18"/>
                <w:szCs w:val="18"/>
              </w:rPr>
              <w:t>重点：恶意代码的概念和分类，病毒的防治技术和网络信息安全的保障手段。</w:t>
            </w:r>
          </w:p>
          <w:p>
            <w:pPr>
              <w:spacing w:line="280" w:lineRule="exact"/>
              <w:ind w:firstLine="180" w:firstLineChars="100"/>
              <w:rPr>
                <w:rFonts w:hint="eastAsia"/>
                <w:sz w:val="18"/>
                <w:szCs w:val="18"/>
              </w:rPr>
            </w:pPr>
            <w:r>
              <w:rPr>
                <w:rFonts w:hint="eastAsia"/>
                <w:sz w:val="18"/>
                <w:szCs w:val="18"/>
              </w:rPr>
              <w:t>难点：防治病毒的技术和保障信息安全的技术。</w:t>
            </w:r>
          </w:p>
        </w:tc>
        <w:tc>
          <w:tcPr>
            <w:tcW w:w="682" w:type="dxa"/>
            <w:vAlign w:val="center"/>
          </w:tcPr>
          <w:p>
            <w:pPr>
              <w:spacing w:line="280" w:lineRule="exact"/>
              <w:rPr>
                <w:rFonts w:cs="Calibri"/>
                <w:b/>
                <w:sz w:val="18"/>
                <w:szCs w:val="18"/>
              </w:rPr>
            </w:pPr>
            <w:r>
              <w:rPr>
                <w:rFonts w:hint="eastAsia" w:cs="Calibri"/>
                <w:b/>
                <w:sz w:val="18"/>
                <w:szCs w:val="18"/>
              </w:rPr>
              <w:t>8</w:t>
            </w:r>
          </w:p>
        </w:tc>
        <w:tc>
          <w:tcPr>
            <w:tcW w:w="682" w:type="dxa"/>
            <w:vAlign w:val="center"/>
          </w:tcPr>
          <w:p>
            <w:pPr>
              <w:spacing w:line="280" w:lineRule="exact"/>
              <w:rPr>
                <w:rFonts w:cs="Calibri"/>
                <w:b/>
                <w:sz w:val="18"/>
                <w:szCs w:val="18"/>
              </w:rPr>
            </w:pPr>
            <w:r>
              <w:rPr>
                <w:rFonts w:hint="eastAsia" w:cs="Calibri"/>
                <w:b/>
                <w:sz w:val="18"/>
                <w:szCs w:val="18"/>
              </w:rPr>
              <w:t>0</w:t>
            </w:r>
          </w:p>
        </w:tc>
        <w:tc>
          <w:tcPr>
            <w:tcW w:w="602" w:type="dxa"/>
            <w:vAlign w:val="center"/>
          </w:tcPr>
          <w:p>
            <w:pPr>
              <w:spacing w:line="280" w:lineRule="exact"/>
              <w:rPr>
                <w:rFonts w:cs="Calibri"/>
                <w:b/>
                <w:sz w:val="18"/>
                <w:szCs w:val="18"/>
              </w:rPr>
            </w:pPr>
            <w:r>
              <w:rPr>
                <w:rFonts w:hint="eastAsia" w:cs="Calibri"/>
                <w:b/>
                <w:sz w:val="18"/>
                <w:szCs w:val="18"/>
              </w:rPr>
              <w:t>8</w:t>
            </w:r>
          </w:p>
        </w:tc>
        <w:tc>
          <w:tcPr>
            <w:tcW w:w="955" w:type="dxa"/>
            <w:vAlign w:val="center"/>
          </w:tcPr>
          <w:p>
            <w:pPr>
              <w:spacing w:line="280" w:lineRule="exact"/>
              <w:rPr>
                <w:rFonts w:cs="Calibri"/>
                <w:b/>
                <w:sz w:val="18"/>
                <w:szCs w:val="18"/>
              </w:rPr>
            </w:pPr>
            <w:r>
              <w:rPr>
                <w:rFonts w:hint="eastAsia" w:cs="Calibri"/>
                <w:b/>
                <w:sz w:val="18"/>
                <w:szCs w:val="18"/>
              </w:rPr>
              <w:t>3</w:t>
            </w:r>
          </w:p>
        </w:tc>
        <w:tc>
          <w:tcPr>
            <w:tcW w:w="1259" w:type="dxa"/>
            <w:vAlign w:val="center"/>
          </w:tcPr>
          <w:p>
            <w:pPr>
              <w:spacing w:line="280" w:lineRule="exact"/>
              <w:rPr>
                <w:rFonts w:cs="Calibri"/>
                <w:b/>
                <w:sz w:val="18"/>
                <w:szCs w:val="18"/>
              </w:rPr>
            </w:pPr>
            <w:r>
              <w:rPr>
                <w:rFonts w:cs="Calibri"/>
                <w:b/>
                <w:sz w:val="18"/>
                <w:szCs w:val="18"/>
              </w:rPr>
              <w:t>3</w:t>
            </w:r>
            <w:r>
              <w:rPr>
                <w:rFonts w:hint="eastAsia" w:cs="Calibri"/>
                <w:b/>
                <w:sz w:val="18"/>
                <w:szCs w:val="18"/>
              </w:rPr>
              <w:t>-</w:t>
            </w:r>
            <w:r>
              <w:rPr>
                <w:rFonts w:cs="Calibri"/>
                <w:b/>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59" w:type="dxa"/>
            <w:vAlign w:val="center"/>
          </w:tcPr>
          <w:p>
            <w:pPr>
              <w:spacing w:line="280" w:lineRule="exact"/>
              <w:jc w:val="center"/>
              <w:rPr>
                <w:b/>
                <w:sz w:val="18"/>
                <w:szCs w:val="18"/>
              </w:rPr>
            </w:pPr>
            <w:r>
              <w:rPr>
                <w:b/>
                <w:sz w:val="18"/>
                <w:szCs w:val="18"/>
              </w:rPr>
              <w:t>合 计</w:t>
            </w:r>
          </w:p>
        </w:tc>
        <w:tc>
          <w:tcPr>
            <w:tcW w:w="7756" w:type="dxa"/>
          </w:tcPr>
          <w:p>
            <w:pPr>
              <w:spacing w:line="280" w:lineRule="exact"/>
              <w:jc w:val="center"/>
              <w:rPr>
                <w:sz w:val="18"/>
                <w:szCs w:val="18"/>
              </w:rPr>
            </w:pPr>
          </w:p>
        </w:tc>
        <w:tc>
          <w:tcPr>
            <w:tcW w:w="682" w:type="dxa"/>
            <w:vAlign w:val="center"/>
          </w:tcPr>
          <w:p>
            <w:pPr>
              <w:spacing w:line="280" w:lineRule="exact"/>
              <w:rPr>
                <w:rFonts w:cs="Calibri"/>
                <w:b/>
                <w:sz w:val="18"/>
                <w:szCs w:val="18"/>
              </w:rPr>
            </w:pPr>
            <w:r>
              <w:rPr>
                <w:rFonts w:hint="eastAsia" w:cs="Calibri"/>
                <w:b/>
                <w:sz w:val="18"/>
                <w:szCs w:val="18"/>
              </w:rPr>
              <w:t>4</w:t>
            </w:r>
            <w:r>
              <w:rPr>
                <w:rFonts w:cs="Calibri"/>
                <w:b/>
                <w:sz w:val="18"/>
                <w:szCs w:val="18"/>
              </w:rPr>
              <w:t>0</w:t>
            </w:r>
          </w:p>
        </w:tc>
        <w:tc>
          <w:tcPr>
            <w:tcW w:w="682" w:type="dxa"/>
            <w:vAlign w:val="center"/>
          </w:tcPr>
          <w:p>
            <w:pPr>
              <w:spacing w:line="280" w:lineRule="exact"/>
              <w:rPr>
                <w:rFonts w:cs="Calibri"/>
                <w:b/>
                <w:sz w:val="18"/>
                <w:szCs w:val="18"/>
              </w:rPr>
            </w:pPr>
            <w:r>
              <w:rPr>
                <w:rFonts w:hint="eastAsia" w:cs="Calibri"/>
                <w:b/>
                <w:sz w:val="18"/>
                <w:szCs w:val="18"/>
              </w:rPr>
              <w:t>0</w:t>
            </w:r>
          </w:p>
        </w:tc>
        <w:tc>
          <w:tcPr>
            <w:tcW w:w="602" w:type="dxa"/>
            <w:vAlign w:val="center"/>
          </w:tcPr>
          <w:p>
            <w:pPr>
              <w:spacing w:line="280" w:lineRule="exact"/>
              <w:rPr>
                <w:rFonts w:cs="Calibri"/>
                <w:b/>
                <w:sz w:val="18"/>
                <w:szCs w:val="18"/>
              </w:rPr>
            </w:pPr>
            <w:r>
              <w:rPr>
                <w:rFonts w:hint="eastAsia" w:cs="Calibri"/>
                <w:b/>
                <w:sz w:val="18"/>
                <w:szCs w:val="18"/>
              </w:rPr>
              <w:t>4</w:t>
            </w:r>
            <w:r>
              <w:rPr>
                <w:rFonts w:cs="Calibri"/>
                <w:b/>
                <w:sz w:val="18"/>
                <w:szCs w:val="18"/>
              </w:rPr>
              <w:t>0</w:t>
            </w:r>
          </w:p>
        </w:tc>
        <w:tc>
          <w:tcPr>
            <w:tcW w:w="955" w:type="dxa"/>
            <w:vAlign w:val="center"/>
          </w:tcPr>
          <w:p>
            <w:pPr>
              <w:spacing w:line="280" w:lineRule="exact"/>
              <w:rPr>
                <w:rFonts w:cs="Calibri"/>
                <w:b/>
                <w:sz w:val="18"/>
                <w:szCs w:val="18"/>
              </w:rPr>
            </w:pPr>
          </w:p>
        </w:tc>
        <w:tc>
          <w:tcPr>
            <w:tcW w:w="1259" w:type="dxa"/>
            <w:vAlign w:val="center"/>
          </w:tcPr>
          <w:p>
            <w:pPr>
              <w:spacing w:line="280" w:lineRule="exact"/>
              <w:rPr>
                <w:rFonts w:cs="Calibri"/>
                <w:b/>
                <w:sz w:val="18"/>
                <w:szCs w:val="18"/>
              </w:rPr>
            </w:pPr>
          </w:p>
        </w:tc>
      </w:tr>
    </w:tbl>
    <w:p>
      <w:pPr>
        <w:spacing w:before="156" w:beforeLines="50" w:after="156" w:afterLines="50" w:line="360" w:lineRule="auto"/>
        <w:ind w:left="422"/>
        <w:jc w:val="center"/>
        <w:rPr>
          <w:rFonts w:hint="eastAsia" w:ascii="宋体" w:hAnsi="宋体" w:cs="宋体"/>
          <w:b/>
          <w:szCs w:val="21"/>
        </w:rPr>
      </w:pPr>
      <w:r>
        <w:rPr>
          <w:rFonts w:hint="eastAsia" w:ascii="宋体" w:hAnsi="宋体" w:cs="宋体"/>
          <w:b/>
          <w:szCs w:val="21"/>
        </w:rPr>
        <w:t>表2.2 课程内容与思政融入点对应关系</w:t>
      </w:r>
    </w:p>
    <w:tbl>
      <w:tblPr>
        <w:tblStyle w:val="19"/>
        <w:tblW w:w="0" w:type="auto"/>
        <w:tblInd w:w="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5121"/>
        <w:gridCol w:w="6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shd w:val="clear" w:color="auto" w:fill="auto"/>
            <w:vAlign w:val="center"/>
          </w:tcPr>
          <w:p>
            <w:pPr>
              <w:spacing w:line="360" w:lineRule="auto"/>
              <w:jc w:val="center"/>
              <w:rPr>
                <w:rFonts w:hint="eastAsia" w:ascii="宋体" w:hAnsi="宋体" w:cs="宋体"/>
                <w:b/>
                <w:kern w:val="0"/>
                <w:sz w:val="18"/>
                <w:szCs w:val="18"/>
              </w:rPr>
            </w:pPr>
            <w:r>
              <w:rPr>
                <w:rFonts w:hint="eastAsia" w:ascii="宋体" w:hAnsi="宋体" w:cs="宋体"/>
                <w:b/>
                <w:kern w:val="0"/>
                <w:sz w:val="18"/>
                <w:szCs w:val="18"/>
              </w:rPr>
              <w:t>序号</w:t>
            </w:r>
          </w:p>
        </w:tc>
        <w:tc>
          <w:tcPr>
            <w:tcW w:w="5121" w:type="dxa"/>
            <w:shd w:val="clear" w:color="auto" w:fill="auto"/>
            <w:vAlign w:val="center"/>
          </w:tcPr>
          <w:p>
            <w:pPr>
              <w:spacing w:line="360" w:lineRule="auto"/>
              <w:jc w:val="center"/>
              <w:rPr>
                <w:rFonts w:hint="eastAsia" w:ascii="宋体" w:hAnsi="宋体" w:cs="宋体"/>
                <w:b/>
                <w:kern w:val="0"/>
                <w:sz w:val="18"/>
                <w:szCs w:val="18"/>
              </w:rPr>
            </w:pPr>
            <w:r>
              <w:rPr>
                <w:rFonts w:hint="eastAsia" w:ascii="宋体" w:hAnsi="宋体" w:cs="宋体"/>
                <w:b/>
                <w:kern w:val="0"/>
                <w:sz w:val="18"/>
                <w:szCs w:val="18"/>
              </w:rPr>
              <w:t>知识点</w:t>
            </w:r>
          </w:p>
        </w:tc>
        <w:tc>
          <w:tcPr>
            <w:tcW w:w="6857" w:type="dxa"/>
            <w:shd w:val="clear" w:color="auto" w:fill="auto"/>
            <w:vAlign w:val="center"/>
          </w:tcPr>
          <w:p>
            <w:pPr>
              <w:spacing w:line="360" w:lineRule="auto"/>
              <w:jc w:val="center"/>
              <w:rPr>
                <w:rFonts w:hint="eastAsia" w:ascii="宋体" w:hAnsi="宋体" w:cs="宋体"/>
                <w:b/>
                <w:kern w:val="0"/>
                <w:sz w:val="18"/>
                <w:szCs w:val="18"/>
              </w:rPr>
            </w:pPr>
            <w:r>
              <w:rPr>
                <w:rFonts w:hint="eastAsia" w:ascii="宋体" w:hAnsi="宋体" w:cs="宋体"/>
                <w:b/>
                <w:kern w:val="0"/>
                <w:sz w:val="18"/>
                <w:szCs w:val="18"/>
              </w:rPr>
              <w:t>思政融入点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shd w:val="clear" w:color="auto" w:fill="auto"/>
            <w:vAlign w:val="center"/>
          </w:tcPr>
          <w:p>
            <w:pPr>
              <w:spacing w:before="156" w:beforeLines="50" w:after="156" w:afterLines="50" w:line="360" w:lineRule="auto"/>
              <w:jc w:val="center"/>
              <w:rPr>
                <w:rFonts w:eastAsia="黑体"/>
                <w:b/>
                <w:kern w:val="0"/>
                <w:sz w:val="20"/>
                <w:szCs w:val="21"/>
              </w:rPr>
            </w:pPr>
            <w:r>
              <w:rPr>
                <w:rFonts w:hint="eastAsia" w:eastAsia="黑体"/>
                <w:b/>
                <w:kern w:val="0"/>
                <w:sz w:val="20"/>
                <w:szCs w:val="21"/>
              </w:rPr>
              <w:t>1</w:t>
            </w:r>
          </w:p>
        </w:tc>
        <w:tc>
          <w:tcPr>
            <w:tcW w:w="5121" w:type="dxa"/>
            <w:shd w:val="clear" w:color="auto" w:fill="auto"/>
            <w:vAlign w:val="center"/>
          </w:tcPr>
          <w:p>
            <w:pPr>
              <w:ind w:left="105" w:leftChars="50"/>
              <w:jc w:val="center"/>
              <w:rPr>
                <w:kern w:val="0"/>
                <w:sz w:val="20"/>
              </w:rPr>
            </w:pPr>
            <w:r>
              <w:rPr>
                <w:rFonts w:hint="eastAsia"/>
                <w:sz w:val="18"/>
                <w:szCs w:val="18"/>
              </w:rPr>
              <w:t>计算机和计算机系统的发展历程和不同的阶段，IT行业的发展现状及对计算思维人才的需求。</w:t>
            </w:r>
          </w:p>
        </w:tc>
        <w:tc>
          <w:tcPr>
            <w:tcW w:w="6857" w:type="dxa"/>
            <w:shd w:val="clear" w:color="auto" w:fill="auto"/>
            <w:vAlign w:val="center"/>
          </w:tcPr>
          <w:p>
            <w:pPr>
              <w:ind w:left="105" w:leftChars="50"/>
              <w:jc w:val="center"/>
              <w:rPr>
                <w:rFonts w:eastAsia="黑体"/>
                <w:b/>
                <w:kern w:val="0"/>
                <w:sz w:val="20"/>
                <w:szCs w:val="21"/>
              </w:rPr>
            </w:pPr>
            <w:r>
              <w:rPr>
                <w:rFonts w:hint="eastAsia"/>
                <w:sz w:val="18"/>
                <w:szCs w:val="18"/>
              </w:rPr>
              <w:t>专业报国思想：通过梳理当今计算机产业的发展态势，勉励学生将个人专业发展与社会发展紧密结合。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shd w:val="clear" w:color="auto" w:fill="auto"/>
            <w:vAlign w:val="center"/>
          </w:tcPr>
          <w:p>
            <w:pPr>
              <w:spacing w:before="156" w:beforeLines="50" w:after="156" w:afterLines="50" w:line="360" w:lineRule="auto"/>
              <w:jc w:val="center"/>
              <w:rPr>
                <w:rFonts w:eastAsia="黑体"/>
                <w:b/>
                <w:kern w:val="0"/>
                <w:sz w:val="20"/>
                <w:szCs w:val="21"/>
              </w:rPr>
            </w:pPr>
            <w:r>
              <w:rPr>
                <w:rFonts w:hint="eastAsia" w:eastAsia="黑体"/>
                <w:b/>
                <w:kern w:val="0"/>
                <w:sz w:val="20"/>
                <w:szCs w:val="21"/>
              </w:rPr>
              <w:t>2</w:t>
            </w:r>
          </w:p>
        </w:tc>
        <w:tc>
          <w:tcPr>
            <w:tcW w:w="5121" w:type="dxa"/>
            <w:shd w:val="clear" w:color="auto" w:fill="auto"/>
            <w:vAlign w:val="center"/>
          </w:tcPr>
          <w:p>
            <w:pPr>
              <w:ind w:left="105" w:leftChars="50"/>
              <w:jc w:val="center"/>
              <w:rPr>
                <w:rFonts w:eastAsia="黑体"/>
                <w:b/>
                <w:kern w:val="0"/>
                <w:sz w:val="20"/>
                <w:szCs w:val="21"/>
              </w:rPr>
            </w:pPr>
            <w:r>
              <w:rPr>
                <w:rFonts w:hint="eastAsia"/>
                <w:sz w:val="18"/>
                <w:szCs w:val="18"/>
              </w:rPr>
              <w:t>网络安全与信息伦理思维中的恶意代码防护技术，保障信息安全的常用技术手段。</w:t>
            </w:r>
          </w:p>
        </w:tc>
        <w:tc>
          <w:tcPr>
            <w:tcW w:w="6857" w:type="dxa"/>
            <w:shd w:val="clear" w:color="auto" w:fill="auto"/>
            <w:vAlign w:val="center"/>
          </w:tcPr>
          <w:p>
            <w:pPr>
              <w:ind w:left="105" w:leftChars="50"/>
              <w:jc w:val="center"/>
              <w:rPr>
                <w:rFonts w:hint="eastAsia" w:eastAsia="黑体"/>
                <w:b/>
                <w:kern w:val="0"/>
                <w:sz w:val="20"/>
                <w:szCs w:val="21"/>
              </w:rPr>
            </w:pPr>
            <w:r>
              <w:rPr>
                <w:rFonts w:hint="eastAsia"/>
                <w:sz w:val="18"/>
                <w:szCs w:val="18"/>
              </w:rPr>
              <w:t>爱国情怀：通过列举防护技术案例，培养学生的国家安全意识，真正的热爱自己国家。</w:t>
            </w:r>
          </w:p>
        </w:tc>
      </w:tr>
    </w:tbl>
    <w:p>
      <w:pPr>
        <w:spacing w:line="420" w:lineRule="exact"/>
        <w:rPr>
          <w:rFonts w:hint="eastAsia" w:eastAsia="黑体"/>
          <w:szCs w:val="21"/>
        </w:rPr>
        <w:sectPr>
          <w:pgSz w:w="16838" w:h="11906" w:orient="landscape"/>
          <w:pgMar w:top="1418" w:right="1440" w:bottom="1418" w:left="1440" w:header="851" w:footer="992" w:gutter="0"/>
          <w:pgNumType w:fmt="decimal"/>
          <w:cols w:space="720" w:num="1"/>
          <w:docGrid w:type="linesAndChars" w:linePitch="312" w:charSpace="0"/>
        </w:sectPr>
      </w:pPr>
    </w:p>
    <w:p>
      <w:pPr>
        <w:spacing w:before="156" w:beforeLines="50" w:after="156" w:afterLines="50" w:line="360" w:lineRule="auto"/>
        <w:ind w:firstLine="210" w:firstLineChars="100"/>
        <w:rPr>
          <w:rFonts w:eastAsia="黑体"/>
          <w:szCs w:val="21"/>
        </w:rPr>
      </w:pPr>
      <w:r>
        <w:rPr>
          <w:rFonts w:hint="eastAsia" w:eastAsia="黑体"/>
          <w:szCs w:val="21"/>
        </w:rPr>
        <w:t>三、</w:t>
      </w:r>
      <w:r>
        <w:rPr>
          <w:rFonts w:eastAsia="黑体"/>
          <w:szCs w:val="21"/>
        </w:rPr>
        <w:t>达成课程目标的途径和措施</w:t>
      </w:r>
    </w:p>
    <w:p>
      <w:pPr>
        <w:spacing w:line="360" w:lineRule="auto"/>
        <w:ind w:firstLine="420" w:firstLineChars="20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引导学生掌握系统思维、算法思维、数据思维、网络化思维以及网络安全与伦理思维的相关概念、基本原理以及实际意义，利用实际思维案例，帮助学生理解和掌握利用计算思维分析问题和逻辑推理的能力。</w:t>
      </w:r>
    </w:p>
    <w:p>
      <w:pPr>
        <w:spacing w:line="360" w:lineRule="auto"/>
        <w:ind w:firstLine="420" w:firstLineChars="200"/>
        <w:rPr>
          <w:rFonts w:ascii="宋体" w:hAnsi="宋体"/>
          <w:szCs w:val="21"/>
        </w:rPr>
      </w:pPr>
      <w:r>
        <w:rPr>
          <w:rFonts w:hint="eastAsia" w:ascii="宋体" w:hAnsi="宋体"/>
          <w:szCs w:val="21"/>
        </w:rPr>
        <w:t>2．采用多种信息化教学手段，结合例题讲解和实际案例分析，保证授课质量和授课进度，活跃课堂气氛，把握学生接受程度。</w:t>
      </w:r>
    </w:p>
    <w:p>
      <w:pPr>
        <w:spacing w:line="360" w:lineRule="auto"/>
        <w:ind w:firstLine="420" w:firstLineChars="200"/>
        <w:rPr>
          <w:rFonts w:hint="eastAsia" w:ascii="宋体" w:hAnsi="宋体"/>
          <w:szCs w:val="21"/>
        </w:rPr>
      </w:pPr>
      <w:r>
        <w:rPr>
          <w:rFonts w:hint="eastAsia" w:ascii="宋体" w:hAnsi="宋体"/>
          <w:szCs w:val="21"/>
        </w:rPr>
        <w:t>3．采用案例式教学，结合实际问题，进行复杂系统问题的分析和简化，从而具备利用计算思维手段进行求解复杂问题的能力。</w:t>
      </w:r>
    </w:p>
    <w:p>
      <w:pPr>
        <w:spacing w:before="156" w:beforeLines="50" w:after="156" w:afterLines="50" w:line="360" w:lineRule="auto"/>
        <w:ind w:firstLine="210" w:firstLineChars="100"/>
        <w:rPr>
          <w:rFonts w:eastAsia="黑体"/>
          <w:szCs w:val="21"/>
        </w:rPr>
      </w:pPr>
      <w:r>
        <w:rPr>
          <w:rFonts w:hint="eastAsia" w:eastAsia="黑体"/>
          <w:szCs w:val="21"/>
        </w:rPr>
        <w:t>四</w:t>
      </w:r>
      <w:r>
        <w:rPr>
          <w:rFonts w:eastAsia="黑体"/>
          <w:szCs w:val="21"/>
        </w:rPr>
        <w:t>、考核方式</w:t>
      </w:r>
    </w:p>
    <w:p>
      <w:pPr>
        <w:spacing w:line="360" w:lineRule="auto"/>
        <w:ind w:left="420" w:leftChars="200"/>
        <w:rPr>
          <w:szCs w:val="21"/>
        </w:rPr>
      </w:pPr>
      <w:r>
        <w:rPr>
          <w:szCs w:val="21"/>
        </w:rPr>
        <w:t>1. 课程考核方式包括</w:t>
      </w:r>
      <w:r>
        <w:rPr>
          <w:rFonts w:hint="eastAsia"/>
          <w:szCs w:val="21"/>
        </w:rPr>
        <w:t>随堂测验</w:t>
      </w:r>
      <w:r>
        <w:rPr>
          <w:szCs w:val="21"/>
        </w:rPr>
        <w:t>、</w:t>
      </w:r>
      <w:r>
        <w:rPr>
          <w:rFonts w:hint="eastAsia"/>
          <w:szCs w:val="21"/>
        </w:rPr>
        <w:t>课后</w:t>
      </w:r>
      <w:r>
        <w:rPr>
          <w:szCs w:val="21"/>
        </w:rPr>
        <w:t>作业情况</w:t>
      </w:r>
      <w:r>
        <w:rPr>
          <w:rFonts w:hint="eastAsia"/>
          <w:szCs w:val="21"/>
        </w:rPr>
        <w:t>、</w:t>
      </w:r>
      <w:r>
        <w:rPr>
          <w:szCs w:val="21"/>
        </w:rPr>
        <w:t>实验情况</w:t>
      </w:r>
      <w:r>
        <w:rPr>
          <w:rFonts w:hint="eastAsia"/>
          <w:szCs w:val="21"/>
        </w:rPr>
        <w:t>和</w:t>
      </w:r>
      <w:r>
        <w:rPr>
          <w:szCs w:val="21"/>
        </w:rPr>
        <w:t>期末考试</w:t>
      </w:r>
      <w:r>
        <w:rPr>
          <w:rFonts w:hint="eastAsia"/>
          <w:szCs w:val="21"/>
        </w:rPr>
        <w:t>等</w:t>
      </w:r>
      <w:r>
        <w:rPr>
          <w:szCs w:val="21"/>
        </w:rPr>
        <w:t>。</w:t>
      </w:r>
    </w:p>
    <w:p>
      <w:pPr>
        <w:spacing w:line="360" w:lineRule="auto"/>
        <w:ind w:firstLine="420" w:firstLineChars="200"/>
        <w:rPr>
          <w:rFonts w:hint="eastAsia"/>
          <w:szCs w:val="21"/>
        </w:rPr>
      </w:pPr>
      <w:r>
        <w:rPr>
          <w:rFonts w:hint="eastAsia"/>
          <w:szCs w:val="21"/>
        </w:rPr>
        <w:t>考核方式：随堂测验、课后作业和期末考试。</w:t>
      </w:r>
    </w:p>
    <w:p>
      <w:pPr>
        <w:numPr>
          <w:ilvl w:val="0"/>
          <w:numId w:val="14"/>
        </w:numPr>
        <w:spacing w:line="360" w:lineRule="auto"/>
        <w:ind w:left="420" w:leftChars="200"/>
        <w:rPr>
          <w:rFonts w:hint="eastAsia"/>
          <w:szCs w:val="21"/>
        </w:rPr>
      </w:pPr>
      <w:r>
        <w:rPr>
          <w:rFonts w:hint="eastAsia"/>
          <w:szCs w:val="21"/>
        </w:rPr>
        <w:t>定量评价</w:t>
      </w:r>
    </w:p>
    <w:p>
      <w:pPr>
        <w:spacing w:line="360" w:lineRule="auto"/>
        <w:ind w:firstLine="420" w:firstLineChars="200"/>
        <w:rPr>
          <w:rFonts w:hint="eastAsia"/>
          <w:szCs w:val="21"/>
        </w:rPr>
      </w:pPr>
      <w:r>
        <w:rPr>
          <w:rFonts w:hint="eastAsia"/>
          <w:szCs w:val="21"/>
        </w:rPr>
        <w:t>本课程</w:t>
      </w:r>
      <w:r>
        <w:rPr>
          <w:szCs w:val="21"/>
        </w:rPr>
        <w:t>包含</w:t>
      </w:r>
      <w:r>
        <w:rPr>
          <w:rFonts w:hint="eastAsia"/>
          <w:szCs w:val="21"/>
          <w:lang w:val="en-US" w:eastAsia="zh-CN"/>
        </w:rPr>
        <w:t>3</w:t>
      </w:r>
      <w:r>
        <w:rPr>
          <w:szCs w:val="21"/>
        </w:rPr>
        <w:t>个分课程目标</w:t>
      </w:r>
      <w:r>
        <w:rPr>
          <w:rFonts w:hint="eastAsia"/>
          <w:szCs w:val="21"/>
        </w:rPr>
        <w:t>，有</w:t>
      </w:r>
      <w:r>
        <w:rPr>
          <w:rFonts w:hint="eastAsia"/>
          <w:szCs w:val="21"/>
          <w:lang w:val="en-US" w:eastAsia="zh-CN"/>
        </w:rPr>
        <w:t>3</w:t>
      </w:r>
      <w:r>
        <w:rPr>
          <w:rFonts w:hint="eastAsia"/>
          <w:szCs w:val="21"/>
        </w:rPr>
        <w:t>个考核方式，各考核方式对课程目标达成评价的权重占比分配如下：</w:t>
      </w:r>
    </w:p>
    <w:p>
      <w:pPr>
        <w:spacing w:line="360" w:lineRule="auto"/>
        <w:jc w:val="center"/>
        <w:rPr>
          <w:rFonts w:hint="eastAsia"/>
          <w:sz w:val="18"/>
          <w:szCs w:val="18"/>
        </w:rPr>
      </w:pPr>
      <w:r>
        <w:rPr>
          <w:sz w:val="18"/>
          <w:szCs w:val="18"/>
        </w:rPr>
        <w:t>表4</w:t>
      </w:r>
      <w:r>
        <w:rPr>
          <w:rFonts w:hint="eastAsia"/>
          <w:sz w:val="18"/>
          <w:szCs w:val="18"/>
        </w:rPr>
        <w:t xml:space="preserve">.1   </w:t>
      </w:r>
      <w:r>
        <w:rPr>
          <w:sz w:val="18"/>
          <w:szCs w:val="18"/>
        </w:rPr>
        <w:t>各考核方式对课程目标达成评价的</w:t>
      </w:r>
      <w:r>
        <w:rPr>
          <w:rFonts w:hint="eastAsia"/>
          <w:sz w:val="18"/>
          <w:szCs w:val="18"/>
        </w:rPr>
        <w:t>权重</w:t>
      </w:r>
      <w:r>
        <w:rPr>
          <w:sz w:val="18"/>
          <w:szCs w:val="18"/>
        </w:rPr>
        <w:t>占比分配</w:t>
      </w:r>
    </w:p>
    <w:tbl>
      <w:tblPr>
        <w:tblStyle w:val="19"/>
        <w:tblW w:w="7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1436"/>
        <w:gridCol w:w="1436"/>
        <w:gridCol w:w="1306"/>
        <w:gridCol w:w="2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600" w:type="dxa"/>
            <w:vMerge w:val="restart"/>
            <w:vAlign w:val="center"/>
          </w:tcPr>
          <w:p>
            <w:pPr>
              <w:spacing w:line="360" w:lineRule="auto"/>
              <w:jc w:val="center"/>
              <w:rPr>
                <w:b/>
              </w:rPr>
            </w:pPr>
            <w:r>
              <w:rPr>
                <w:b/>
                <w:kern w:val="0"/>
                <w:sz w:val="18"/>
                <w:szCs w:val="18"/>
              </w:rPr>
              <w:t>课程目标</w:t>
            </w:r>
          </w:p>
        </w:tc>
        <w:tc>
          <w:tcPr>
            <w:tcW w:w="4178" w:type="dxa"/>
            <w:gridSpan w:val="3"/>
            <w:vAlign w:val="center"/>
          </w:tcPr>
          <w:p>
            <w:pPr>
              <w:spacing w:line="360" w:lineRule="auto"/>
              <w:jc w:val="center"/>
              <w:rPr>
                <w:b/>
              </w:rPr>
            </w:pPr>
            <w:r>
              <w:rPr>
                <w:rFonts w:hint="eastAsia"/>
                <w:b/>
                <w:sz w:val="18"/>
                <w:szCs w:val="18"/>
              </w:rPr>
              <w:t>考核方式以及成绩占比（%）</w:t>
            </w:r>
          </w:p>
        </w:tc>
        <w:tc>
          <w:tcPr>
            <w:tcW w:w="2072" w:type="dxa"/>
            <w:vMerge w:val="restart"/>
            <w:vAlign w:val="center"/>
          </w:tcPr>
          <w:p>
            <w:pPr>
              <w:spacing w:line="360" w:lineRule="auto"/>
              <w:jc w:val="center"/>
              <w:rPr>
                <w:rFonts w:hint="eastAsia"/>
                <w:b/>
                <w:i/>
                <w:kern w:val="0"/>
                <w:sz w:val="18"/>
                <w:szCs w:val="18"/>
              </w:rPr>
            </w:pPr>
            <w:r>
              <w:rPr>
                <w:b/>
                <w:kern w:val="0"/>
                <w:sz w:val="18"/>
                <w:szCs w:val="18"/>
              </w:rPr>
              <w:t>分课程目标权重</w:t>
            </w:r>
            <w:r>
              <w:rPr>
                <w:b/>
                <w:i/>
                <w:kern w:val="0"/>
                <w:sz w:val="18"/>
                <w:szCs w:val="18"/>
              </w:rPr>
              <w:t>P</w:t>
            </w:r>
            <w:r>
              <w:rPr>
                <w:b/>
                <w:i/>
                <w:kern w:val="0"/>
                <w:sz w:val="18"/>
                <w:szCs w:val="18"/>
                <w:vertAlign w:val="subscript"/>
              </w:rPr>
              <w:t>i</w:t>
            </w:r>
          </w:p>
          <w:p>
            <w:pPr>
              <w:spacing w:line="360" w:lineRule="auto"/>
              <w:jc w:val="center"/>
              <w:rPr>
                <w:kern w:val="0"/>
                <w:sz w:val="18"/>
                <w:szCs w:val="18"/>
              </w:rPr>
            </w:pPr>
            <w:r>
              <w:rPr>
                <w:rFonts w:hint="eastAsia"/>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0" w:type="dxa"/>
            <w:vMerge w:val="continue"/>
            <w:vAlign w:val="center"/>
          </w:tcPr>
          <w:p>
            <w:pPr>
              <w:widowControl/>
              <w:jc w:val="center"/>
              <w:rPr>
                <w:b/>
                <w:kern w:val="0"/>
                <w:sz w:val="18"/>
                <w:szCs w:val="18"/>
              </w:rPr>
            </w:pPr>
          </w:p>
        </w:tc>
        <w:tc>
          <w:tcPr>
            <w:tcW w:w="1436" w:type="dxa"/>
            <w:vAlign w:val="center"/>
          </w:tcPr>
          <w:p>
            <w:pPr>
              <w:widowControl/>
              <w:jc w:val="center"/>
              <w:rPr>
                <w:b/>
                <w:kern w:val="0"/>
                <w:sz w:val="18"/>
                <w:szCs w:val="18"/>
              </w:rPr>
            </w:pPr>
            <w:r>
              <w:rPr>
                <w:rFonts w:hint="eastAsia"/>
                <w:b/>
                <w:kern w:val="0"/>
                <w:sz w:val="18"/>
                <w:szCs w:val="18"/>
              </w:rPr>
              <w:t>作业</w:t>
            </w:r>
          </w:p>
          <w:p>
            <w:pPr>
              <w:widowControl/>
              <w:jc w:val="center"/>
              <w:rPr>
                <w:rFonts w:hint="eastAsia"/>
                <w:b/>
                <w:kern w:val="0"/>
                <w:sz w:val="18"/>
                <w:szCs w:val="18"/>
              </w:rPr>
            </w:pPr>
            <w:r>
              <w:rPr>
                <w:rFonts w:hint="eastAsia"/>
                <w:b/>
                <w:kern w:val="0"/>
                <w:sz w:val="18"/>
                <w:szCs w:val="18"/>
              </w:rPr>
              <w:t>（1）</w:t>
            </w:r>
          </w:p>
        </w:tc>
        <w:tc>
          <w:tcPr>
            <w:tcW w:w="1436" w:type="dxa"/>
            <w:vAlign w:val="center"/>
          </w:tcPr>
          <w:p>
            <w:pPr>
              <w:widowControl/>
              <w:jc w:val="center"/>
              <w:rPr>
                <w:b/>
                <w:kern w:val="0"/>
                <w:sz w:val="18"/>
                <w:szCs w:val="18"/>
              </w:rPr>
            </w:pPr>
            <w:r>
              <w:rPr>
                <w:rFonts w:hint="eastAsia"/>
                <w:b/>
                <w:kern w:val="0"/>
                <w:sz w:val="18"/>
                <w:szCs w:val="18"/>
              </w:rPr>
              <w:t>随堂测试</w:t>
            </w:r>
          </w:p>
          <w:p>
            <w:pPr>
              <w:widowControl/>
              <w:jc w:val="center"/>
              <w:rPr>
                <w:rFonts w:hint="eastAsia"/>
                <w:b/>
                <w:kern w:val="0"/>
                <w:sz w:val="18"/>
                <w:szCs w:val="18"/>
              </w:rPr>
            </w:pPr>
            <w:r>
              <w:rPr>
                <w:rFonts w:hint="eastAsia"/>
                <w:b/>
                <w:kern w:val="0"/>
                <w:sz w:val="18"/>
                <w:szCs w:val="18"/>
              </w:rPr>
              <w:t>（2）</w:t>
            </w:r>
          </w:p>
        </w:tc>
        <w:tc>
          <w:tcPr>
            <w:tcW w:w="1306" w:type="dxa"/>
            <w:vAlign w:val="center"/>
          </w:tcPr>
          <w:p>
            <w:pPr>
              <w:widowControl/>
              <w:jc w:val="center"/>
              <w:rPr>
                <w:b/>
                <w:kern w:val="0"/>
                <w:sz w:val="18"/>
                <w:szCs w:val="18"/>
              </w:rPr>
            </w:pPr>
            <w:r>
              <w:rPr>
                <w:b/>
                <w:kern w:val="0"/>
                <w:sz w:val="18"/>
                <w:szCs w:val="18"/>
              </w:rPr>
              <w:t>期末考试</w:t>
            </w:r>
          </w:p>
          <w:p>
            <w:pPr>
              <w:widowControl/>
              <w:jc w:val="center"/>
              <w:rPr>
                <w:rFonts w:hint="eastAsia"/>
                <w:b/>
                <w:kern w:val="0"/>
                <w:sz w:val="18"/>
                <w:szCs w:val="18"/>
              </w:rPr>
            </w:pPr>
            <w:r>
              <w:rPr>
                <w:rFonts w:hint="eastAsia"/>
                <w:b/>
                <w:kern w:val="0"/>
                <w:sz w:val="18"/>
                <w:szCs w:val="18"/>
              </w:rPr>
              <w:t>（k）</w:t>
            </w:r>
          </w:p>
        </w:tc>
        <w:tc>
          <w:tcPr>
            <w:tcW w:w="2072" w:type="dxa"/>
            <w:vMerge w:val="continue"/>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00" w:type="dxa"/>
            <w:vAlign w:val="center"/>
          </w:tcPr>
          <w:p>
            <w:pPr>
              <w:widowControl/>
              <w:jc w:val="center"/>
              <w:rPr>
                <w:kern w:val="0"/>
                <w:sz w:val="18"/>
                <w:szCs w:val="18"/>
              </w:rPr>
            </w:pPr>
            <w:r>
              <w:rPr>
                <w:kern w:val="0"/>
                <w:sz w:val="18"/>
                <w:szCs w:val="18"/>
              </w:rPr>
              <w:t>1</w:t>
            </w:r>
          </w:p>
        </w:tc>
        <w:tc>
          <w:tcPr>
            <w:tcW w:w="1436" w:type="dxa"/>
            <w:vAlign w:val="center"/>
          </w:tcPr>
          <w:p>
            <w:pPr>
              <w:spacing w:line="360" w:lineRule="auto"/>
              <w:jc w:val="center"/>
            </w:pPr>
            <w:r>
              <w:rPr>
                <w:i/>
              </w:rPr>
              <w:t>5</w:t>
            </w:r>
          </w:p>
        </w:tc>
        <w:tc>
          <w:tcPr>
            <w:tcW w:w="1436" w:type="dxa"/>
            <w:vAlign w:val="center"/>
          </w:tcPr>
          <w:p>
            <w:pPr>
              <w:spacing w:line="360" w:lineRule="auto"/>
              <w:jc w:val="center"/>
            </w:pPr>
            <w:r>
              <w:rPr>
                <w:i/>
              </w:rPr>
              <w:t>5</w:t>
            </w:r>
          </w:p>
        </w:tc>
        <w:tc>
          <w:tcPr>
            <w:tcW w:w="1306" w:type="dxa"/>
            <w:vAlign w:val="center"/>
          </w:tcPr>
          <w:p>
            <w:pPr>
              <w:spacing w:line="360" w:lineRule="auto"/>
              <w:jc w:val="center"/>
            </w:pPr>
            <w:r>
              <w:rPr>
                <w:i/>
              </w:rPr>
              <w:t>10</w:t>
            </w:r>
          </w:p>
        </w:tc>
        <w:tc>
          <w:tcPr>
            <w:tcW w:w="2072" w:type="dxa"/>
            <w:vAlign w:val="center"/>
          </w:tcPr>
          <w:p>
            <w:pPr>
              <w:spacing w:line="360" w:lineRule="auto"/>
              <w:jc w:val="center"/>
            </w:pPr>
            <w:r>
              <w:rPr>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0" w:type="dxa"/>
            <w:vAlign w:val="center"/>
          </w:tcPr>
          <w:p>
            <w:pPr>
              <w:widowControl/>
              <w:jc w:val="center"/>
              <w:rPr>
                <w:kern w:val="0"/>
                <w:sz w:val="18"/>
                <w:szCs w:val="18"/>
              </w:rPr>
            </w:pPr>
            <w:r>
              <w:rPr>
                <w:kern w:val="0"/>
                <w:sz w:val="18"/>
                <w:szCs w:val="18"/>
              </w:rPr>
              <w:t>2</w:t>
            </w:r>
          </w:p>
        </w:tc>
        <w:tc>
          <w:tcPr>
            <w:tcW w:w="1436" w:type="dxa"/>
            <w:vAlign w:val="center"/>
          </w:tcPr>
          <w:p>
            <w:pPr>
              <w:spacing w:line="360" w:lineRule="auto"/>
              <w:jc w:val="center"/>
            </w:pPr>
            <w:r>
              <w:rPr>
                <w:i/>
              </w:rPr>
              <w:t>5</w:t>
            </w:r>
          </w:p>
        </w:tc>
        <w:tc>
          <w:tcPr>
            <w:tcW w:w="1436" w:type="dxa"/>
            <w:vAlign w:val="center"/>
          </w:tcPr>
          <w:p>
            <w:pPr>
              <w:spacing w:line="360" w:lineRule="auto"/>
              <w:jc w:val="center"/>
            </w:pPr>
            <w:r>
              <w:rPr>
                <w:i/>
              </w:rPr>
              <w:t>5</w:t>
            </w:r>
          </w:p>
        </w:tc>
        <w:tc>
          <w:tcPr>
            <w:tcW w:w="1306" w:type="dxa"/>
            <w:vAlign w:val="center"/>
          </w:tcPr>
          <w:p>
            <w:pPr>
              <w:spacing w:line="360" w:lineRule="auto"/>
              <w:jc w:val="center"/>
            </w:pPr>
            <w:r>
              <w:rPr>
                <w:i/>
              </w:rPr>
              <w:t>20</w:t>
            </w:r>
          </w:p>
        </w:tc>
        <w:tc>
          <w:tcPr>
            <w:tcW w:w="2072" w:type="dxa"/>
            <w:vAlign w:val="center"/>
          </w:tcPr>
          <w:p>
            <w:pPr>
              <w:spacing w:line="360" w:lineRule="auto"/>
              <w:jc w:val="center"/>
            </w:pPr>
            <w:r>
              <w:rPr>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0" w:type="dxa"/>
            <w:vAlign w:val="center"/>
          </w:tcPr>
          <w:p>
            <w:pPr>
              <w:widowControl/>
              <w:jc w:val="center"/>
              <w:rPr>
                <w:kern w:val="0"/>
                <w:sz w:val="18"/>
                <w:szCs w:val="18"/>
              </w:rPr>
            </w:pPr>
            <w:r>
              <w:rPr>
                <w:kern w:val="0"/>
                <w:sz w:val="18"/>
                <w:szCs w:val="18"/>
              </w:rPr>
              <w:t>3</w:t>
            </w:r>
          </w:p>
        </w:tc>
        <w:tc>
          <w:tcPr>
            <w:tcW w:w="1436" w:type="dxa"/>
            <w:vAlign w:val="center"/>
          </w:tcPr>
          <w:p>
            <w:pPr>
              <w:spacing w:line="360" w:lineRule="auto"/>
              <w:jc w:val="center"/>
            </w:pPr>
            <w:r>
              <w:rPr>
                <w:i/>
              </w:rPr>
              <w:t>10</w:t>
            </w:r>
          </w:p>
        </w:tc>
        <w:tc>
          <w:tcPr>
            <w:tcW w:w="1436" w:type="dxa"/>
            <w:vAlign w:val="center"/>
          </w:tcPr>
          <w:p>
            <w:pPr>
              <w:spacing w:line="360" w:lineRule="auto"/>
              <w:jc w:val="center"/>
            </w:pPr>
            <w:r>
              <w:rPr>
                <w:i/>
              </w:rPr>
              <w:t>10</w:t>
            </w:r>
          </w:p>
        </w:tc>
        <w:tc>
          <w:tcPr>
            <w:tcW w:w="1306" w:type="dxa"/>
            <w:vAlign w:val="center"/>
          </w:tcPr>
          <w:p>
            <w:pPr>
              <w:spacing w:line="360" w:lineRule="auto"/>
              <w:jc w:val="center"/>
            </w:pPr>
            <w:r>
              <w:rPr>
                <w:i/>
              </w:rPr>
              <w:t>30</w:t>
            </w:r>
          </w:p>
        </w:tc>
        <w:tc>
          <w:tcPr>
            <w:tcW w:w="2072" w:type="dxa"/>
            <w:vAlign w:val="center"/>
          </w:tcPr>
          <w:p>
            <w:pPr>
              <w:spacing w:line="360" w:lineRule="auto"/>
              <w:jc w:val="center"/>
            </w:pPr>
            <w:r>
              <w:rPr>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0" w:type="dxa"/>
            <w:vAlign w:val="center"/>
          </w:tcPr>
          <w:p>
            <w:pPr>
              <w:widowControl/>
              <w:jc w:val="center"/>
              <w:rPr>
                <w:kern w:val="0"/>
                <w:sz w:val="18"/>
                <w:szCs w:val="18"/>
              </w:rPr>
            </w:pPr>
            <w:r>
              <w:rPr>
                <w:rFonts w:hint="eastAsia"/>
                <w:kern w:val="0"/>
                <w:sz w:val="18"/>
                <w:szCs w:val="18"/>
              </w:rPr>
              <w:t>考核环节成绩比例合计（%）</w:t>
            </w:r>
          </w:p>
        </w:tc>
        <w:tc>
          <w:tcPr>
            <w:tcW w:w="1436" w:type="dxa"/>
            <w:vAlign w:val="center"/>
          </w:tcPr>
          <w:p>
            <w:pPr>
              <w:spacing w:line="360" w:lineRule="auto"/>
              <w:jc w:val="center"/>
              <w:rPr>
                <w:rFonts w:hint="eastAsia"/>
                <w:vertAlign w:val="subscript"/>
              </w:rPr>
            </w:pPr>
            <w:r>
              <w:rPr>
                <w:sz w:val="18"/>
                <w:szCs w:val="18"/>
              </w:rPr>
              <w:t>20</w:t>
            </w:r>
          </w:p>
        </w:tc>
        <w:tc>
          <w:tcPr>
            <w:tcW w:w="1436" w:type="dxa"/>
            <w:vAlign w:val="center"/>
          </w:tcPr>
          <w:p>
            <w:pPr>
              <w:spacing w:line="360" w:lineRule="auto"/>
              <w:jc w:val="center"/>
              <w:rPr>
                <w:rFonts w:hint="eastAsia"/>
                <w:sz w:val="20"/>
                <w:szCs w:val="22"/>
              </w:rPr>
            </w:pPr>
            <w:r>
              <w:rPr>
                <w:sz w:val="20"/>
                <w:szCs w:val="22"/>
              </w:rPr>
              <w:t>20</w:t>
            </w:r>
          </w:p>
        </w:tc>
        <w:tc>
          <w:tcPr>
            <w:tcW w:w="1306" w:type="dxa"/>
            <w:vAlign w:val="center"/>
          </w:tcPr>
          <w:p>
            <w:pPr>
              <w:spacing w:line="360" w:lineRule="auto"/>
              <w:jc w:val="center"/>
              <w:rPr>
                <w:sz w:val="20"/>
                <w:szCs w:val="22"/>
              </w:rPr>
            </w:pPr>
            <w:r>
              <w:rPr>
                <w:sz w:val="20"/>
                <w:szCs w:val="22"/>
              </w:rPr>
              <w:t>60</w:t>
            </w:r>
          </w:p>
        </w:tc>
        <w:tc>
          <w:tcPr>
            <w:tcW w:w="2072" w:type="dxa"/>
            <w:vAlign w:val="center"/>
          </w:tcPr>
          <w:p>
            <w:pPr>
              <w:spacing w:line="360" w:lineRule="auto"/>
              <w:jc w:val="center"/>
            </w:pPr>
            <w:r>
              <w:rPr>
                <w:rFonts w:hint="eastAsia"/>
              </w:rPr>
              <w:t>1</w:t>
            </w:r>
            <w:r>
              <w:t>00</w:t>
            </w:r>
          </w:p>
        </w:tc>
      </w:tr>
    </w:tbl>
    <w:p>
      <w:pPr>
        <w:spacing w:line="360" w:lineRule="auto"/>
        <w:rPr>
          <w:szCs w:val="21"/>
        </w:rPr>
      </w:pPr>
    </w:p>
    <w:p>
      <w:pPr>
        <w:spacing w:line="360" w:lineRule="auto"/>
        <w:ind w:firstLine="420" w:firstLineChars="200"/>
        <w:rPr>
          <w:szCs w:val="21"/>
        </w:rPr>
      </w:pPr>
      <w:r>
        <w:rPr>
          <w:szCs w:val="21"/>
        </w:rPr>
        <w:t>那么第i个分课程目标的评价基于各环节k的贡献加权求和，就是该分课程目标的达成度</w:t>
      </w:r>
      <w:r>
        <w:rPr>
          <w:i/>
          <w:szCs w:val="21"/>
        </w:rPr>
        <w:t>A</w:t>
      </w:r>
      <w:r>
        <w:rPr>
          <w:szCs w:val="21"/>
          <w:vertAlign w:val="subscript"/>
        </w:rPr>
        <w:t>i</w:t>
      </w:r>
      <w:r>
        <w:rPr>
          <w:szCs w:val="21"/>
        </w:rPr>
        <w:t xml:space="preserve">，即 </w:t>
      </w:r>
    </w:p>
    <w:p>
      <w:pPr>
        <w:spacing w:line="360" w:lineRule="auto"/>
        <w:jc w:val="right"/>
        <w:rPr>
          <w:sz w:val="24"/>
        </w:rPr>
      </w:pPr>
      <w:r>
        <w:rPr>
          <w:position w:val="-14"/>
        </w:rPr>
        <w:object>
          <v:shape id="_x0000_i1157" o:spt="75" type="#_x0000_t75" style="height:20pt;width:105.5pt;" o:ole="t" filled="f" o:preferrelative="t" stroked="f" coordsize="21600,21600">
            <v:path/>
            <v:fill on="f" focussize="0,0"/>
            <v:stroke on="f" joinstyle="miter"/>
            <v:imagedata r:id="rId296" o:title=""/>
            <o:lock v:ext="edit" aspectratio="t"/>
            <w10:wrap type="none"/>
            <w10:anchorlock/>
          </v:shape>
          <o:OLEObject Type="Embed" ProgID="Equation.DSMT4" ShapeID="_x0000_i1157" DrawAspect="Content" ObjectID="_1468075857" r:id="rId295">
            <o:LockedField>false</o:LockedField>
          </o:OLEObject>
        </w:object>
      </w:r>
      <w:r>
        <w:rPr>
          <w:position w:val="-14"/>
        </w:rPr>
        <w:t xml:space="preserve">                                    5-1</w:t>
      </w:r>
    </w:p>
    <w:p>
      <w:pPr>
        <w:snapToGrid w:val="0"/>
        <w:spacing w:line="360" w:lineRule="auto"/>
        <w:ind w:firstLine="420" w:firstLineChars="200"/>
        <w:rPr>
          <w:szCs w:val="21"/>
        </w:rPr>
      </w:pPr>
      <w:r>
        <w:rPr>
          <w:szCs w:val="21"/>
        </w:rPr>
        <w:t>而多个分课程目标再根据比例加权求和，就得到本门课程的课程目标达成度</w:t>
      </w:r>
      <w:r>
        <w:rPr>
          <w:i/>
          <w:szCs w:val="21"/>
        </w:rPr>
        <w:t>A。</w:t>
      </w:r>
    </w:p>
    <w:p>
      <w:pPr>
        <w:pStyle w:val="59"/>
        <w:spacing w:line="360" w:lineRule="auto"/>
        <w:ind w:left="-2" w:leftChars="-1" w:firstLine="3362" w:firstLineChars="1601"/>
        <w:jc w:val="right"/>
        <w:rPr>
          <w:rFonts w:ascii="Times New Roman" w:hAnsi="Times New Roman"/>
        </w:rPr>
      </w:pPr>
      <w:r>
        <w:rPr>
          <w:rFonts w:ascii="Times New Roman" w:hAnsi="Times New Roman"/>
          <w:position w:val="-14"/>
        </w:rPr>
        <w:object>
          <v:shape id="_x0000_i1158" o:spt="75" type="#_x0000_t75" style="height:20pt;width:62.5pt;" o:ole="t" filled="f" o:preferrelative="t" stroked="f" coordsize="21600,21600">
            <v:path/>
            <v:fill on="f" focussize="0,0"/>
            <v:stroke on="f" joinstyle="miter"/>
            <v:imagedata r:id="rId298" o:title=""/>
            <o:lock v:ext="edit" aspectratio="t"/>
            <w10:wrap type="none"/>
            <w10:anchorlock/>
          </v:shape>
          <o:OLEObject Type="Embed" ProgID="Equation.DSMT4" ShapeID="_x0000_i1158" DrawAspect="Content" ObjectID="_1468075858" r:id="rId297">
            <o:LockedField>false</o:LockedField>
          </o:OLEObject>
        </w:object>
      </w:r>
      <w:r>
        <w:rPr>
          <w:rFonts w:ascii="Times New Roman" w:hAnsi="Times New Roman"/>
          <w:position w:val="-14"/>
        </w:rPr>
        <w:t xml:space="preserve">                                      5-2</w:t>
      </w:r>
    </w:p>
    <w:p>
      <w:pPr>
        <w:spacing w:line="360" w:lineRule="auto"/>
        <w:rPr>
          <w:szCs w:val="21"/>
        </w:rPr>
      </w:pPr>
      <w:r>
        <w:rPr>
          <w:szCs w:val="21"/>
        </w:rPr>
        <w:t>其中：</w:t>
      </w:r>
      <w:r>
        <w:rPr>
          <w:i/>
          <w:szCs w:val="21"/>
        </w:rPr>
        <w:t>k</w:t>
      </w:r>
      <w:r>
        <w:rPr>
          <w:szCs w:val="21"/>
        </w:rPr>
        <w:t>表示不同的考核</w:t>
      </w:r>
      <w:r>
        <w:rPr>
          <w:rFonts w:hint="eastAsia"/>
          <w:szCs w:val="21"/>
        </w:rPr>
        <w:t>方式</w:t>
      </w:r>
      <w:r>
        <w:rPr>
          <w:szCs w:val="21"/>
        </w:rPr>
        <w:t>，</w:t>
      </w:r>
      <w:r>
        <w:rPr>
          <w:i/>
          <w:szCs w:val="21"/>
        </w:rPr>
        <w:t>i</w:t>
      </w:r>
      <w:r>
        <w:rPr>
          <w:szCs w:val="21"/>
        </w:rPr>
        <w:t>表示不同的分课程目标；</w:t>
      </w:r>
    </w:p>
    <w:p>
      <w:pPr>
        <w:spacing w:line="360" w:lineRule="auto"/>
        <w:ind w:firstLine="630" w:firstLineChars="300"/>
      </w:pPr>
      <w:r>
        <w:rPr>
          <w:position w:val="-12"/>
        </w:rPr>
        <w:object>
          <v:shape id="_x0000_i1159" o:spt="75" type="#_x0000_t75" style="height:19pt;width:15.5pt;" o:ole="t" filled="f" o:preferrelative="t" stroked="f" coordsize="21600,21600">
            <v:path/>
            <v:fill on="f" focussize="0,0"/>
            <v:stroke on="f" joinstyle="miter"/>
            <v:imagedata r:id="rId300" o:title=""/>
            <o:lock v:ext="edit" aspectratio="t"/>
            <w10:wrap type="none"/>
            <w10:anchorlock/>
          </v:shape>
          <o:OLEObject Type="Embed" ProgID="Equation.3" ShapeID="_x0000_i1159" DrawAspect="Content" ObjectID="_1468075859" r:id="rId299">
            <o:LockedField>false</o:LockedField>
          </o:OLEObject>
        </w:object>
      </w:r>
      <w:r>
        <w:t>表示第</w:t>
      </w:r>
      <w:r>
        <w:rPr>
          <w:i/>
        </w:rPr>
        <w:t>i</w:t>
      </w:r>
      <w:r>
        <w:t>个课程目标</w:t>
      </w:r>
      <w:r>
        <w:rPr>
          <w:rFonts w:hint="eastAsia"/>
        </w:rPr>
        <w:t>中</w:t>
      </w:r>
      <w:r>
        <w:t>第</w:t>
      </w:r>
      <w:r>
        <w:rPr>
          <w:i/>
        </w:rPr>
        <w:t>k</w:t>
      </w:r>
      <w:r>
        <w:t>种</w:t>
      </w:r>
      <w:r>
        <w:rPr>
          <w:rFonts w:hint="eastAsia"/>
        </w:rPr>
        <w:t>考核方式在总成绩中的占比</w:t>
      </w:r>
      <w:r>
        <w:t>；</w:t>
      </w:r>
    </w:p>
    <w:p>
      <w:pPr>
        <w:spacing w:line="360" w:lineRule="auto"/>
        <w:ind w:firstLine="630" w:firstLineChars="300"/>
      </w:pPr>
      <w:r>
        <w:rPr>
          <w:position w:val="-10"/>
        </w:rPr>
        <w:object>
          <v:shape id="_x0000_i1160" o:spt="75" type="#_x0000_t75" style="height:19pt;width:13.5pt;" o:ole="t" filled="f" o:preferrelative="t" stroked="f" coordsize="21600,21600">
            <v:path/>
            <v:fill on="f" focussize="0,0"/>
            <v:stroke on="f" joinstyle="miter"/>
            <v:imagedata r:id="rId155" o:title=""/>
            <o:lock v:ext="edit" aspectratio="t"/>
            <w10:wrap type="none"/>
            <w10:anchorlock/>
          </v:shape>
          <o:OLEObject Type="Embed" ProgID="Equation.3" ShapeID="_x0000_i1160" DrawAspect="Content" ObjectID="_1468075860" r:id="rId301">
            <o:LockedField>false</o:LockedField>
          </o:OLEObject>
        </w:object>
      </w:r>
      <w:r>
        <w:t>表示第</w:t>
      </w:r>
      <w:r>
        <w:rPr>
          <w:i/>
        </w:rPr>
        <w:t>i</w:t>
      </w:r>
      <w:r>
        <w:t>个课程目标在课程总评价中的占比；</w:t>
      </w:r>
    </w:p>
    <w:p>
      <w:pPr>
        <w:spacing w:line="360" w:lineRule="auto"/>
        <w:rPr>
          <w:szCs w:val="21"/>
        </w:rPr>
      </w:pPr>
      <w:r>
        <w:rPr>
          <w:rFonts w:hint="eastAsia"/>
          <w:i/>
          <w:iCs/>
          <w:kern w:val="0"/>
          <w:sz w:val="28"/>
          <w:szCs w:val="28"/>
        </w:rPr>
        <w:t xml:space="preserve">    </w:t>
      </w:r>
      <w:r>
        <w:rPr>
          <w:i/>
          <w:iCs/>
          <w:kern w:val="0"/>
          <w:sz w:val="28"/>
          <w:szCs w:val="28"/>
        </w:rPr>
        <w:t>G</w:t>
      </w:r>
      <w:r>
        <w:rPr>
          <w:i/>
          <w:iCs/>
          <w:kern w:val="0"/>
          <w:sz w:val="28"/>
          <w:szCs w:val="28"/>
          <w:vertAlign w:val="subscript"/>
        </w:rPr>
        <w:t>ik</w:t>
      </w:r>
      <w:r>
        <w:t>表示第</w:t>
      </w:r>
      <w:r>
        <w:rPr>
          <w:i/>
          <w:iCs/>
        </w:rPr>
        <w:t>k</w:t>
      </w:r>
      <w:r>
        <w:t>种考核方式支撑第i个课程目标的达成度</w:t>
      </w:r>
      <w:r>
        <w:rPr>
          <w:rFonts w:hint="eastAsia"/>
        </w:rPr>
        <w:t>。</w:t>
      </w:r>
    </w:p>
    <w:p>
      <w:pPr>
        <w:numPr>
          <w:ilvl w:val="0"/>
          <w:numId w:val="15"/>
        </w:numPr>
        <w:spacing w:line="360" w:lineRule="auto"/>
        <w:ind w:firstLine="420" w:firstLineChars="200"/>
        <w:rPr>
          <w:rFonts w:hint="eastAsia"/>
          <w:szCs w:val="21"/>
        </w:rPr>
      </w:pPr>
      <w:r>
        <w:rPr>
          <w:rFonts w:hint="eastAsia"/>
          <w:szCs w:val="21"/>
        </w:rPr>
        <w:t>定性评价</w:t>
      </w:r>
    </w:p>
    <w:p>
      <w:pPr>
        <w:spacing w:line="360" w:lineRule="auto"/>
        <w:ind w:firstLine="420" w:firstLineChars="200"/>
        <w:rPr>
          <w:rFonts w:hint="eastAsia"/>
          <w:szCs w:val="21"/>
        </w:rPr>
      </w:pPr>
      <w:r>
        <w:t>定性评价指利用学生的调查问卷进行课程目标达成情况评价</w:t>
      </w:r>
      <w:r>
        <w:rPr>
          <w:rFonts w:hint="eastAsia"/>
        </w:rPr>
        <w:t>，</w:t>
      </w:r>
      <w:r>
        <w:rPr>
          <w:szCs w:val="21"/>
        </w:rPr>
        <w:t>按照各课程目标分项设计合适的问卷，调查学生掌握知识及获得能力等课程目标达成情况</w:t>
      </w:r>
      <w:r>
        <w:rPr>
          <w:rFonts w:hint="eastAsia"/>
          <w:szCs w:val="21"/>
        </w:rPr>
        <w:t>。</w:t>
      </w:r>
      <w:r>
        <w:rPr>
          <w:szCs w:val="21"/>
        </w:rPr>
        <w:t>其中成绩均采用百分制统计，五级分制转换为百分制时，优对应9</w:t>
      </w:r>
      <w:r>
        <w:rPr>
          <w:rFonts w:hint="eastAsia"/>
          <w:szCs w:val="21"/>
        </w:rPr>
        <w:t>0</w:t>
      </w:r>
      <w:r>
        <w:rPr>
          <w:szCs w:val="21"/>
        </w:rPr>
        <w:t>分，良对应8</w:t>
      </w:r>
      <w:r>
        <w:rPr>
          <w:rFonts w:hint="eastAsia"/>
          <w:szCs w:val="21"/>
        </w:rPr>
        <w:t>0</w:t>
      </w:r>
      <w:r>
        <w:rPr>
          <w:szCs w:val="21"/>
        </w:rPr>
        <w:t>分，中对应7</w:t>
      </w:r>
      <w:r>
        <w:rPr>
          <w:rFonts w:hint="eastAsia"/>
          <w:szCs w:val="21"/>
        </w:rPr>
        <w:t>0</w:t>
      </w:r>
      <w:r>
        <w:rPr>
          <w:szCs w:val="21"/>
        </w:rPr>
        <w:t>分，及格对应6</w:t>
      </w:r>
      <w:r>
        <w:rPr>
          <w:rFonts w:hint="eastAsia"/>
          <w:szCs w:val="21"/>
        </w:rPr>
        <w:t>0</w:t>
      </w:r>
      <w:r>
        <w:rPr>
          <w:szCs w:val="21"/>
        </w:rPr>
        <w:t>分，不及格对应5</w:t>
      </w:r>
      <w:r>
        <w:rPr>
          <w:rFonts w:hint="eastAsia"/>
          <w:szCs w:val="21"/>
        </w:rPr>
        <w:t>0</w:t>
      </w:r>
      <w:r>
        <w:rPr>
          <w:szCs w:val="21"/>
        </w:rPr>
        <w:t>分。</w:t>
      </w:r>
    </w:p>
    <w:p>
      <w:pPr>
        <w:spacing w:line="360" w:lineRule="auto"/>
        <w:ind w:firstLine="420" w:firstLineChars="200"/>
      </w:pPr>
      <w:r>
        <w:rPr>
          <w:rFonts w:hint="eastAsia"/>
        </w:rPr>
        <w:t>综合定性与定量评价结果，取最小量为最终评价结果。</w:t>
      </w:r>
    </w:p>
    <w:p>
      <w:pPr>
        <w:spacing w:before="156" w:beforeLines="50" w:after="156" w:afterLines="50" w:line="360" w:lineRule="auto"/>
        <w:ind w:firstLine="210" w:firstLineChars="100"/>
        <w:rPr>
          <w:rFonts w:eastAsia="黑体"/>
          <w:szCs w:val="21"/>
        </w:rPr>
      </w:pPr>
      <w:r>
        <w:rPr>
          <w:rFonts w:hint="eastAsia" w:eastAsia="黑体"/>
          <w:szCs w:val="21"/>
        </w:rPr>
        <w:t>五</w:t>
      </w:r>
      <w:r>
        <w:rPr>
          <w:rFonts w:eastAsia="黑体"/>
          <w:szCs w:val="21"/>
        </w:rPr>
        <w:t>、</w:t>
      </w:r>
      <w:r>
        <w:rPr>
          <w:rFonts w:hint="eastAsia" w:eastAsia="黑体"/>
          <w:szCs w:val="21"/>
        </w:rPr>
        <w:t>评价标准：</w:t>
      </w:r>
    </w:p>
    <w:p>
      <w:pPr>
        <w:spacing w:line="360" w:lineRule="auto"/>
        <w:ind w:firstLine="207" w:firstLineChars="98"/>
        <w:rPr>
          <w:rFonts w:hint="eastAsia" w:ascii="宋体" w:hAnsi="宋体"/>
          <w:b/>
          <w:szCs w:val="21"/>
        </w:rPr>
      </w:pPr>
      <w:r>
        <w:rPr>
          <w:rFonts w:hint="eastAsia" w:ascii="宋体" w:hAnsi="宋体"/>
          <w:b/>
          <w:szCs w:val="21"/>
        </w:rPr>
        <w:t>1、</w:t>
      </w:r>
      <w:r>
        <w:rPr>
          <w:rFonts w:hint="eastAsia"/>
          <w:b/>
        </w:rPr>
        <w:t>随堂测试</w:t>
      </w:r>
      <w:r>
        <w:rPr>
          <w:rFonts w:hint="eastAsia" w:ascii="宋体" w:hAnsi="宋体"/>
          <w:b/>
          <w:szCs w:val="21"/>
        </w:rPr>
        <w:t>评价标准</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1560"/>
        <w:gridCol w:w="1559"/>
        <w:gridCol w:w="1559"/>
        <w:gridCol w:w="1381"/>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310" w:type="dxa"/>
            <w:vMerge w:val="restart"/>
            <w:shd w:val="clear" w:color="auto" w:fill="F2F2F2"/>
            <w:vAlign w:val="center"/>
          </w:tcPr>
          <w:p>
            <w:pPr>
              <w:jc w:val="center"/>
              <w:rPr>
                <w:b/>
                <w:sz w:val="18"/>
                <w:szCs w:val="18"/>
              </w:rPr>
            </w:pPr>
            <w:r>
              <w:rPr>
                <w:rFonts w:hint="eastAsia"/>
                <w:b/>
                <w:sz w:val="18"/>
                <w:szCs w:val="18"/>
              </w:rPr>
              <w:t>基本要求</w:t>
            </w:r>
          </w:p>
        </w:tc>
        <w:tc>
          <w:tcPr>
            <w:tcW w:w="6059" w:type="dxa"/>
            <w:gridSpan w:val="4"/>
            <w:shd w:val="clear" w:color="auto" w:fill="F2F2F2"/>
            <w:vAlign w:val="center"/>
          </w:tcPr>
          <w:p>
            <w:pPr>
              <w:jc w:val="center"/>
              <w:rPr>
                <w:b/>
                <w:sz w:val="18"/>
                <w:szCs w:val="18"/>
              </w:rPr>
            </w:pPr>
            <w:r>
              <w:rPr>
                <w:rFonts w:hint="eastAsia"/>
                <w:b/>
                <w:sz w:val="18"/>
                <w:szCs w:val="18"/>
              </w:rPr>
              <w:t>评价标准</w:t>
            </w:r>
          </w:p>
        </w:tc>
        <w:tc>
          <w:tcPr>
            <w:tcW w:w="785" w:type="dxa"/>
            <w:vMerge w:val="restart"/>
            <w:shd w:val="clear" w:color="auto" w:fill="F2F2F2"/>
            <w:vAlign w:val="center"/>
          </w:tcPr>
          <w:p>
            <w:pPr>
              <w:jc w:val="center"/>
              <w:rPr>
                <w:rFonts w:hint="eastAsia"/>
                <w:b/>
                <w:sz w:val="18"/>
                <w:szCs w:val="18"/>
              </w:rPr>
            </w:pPr>
            <w:r>
              <w:rPr>
                <w:rFonts w:hint="eastAsia"/>
                <w:b/>
                <w:sz w:val="18"/>
                <w:szCs w:val="1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310" w:type="dxa"/>
            <w:vMerge w:val="continue"/>
            <w:shd w:val="clear" w:color="auto" w:fill="F2F2F2"/>
          </w:tcPr>
          <w:p>
            <w:pPr>
              <w:spacing w:line="420" w:lineRule="exact"/>
              <w:jc w:val="center"/>
              <w:rPr>
                <w:rFonts w:hint="eastAsia"/>
                <w:b/>
                <w:sz w:val="18"/>
                <w:szCs w:val="18"/>
              </w:rPr>
            </w:pPr>
          </w:p>
        </w:tc>
        <w:tc>
          <w:tcPr>
            <w:tcW w:w="1560" w:type="dxa"/>
            <w:shd w:val="clear" w:color="auto" w:fill="F2F2F2"/>
          </w:tcPr>
          <w:p>
            <w:pPr>
              <w:spacing w:line="420" w:lineRule="exact"/>
              <w:jc w:val="center"/>
              <w:rPr>
                <w:rFonts w:hint="eastAsia"/>
                <w:b/>
                <w:sz w:val="18"/>
                <w:szCs w:val="18"/>
              </w:rPr>
            </w:pPr>
            <w:r>
              <w:rPr>
                <w:rFonts w:hint="eastAsia"/>
                <w:b/>
                <w:sz w:val="18"/>
                <w:szCs w:val="18"/>
              </w:rPr>
              <w:t>90-100分</w:t>
            </w:r>
          </w:p>
        </w:tc>
        <w:tc>
          <w:tcPr>
            <w:tcW w:w="1559" w:type="dxa"/>
            <w:shd w:val="clear" w:color="auto" w:fill="F2F2F2"/>
          </w:tcPr>
          <w:p>
            <w:pPr>
              <w:spacing w:line="420" w:lineRule="exact"/>
              <w:jc w:val="center"/>
              <w:rPr>
                <w:rFonts w:hint="eastAsia"/>
                <w:b/>
                <w:sz w:val="18"/>
                <w:szCs w:val="18"/>
              </w:rPr>
            </w:pPr>
            <w:r>
              <w:rPr>
                <w:rFonts w:hint="eastAsia"/>
                <w:b/>
                <w:sz w:val="18"/>
                <w:szCs w:val="18"/>
              </w:rPr>
              <w:t>75-89分</w:t>
            </w:r>
          </w:p>
        </w:tc>
        <w:tc>
          <w:tcPr>
            <w:tcW w:w="1559" w:type="dxa"/>
            <w:shd w:val="clear" w:color="auto" w:fill="F2F2F2"/>
          </w:tcPr>
          <w:p>
            <w:pPr>
              <w:spacing w:line="420" w:lineRule="exact"/>
              <w:jc w:val="center"/>
              <w:rPr>
                <w:rFonts w:hint="eastAsia"/>
                <w:b/>
                <w:sz w:val="18"/>
                <w:szCs w:val="18"/>
              </w:rPr>
            </w:pPr>
            <w:r>
              <w:rPr>
                <w:rFonts w:hint="eastAsia"/>
                <w:b/>
                <w:sz w:val="18"/>
                <w:szCs w:val="18"/>
              </w:rPr>
              <w:t>60-74分</w:t>
            </w:r>
          </w:p>
        </w:tc>
        <w:tc>
          <w:tcPr>
            <w:tcW w:w="1381" w:type="dxa"/>
            <w:shd w:val="clear" w:color="auto" w:fill="F2F2F2"/>
          </w:tcPr>
          <w:p>
            <w:pPr>
              <w:spacing w:line="420" w:lineRule="exact"/>
              <w:jc w:val="center"/>
              <w:rPr>
                <w:rFonts w:hint="eastAsia"/>
                <w:b/>
                <w:sz w:val="18"/>
                <w:szCs w:val="18"/>
              </w:rPr>
            </w:pPr>
            <w:r>
              <w:rPr>
                <w:rFonts w:hint="eastAsia"/>
                <w:b/>
                <w:sz w:val="18"/>
                <w:szCs w:val="18"/>
              </w:rPr>
              <w:t>0-59分</w:t>
            </w:r>
          </w:p>
        </w:tc>
        <w:tc>
          <w:tcPr>
            <w:tcW w:w="785" w:type="dxa"/>
            <w:vMerge w:val="continue"/>
            <w:shd w:val="clear" w:color="auto" w:fill="F2F2F2"/>
          </w:tcPr>
          <w:p>
            <w:pPr>
              <w:spacing w:line="420" w:lineRule="exact"/>
              <w:jc w:val="center"/>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ascii="宋体" w:hAnsi="宋体"/>
                <w:bCs/>
                <w:sz w:val="18"/>
                <w:szCs w:val="18"/>
              </w:rPr>
            </w:pPr>
            <w:r>
              <w:rPr>
                <w:rFonts w:hint="eastAsia" w:ascii="宋体" w:hAnsi="宋体"/>
                <w:bCs/>
                <w:sz w:val="18"/>
                <w:szCs w:val="18"/>
              </w:rPr>
              <w:t>掌握系统思维、算法思维、数据思维、网络化思维以及网络安全与伦理思维的基本概念和原理，能够运用计算思维分析问题。(支撑课程目标1、毕业要求指标点</w:t>
            </w:r>
            <w:r>
              <w:rPr>
                <w:rFonts w:ascii="宋体" w:hAnsi="宋体"/>
                <w:bCs/>
                <w:sz w:val="18"/>
                <w:szCs w:val="18"/>
              </w:rPr>
              <w:t>1</w:t>
            </w:r>
            <w:r>
              <w:rPr>
                <w:rFonts w:hint="eastAsia" w:ascii="宋体" w:hAnsi="宋体"/>
                <w:bCs/>
                <w:sz w:val="18"/>
                <w:szCs w:val="18"/>
              </w:rPr>
              <w:t>-1)</w:t>
            </w:r>
          </w:p>
        </w:tc>
        <w:tc>
          <w:tcPr>
            <w:tcW w:w="1560" w:type="dxa"/>
            <w:vAlign w:val="center"/>
          </w:tcPr>
          <w:p>
            <w:pPr>
              <w:rPr>
                <w:rFonts w:ascii="宋体" w:hAnsi="宋体"/>
                <w:bCs/>
                <w:sz w:val="18"/>
                <w:szCs w:val="18"/>
              </w:rPr>
            </w:pPr>
            <w:r>
              <w:rPr>
                <w:bCs/>
                <w:sz w:val="18"/>
                <w:szCs w:val="18"/>
              </w:rPr>
              <w:t>规定时间内完成；能够熟练掌握</w:t>
            </w:r>
            <w:r>
              <w:rPr>
                <w:rFonts w:hint="eastAsia"/>
                <w:bCs/>
                <w:sz w:val="18"/>
                <w:szCs w:val="18"/>
              </w:rPr>
              <w:t>计算思维的基本原理</w:t>
            </w:r>
            <w:r>
              <w:rPr>
                <w:bCs/>
                <w:sz w:val="18"/>
                <w:szCs w:val="18"/>
              </w:rPr>
              <w:t>；能够正确</w:t>
            </w:r>
            <w:r>
              <w:rPr>
                <w:rFonts w:hint="eastAsia"/>
                <w:bCs/>
                <w:sz w:val="18"/>
                <w:szCs w:val="18"/>
              </w:rPr>
              <w:t>运用计算思维分析问题</w:t>
            </w:r>
            <w:r>
              <w:rPr>
                <w:bCs/>
                <w:sz w:val="18"/>
                <w:szCs w:val="18"/>
              </w:rPr>
              <w:t>；答题规范，准确性高。</w:t>
            </w:r>
          </w:p>
        </w:tc>
        <w:tc>
          <w:tcPr>
            <w:tcW w:w="1559" w:type="dxa"/>
            <w:vAlign w:val="center"/>
          </w:tcPr>
          <w:p>
            <w:pPr>
              <w:rPr>
                <w:rFonts w:ascii="宋体" w:hAnsi="宋体"/>
                <w:bCs/>
                <w:sz w:val="18"/>
                <w:szCs w:val="18"/>
              </w:rPr>
            </w:pPr>
            <w:r>
              <w:rPr>
                <w:bCs/>
                <w:sz w:val="18"/>
                <w:szCs w:val="18"/>
              </w:rPr>
              <w:t>规定时间内完成；能够较好地</w:t>
            </w:r>
            <w:r>
              <w:rPr>
                <w:rFonts w:hint="eastAsia"/>
                <w:bCs/>
                <w:sz w:val="18"/>
                <w:szCs w:val="18"/>
              </w:rPr>
              <w:t>掌握计算思维的基本原理</w:t>
            </w:r>
            <w:r>
              <w:rPr>
                <w:bCs/>
                <w:sz w:val="18"/>
                <w:szCs w:val="18"/>
              </w:rPr>
              <w:t>；能够</w:t>
            </w:r>
            <w:r>
              <w:rPr>
                <w:rFonts w:hint="eastAsia"/>
                <w:bCs/>
                <w:sz w:val="18"/>
                <w:szCs w:val="18"/>
              </w:rPr>
              <w:t>大部分正确运用计算思维分析问题，</w:t>
            </w:r>
            <w:r>
              <w:rPr>
                <w:bCs/>
                <w:sz w:val="18"/>
                <w:szCs w:val="18"/>
              </w:rPr>
              <w:t>答题较规范，准确性较高。</w:t>
            </w:r>
          </w:p>
        </w:tc>
        <w:tc>
          <w:tcPr>
            <w:tcW w:w="1559" w:type="dxa"/>
            <w:vAlign w:val="center"/>
          </w:tcPr>
          <w:p>
            <w:pPr>
              <w:rPr>
                <w:rFonts w:ascii="宋体" w:hAnsi="宋体"/>
                <w:bCs/>
                <w:sz w:val="18"/>
                <w:szCs w:val="18"/>
              </w:rPr>
            </w:pPr>
            <w:r>
              <w:rPr>
                <w:bCs/>
                <w:sz w:val="18"/>
                <w:szCs w:val="18"/>
              </w:rPr>
              <w:t>规定时间内完成；能够</w:t>
            </w:r>
            <w:r>
              <w:rPr>
                <w:rFonts w:hint="eastAsia"/>
                <w:bCs/>
                <w:sz w:val="18"/>
                <w:szCs w:val="18"/>
              </w:rPr>
              <w:t>基本</w:t>
            </w:r>
            <w:r>
              <w:rPr>
                <w:bCs/>
                <w:sz w:val="18"/>
                <w:szCs w:val="18"/>
              </w:rPr>
              <w:t>掌握</w:t>
            </w:r>
            <w:r>
              <w:rPr>
                <w:rFonts w:hint="eastAsia"/>
                <w:bCs/>
                <w:sz w:val="18"/>
                <w:szCs w:val="18"/>
              </w:rPr>
              <w:t>计算思维的基本原理</w:t>
            </w:r>
            <w:r>
              <w:rPr>
                <w:bCs/>
                <w:sz w:val="18"/>
                <w:szCs w:val="18"/>
              </w:rPr>
              <w:t>；能</w:t>
            </w:r>
            <w:r>
              <w:rPr>
                <w:rFonts w:hint="eastAsia"/>
                <w:bCs/>
                <w:sz w:val="18"/>
                <w:szCs w:val="18"/>
              </w:rPr>
              <w:t>基本正确运用计算思维分析问题</w:t>
            </w:r>
            <w:r>
              <w:rPr>
                <w:bCs/>
                <w:sz w:val="18"/>
                <w:szCs w:val="18"/>
              </w:rPr>
              <w:t>；答题基本规范，基本准确。</w:t>
            </w:r>
          </w:p>
        </w:tc>
        <w:tc>
          <w:tcPr>
            <w:tcW w:w="1381" w:type="dxa"/>
            <w:vAlign w:val="center"/>
          </w:tcPr>
          <w:p>
            <w:pPr>
              <w:rPr>
                <w:rFonts w:ascii="宋体" w:hAnsi="宋体"/>
                <w:bCs/>
                <w:sz w:val="18"/>
                <w:szCs w:val="18"/>
              </w:rPr>
            </w:pPr>
            <w:r>
              <w:rPr>
                <w:bCs/>
                <w:sz w:val="18"/>
                <w:szCs w:val="18"/>
              </w:rPr>
              <w:t>未完成或未提交测验；不能掌握</w:t>
            </w:r>
            <w:r>
              <w:rPr>
                <w:rFonts w:hint="eastAsia"/>
                <w:bCs/>
                <w:sz w:val="18"/>
                <w:szCs w:val="18"/>
              </w:rPr>
              <w:t>计算思维基本原理</w:t>
            </w:r>
            <w:r>
              <w:rPr>
                <w:bCs/>
                <w:sz w:val="18"/>
                <w:szCs w:val="18"/>
              </w:rPr>
              <w:t>；未能</w:t>
            </w:r>
            <w:r>
              <w:rPr>
                <w:rFonts w:hint="eastAsia"/>
                <w:bCs/>
                <w:sz w:val="18"/>
                <w:szCs w:val="18"/>
              </w:rPr>
              <w:t>运用计算思维分析问题</w:t>
            </w:r>
            <w:r>
              <w:rPr>
                <w:bCs/>
                <w:sz w:val="18"/>
                <w:szCs w:val="18"/>
              </w:rPr>
              <w:t>；基本概念不清楚甚至错误，准确率低。</w:t>
            </w:r>
          </w:p>
        </w:tc>
        <w:tc>
          <w:tcPr>
            <w:tcW w:w="785" w:type="dxa"/>
            <w:vAlign w:val="center"/>
          </w:tcPr>
          <w:p>
            <w:pPr>
              <w:jc w:val="center"/>
              <w:rPr>
                <w:rFonts w:ascii="宋体" w:hAnsi="宋体"/>
                <w:bCs/>
                <w:sz w:val="18"/>
                <w:szCs w:val="18"/>
              </w:rPr>
            </w:pPr>
            <w:r>
              <w:rPr>
                <w:rFonts w:hint="eastAsia" w:ascii="宋体" w:hAnsi="宋体"/>
                <w:bCs/>
                <w:sz w:val="18"/>
                <w:szCs w:val="18"/>
              </w:rPr>
              <w:t>3</w:t>
            </w:r>
            <w:r>
              <w:rPr>
                <w:rFonts w:ascii="宋体" w:hAnsi="宋体"/>
                <w:bCs/>
                <w:sz w:val="18"/>
                <w:szCs w:val="18"/>
              </w:rPr>
              <w:t>0</w:t>
            </w:r>
            <w:r>
              <w:rPr>
                <w:rFonts w:hint="eastAsia" w:ascii="宋体" w:hAnsi="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ascii="宋体" w:hAnsi="宋体"/>
                <w:bCs/>
                <w:sz w:val="18"/>
                <w:szCs w:val="18"/>
              </w:rPr>
            </w:pPr>
            <w:r>
              <w:rPr>
                <w:rFonts w:hint="eastAsia" w:ascii="宋体" w:hAnsi="宋体"/>
                <w:bCs/>
                <w:sz w:val="18"/>
                <w:szCs w:val="18"/>
              </w:rPr>
              <w:t>能够运用典型计算思维进行计算系统的构建，并模拟不同计算环境的执行程序。(支撑课程目标</w:t>
            </w:r>
            <w:r>
              <w:rPr>
                <w:rFonts w:ascii="宋体" w:hAnsi="宋体"/>
                <w:bCs/>
                <w:sz w:val="18"/>
                <w:szCs w:val="18"/>
              </w:rPr>
              <w:t>2</w:t>
            </w:r>
            <w:r>
              <w:rPr>
                <w:rFonts w:hint="eastAsia" w:ascii="宋体" w:hAnsi="宋体"/>
                <w:bCs/>
                <w:sz w:val="18"/>
                <w:szCs w:val="18"/>
              </w:rPr>
              <w:t>、毕业要求指标点</w:t>
            </w:r>
            <w:r>
              <w:rPr>
                <w:rFonts w:ascii="宋体" w:hAnsi="宋体"/>
                <w:bCs/>
                <w:sz w:val="18"/>
                <w:szCs w:val="18"/>
              </w:rPr>
              <w:t>1</w:t>
            </w:r>
            <w:r>
              <w:rPr>
                <w:rFonts w:hint="eastAsia" w:ascii="宋体" w:hAnsi="宋体"/>
                <w:bCs/>
                <w:sz w:val="18"/>
                <w:szCs w:val="18"/>
              </w:rPr>
              <w:t>-</w:t>
            </w:r>
            <w:r>
              <w:rPr>
                <w:rFonts w:ascii="宋体" w:hAnsi="宋体"/>
                <w:bCs/>
                <w:sz w:val="18"/>
                <w:szCs w:val="18"/>
              </w:rPr>
              <w:t>2</w:t>
            </w:r>
            <w:r>
              <w:rPr>
                <w:rFonts w:hint="eastAsia" w:ascii="宋体" w:hAnsi="宋体"/>
                <w:bCs/>
                <w:sz w:val="18"/>
                <w:szCs w:val="18"/>
              </w:rPr>
              <w:t>)</w:t>
            </w:r>
          </w:p>
        </w:tc>
        <w:tc>
          <w:tcPr>
            <w:tcW w:w="1560" w:type="dxa"/>
            <w:vAlign w:val="center"/>
          </w:tcPr>
          <w:p>
            <w:pPr>
              <w:rPr>
                <w:rFonts w:hint="eastAsia" w:ascii="宋体" w:hAnsi="宋体"/>
                <w:bCs/>
                <w:sz w:val="18"/>
                <w:szCs w:val="18"/>
              </w:rPr>
            </w:pPr>
            <w:r>
              <w:rPr>
                <w:bCs/>
                <w:sz w:val="18"/>
                <w:szCs w:val="18"/>
              </w:rPr>
              <w:t>规定时间内完成；</w:t>
            </w:r>
            <w:r>
              <w:rPr>
                <w:rFonts w:hint="eastAsia"/>
                <w:bCs/>
                <w:sz w:val="18"/>
                <w:szCs w:val="18"/>
              </w:rPr>
              <w:t>能够熟练掌握典型计算系统构建；能够正确模拟计算执行程序；答题规范，准确性高。</w:t>
            </w:r>
          </w:p>
        </w:tc>
        <w:tc>
          <w:tcPr>
            <w:tcW w:w="1559" w:type="dxa"/>
            <w:vAlign w:val="center"/>
          </w:tcPr>
          <w:p>
            <w:pPr>
              <w:rPr>
                <w:rFonts w:ascii="宋体" w:hAnsi="宋体"/>
                <w:bCs/>
                <w:sz w:val="18"/>
                <w:szCs w:val="18"/>
              </w:rPr>
            </w:pPr>
            <w:r>
              <w:rPr>
                <w:bCs/>
                <w:sz w:val="18"/>
                <w:szCs w:val="18"/>
              </w:rPr>
              <w:t>规定时间内完成；</w:t>
            </w:r>
            <w:r>
              <w:rPr>
                <w:rFonts w:hint="eastAsia"/>
                <w:bCs/>
                <w:sz w:val="18"/>
                <w:szCs w:val="18"/>
              </w:rPr>
              <w:t>能够较好地掌握典型计算系统构建；能够大部分正确模拟计算执行程序；答题较规范，准确性较高。</w:t>
            </w:r>
          </w:p>
        </w:tc>
        <w:tc>
          <w:tcPr>
            <w:tcW w:w="1559" w:type="dxa"/>
            <w:vAlign w:val="center"/>
          </w:tcPr>
          <w:p>
            <w:pPr>
              <w:rPr>
                <w:rFonts w:ascii="宋体" w:hAnsi="宋体"/>
                <w:bCs/>
                <w:sz w:val="18"/>
                <w:szCs w:val="18"/>
              </w:rPr>
            </w:pPr>
            <w:r>
              <w:rPr>
                <w:bCs/>
                <w:sz w:val="18"/>
                <w:szCs w:val="18"/>
              </w:rPr>
              <w:t>规定时间内完成；</w:t>
            </w:r>
            <w:r>
              <w:rPr>
                <w:rFonts w:hint="eastAsia"/>
                <w:bCs/>
                <w:sz w:val="18"/>
                <w:szCs w:val="18"/>
              </w:rPr>
              <w:t>能够基本掌握典型计算系统构建；能够基本正确模拟计算执行程序；答题基本规范，基本准确。</w:t>
            </w:r>
          </w:p>
        </w:tc>
        <w:tc>
          <w:tcPr>
            <w:tcW w:w="1381" w:type="dxa"/>
            <w:vAlign w:val="center"/>
          </w:tcPr>
          <w:p>
            <w:pPr>
              <w:rPr>
                <w:rFonts w:ascii="宋体" w:hAnsi="宋体"/>
                <w:bCs/>
                <w:sz w:val="18"/>
                <w:szCs w:val="18"/>
              </w:rPr>
            </w:pPr>
            <w:r>
              <w:rPr>
                <w:bCs/>
                <w:sz w:val="18"/>
                <w:szCs w:val="18"/>
              </w:rPr>
              <w:t>未完成或未提交测验；不能</w:t>
            </w:r>
            <w:r>
              <w:rPr>
                <w:rFonts w:hint="eastAsia"/>
                <w:bCs/>
                <w:sz w:val="18"/>
                <w:szCs w:val="18"/>
              </w:rPr>
              <w:t>掌握典型计算系统构建；未能正确模拟计算执行程序</w:t>
            </w:r>
            <w:r>
              <w:rPr>
                <w:bCs/>
                <w:sz w:val="18"/>
                <w:szCs w:val="18"/>
              </w:rPr>
              <w:t>；基本概念不清楚甚至错误，准确率低。</w:t>
            </w:r>
          </w:p>
        </w:tc>
        <w:tc>
          <w:tcPr>
            <w:tcW w:w="785" w:type="dxa"/>
            <w:vAlign w:val="center"/>
          </w:tcPr>
          <w:p>
            <w:pPr>
              <w:jc w:val="center"/>
              <w:rPr>
                <w:rFonts w:ascii="宋体" w:hAnsi="宋体"/>
                <w:bCs/>
                <w:sz w:val="18"/>
                <w:szCs w:val="18"/>
              </w:rPr>
            </w:pPr>
            <w:r>
              <w:rPr>
                <w:rFonts w:hint="eastAsia" w:ascii="宋体" w:hAnsi="宋体"/>
                <w:bCs/>
                <w:sz w:val="18"/>
                <w:szCs w:val="18"/>
              </w:rPr>
              <w:t>3</w:t>
            </w:r>
            <w:r>
              <w:rPr>
                <w:rFonts w:ascii="宋体" w:hAnsi="宋体"/>
                <w:bCs/>
                <w:sz w:val="18"/>
                <w:szCs w:val="18"/>
              </w:rPr>
              <w:t>0</w:t>
            </w:r>
            <w:r>
              <w:rPr>
                <w:rFonts w:hint="eastAsia" w:ascii="宋体" w:hAnsi="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hint="eastAsia" w:ascii="宋体" w:hAnsi="宋体"/>
                <w:bCs/>
                <w:sz w:val="18"/>
                <w:szCs w:val="18"/>
              </w:rPr>
            </w:pPr>
            <w:r>
              <w:rPr>
                <w:rFonts w:hint="eastAsia" w:ascii="宋体" w:hAnsi="宋体"/>
                <w:bCs/>
                <w:sz w:val="18"/>
                <w:szCs w:val="18"/>
              </w:rPr>
              <w:t>能够利用计算思维手段针对复杂系统的问题进行计算处理的优化。（支撑课程目标</w:t>
            </w:r>
            <w:r>
              <w:rPr>
                <w:rFonts w:ascii="宋体" w:hAnsi="宋体"/>
                <w:bCs/>
                <w:sz w:val="18"/>
                <w:szCs w:val="18"/>
              </w:rPr>
              <w:t>3</w:t>
            </w:r>
            <w:r>
              <w:rPr>
                <w:rFonts w:hint="eastAsia" w:ascii="宋体" w:hAnsi="宋体"/>
                <w:bCs/>
                <w:sz w:val="18"/>
                <w:szCs w:val="18"/>
              </w:rPr>
              <w:t>、毕业要求指标点</w:t>
            </w:r>
            <w:r>
              <w:rPr>
                <w:rFonts w:ascii="宋体" w:hAnsi="宋体"/>
                <w:bCs/>
                <w:sz w:val="18"/>
                <w:szCs w:val="18"/>
              </w:rPr>
              <w:t>3</w:t>
            </w:r>
            <w:r>
              <w:rPr>
                <w:rFonts w:hint="eastAsia" w:ascii="宋体" w:hAnsi="宋体"/>
                <w:bCs/>
                <w:sz w:val="18"/>
                <w:szCs w:val="18"/>
              </w:rPr>
              <w:t>-</w:t>
            </w:r>
            <w:r>
              <w:rPr>
                <w:rFonts w:ascii="宋体" w:hAnsi="宋体"/>
                <w:bCs/>
                <w:sz w:val="18"/>
                <w:szCs w:val="18"/>
              </w:rPr>
              <w:t>1</w:t>
            </w:r>
            <w:r>
              <w:rPr>
                <w:rFonts w:hint="eastAsia" w:ascii="宋体" w:hAnsi="宋体"/>
                <w:bCs/>
                <w:sz w:val="18"/>
                <w:szCs w:val="18"/>
              </w:rPr>
              <w:t>）</w:t>
            </w:r>
          </w:p>
        </w:tc>
        <w:tc>
          <w:tcPr>
            <w:tcW w:w="1560" w:type="dxa"/>
            <w:vAlign w:val="center"/>
          </w:tcPr>
          <w:p>
            <w:pPr>
              <w:rPr>
                <w:rFonts w:hint="eastAsia" w:ascii="宋体" w:hAnsi="宋体"/>
                <w:bCs/>
                <w:sz w:val="18"/>
                <w:szCs w:val="18"/>
              </w:rPr>
            </w:pPr>
            <w:r>
              <w:rPr>
                <w:bCs/>
                <w:sz w:val="18"/>
                <w:szCs w:val="18"/>
              </w:rPr>
              <w:t>规定时间内完成；</w:t>
            </w:r>
            <w:r>
              <w:rPr>
                <w:rFonts w:hint="eastAsia"/>
                <w:bCs/>
                <w:sz w:val="18"/>
                <w:szCs w:val="18"/>
              </w:rPr>
              <w:t>能够熟练</w:t>
            </w:r>
            <w:r>
              <w:rPr>
                <w:rFonts w:hint="eastAsia" w:ascii="宋体" w:hAnsi="宋体"/>
                <w:bCs/>
                <w:sz w:val="18"/>
                <w:szCs w:val="18"/>
              </w:rPr>
              <w:t>利用计算思维手段针对复杂系统的问题进行计算处理的优化</w:t>
            </w:r>
            <w:r>
              <w:rPr>
                <w:rFonts w:hint="eastAsia"/>
                <w:bCs/>
                <w:sz w:val="18"/>
                <w:szCs w:val="18"/>
              </w:rPr>
              <w:t>；答题规范，准确性高。</w:t>
            </w:r>
          </w:p>
        </w:tc>
        <w:tc>
          <w:tcPr>
            <w:tcW w:w="1559" w:type="dxa"/>
            <w:vAlign w:val="center"/>
          </w:tcPr>
          <w:p>
            <w:pPr>
              <w:rPr>
                <w:rFonts w:hint="eastAsia" w:ascii="宋体" w:hAnsi="宋体"/>
                <w:bCs/>
                <w:sz w:val="18"/>
                <w:szCs w:val="18"/>
              </w:rPr>
            </w:pPr>
            <w:r>
              <w:rPr>
                <w:bCs/>
                <w:sz w:val="18"/>
                <w:szCs w:val="18"/>
              </w:rPr>
              <w:t>规定时间内完成；</w:t>
            </w:r>
            <w:r>
              <w:rPr>
                <w:rFonts w:hint="eastAsia"/>
                <w:bCs/>
                <w:sz w:val="18"/>
                <w:szCs w:val="18"/>
              </w:rPr>
              <w:t>能够较好地</w:t>
            </w:r>
            <w:r>
              <w:rPr>
                <w:rFonts w:hint="eastAsia" w:ascii="宋体" w:hAnsi="宋体"/>
                <w:bCs/>
                <w:sz w:val="18"/>
                <w:szCs w:val="18"/>
              </w:rPr>
              <w:t>利用计算思维手段针对复杂系统的问题进行计算处理的优化</w:t>
            </w:r>
            <w:r>
              <w:rPr>
                <w:rFonts w:hint="eastAsia"/>
                <w:bCs/>
                <w:sz w:val="18"/>
                <w:szCs w:val="18"/>
              </w:rPr>
              <w:t>；答题较规范，准确性较高。</w:t>
            </w:r>
          </w:p>
        </w:tc>
        <w:tc>
          <w:tcPr>
            <w:tcW w:w="1559" w:type="dxa"/>
            <w:vAlign w:val="center"/>
          </w:tcPr>
          <w:p>
            <w:pPr>
              <w:rPr>
                <w:rFonts w:hint="eastAsia" w:ascii="宋体" w:hAnsi="宋体"/>
                <w:bCs/>
                <w:sz w:val="18"/>
                <w:szCs w:val="18"/>
              </w:rPr>
            </w:pPr>
            <w:r>
              <w:rPr>
                <w:bCs/>
                <w:sz w:val="18"/>
                <w:szCs w:val="18"/>
              </w:rPr>
              <w:t>规定时间内完成；</w:t>
            </w:r>
            <w:r>
              <w:rPr>
                <w:rFonts w:hint="eastAsia"/>
                <w:bCs/>
                <w:sz w:val="18"/>
                <w:szCs w:val="18"/>
              </w:rPr>
              <w:t>能够基本</w:t>
            </w:r>
            <w:r>
              <w:rPr>
                <w:rFonts w:hint="eastAsia" w:ascii="宋体" w:hAnsi="宋体"/>
                <w:bCs/>
                <w:sz w:val="18"/>
                <w:szCs w:val="18"/>
              </w:rPr>
              <w:t>利用计算思维手段针对复杂系统的问题进行计算处理的优化</w:t>
            </w:r>
            <w:r>
              <w:rPr>
                <w:rFonts w:hint="eastAsia"/>
                <w:bCs/>
                <w:sz w:val="18"/>
                <w:szCs w:val="18"/>
              </w:rPr>
              <w:t>；答题基本规范，基本准确。</w:t>
            </w:r>
          </w:p>
        </w:tc>
        <w:tc>
          <w:tcPr>
            <w:tcW w:w="1381" w:type="dxa"/>
            <w:vAlign w:val="center"/>
          </w:tcPr>
          <w:p>
            <w:pPr>
              <w:rPr>
                <w:rFonts w:hint="eastAsia" w:ascii="宋体" w:hAnsi="宋体"/>
                <w:bCs/>
                <w:sz w:val="18"/>
                <w:szCs w:val="18"/>
              </w:rPr>
            </w:pPr>
            <w:r>
              <w:rPr>
                <w:bCs/>
                <w:sz w:val="18"/>
                <w:szCs w:val="18"/>
              </w:rPr>
              <w:t>未完成或未提交测验；不能</w:t>
            </w:r>
            <w:r>
              <w:rPr>
                <w:rFonts w:hint="eastAsia" w:ascii="宋体" w:hAnsi="宋体"/>
                <w:bCs/>
                <w:sz w:val="18"/>
                <w:szCs w:val="18"/>
              </w:rPr>
              <w:t>利用计算思维手段针对复杂系统的问题进行计算处理的优化</w:t>
            </w:r>
            <w:r>
              <w:rPr>
                <w:bCs/>
                <w:sz w:val="18"/>
                <w:szCs w:val="18"/>
              </w:rPr>
              <w:t>；基本概念不清楚甚至错误，准确率低。</w:t>
            </w:r>
          </w:p>
        </w:tc>
        <w:tc>
          <w:tcPr>
            <w:tcW w:w="785" w:type="dxa"/>
            <w:vAlign w:val="center"/>
          </w:tcPr>
          <w:p>
            <w:pPr>
              <w:jc w:val="center"/>
              <w:rPr>
                <w:rFonts w:hint="eastAsia" w:ascii="宋体" w:hAnsi="宋体"/>
                <w:bCs/>
                <w:sz w:val="18"/>
                <w:szCs w:val="18"/>
              </w:rPr>
            </w:pPr>
            <w:r>
              <w:rPr>
                <w:rFonts w:hint="eastAsia" w:ascii="宋体" w:hAnsi="宋体"/>
                <w:bCs/>
                <w:sz w:val="18"/>
                <w:szCs w:val="18"/>
              </w:rPr>
              <w:t>4</w:t>
            </w:r>
            <w:r>
              <w:rPr>
                <w:rFonts w:ascii="宋体" w:hAnsi="宋体"/>
                <w:bCs/>
                <w:sz w:val="18"/>
                <w:szCs w:val="18"/>
              </w:rPr>
              <w:t>0</w:t>
            </w:r>
            <w:r>
              <w:rPr>
                <w:rFonts w:hint="eastAsia" w:ascii="宋体" w:hAnsi="宋体"/>
                <w:bCs/>
                <w:sz w:val="18"/>
                <w:szCs w:val="18"/>
              </w:rPr>
              <w:t>%</w:t>
            </w:r>
          </w:p>
        </w:tc>
      </w:tr>
    </w:tbl>
    <w:p>
      <w:pPr>
        <w:pStyle w:val="59"/>
        <w:spacing w:line="360" w:lineRule="auto"/>
        <w:ind w:firstLine="207" w:firstLineChars="98"/>
        <w:rPr>
          <w:rFonts w:hint="eastAsia" w:ascii="宋体" w:hAnsi="宋体"/>
          <w:b/>
          <w:szCs w:val="21"/>
          <w:highlight w:val="yellow"/>
        </w:rPr>
      </w:pPr>
      <w:r>
        <w:rPr>
          <w:rFonts w:hint="eastAsia" w:ascii="宋体" w:hAnsi="宋体"/>
          <w:b/>
          <w:szCs w:val="21"/>
        </w:rPr>
        <w:t>2、作业评价标准</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1560"/>
        <w:gridCol w:w="1559"/>
        <w:gridCol w:w="1559"/>
        <w:gridCol w:w="1381"/>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310" w:type="dxa"/>
            <w:vMerge w:val="restart"/>
            <w:shd w:val="clear" w:color="auto" w:fill="F2F2F2"/>
            <w:vAlign w:val="center"/>
          </w:tcPr>
          <w:p>
            <w:pPr>
              <w:jc w:val="center"/>
              <w:rPr>
                <w:b/>
                <w:sz w:val="18"/>
                <w:szCs w:val="18"/>
              </w:rPr>
            </w:pPr>
            <w:r>
              <w:rPr>
                <w:rFonts w:hint="eastAsia"/>
                <w:b/>
                <w:sz w:val="18"/>
                <w:szCs w:val="18"/>
              </w:rPr>
              <w:t>基本要求</w:t>
            </w:r>
          </w:p>
        </w:tc>
        <w:tc>
          <w:tcPr>
            <w:tcW w:w="6059" w:type="dxa"/>
            <w:gridSpan w:val="4"/>
            <w:shd w:val="clear" w:color="auto" w:fill="F2F2F2"/>
            <w:vAlign w:val="center"/>
          </w:tcPr>
          <w:p>
            <w:pPr>
              <w:jc w:val="center"/>
              <w:rPr>
                <w:b/>
                <w:sz w:val="18"/>
                <w:szCs w:val="18"/>
              </w:rPr>
            </w:pPr>
            <w:r>
              <w:rPr>
                <w:rFonts w:hint="eastAsia"/>
                <w:b/>
                <w:sz w:val="18"/>
                <w:szCs w:val="18"/>
              </w:rPr>
              <w:t>评价标准</w:t>
            </w:r>
          </w:p>
        </w:tc>
        <w:tc>
          <w:tcPr>
            <w:tcW w:w="785" w:type="dxa"/>
            <w:vMerge w:val="restart"/>
            <w:shd w:val="clear" w:color="auto" w:fill="F2F2F2"/>
            <w:vAlign w:val="center"/>
          </w:tcPr>
          <w:p>
            <w:pPr>
              <w:jc w:val="center"/>
              <w:rPr>
                <w:rFonts w:hint="eastAsia"/>
                <w:b/>
                <w:sz w:val="18"/>
                <w:szCs w:val="18"/>
              </w:rPr>
            </w:pPr>
            <w:r>
              <w:rPr>
                <w:rFonts w:hint="eastAsia"/>
                <w:b/>
                <w:sz w:val="18"/>
                <w:szCs w:val="1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310" w:type="dxa"/>
            <w:vMerge w:val="continue"/>
            <w:shd w:val="clear" w:color="auto" w:fill="F2F2F2"/>
          </w:tcPr>
          <w:p>
            <w:pPr>
              <w:spacing w:line="420" w:lineRule="exact"/>
              <w:jc w:val="center"/>
              <w:rPr>
                <w:rFonts w:hint="eastAsia"/>
                <w:b/>
                <w:sz w:val="18"/>
                <w:szCs w:val="18"/>
              </w:rPr>
            </w:pPr>
          </w:p>
        </w:tc>
        <w:tc>
          <w:tcPr>
            <w:tcW w:w="1560" w:type="dxa"/>
            <w:shd w:val="clear" w:color="auto" w:fill="F2F2F2"/>
          </w:tcPr>
          <w:p>
            <w:pPr>
              <w:spacing w:line="420" w:lineRule="exact"/>
              <w:jc w:val="center"/>
              <w:rPr>
                <w:rFonts w:hint="eastAsia"/>
                <w:b/>
                <w:sz w:val="18"/>
                <w:szCs w:val="18"/>
              </w:rPr>
            </w:pPr>
            <w:r>
              <w:rPr>
                <w:rFonts w:hint="eastAsia"/>
                <w:b/>
                <w:sz w:val="18"/>
                <w:szCs w:val="18"/>
              </w:rPr>
              <w:t>90-100分</w:t>
            </w:r>
          </w:p>
        </w:tc>
        <w:tc>
          <w:tcPr>
            <w:tcW w:w="1559" w:type="dxa"/>
            <w:shd w:val="clear" w:color="auto" w:fill="F2F2F2"/>
          </w:tcPr>
          <w:p>
            <w:pPr>
              <w:spacing w:line="420" w:lineRule="exact"/>
              <w:jc w:val="center"/>
              <w:rPr>
                <w:rFonts w:hint="eastAsia"/>
                <w:b/>
                <w:sz w:val="18"/>
                <w:szCs w:val="18"/>
              </w:rPr>
            </w:pPr>
            <w:r>
              <w:rPr>
                <w:rFonts w:hint="eastAsia"/>
                <w:b/>
                <w:sz w:val="18"/>
                <w:szCs w:val="18"/>
              </w:rPr>
              <w:t>75-89分</w:t>
            </w:r>
          </w:p>
        </w:tc>
        <w:tc>
          <w:tcPr>
            <w:tcW w:w="1559" w:type="dxa"/>
            <w:shd w:val="clear" w:color="auto" w:fill="F2F2F2"/>
          </w:tcPr>
          <w:p>
            <w:pPr>
              <w:spacing w:line="420" w:lineRule="exact"/>
              <w:jc w:val="center"/>
              <w:rPr>
                <w:rFonts w:hint="eastAsia"/>
                <w:b/>
                <w:sz w:val="18"/>
                <w:szCs w:val="18"/>
              </w:rPr>
            </w:pPr>
            <w:r>
              <w:rPr>
                <w:rFonts w:hint="eastAsia"/>
                <w:b/>
                <w:sz w:val="18"/>
                <w:szCs w:val="18"/>
              </w:rPr>
              <w:t>60-74分</w:t>
            </w:r>
          </w:p>
        </w:tc>
        <w:tc>
          <w:tcPr>
            <w:tcW w:w="1381" w:type="dxa"/>
            <w:shd w:val="clear" w:color="auto" w:fill="F2F2F2"/>
          </w:tcPr>
          <w:p>
            <w:pPr>
              <w:spacing w:line="420" w:lineRule="exact"/>
              <w:jc w:val="center"/>
              <w:rPr>
                <w:rFonts w:hint="eastAsia"/>
                <w:b/>
                <w:sz w:val="18"/>
                <w:szCs w:val="18"/>
              </w:rPr>
            </w:pPr>
            <w:r>
              <w:rPr>
                <w:rFonts w:hint="eastAsia"/>
                <w:b/>
                <w:sz w:val="18"/>
                <w:szCs w:val="18"/>
              </w:rPr>
              <w:t>0-59分</w:t>
            </w:r>
          </w:p>
        </w:tc>
        <w:tc>
          <w:tcPr>
            <w:tcW w:w="785" w:type="dxa"/>
            <w:vMerge w:val="continue"/>
            <w:shd w:val="clear" w:color="auto" w:fill="F2F2F2"/>
          </w:tcPr>
          <w:p>
            <w:pPr>
              <w:spacing w:line="420" w:lineRule="exact"/>
              <w:jc w:val="center"/>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hint="eastAsia" w:ascii="宋体" w:hAnsi="宋体"/>
                <w:bCs/>
                <w:sz w:val="18"/>
                <w:szCs w:val="18"/>
              </w:rPr>
            </w:pPr>
            <w:r>
              <w:rPr>
                <w:rFonts w:hint="eastAsia" w:ascii="宋体" w:hAnsi="宋体"/>
                <w:bCs/>
                <w:sz w:val="18"/>
                <w:szCs w:val="18"/>
              </w:rPr>
              <w:t>能够掌握计算机硬件和软件组成及工作原理，并掌握计算机硬件和软件思维，（支撑课程目标</w:t>
            </w:r>
            <w:r>
              <w:rPr>
                <w:rFonts w:ascii="宋体" w:hAnsi="宋体"/>
                <w:bCs/>
                <w:sz w:val="18"/>
                <w:szCs w:val="18"/>
              </w:rPr>
              <w:t>1</w:t>
            </w:r>
            <w:r>
              <w:rPr>
                <w:rFonts w:hint="eastAsia" w:ascii="宋体" w:hAnsi="宋体"/>
                <w:bCs/>
                <w:sz w:val="18"/>
                <w:szCs w:val="18"/>
              </w:rPr>
              <w:t>、毕业要求指标点1-</w:t>
            </w:r>
            <w:r>
              <w:rPr>
                <w:rFonts w:ascii="宋体" w:hAnsi="宋体"/>
                <w:bCs/>
                <w:sz w:val="18"/>
                <w:szCs w:val="18"/>
              </w:rPr>
              <w:t>1</w:t>
            </w:r>
            <w:r>
              <w:rPr>
                <w:rFonts w:hint="eastAsia" w:ascii="宋体" w:hAnsi="宋体"/>
                <w:bCs/>
                <w:sz w:val="18"/>
                <w:szCs w:val="18"/>
              </w:rPr>
              <w:t>）</w:t>
            </w:r>
          </w:p>
        </w:tc>
        <w:tc>
          <w:tcPr>
            <w:tcW w:w="1560" w:type="dxa"/>
            <w:vAlign w:val="center"/>
          </w:tcPr>
          <w:p>
            <w:pPr>
              <w:rPr>
                <w:rFonts w:ascii="宋体" w:hAnsi="宋体"/>
                <w:bCs/>
                <w:sz w:val="18"/>
                <w:szCs w:val="18"/>
              </w:rPr>
            </w:pPr>
            <w:r>
              <w:rPr>
                <w:bCs/>
                <w:sz w:val="18"/>
                <w:szCs w:val="18"/>
              </w:rPr>
              <w:t>按时交作业；能够</w:t>
            </w:r>
            <w:r>
              <w:rPr>
                <w:rFonts w:hint="eastAsia"/>
                <w:bCs/>
                <w:sz w:val="18"/>
                <w:szCs w:val="18"/>
              </w:rPr>
              <w:t>完全</w:t>
            </w:r>
            <w:r>
              <w:rPr>
                <w:rFonts w:hint="eastAsia" w:ascii="宋体" w:hAnsi="宋体"/>
                <w:bCs/>
                <w:sz w:val="18"/>
                <w:szCs w:val="18"/>
              </w:rPr>
              <w:t>掌握计算机硬件和软件组成及工作原理和计算机硬件软件思维</w:t>
            </w:r>
            <w:r>
              <w:rPr>
                <w:bCs/>
                <w:sz w:val="18"/>
                <w:szCs w:val="18"/>
              </w:rPr>
              <w:t>，完成作业认真，语言规范，表述清楚。</w:t>
            </w:r>
          </w:p>
        </w:tc>
        <w:tc>
          <w:tcPr>
            <w:tcW w:w="1559" w:type="dxa"/>
            <w:vAlign w:val="center"/>
          </w:tcPr>
          <w:p>
            <w:pPr>
              <w:rPr>
                <w:rFonts w:ascii="宋体" w:hAnsi="宋体"/>
                <w:bCs/>
                <w:sz w:val="18"/>
                <w:szCs w:val="18"/>
              </w:rPr>
            </w:pPr>
            <w:r>
              <w:rPr>
                <w:bCs/>
                <w:sz w:val="18"/>
                <w:szCs w:val="18"/>
              </w:rPr>
              <w:t>按时交作业；能够</w:t>
            </w:r>
            <w:r>
              <w:rPr>
                <w:rFonts w:hint="eastAsia"/>
                <w:bCs/>
                <w:sz w:val="18"/>
                <w:szCs w:val="18"/>
              </w:rPr>
              <w:t>较好地</w:t>
            </w:r>
            <w:r>
              <w:rPr>
                <w:rFonts w:hint="eastAsia" w:ascii="宋体" w:hAnsi="宋体"/>
                <w:bCs/>
                <w:sz w:val="18"/>
                <w:szCs w:val="18"/>
              </w:rPr>
              <w:t>掌握计算机硬件和软件组成及工作原理和计算机硬件软件思维</w:t>
            </w:r>
            <w:r>
              <w:rPr>
                <w:bCs/>
                <w:sz w:val="18"/>
                <w:szCs w:val="18"/>
              </w:rPr>
              <w:t>，完成作业较认真，语言较规范，表述较清楚。</w:t>
            </w:r>
          </w:p>
        </w:tc>
        <w:tc>
          <w:tcPr>
            <w:tcW w:w="1559" w:type="dxa"/>
            <w:vAlign w:val="center"/>
          </w:tcPr>
          <w:p>
            <w:pPr>
              <w:rPr>
                <w:rFonts w:ascii="宋体" w:hAnsi="宋体"/>
                <w:bCs/>
                <w:sz w:val="18"/>
                <w:szCs w:val="18"/>
              </w:rPr>
            </w:pPr>
            <w:r>
              <w:rPr>
                <w:bCs/>
                <w:sz w:val="18"/>
                <w:szCs w:val="18"/>
              </w:rPr>
              <w:t>按时交作业；能够</w:t>
            </w:r>
            <w:r>
              <w:rPr>
                <w:rFonts w:hint="eastAsia"/>
                <w:bCs/>
                <w:sz w:val="18"/>
                <w:szCs w:val="18"/>
              </w:rPr>
              <w:t>基本</w:t>
            </w:r>
            <w:r>
              <w:rPr>
                <w:rFonts w:hint="eastAsia" w:ascii="宋体" w:hAnsi="宋体"/>
                <w:bCs/>
                <w:sz w:val="18"/>
                <w:szCs w:val="18"/>
              </w:rPr>
              <w:t>掌握计算机硬件和软件组成及工作原理和计算机硬件软件思维</w:t>
            </w:r>
            <w:r>
              <w:rPr>
                <w:bCs/>
                <w:sz w:val="18"/>
                <w:szCs w:val="18"/>
              </w:rPr>
              <w:t>，</w:t>
            </w:r>
            <w:r>
              <w:rPr>
                <w:rFonts w:hint="eastAsia"/>
                <w:bCs/>
                <w:sz w:val="18"/>
                <w:szCs w:val="18"/>
              </w:rPr>
              <w:t>完整作业基本认真</w:t>
            </w:r>
            <w:r>
              <w:rPr>
                <w:bCs/>
                <w:sz w:val="18"/>
                <w:szCs w:val="18"/>
              </w:rPr>
              <w:t>，语言基本规范，表述基本清楚。</w:t>
            </w:r>
          </w:p>
        </w:tc>
        <w:tc>
          <w:tcPr>
            <w:tcW w:w="1381" w:type="dxa"/>
            <w:vAlign w:val="center"/>
          </w:tcPr>
          <w:p>
            <w:pPr>
              <w:rPr>
                <w:rFonts w:ascii="宋体" w:hAnsi="宋体"/>
                <w:bCs/>
                <w:sz w:val="18"/>
                <w:szCs w:val="18"/>
              </w:rPr>
            </w:pPr>
            <w:r>
              <w:rPr>
                <w:bCs/>
                <w:sz w:val="18"/>
                <w:szCs w:val="18"/>
              </w:rPr>
              <w:t>不能按时交作业，有抄袭现象；或者</w:t>
            </w:r>
            <w:r>
              <w:rPr>
                <w:rFonts w:hint="eastAsia"/>
                <w:bCs/>
                <w:sz w:val="18"/>
                <w:szCs w:val="18"/>
              </w:rPr>
              <w:t>答案</w:t>
            </w:r>
            <w:r>
              <w:rPr>
                <w:bCs/>
                <w:sz w:val="18"/>
                <w:szCs w:val="18"/>
              </w:rPr>
              <w:t>不合理。</w:t>
            </w:r>
          </w:p>
        </w:tc>
        <w:tc>
          <w:tcPr>
            <w:tcW w:w="785" w:type="dxa"/>
            <w:vAlign w:val="center"/>
          </w:tcPr>
          <w:p>
            <w:pPr>
              <w:jc w:val="center"/>
              <w:rPr>
                <w:rFonts w:ascii="宋体" w:hAnsi="宋体"/>
                <w:bCs/>
                <w:sz w:val="18"/>
                <w:szCs w:val="18"/>
              </w:rPr>
            </w:pPr>
            <w:r>
              <w:rPr>
                <w:rFonts w:hint="eastAsia" w:ascii="宋体" w:hAnsi="宋体"/>
                <w:bCs/>
                <w:sz w:val="18"/>
                <w:szCs w:val="18"/>
              </w:rPr>
              <w:t>3</w:t>
            </w:r>
            <w:r>
              <w:rPr>
                <w:rFonts w:ascii="宋体" w:hAnsi="宋体"/>
                <w:bCs/>
                <w:sz w:val="18"/>
                <w:szCs w:val="18"/>
              </w:rPr>
              <w:t>0</w:t>
            </w:r>
            <w:r>
              <w:rPr>
                <w:rFonts w:hint="eastAsia" w:ascii="宋体" w:hAnsi="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hint="eastAsia" w:ascii="宋体" w:hAnsi="宋体"/>
                <w:bCs/>
                <w:sz w:val="18"/>
                <w:szCs w:val="18"/>
              </w:rPr>
            </w:pPr>
            <w:r>
              <w:rPr>
                <w:rFonts w:hint="eastAsia" w:ascii="宋体" w:hAnsi="宋体"/>
                <w:bCs/>
                <w:sz w:val="18"/>
                <w:szCs w:val="18"/>
              </w:rPr>
              <w:t>能够运用计算思维对信息进行安全防护设计。（支撑课程目标2、毕业要求指标点1-2）</w:t>
            </w:r>
          </w:p>
        </w:tc>
        <w:tc>
          <w:tcPr>
            <w:tcW w:w="1560" w:type="dxa"/>
            <w:vAlign w:val="center"/>
          </w:tcPr>
          <w:p>
            <w:pPr>
              <w:rPr>
                <w:rFonts w:ascii="宋体" w:hAnsi="宋体"/>
                <w:bCs/>
                <w:sz w:val="18"/>
                <w:szCs w:val="18"/>
              </w:rPr>
            </w:pPr>
            <w:r>
              <w:rPr>
                <w:bCs/>
                <w:sz w:val="18"/>
                <w:szCs w:val="18"/>
              </w:rPr>
              <w:t>按时交作业；</w:t>
            </w:r>
            <w:r>
              <w:rPr>
                <w:rFonts w:hint="eastAsia"/>
                <w:bCs/>
                <w:sz w:val="18"/>
                <w:szCs w:val="18"/>
              </w:rPr>
              <w:t>运用计算思维设计的安全防护正确合理</w:t>
            </w:r>
            <w:r>
              <w:rPr>
                <w:bCs/>
                <w:sz w:val="18"/>
                <w:szCs w:val="18"/>
              </w:rPr>
              <w:t>，完成作业认真，语言规范，表述清楚。</w:t>
            </w:r>
          </w:p>
        </w:tc>
        <w:tc>
          <w:tcPr>
            <w:tcW w:w="1559" w:type="dxa"/>
            <w:vAlign w:val="center"/>
          </w:tcPr>
          <w:p>
            <w:pPr>
              <w:rPr>
                <w:rFonts w:ascii="宋体" w:hAnsi="宋体"/>
                <w:bCs/>
                <w:sz w:val="18"/>
                <w:szCs w:val="18"/>
              </w:rPr>
            </w:pPr>
            <w:r>
              <w:rPr>
                <w:bCs/>
                <w:sz w:val="18"/>
                <w:szCs w:val="18"/>
              </w:rPr>
              <w:t>按时交作业；</w:t>
            </w:r>
            <w:r>
              <w:rPr>
                <w:rFonts w:hint="eastAsia"/>
                <w:bCs/>
                <w:sz w:val="18"/>
                <w:szCs w:val="18"/>
              </w:rPr>
              <w:t>运用计算思维设计的安全防护正确较为合理</w:t>
            </w:r>
            <w:r>
              <w:rPr>
                <w:bCs/>
                <w:sz w:val="18"/>
                <w:szCs w:val="18"/>
              </w:rPr>
              <w:t>，完成作业较认真，语言较规范，表述较清楚。</w:t>
            </w:r>
          </w:p>
        </w:tc>
        <w:tc>
          <w:tcPr>
            <w:tcW w:w="1559" w:type="dxa"/>
            <w:vAlign w:val="center"/>
          </w:tcPr>
          <w:p>
            <w:pPr>
              <w:rPr>
                <w:rFonts w:ascii="宋体" w:hAnsi="宋体"/>
                <w:bCs/>
                <w:sz w:val="18"/>
                <w:szCs w:val="18"/>
              </w:rPr>
            </w:pPr>
            <w:r>
              <w:rPr>
                <w:bCs/>
                <w:sz w:val="18"/>
                <w:szCs w:val="18"/>
              </w:rPr>
              <w:t>按时交作业；</w:t>
            </w:r>
            <w:r>
              <w:rPr>
                <w:rFonts w:hint="eastAsia"/>
                <w:bCs/>
                <w:sz w:val="18"/>
                <w:szCs w:val="18"/>
              </w:rPr>
              <w:t>运用计算思维设计的安全防护基本正确合理</w:t>
            </w:r>
            <w:r>
              <w:rPr>
                <w:bCs/>
                <w:sz w:val="18"/>
                <w:szCs w:val="18"/>
              </w:rPr>
              <w:t>，</w:t>
            </w:r>
            <w:r>
              <w:rPr>
                <w:rFonts w:hint="eastAsia"/>
                <w:bCs/>
                <w:sz w:val="18"/>
                <w:szCs w:val="18"/>
              </w:rPr>
              <w:t>完整作业基本认真</w:t>
            </w:r>
            <w:r>
              <w:rPr>
                <w:bCs/>
                <w:sz w:val="18"/>
                <w:szCs w:val="18"/>
              </w:rPr>
              <w:t>，语言基本规范，表述基本清楚。</w:t>
            </w:r>
          </w:p>
        </w:tc>
        <w:tc>
          <w:tcPr>
            <w:tcW w:w="1381" w:type="dxa"/>
            <w:vAlign w:val="center"/>
          </w:tcPr>
          <w:p>
            <w:pPr>
              <w:rPr>
                <w:rFonts w:ascii="宋体" w:hAnsi="宋体"/>
                <w:bCs/>
                <w:sz w:val="18"/>
                <w:szCs w:val="18"/>
              </w:rPr>
            </w:pPr>
            <w:r>
              <w:rPr>
                <w:bCs/>
                <w:sz w:val="18"/>
                <w:szCs w:val="18"/>
              </w:rPr>
              <w:t>不能按时交作业，有抄袭现象；或者</w:t>
            </w:r>
            <w:r>
              <w:rPr>
                <w:rFonts w:hint="eastAsia"/>
                <w:bCs/>
                <w:sz w:val="18"/>
                <w:szCs w:val="18"/>
              </w:rPr>
              <w:t>设计完全</w:t>
            </w:r>
            <w:r>
              <w:rPr>
                <w:bCs/>
                <w:sz w:val="18"/>
                <w:szCs w:val="18"/>
              </w:rPr>
              <w:t>不合理。</w:t>
            </w:r>
          </w:p>
        </w:tc>
        <w:tc>
          <w:tcPr>
            <w:tcW w:w="785" w:type="dxa"/>
            <w:vAlign w:val="center"/>
          </w:tcPr>
          <w:p>
            <w:pPr>
              <w:jc w:val="center"/>
              <w:rPr>
                <w:rFonts w:ascii="宋体" w:hAnsi="宋体"/>
                <w:bCs/>
                <w:sz w:val="18"/>
                <w:szCs w:val="18"/>
              </w:rPr>
            </w:pPr>
            <w:r>
              <w:rPr>
                <w:rFonts w:hint="eastAsia" w:ascii="宋体" w:hAnsi="宋体"/>
                <w:bCs/>
                <w:sz w:val="18"/>
                <w:szCs w:val="18"/>
              </w:rPr>
              <w:t>3</w:t>
            </w:r>
            <w:r>
              <w:rPr>
                <w:rFonts w:ascii="宋体" w:hAnsi="宋体"/>
                <w:bCs/>
                <w:sz w:val="18"/>
                <w:szCs w:val="18"/>
              </w:rPr>
              <w:t>0</w:t>
            </w:r>
            <w:r>
              <w:rPr>
                <w:rFonts w:hint="eastAsia" w:ascii="宋体" w:hAnsi="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hint="eastAsia" w:ascii="宋体" w:hAnsi="宋体"/>
                <w:bCs/>
                <w:sz w:val="18"/>
                <w:szCs w:val="18"/>
              </w:rPr>
            </w:pPr>
            <w:r>
              <w:rPr>
                <w:rFonts w:hint="eastAsia" w:ascii="宋体" w:hAnsi="宋体"/>
                <w:bCs/>
                <w:sz w:val="18"/>
                <w:szCs w:val="18"/>
              </w:rPr>
              <w:t>能够根据实际案例，设计算法并进行计算处理优化。（支撑课程目标3、毕业要求指标点3-1）</w:t>
            </w:r>
          </w:p>
        </w:tc>
        <w:tc>
          <w:tcPr>
            <w:tcW w:w="1560" w:type="dxa"/>
            <w:vAlign w:val="center"/>
          </w:tcPr>
          <w:p>
            <w:pPr>
              <w:rPr>
                <w:rFonts w:hint="eastAsia" w:ascii="宋体" w:hAnsi="宋体"/>
                <w:bCs/>
                <w:sz w:val="18"/>
                <w:szCs w:val="18"/>
              </w:rPr>
            </w:pPr>
            <w:r>
              <w:rPr>
                <w:bCs/>
                <w:sz w:val="18"/>
                <w:szCs w:val="18"/>
              </w:rPr>
              <w:t>按时交作业；</w:t>
            </w:r>
            <w:r>
              <w:rPr>
                <w:rFonts w:hint="eastAsia"/>
                <w:bCs/>
                <w:sz w:val="18"/>
                <w:szCs w:val="18"/>
              </w:rPr>
              <w:t>案例选题正确，算法设计合理，计算处理优化得当</w:t>
            </w:r>
            <w:r>
              <w:rPr>
                <w:bCs/>
                <w:sz w:val="18"/>
                <w:szCs w:val="18"/>
              </w:rPr>
              <w:t>，完成作业认真，语言规范，表述清楚。</w:t>
            </w:r>
          </w:p>
        </w:tc>
        <w:tc>
          <w:tcPr>
            <w:tcW w:w="1559" w:type="dxa"/>
            <w:vAlign w:val="center"/>
          </w:tcPr>
          <w:p>
            <w:pPr>
              <w:rPr>
                <w:rFonts w:hint="eastAsia" w:ascii="宋体" w:hAnsi="宋体"/>
                <w:bCs/>
                <w:sz w:val="18"/>
                <w:szCs w:val="18"/>
              </w:rPr>
            </w:pPr>
            <w:r>
              <w:rPr>
                <w:bCs/>
                <w:sz w:val="18"/>
                <w:szCs w:val="18"/>
              </w:rPr>
              <w:t>按时交作业；</w:t>
            </w:r>
            <w:r>
              <w:rPr>
                <w:rFonts w:hint="eastAsia"/>
                <w:bCs/>
                <w:sz w:val="18"/>
                <w:szCs w:val="18"/>
              </w:rPr>
              <w:t>案例选题正确，算法较为设计合理，计算处理优化较为得当</w:t>
            </w:r>
            <w:r>
              <w:rPr>
                <w:bCs/>
                <w:sz w:val="18"/>
                <w:szCs w:val="18"/>
              </w:rPr>
              <w:t>，完成作业较认真，语言较规范，表述较清楚。</w:t>
            </w:r>
          </w:p>
        </w:tc>
        <w:tc>
          <w:tcPr>
            <w:tcW w:w="1559" w:type="dxa"/>
            <w:vAlign w:val="center"/>
          </w:tcPr>
          <w:p>
            <w:pPr>
              <w:rPr>
                <w:rFonts w:hint="eastAsia" w:ascii="宋体" w:hAnsi="宋体"/>
                <w:bCs/>
                <w:sz w:val="18"/>
                <w:szCs w:val="18"/>
              </w:rPr>
            </w:pPr>
            <w:r>
              <w:rPr>
                <w:bCs/>
                <w:sz w:val="18"/>
                <w:szCs w:val="18"/>
              </w:rPr>
              <w:t>按时交作业；</w:t>
            </w:r>
            <w:r>
              <w:rPr>
                <w:rFonts w:hint="eastAsia"/>
                <w:bCs/>
                <w:sz w:val="18"/>
                <w:szCs w:val="18"/>
              </w:rPr>
              <w:t>案例选题基本正确，算法基本设计合理，计算处理优化基本得当</w:t>
            </w:r>
            <w:r>
              <w:rPr>
                <w:bCs/>
                <w:sz w:val="18"/>
                <w:szCs w:val="18"/>
              </w:rPr>
              <w:t>，</w:t>
            </w:r>
            <w:r>
              <w:rPr>
                <w:rFonts w:hint="eastAsia"/>
                <w:bCs/>
                <w:sz w:val="18"/>
                <w:szCs w:val="18"/>
              </w:rPr>
              <w:t>完整作业基本认真</w:t>
            </w:r>
            <w:r>
              <w:rPr>
                <w:bCs/>
                <w:sz w:val="18"/>
                <w:szCs w:val="18"/>
              </w:rPr>
              <w:t>，语言基本规范，表述基本清楚。</w:t>
            </w:r>
          </w:p>
        </w:tc>
        <w:tc>
          <w:tcPr>
            <w:tcW w:w="1381" w:type="dxa"/>
            <w:vAlign w:val="center"/>
          </w:tcPr>
          <w:p>
            <w:pPr>
              <w:rPr>
                <w:rFonts w:hint="eastAsia" w:ascii="宋体" w:hAnsi="宋体"/>
                <w:bCs/>
                <w:sz w:val="18"/>
                <w:szCs w:val="18"/>
              </w:rPr>
            </w:pPr>
            <w:r>
              <w:rPr>
                <w:bCs/>
                <w:sz w:val="18"/>
                <w:szCs w:val="18"/>
              </w:rPr>
              <w:t>不能按时交作业，有抄袭现象；或者</w:t>
            </w:r>
            <w:r>
              <w:rPr>
                <w:rFonts w:hint="eastAsia"/>
                <w:bCs/>
                <w:sz w:val="18"/>
                <w:szCs w:val="18"/>
              </w:rPr>
              <w:t>算法设计优化完全</w:t>
            </w:r>
            <w:r>
              <w:rPr>
                <w:bCs/>
                <w:sz w:val="18"/>
                <w:szCs w:val="18"/>
              </w:rPr>
              <w:t>不合理。</w:t>
            </w:r>
          </w:p>
        </w:tc>
        <w:tc>
          <w:tcPr>
            <w:tcW w:w="785" w:type="dxa"/>
            <w:vAlign w:val="center"/>
          </w:tcPr>
          <w:p>
            <w:pPr>
              <w:jc w:val="center"/>
              <w:rPr>
                <w:rFonts w:hint="eastAsia" w:ascii="宋体" w:hAnsi="宋体"/>
                <w:bCs/>
                <w:sz w:val="18"/>
                <w:szCs w:val="18"/>
              </w:rPr>
            </w:pPr>
            <w:r>
              <w:rPr>
                <w:rFonts w:ascii="宋体" w:hAnsi="宋体"/>
                <w:bCs/>
                <w:sz w:val="18"/>
                <w:szCs w:val="18"/>
              </w:rPr>
              <w:t>40</w:t>
            </w:r>
            <w:r>
              <w:rPr>
                <w:rFonts w:hint="eastAsia" w:ascii="宋体" w:hAnsi="宋体"/>
                <w:bCs/>
                <w:sz w:val="18"/>
                <w:szCs w:val="18"/>
              </w:rPr>
              <w:t>%</w:t>
            </w:r>
          </w:p>
        </w:tc>
      </w:tr>
    </w:tbl>
    <w:p>
      <w:pPr>
        <w:pStyle w:val="59"/>
        <w:spacing w:line="360" w:lineRule="auto"/>
        <w:ind w:firstLine="207" w:firstLineChars="98"/>
        <w:rPr>
          <w:rFonts w:hint="eastAsia" w:ascii="宋体" w:hAnsi="宋体"/>
          <w:b/>
          <w:szCs w:val="21"/>
          <w:highlight w:val="yellow"/>
        </w:rPr>
      </w:pPr>
      <w:r>
        <w:rPr>
          <w:rFonts w:hint="eastAsia" w:ascii="宋体" w:hAnsi="宋体"/>
          <w:b/>
          <w:szCs w:val="21"/>
        </w:rPr>
        <w:t>3、考试评价标准</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1560"/>
        <w:gridCol w:w="1559"/>
        <w:gridCol w:w="1559"/>
        <w:gridCol w:w="1381"/>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310" w:type="dxa"/>
            <w:vMerge w:val="restart"/>
            <w:shd w:val="clear" w:color="auto" w:fill="F2F2F2"/>
            <w:vAlign w:val="center"/>
          </w:tcPr>
          <w:p>
            <w:pPr>
              <w:jc w:val="center"/>
              <w:rPr>
                <w:b/>
                <w:sz w:val="18"/>
                <w:szCs w:val="18"/>
              </w:rPr>
            </w:pPr>
            <w:r>
              <w:rPr>
                <w:rFonts w:hint="eastAsia"/>
                <w:b/>
                <w:sz w:val="18"/>
                <w:szCs w:val="18"/>
              </w:rPr>
              <w:t>基本要求</w:t>
            </w:r>
          </w:p>
        </w:tc>
        <w:tc>
          <w:tcPr>
            <w:tcW w:w="6059" w:type="dxa"/>
            <w:gridSpan w:val="4"/>
            <w:shd w:val="clear" w:color="auto" w:fill="F2F2F2"/>
            <w:vAlign w:val="center"/>
          </w:tcPr>
          <w:p>
            <w:pPr>
              <w:jc w:val="center"/>
              <w:rPr>
                <w:b/>
                <w:sz w:val="18"/>
                <w:szCs w:val="18"/>
              </w:rPr>
            </w:pPr>
            <w:r>
              <w:rPr>
                <w:rFonts w:hint="eastAsia"/>
                <w:b/>
                <w:sz w:val="18"/>
                <w:szCs w:val="18"/>
              </w:rPr>
              <w:t>评价标准</w:t>
            </w:r>
          </w:p>
        </w:tc>
        <w:tc>
          <w:tcPr>
            <w:tcW w:w="785" w:type="dxa"/>
            <w:vMerge w:val="restart"/>
            <w:shd w:val="clear" w:color="auto" w:fill="F2F2F2"/>
            <w:vAlign w:val="center"/>
          </w:tcPr>
          <w:p>
            <w:pPr>
              <w:jc w:val="center"/>
              <w:rPr>
                <w:rFonts w:hint="eastAsia"/>
                <w:b/>
                <w:sz w:val="18"/>
                <w:szCs w:val="18"/>
              </w:rPr>
            </w:pPr>
            <w:r>
              <w:rPr>
                <w:rFonts w:hint="eastAsia"/>
                <w:b/>
                <w:sz w:val="18"/>
                <w:szCs w:val="1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310" w:type="dxa"/>
            <w:vMerge w:val="continue"/>
            <w:shd w:val="clear" w:color="auto" w:fill="F2F2F2"/>
          </w:tcPr>
          <w:p>
            <w:pPr>
              <w:spacing w:line="420" w:lineRule="exact"/>
              <w:jc w:val="center"/>
              <w:rPr>
                <w:rFonts w:hint="eastAsia"/>
                <w:b/>
                <w:sz w:val="18"/>
                <w:szCs w:val="18"/>
              </w:rPr>
            </w:pPr>
          </w:p>
        </w:tc>
        <w:tc>
          <w:tcPr>
            <w:tcW w:w="1560" w:type="dxa"/>
            <w:shd w:val="clear" w:color="auto" w:fill="F2F2F2"/>
          </w:tcPr>
          <w:p>
            <w:pPr>
              <w:spacing w:line="420" w:lineRule="exact"/>
              <w:jc w:val="center"/>
              <w:rPr>
                <w:rFonts w:hint="eastAsia"/>
                <w:b/>
                <w:sz w:val="18"/>
                <w:szCs w:val="18"/>
              </w:rPr>
            </w:pPr>
            <w:r>
              <w:rPr>
                <w:rFonts w:hint="eastAsia"/>
                <w:b/>
                <w:sz w:val="18"/>
                <w:szCs w:val="18"/>
              </w:rPr>
              <w:t>90-100分</w:t>
            </w:r>
          </w:p>
        </w:tc>
        <w:tc>
          <w:tcPr>
            <w:tcW w:w="1559" w:type="dxa"/>
            <w:shd w:val="clear" w:color="auto" w:fill="F2F2F2"/>
          </w:tcPr>
          <w:p>
            <w:pPr>
              <w:spacing w:line="420" w:lineRule="exact"/>
              <w:jc w:val="center"/>
              <w:rPr>
                <w:rFonts w:hint="eastAsia"/>
                <w:b/>
                <w:sz w:val="18"/>
                <w:szCs w:val="18"/>
              </w:rPr>
            </w:pPr>
            <w:r>
              <w:rPr>
                <w:rFonts w:hint="eastAsia"/>
                <w:b/>
                <w:sz w:val="18"/>
                <w:szCs w:val="18"/>
              </w:rPr>
              <w:t>75-89分</w:t>
            </w:r>
          </w:p>
        </w:tc>
        <w:tc>
          <w:tcPr>
            <w:tcW w:w="1559" w:type="dxa"/>
            <w:shd w:val="clear" w:color="auto" w:fill="F2F2F2"/>
          </w:tcPr>
          <w:p>
            <w:pPr>
              <w:spacing w:line="420" w:lineRule="exact"/>
              <w:jc w:val="center"/>
              <w:rPr>
                <w:rFonts w:hint="eastAsia"/>
                <w:b/>
                <w:sz w:val="18"/>
                <w:szCs w:val="18"/>
              </w:rPr>
            </w:pPr>
            <w:r>
              <w:rPr>
                <w:rFonts w:hint="eastAsia"/>
                <w:b/>
                <w:sz w:val="18"/>
                <w:szCs w:val="18"/>
              </w:rPr>
              <w:t>60-74分</w:t>
            </w:r>
          </w:p>
        </w:tc>
        <w:tc>
          <w:tcPr>
            <w:tcW w:w="1381" w:type="dxa"/>
            <w:shd w:val="clear" w:color="auto" w:fill="F2F2F2"/>
          </w:tcPr>
          <w:p>
            <w:pPr>
              <w:spacing w:line="420" w:lineRule="exact"/>
              <w:jc w:val="center"/>
              <w:rPr>
                <w:rFonts w:hint="eastAsia"/>
                <w:b/>
                <w:sz w:val="18"/>
                <w:szCs w:val="18"/>
              </w:rPr>
            </w:pPr>
            <w:r>
              <w:rPr>
                <w:rFonts w:hint="eastAsia"/>
                <w:b/>
                <w:sz w:val="18"/>
                <w:szCs w:val="18"/>
              </w:rPr>
              <w:t>0-59分</w:t>
            </w:r>
          </w:p>
        </w:tc>
        <w:tc>
          <w:tcPr>
            <w:tcW w:w="785" w:type="dxa"/>
            <w:vMerge w:val="continue"/>
            <w:shd w:val="clear" w:color="auto" w:fill="F2F2F2"/>
          </w:tcPr>
          <w:p>
            <w:pPr>
              <w:spacing w:line="420" w:lineRule="exact"/>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hint="eastAsia"/>
                <w:bCs/>
                <w:sz w:val="18"/>
                <w:szCs w:val="18"/>
              </w:rPr>
            </w:pPr>
            <w:r>
              <w:rPr>
                <w:rFonts w:hint="eastAsia"/>
                <w:bCs/>
                <w:sz w:val="18"/>
                <w:szCs w:val="18"/>
              </w:rPr>
              <w:t>能够掌握系统思维、算法思维、数据思维、网络化思维和伦理思维的基本概念和工作原理。</w:t>
            </w:r>
            <w:r>
              <w:rPr>
                <w:rFonts w:hint="eastAsia" w:ascii="宋体" w:hAnsi="宋体"/>
                <w:bCs/>
                <w:sz w:val="18"/>
                <w:szCs w:val="18"/>
              </w:rPr>
              <w:t>（支撑课程目标</w:t>
            </w:r>
            <w:r>
              <w:rPr>
                <w:rFonts w:ascii="宋体" w:hAnsi="宋体"/>
                <w:bCs/>
                <w:sz w:val="18"/>
                <w:szCs w:val="18"/>
              </w:rPr>
              <w:t>1</w:t>
            </w:r>
            <w:r>
              <w:rPr>
                <w:rFonts w:hint="eastAsia" w:ascii="宋体" w:hAnsi="宋体"/>
                <w:bCs/>
                <w:sz w:val="18"/>
                <w:szCs w:val="18"/>
              </w:rPr>
              <w:t>、毕业要求指标点1-</w:t>
            </w:r>
            <w:r>
              <w:rPr>
                <w:rFonts w:ascii="宋体" w:hAnsi="宋体"/>
                <w:bCs/>
                <w:sz w:val="18"/>
                <w:szCs w:val="18"/>
              </w:rPr>
              <w:t>1</w:t>
            </w:r>
            <w:r>
              <w:rPr>
                <w:rFonts w:hint="eastAsia" w:ascii="宋体" w:hAnsi="宋体"/>
                <w:bCs/>
                <w:sz w:val="18"/>
                <w:szCs w:val="18"/>
              </w:rPr>
              <w:t>）</w:t>
            </w:r>
          </w:p>
        </w:tc>
        <w:tc>
          <w:tcPr>
            <w:tcW w:w="1560" w:type="dxa"/>
            <w:vAlign w:val="center"/>
          </w:tcPr>
          <w:p>
            <w:pPr>
              <w:rPr>
                <w:bCs/>
                <w:sz w:val="18"/>
                <w:szCs w:val="18"/>
              </w:rPr>
            </w:pPr>
            <w:r>
              <w:rPr>
                <w:sz w:val="18"/>
                <w:szCs w:val="18"/>
              </w:rPr>
              <w:t>能够</w:t>
            </w:r>
            <w:r>
              <w:rPr>
                <w:rFonts w:hint="eastAsia"/>
                <w:sz w:val="18"/>
                <w:szCs w:val="18"/>
              </w:rPr>
              <w:t>完全掌握计算思维的基本概念和工作原理</w:t>
            </w:r>
            <w:r>
              <w:rPr>
                <w:sz w:val="18"/>
                <w:szCs w:val="18"/>
              </w:rPr>
              <w:t>，</w:t>
            </w:r>
            <w:r>
              <w:rPr>
                <w:rFonts w:hint="eastAsia"/>
                <w:sz w:val="18"/>
                <w:szCs w:val="18"/>
              </w:rPr>
              <w:t>表述清晰，</w:t>
            </w:r>
            <w:r>
              <w:rPr>
                <w:sz w:val="18"/>
                <w:szCs w:val="18"/>
              </w:rPr>
              <w:t>语言规范。</w:t>
            </w:r>
          </w:p>
        </w:tc>
        <w:tc>
          <w:tcPr>
            <w:tcW w:w="1559" w:type="dxa"/>
            <w:vAlign w:val="center"/>
          </w:tcPr>
          <w:p>
            <w:pPr>
              <w:rPr>
                <w:bCs/>
                <w:sz w:val="18"/>
                <w:szCs w:val="18"/>
              </w:rPr>
            </w:pPr>
            <w:r>
              <w:rPr>
                <w:sz w:val="18"/>
                <w:szCs w:val="18"/>
              </w:rPr>
              <w:t>能够</w:t>
            </w:r>
            <w:r>
              <w:rPr>
                <w:rFonts w:hint="eastAsia"/>
                <w:sz w:val="18"/>
                <w:szCs w:val="18"/>
              </w:rPr>
              <w:t>较好地掌握计算思维的基本概念和工作原理</w:t>
            </w:r>
            <w:r>
              <w:rPr>
                <w:sz w:val="18"/>
                <w:szCs w:val="18"/>
              </w:rPr>
              <w:t>，</w:t>
            </w:r>
            <w:r>
              <w:rPr>
                <w:rFonts w:hint="eastAsia"/>
                <w:sz w:val="18"/>
                <w:szCs w:val="18"/>
              </w:rPr>
              <w:t>表述清晰，</w:t>
            </w:r>
            <w:r>
              <w:rPr>
                <w:sz w:val="18"/>
                <w:szCs w:val="18"/>
              </w:rPr>
              <w:t>语言规范。</w:t>
            </w:r>
          </w:p>
        </w:tc>
        <w:tc>
          <w:tcPr>
            <w:tcW w:w="1559" w:type="dxa"/>
            <w:vAlign w:val="center"/>
          </w:tcPr>
          <w:p>
            <w:pPr>
              <w:rPr>
                <w:bCs/>
                <w:sz w:val="18"/>
                <w:szCs w:val="18"/>
              </w:rPr>
            </w:pPr>
            <w:r>
              <w:rPr>
                <w:sz w:val="18"/>
                <w:szCs w:val="18"/>
              </w:rPr>
              <w:t>能够</w:t>
            </w:r>
            <w:r>
              <w:rPr>
                <w:rFonts w:hint="eastAsia"/>
                <w:sz w:val="18"/>
                <w:szCs w:val="18"/>
              </w:rPr>
              <w:t>基本掌握计算思维的基本概念和工作原理</w:t>
            </w:r>
            <w:r>
              <w:rPr>
                <w:sz w:val="18"/>
                <w:szCs w:val="18"/>
              </w:rPr>
              <w:t>，</w:t>
            </w:r>
            <w:r>
              <w:rPr>
                <w:rFonts w:hint="eastAsia"/>
                <w:sz w:val="18"/>
                <w:szCs w:val="18"/>
              </w:rPr>
              <w:t>表述基本清晰，</w:t>
            </w:r>
            <w:r>
              <w:rPr>
                <w:sz w:val="18"/>
                <w:szCs w:val="18"/>
              </w:rPr>
              <w:t>语言</w:t>
            </w:r>
            <w:r>
              <w:rPr>
                <w:rFonts w:hint="eastAsia"/>
                <w:sz w:val="18"/>
                <w:szCs w:val="18"/>
              </w:rPr>
              <w:t>基本</w:t>
            </w:r>
            <w:r>
              <w:rPr>
                <w:sz w:val="18"/>
                <w:szCs w:val="18"/>
              </w:rPr>
              <w:t>规范。</w:t>
            </w:r>
          </w:p>
        </w:tc>
        <w:tc>
          <w:tcPr>
            <w:tcW w:w="1381" w:type="dxa"/>
            <w:vAlign w:val="center"/>
          </w:tcPr>
          <w:p>
            <w:pPr>
              <w:rPr>
                <w:bCs/>
                <w:sz w:val="18"/>
                <w:szCs w:val="18"/>
              </w:rPr>
            </w:pPr>
            <w:r>
              <w:rPr>
                <w:sz w:val="18"/>
                <w:szCs w:val="18"/>
              </w:rPr>
              <w:t>不能</w:t>
            </w:r>
            <w:r>
              <w:rPr>
                <w:rFonts w:hint="eastAsia"/>
                <w:sz w:val="18"/>
                <w:szCs w:val="18"/>
              </w:rPr>
              <w:t>掌握计算思维的基本概念和工作原理</w:t>
            </w:r>
            <w:r>
              <w:rPr>
                <w:sz w:val="18"/>
                <w:szCs w:val="18"/>
              </w:rPr>
              <w:t>，语言不规范。</w:t>
            </w:r>
          </w:p>
        </w:tc>
        <w:tc>
          <w:tcPr>
            <w:tcW w:w="785" w:type="dxa"/>
            <w:vAlign w:val="center"/>
          </w:tcPr>
          <w:p>
            <w:pPr>
              <w:jc w:val="center"/>
              <w:rPr>
                <w:bCs/>
                <w:sz w:val="18"/>
                <w:szCs w:val="18"/>
              </w:rPr>
            </w:pPr>
            <w:r>
              <w:rPr>
                <w:rFonts w:hint="eastAsia"/>
                <w:bCs/>
                <w:sz w:val="18"/>
                <w:szCs w:val="18"/>
              </w:rPr>
              <w:t>3</w:t>
            </w:r>
            <w:r>
              <w:rPr>
                <w:bCs/>
                <w:sz w:val="18"/>
                <w:szCs w:val="18"/>
              </w:rPr>
              <w:t>0</w:t>
            </w:r>
            <w:r>
              <w:rPr>
                <w:rFonts w:hint="eastAsia"/>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hint="eastAsia"/>
                <w:bCs/>
                <w:sz w:val="18"/>
                <w:szCs w:val="18"/>
              </w:rPr>
            </w:pPr>
            <w:r>
              <w:rPr>
                <w:rFonts w:hint="eastAsia"/>
                <w:bCs/>
                <w:sz w:val="18"/>
                <w:szCs w:val="18"/>
              </w:rPr>
              <w:t>能够运用计算思维对给出的木马和蠕虫病毒案例进行安全防护设计。</w:t>
            </w:r>
            <w:r>
              <w:rPr>
                <w:rFonts w:hint="eastAsia" w:ascii="宋体" w:hAnsi="宋体"/>
                <w:bCs/>
                <w:sz w:val="18"/>
                <w:szCs w:val="18"/>
              </w:rPr>
              <w:t>（支撑课程目标2、毕业要求指标点1-2）</w:t>
            </w:r>
          </w:p>
        </w:tc>
        <w:tc>
          <w:tcPr>
            <w:tcW w:w="1560" w:type="dxa"/>
            <w:vAlign w:val="center"/>
          </w:tcPr>
          <w:p>
            <w:pPr>
              <w:rPr>
                <w:rFonts w:hint="eastAsia"/>
                <w:bCs/>
                <w:sz w:val="18"/>
                <w:szCs w:val="18"/>
              </w:rPr>
            </w:pPr>
            <w:r>
              <w:rPr>
                <w:rFonts w:hint="eastAsia"/>
                <w:bCs/>
                <w:sz w:val="18"/>
                <w:szCs w:val="18"/>
              </w:rPr>
              <w:t>对案例的分析完全正确，设计出合理的安全防护方案，表述清楚，语言规范。</w:t>
            </w:r>
          </w:p>
        </w:tc>
        <w:tc>
          <w:tcPr>
            <w:tcW w:w="1559" w:type="dxa"/>
            <w:vAlign w:val="center"/>
          </w:tcPr>
          <w:p>
            <w:pPr>
              <w:rPr>
                <w:bCs/>
                <w:sz w:val="18"/>
                <w:szCs w:val="18"/>
              </w:rPr>
            </w:pPr>
            <w:r>
              <w:rPr>
                <w:rFonts w:hint="eastAsia"/>
                <w:bCs/>
                <w:sz w:val="18"/>
                <w:szCs w:val="18"/>
              </w:rPr>
              <w:t>对案例的分析正确，设计出较为合理的安全防护方案，表述清楚，语言规范。</w:t>
            </w:r>
          </w:p>
        </w:tc>
        <w:tc>
          <w:tcPr>
            <w:tcW w:w="1559" w:type="dxa"/>
            <w:vAlign w:val="center"/>
          </w:tcPr>
          <w:p>
            <w:pPr>
              <w:rPr>
                <w:bCs/>
                <w:sz w:val="18"/>
                <w:szCs w:val="18"/>
              </w:rPr>
            </w:pPr>
            <w:r>
              <w:rPr>
                <w:rFonts w:hint="eastAsia"/>
                <w:bCs/>
                <w:sz w:val="18"/>
                <w:szCs w:val="18"/>
              </w:rPr>
              <w:t>对案例的分析基本正确，设计出基本合理的安全防护方案，表述基本清楚，语言基本规范。</w:t>
            </w:r>
          </w:p>
        </w:tc>
        <w:tc>
          <w:tcPr>
            <w:tcW w:w="1381" w:type="dxa"/>
            <w:vAlign w:val="center"/>
          </w:tcPr>
          <w:p>
            <w:pPr>
              <w:rPr>
                <w:rFonts w:hint="eastAsia"/>
                <w:bCs/>
                <w:sz w:val="18"/>
                <w:szCs w:val="18"/>
              </w:rPr>
            </w:pPr>
            <w:r>
              <w:rPr>
                <w:rFonts w:hint="eastAsia"/>
                <w:bCs/>
                <w:sz w:val="18"/>
                <w:szCs w:val="18"/>
              </w:rPr>
              <w:t>不能对案例进行正确地分析，没有设计出合理的方案，语言不规范。</w:t>
            </w:r>
          </w:p>
        </w:tc>
        <w:tc>
          <w:tcPr>
            <w:tcW w:w="785" w:type="dxa"/>
            <w:vAlign w:val="center"/>
          </w:tcPr>
          <w:p>
            <w:pPr>
              <w:jc w:val="center"/>
              <w:rPr>
                <w:bCs/>
                <w:sz w:val="18"/>
                <w:szCs w:val="18"/>
              </w:rPr>
            </w:pPr>
            <w:r>
              <w:rPr>
                <w:rFonts w:hint="eastAsia"/>
                <w:bCs/>
                <w:sz w:val="18"/>
                <w:szCs w:val="18"/>
              </w:rPr>
              <w:t>3</w:t>
            </w:r>
            <w:r>
              <w:rPr>
                <w:bCs/>
                <w:sz w:val="18"/>
                <w:szCs w:val="18"/>
              </w:rPr>
              <w:t>0</w:t>
            </w:r>
            <w:r>
              <w:rPr>
                <w:rFonts w:hint="eastAsia"/>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hint="eastAsia"/>
                <w:bCs/>
                <w:sz w:val="18"/>
                <w:szCs w:val="18"/>
              </w:rPr>
            </w:pPr>
            <w:r>
              <w:rPr>
                <w:rFonts w:hint="eastAsia"/>
                <w:bCs/>
                <w:sz w:val="18"/>
                <w:szCs w:val="18"/>
              </w:rPr>
              <w:t>能够对计算机系统和网络案例进行计算处理优化。</w:t>
            </w:r>
            <w:r>
              <w:rPr>
                <w:rFonts w:hint="eastAsia" w:ascii="宋体" w:hAnsi="宋体"/>
                <w:bCs/>
                <w:sz w:val="18"/>
                <w:szCs w:val="18"/>
              </w:rPr>
              <w:t>（支撑课程目标3、毕业要求指标点3-1）</w:t>
            </w:r>
          </w:p>
        </w:tc>
        <w:tc>
          <w:tcPr>
            <w:tcW w:w="1560" w:type="dxa"/>
            <w:vAlign w:val="center"/>
          </w:tcPr>
          <w:p>
            <w:pPr>
              <w:rPr>
                <w:rFonts w:hint="eastAsia"/>
                <w:bCs/>
                <w:sz w:val="18"/>
                <w:szCs w:val="18"/>
              </w:rPr>
            </w:pPr>
            <w:r>
              <w:rPr>
                <w:rFonts w:hint="eastAsia"/>
                <w:bCs/>
                <w:sz w:val="18"/>
                <w:szCs w:val="18"/>
              </w:rPr>
              <w:t>对案例的分析完全正确，计算优化处理合理，表述清楚，语言规范。</w:t>
            </w:r>
          </w:p>
        </w:tc>
        <w:tc>
          <w:tcPr>
            <w:tcW w:w="1559" w:type="dxa"/>
            <w:vAlign w:val="center"/>
          </w:tcPr>
          <w:p>
            <w:pPr>
              <w:rPr>
                <w:rFonts w:hint="eastAsia"/>
                <w:bCs/>
                <w:sz w:val="18"/>
                <w:szCs w:val="18"/>
              </w:rPr>
            </w:pPr>
            <w:r>
              <w:rPr>
                <w:rFonts w:hint="eastAsia"/>
                <w:bCs/>
                <w:sz w:val="18"/>
                <w:szCs w:val="18"/>
              </w:rPr>
              <w:t>对案例的分析正确，计算优化处理较为合理，表述清楚，语言规范。</w:t>
            </w:r>
          </w:p>
        </w:tc>
        <w:tc>
          <w:tcPr>
            <w:tcW w:w="1559" w:type="dxa"/>
            <w:vAlign w:val="center"/>
          </w:tcPr>
          <w:p>
            <w:pPr>
              <w:rPr>
                <w:rFonts w:hint="eastAsia"/>
                <w:bCs/>
                <w:sz w:val="18"/>
                <w:szCs w:val="18"/>
              </w:rPr>
            </w:pPr>
            <w:r>
              <w:rPr>
                <w:rFonts w:hint="eastAsia"/>
                <w:bCs/>
                <w:sz w:val="18"/>
                <w:szCs w:val="18"/>
              </w:rPr>
              <w:t>对案例的分析基本正确，计算优化处理基本合理，表述基本清楚，语言基本规范。</w:t>
            </w:r>
          </w:p>
        </w:tc>
        <w:tc>
          <w:tcPr>
            <w:tcW w:w="1381" w:type="dxa"/>
            <w:vAlign w:val="center"/>
          </w:tcPr>
          <w:p>
            <w:pPr>
              <w:rPr>
                <w:rFonts w:hint="eastAsia"/>
                <w:bCs/>
                <w:sz w:val="18"/>
                <w:szCs w:val="18"/>
              </w:rPr>
            </w:pPr>
            <w:r>
              <w:rPr>
                <w:rFonts w:hint="eastAsia"/>
                <w:bCs/>
                <w:sz w:val="18"/>
                <w:szCs w:val="18"/>
              </w:rPr>
              <w:t>不能对案例进行正确地分析，计算优化处理完全不合理，语言不规范。</w:t>
            </w:r>
          </w:p>
        </w:tc>
        <w:tc>
          <w:tcPr>
            <w:tcW w:w="785" w:type="dxa"/>
            <w:vAlign w:val="center"/>
          </w:tcPr>
          <w:p>
            <w:pPr>
              <w:jc w:val="center"/>
              <w:rPr>
                <w:rFonts w:hint="eastAsia"/>
                <w:bCs/>
                <w:sz w:val="18"/>
                <w:szCs w:val="18"/>
              </w:rPr>
            </w:pPr>
            <w:r>
              <w:rPr>
                <w:rFonts w:hint="eastAsia"/>
                <w:bCs/>
                <w:sz w:val="18"/>
                <w:szCs w:val="18"/>
              </w:rPr>
              <w:t>4</w:t>
            </w:r>
            <w:r>
              <w:rPr>
                <w:bCs/>
                <w:sz w:val="18"/>
                <w:szCs w:val="18"/>
              </w:rPr>
              <w:t>0</w:t>
            </w:r>
            <w:r>
              <w:rPr>
                <w:rFonts w:hint="eastAsia"/>
                <w:bCs/>
                <w:sz w:val="18"/>
                <w:szCs w:val="18"/>
              </w:rPr>
              <w:t>%</w:t>
            </w:r>
          </w:p>
        </w:tc>
      </w:tr>
    </w:tbl>
    <w:p>
      <w:pPr>
        <w:spacing w:before="156" w:beforeLines="50" w:after="156" w:afterLines="50" w:line="360" w:lineRule="auto"/>
        <w:rPr>
          <w:rFonts w:hint="eastAsia" w:ascii="黑体" w:hAnsi="黑体" w:eastAsia="黑体"/>
          <w:szCs w:val="21"/>
        </w:rPr>
      </w:pPr>
      <w:r>
        <w:rPr>
          <w:rFonts w:hint="eastAsia" w:ascii="黑体" w:hAnsi="黑体" w:eastAsia="黑体"/>
          <w:szCs w:val="21"/>
        </w:rPr>
        <w:t>六、</w:t>
      </w:r>
      <w:r>
        <w:rPr>
          <w:rFonts w:ascii="黑体" w:hAnsi="黑体" w:eastAsia="黑体"/>
          <w:szCs w:val="21"/>
        </w:rPr>
        <w:t>参考书目及学习资料</w:t>
      </w:r>
      <w:r>
        <w:rPr>
          <w:rFonts w:hint="eastAsia" w:ascii="黑体" w:hAnsi="黑体" w:eastAsia="黑体"/>
          <w:szCs w:val="21"/>
        </w:rPr>
        <w:t>（书名，主编，出版社，出版时间及版次）</w:t>
      </w:r>
    </w:p>
    <w:p>
      <w:pPr>
        <w:spacing w:line="360" w:lineRule="auto"/>
        <w:ind w:firstLine="420"/>
        <w:rPr>
          <w:szCs w:val="21"/>
        </w:rPr>
      </w:pPr>
      <w:r>
        <w:rPr>
          <w:rFonts w:hint="eastAsia"/>
          <w:szCs w:val="21"/>
        </w:rPr>
        <w:t>[</w:t>
      </w:r>
      <w:r>
        <w:rPr>
          <w:szCs w:val="21"/>
        </w:rPr>
        <w:t xml:space="preserve">1]  </w:t>
      </w:r>
      <w:r>
        <w:rPr>
          <w:rFonts w:hint="eastAsia"/>
          <w:szCs w:val="21"/>
        </w:rPr>
        <w:t>马利、范春年、江结林著.计算思维导论[</w:t>
      </w:r>
      <w:r>
        <w:rPr>
          <w:szCs w:val="21"/>
        </w:rPr>
        <w:t xml:space="preserve">M]. </w:t>
      </w:r>
      <w:r>
        <w:rPr>
          <w:rFonts w:hint="eastAsia"/>
          <w:szCs w:val="21"/>
        </w:rPr>
        <w:t>北京：清华大学出版社，</w:t>
      </w:r>
      <w:r>
        <w:rPr>
          <w:szCs w:val="21"/>
        </w:rPr>
        <w:t>2020</w:t>
      </w:r>
      <w:r>
        <w:rPr>
          <w:rFonts w:hint="eastAsia"/>
          <w:szCs w:val="21"/>
        </w:rPr>
        <w:t>年</w:t>
      </w:r>
      <w:r>
        <w:rPr>
          <w:szCs w:val="21"/>
        </w:rPr>
        <w:t>9</w:t>
      </w:r>
      <w:r>
        <w:rPr>
          <w:rFonts w:hint="eastAsia"/>
          <w:szCs w:val="21"/>
        </w:rPr>
        <w:t>月第一版；</w:t>
      </w:r>
    </w:p>
    <w:p>
      <w:pPr>
        <w:spacing w:line="360" w:lineRule="auto"/>
        <w:ind w:firstLine="420"/>
        <w:rPr>
          <w:szCs w:val="21"/>
        </w:rPr>
      </w:pPr>
      <w:r>
        <w:rPr>
          <w:rFonts w:hint="eastAsia"/>
          <w:szCs w:val="21"/>
        </w:rPr>
        <w:t>[</w:t>
      </w:r>
      <w:r>
        <w:rPr>
          <w:szCs w:val="21"/>
        </w:rPr>
        <w:t xml:space="preserve">2]  </w:t>
      </w:r>
      <w:r>
        <w:rPr>
          <w:rFonts w:hint="eastAsia"/>
          <w:szCs w:val="21"/>
        </w:rPr>
        <w:t>宁爱军、王淑敬著.计算思维与计算机导论[</w:t>
      </w:r>
      <w:r>
        <w:rPr>
          <w:szCs w:val="21"/>
        </w:rPr>
        <w:t xml:space="preserve">M]. </w:t>
      </w:r>
      <w:r>
        <w:rPr>
          <w:rFonts w:hint="eastAsia"/>
          <w:szCs w:val="21"/>
        </w:rPr>
        <w:t>北京：人民邮电出版社，</w:t>
      </w:r>
      <w:r>
        <w:rPr>
          <w:szCs w:val="21"/>
        </w:rPr>
        <w:t>2018</w:t>
      </w:r>
      <w:r>
        <w:rPr>
          <w:rFonts w:hint="eastAsia"/>
          <w:szCs w:val="21"/>
        </w:rPr>
        <w:t>年</w:t>
      </w:r>
      <w:r>
        <w:rPr>
          <w:szCs w:val="21"/>
        </w:rPr>
        <w:t>3</w:t>
      </w:r>
      <w:r>
        <w:rPr>
          <w:rFonts w:hint="eastAsia"/>
          <w:szCs w:val="21"/>
        </w:rPr>
        <w:t>月第一版；</w:t>
      </w:r>
    </w:p>
    <w:p>
      <w:pPr>
        <w:spacing w:line="360" w:lineRule="auto"/>
        <w:ind w:firstLine="420"/>
        <w:rPr>
          <w:szCs w:val="21"/>
        </w:rPr>
      </w:pPr>
      <w:r>
        <w:rPr>
          <w:rFonts w:hint="eastAsia"/>
          <w:szCs w:val="21"/>
        </w:rPr>
        <w:t>[</w:t>
      </w:r>
      <w:r>
        <w:rPr>
          <w:szCs w:val="21"/>
        </w:rPr>
        <w:t xml:space="preserve">3]  </w:t>
      </w:r>
      <w:r>
        <w:rPr>
          <w:rFonts w:hint="eastAsia"/>
          <w:szCs w:val="21"/>
        </w:rPr>
        <w:t>薛红梅、申艳光著.大学计算机——计算思维导论[</w:t>
      </w:r>
      <w:r>
        <w:rPr>
          <w:szCs w:val="21"/>
        </w:rPr>
        <w:t xml:space="preserve">M]. </w:t>
      </w:r>
      <w:r>
        <w:rPr>
          <w:rFonts w:hint="eastAsia"/>
          <w:szCs w:val="21"/>
        </w:rPr>
        <w:t>北京：清华大学出版社，</w:t>
      </w:r>
      <w:r>
        <w:rPr>
          <w:szCs w:val="21"/>
        </w:rPr>
        <w:t>2021</w:t>
      </w:r>
      <w:r>
        <w:rPr>
          <w:rFonts w:hint="eastAsia"/>
          <w:szCs w:val="21"/>
        </w:rPr>
        <w:t>年</w:t>
      </w:r>
      <w:r>
        <w:rPr>
          <w:szCs w:val="21"/>
        </w:rPr>
        <w:t>9</w:t>
      </w:r>
      <w:r>
        <w:rPr>
          <w:rFonts w:hint="eastAsia"/>
          <w:szCs w:val="21"/>
        </w:rPr>
        <w:t>月第一版；</w:t>
      </w:r>
    </w:p>
    <w:p>
      <w:pPr>
        <w:spacing w:line="360" w:lineRule="auto"/>
        <w:ind w:firstLine="420"/>
        <w:rPr>
          <w:rFonts w:hint="eastAsia"/>
          <w:szCs w:val="21"/>
        </w:rPr>
      </w:pPr>
    </w:p>
    <w:p>
      <w:pPr>
        <w:spacing w:line="360" w:lineRule="auto"/>
        <w:ind w:left="210" w:leftChars="50" w:hanging="105" w:hangingChars="50"/>
        <w:rPr>
          <w:b/>
          <w:bCs/>
          <w:szCs w:val="21"/>
        </w:rPr>
      </w:pPr>
    </w:p>
    <w:p>
      <w:pPr>
        <w:spacing w:line="360" w:lineRule="auto"/>
        <w:ind w:left="210" w:leftChars="100"/>
        <w:jc w:val="center"/>
        <w:rPr>
          <w:rFonts w:hint="eastAsia" w:eastAsia="宋体"/>
          <w:szCs w:val="21"/>
          <w:lang w:eastAsia="zh-CN"/>
        </w:rPr>
      </w:pPr>
      <w:r>
        <w:rPr>
          <w:rFonts w:hint="eastAsia"/>
          <w:b/>
          <w:bCs/>
          <w:szCs w:val="21"/>
        </w:rPr>
        <w:t>制定人</w:t>
      </w:r>
      <w:r>
        <w:rPr>
          <w:rFonts w:hint="eastAsia"/>
          <w:szCs w:val="21"/>
        </w:rPr>
        <w:t xml:space="preserve">：王佳云      </w:t>
      </w:r>
      <w:r>
        <w:rPr>
          <w:rFonts w:hint="eastAsia"/>
          <w:b/>
          <w:bCs/>
          <w:szCs w:val="21"/>
        </w:rPr>
        <w:t>审定人</w:t>
      </w:r>
      <w:r>
        <w:rPr>
          <w:rFonts w:hint="eastAsia"/>
          <w:szCs w:val="21"/>
        </w:rPr>
        <w:t>：</w:t>
      </w:r>
      <w:r>
        <w:rPr>
          <w:rFonts w:hint="eastAsia"/>
          <w:szCs w:val="21"/>
          <w:lang w:eastAsia="zh-CN"/>
        </w:rPr>
        <w:t>崔建功</w:t>
      </w:r>
      <w:r>
        <w:rPr>
          <w:rFonts w:hint="eastAsia"/>
          <w:szCs w:val="21"/>
        </w:rPr>
        <w:t xml:space="preserve">             </w:t>
      </w:r>
      <w:r>
        <w:rPr>
          <w:rFonts w:hint="eastAsia"/>
          <w:b/>
          <w:bCs/>
          <w:szCs w:val="21"/>
        </w:rPr>
        <w:t>批准人</w:t>
      </w:r>
      <w:r>
        <w:rPr>
          <w:rFonts w:hint="eastAsia"/>
          <w:szCs w:val="21"/>
        </w:rPr>
        <w:t>：</w:t>
      </w:r>
      <w:r>
        <w:rPr>
          <w:rFonts w:hint="eastAsia"/>
          <w:szCs w:val="21"/>
          <w:lang w:eastAsia="zh-CN"/>
        </w:rPr>
        <w:t>王红亮</w:t>
      </w:r>
    </w:p>
    <w:p>
      <w:pPr>
        <w:spacing w:line="440" w:lineRule="exact"/>
        <w:ind w:right="480" w:firstLine="5670" w:firstLineChars="2700"/>
        <w:jc w:val="center"/>
        <w:rPr>
          <w:b/>
          <w:spacing w:val="20"/>
          <w:szCs w:val="21"/>
        </w:rPr>
      </w:pPr>
      <w:r>
        <w:rPr>
          <w:rFonts w:hint="eastAsia"/>
          <w:szCs w:val="21"/>
          <w:lang w:val="en-US" w:eastAsia="zh-CN"/>
        </w:rPr>
        <w:t>2021</w:t>
      </w:r>
      <w:r>
        <w:rPr>
          <w:rFonts w:hint="eastAsia"/>
          <w:szCs w:val="21"/>
        </w:rPr>
        <w:t xml:space="preserve">年 </w:t>
      </w:r>
      <w:r>
        <w:rPr>
          <w:rFonts w:hint="eastAsia"/>
          <w:szCs w:val="21"/>
          <w:lang w:val="en-US" w:eastAsia="zh-CN"/>
        </w:rPr>
        <w:t>12</w:t>
      </w:r>
      <w:r>
        <w:rPr>
          <w:rFonts w:hint="eastAsia"/>
          <w:szCs w:val="21"/>
        </w:rPr>
        <w:t xml:space="preserve">月 </w:t>
      </w:r>
      <w:r>
        <w:rPr>
          <w:rFonts w:hint="eastAsia"/>
          <w:szCs w:val="21"/>
          <w:lang w:val="en-US" w:eastAsia="zh-CN"/>
        </w:rPr>
        <w:t>1</w:t>
      </w:r>
      <w:r>
        <w:rPr>
          <w:rFonts w:hint="eastAsia"/>
          <w:szCs w:val="21"/>
        </w:rPr>
        <w:t>日</w:t>
      </w:r>
    </w:p>
    <w:p>
      <w:pPr>
        <w:pStyle w:val="18"/>
        <w:spacing w:before="312" w:after="468"/>
        <w:rPr>
          <w:szCs w:val="21"/>
        </w:rPr>
      </w:pPr>
    </w:p>
    <w:p/>
    <w:p/>
    <w:p/>
    <w:p/>
    <w:p/>
    <w:p/>
    <w:p/>
    <w:p/>
    <w:p/>
    <w:p>
      <w:pPr>
        <w:pStyle w:val="18"/>
        <w:spacing w:before="312" w:after="468"/>
        <w:rPr>
          <w:rFonts w:hint="eastAsia"/>
          <w:bCs w:val="0"/>
          <w:szCs w:val="28"/>
        </w:rPr>
      </w:pPr>
      <w:bookmarkStart w:id="43" w:name="_Toc19307"/>
      <w:r>
        <w:rPr>
          <w:rFonts w:hint="eastAsia" w:ascii="Times New Roman" w:hAnsi="Times New Roman" w:cs="Times New Roman"/>
        </w:rPr>
        <w:t>《云计算与物联网》课程教学大纲</w:t>
      </w:r>
      <w:bookmarkEnd w:id="43"/>
      <w:r>
        <w:rPr>
          <w:rFonts w:hint="eastAsia"/>
          <w:bCs w:val="0"/>
          <w:szCs w:val="28"/>
        </w:rPr>
        <w:t xml:space="preserve"> </w:t>
      </w:r>
    </w:p>
    <w:p>
      <w:pPr>
        <w:spacing w:line="360" w:lineRule="auto"/>
        <w:ind w:firstLine="420" w:firstLineChars="200"/>
        <w:rPr>
          <w:rFonts w:hint="eastAsia" w:eastAsia="黑体"/>
          <w:bCs/>
          <w:szCs w:val="21"/>
        </w:rPr>
      </w:pPr>
      <w:r>
        <w:rPr>
          <w:rFonts w:hint="eastAsia" w:eastAsia="黑体"/>
          <w:bCs/>
          <w:szCs w:val="21"/>
        </w:rPr>
        <w:t>一、课程基本信息</w:t>
      </w:r>
    </w:p>
    <w:p>
      <w:pPr>
        <w:spacing w:line="360" w:lineRule="auto"/>
        <w:ind w:firstLine="420" w:firstLineChars="200"/>
        <w:rPr>
          <w:rFonts w:hint="eastAsia" w:eastAsia="黑体"/>
          <w:bCs/>
          <w:szCs w:val="21"/>
          <w:lang w:eastAsia="zh-CN"/>
        </w:rPr>
      </w:pPr>
      <w:r>
        <w:rPr>
          <w:rFonts w:hint="eastAsia" w:eastAsia="黑体"/>
          <w:bCs/>
          <w:szCs w:val="21"/>
        </w:rPr>
        <w:t>制定人：王佳云                          教学基层组织审核人：</w:t>
      </w:r>
      <w:r>
        <w:rPr>
          <w:rFonts w:hint="eastAsia" w:eastAsia="黑体"/>
          <w:bCs/>
          <w:szCs w:val="21"/>
          <w:lang w:eastAsia="zh-CN"/>
        </w:rPr>
        <w:t>刘文耀</w:t>
      </w:r>
    </w:p>
    <w:p>
      <w:pPr>
        <w:spacing w:line="360" w:lineRule="auto"/>
        <w:ind w:firstLine="420" w:firstLineChars="200"/>
        <w:rPr>
          <w:rFonts w:hint="eastAsia" w:eastAsia="黑体"/>
          <w:bCs/>
          <w:szCs w:val="21"/>
          <w:lang w:eastAsia="zh-CN"/>
        </w:rPr>
      </w:pPr>
      <w:r>
        <w:rPr>
          <w:rFonts w:hint="eastAsia" w:eastAsia="黑体"/>
          <w:bCs/>
          <w:szCs w:val="21"/>
        </w:rPr>
        <w:t>开课学院：仪器与电子学院                开课学院审核人：</w:t>
      </w:r>
      <w:r>
        <w:rPr>
          <w:rFonts w:hint="eastAsia" w:eastAsia="黑体"/>
          <w:bCs/>
          <w:szCs w:val="21"/>
          <w:lang w:eastAsia="zh-CN"/>
        </w:rPr>
        <w:t>刘文怡</w:t>
      </w:r>
    </w:p>
    <w:p>
      <w:pPr>
        <w:spacing w:line="360" w:lineRule="auto"/>
        <w:ind w:firstLine="420" w:firstLineChars="200"/>
        <w:rPr>
          <w:rFonts w:hint="eastAsia" w:eastAsia="黑体"/>
          <w:bCs/>
          <w:szCs w:val="21"/>
        </w:rPr>
      </w:pPr>
      <w:r>
        <w:rPr>
          <w:rFonts w:hint="eastAsia" w:eastAsia="黑体"/>
          <w:bCs/>
          <w:szCs w:val="21"/>
        </w:rPr>
        <w:t>课程名称（中文）：</w:t>
      </w:r>
      <w:bookmarkStart w:id="44" w:name="OLE_LINK5"/>
      <w:r>
        <w:rPr>
          <w:rFonts w:hint="eastAsia" w:eastAsia="黑体"/>
          <w:bCs/>
          <w:szCs w:val="21"/>
        </w:rPr>
        <w:t>云计算与物联网</w:t>
      </w:r>
      <w:bookmarkEnd w:id="44"/>
    </w:p>
    <w:p>
      <w:pPr>
        <w:spacing w:line="360" w:lineRule="auto"/>
        <w:ind w:firstLine="420" w:firstLineChars="200"/>
        <w:rPr>
          <w:rFonts w:hint="eastAsia" w:eastAsia="黑体"/>
          <w:bCs/>
          <w:szCs w:val="21"/>
        </w:rPr>
      </w:pPr>
      <w:r>
        <w:rPr>
          <w:rFonts w:hint="eastAsia" w:eastAsia="黑体"/>
          <w:bCs/>
          <w:szCs w:val="21"/>
        </w:rPr>
        <w:t>课程名称（英文）：</w:t>
      </w:r>
      <w:r>
        <w:rPr>
          <w:rFonts w:eastAsia="黑体"/>
          <w:bCs/>
          <w:szCs w:val="21"/>
        </w:rPr>
        <w:t xml:space="preserve">Cloud computing and </w:t>
      </w:r>
      <w:r>
        <w:rPr>
          <w:rFonts w:hint="eastAsia" w:eastAsia="黑体"/>
          <w:bCs/>
          <w:szCs w:val="21"/>
        </w:rPr>
        <w:t>I</w:t>
      </w:r>
      <w:r>
        <w:rPr>
          <w:rFonts w:eastAsia="黑体"/>
          <w:bCs/>
          <w:szCs w:val="21"/>
        </w:rPr>
        <w:t>nternet of things</w:t>
      </w:r>
    </w:p>
    <w:p>
      <w:pPr>
        <w:spacing w:line="360" w:lineRule="auto"/>
        <w:ind w:firstLine="420" w:firstLineChars="200"/>
        <w:rPr>
          <w:rFonts w:hint="eastAsia" w:eastAsia="黑体"/>
          <w:bCs/>
          <w:szCs w:val="21"/>
        </w:rPr>
      </w:pPr>
      <w:r>
        <w:rPr>
          <w:rFonts w:hint="eastAsia" w:eastAsia="黑体"/>
          <w:bCs/>
          <w:szCs w:val="21"/>
        </w:rPr>
        <w:t>课程类别：专业类教育课程                课程性质：专业类选修</w:t>
      </w:r>
    </w:p>
    <w:p>
      <w:pPr>
        <w:spacing w:line="360" w:lineRule="auto"/>
        <w:ind w:firstLine="420" w:firstLineChars="200"/>
        <w:rPr>
          <w:rFonts w:hint="eastAsia" w:eastAsia="黑体"/>
          <w:bCs/>
          <w:szCs w:val="21"/>
        </w:rPr>
      </w:pPr>
      <w:r>
        <w:rPr>
          <w:rFonts w:hint="eastAsia" w:eastAsia="黑体"/>
          <w:bCs/>
          <w:szCs w:val="21"/>
        </w:rPr>
        <w:t>课程代码：</w:t>
      </w:r>
      <w:r>
        <w:rPr>
          <w:rFonts w:eastAsia="黑体"/>
          <w:bCs/>
          <w:szCs w:val="21"/>
        </w:rPr>
        <w:t>Z03060408</w:t>
      </w:r>
      <w:r>
        <w:rPr>
          <w:rFonts w:hint="eastAsia" w:eastAsia="黑体"/>
          <w:bCs/>
          <w:szCs w:val="21"/>
        </w:rPr>
        <w:t xml:space="preserve">  </w:t>
      </w:r>
      <w:r>
        <w:rPr>
          <w:rFonts w:hint="eastAsia" w:eastAsia="黑体"/>
          <w:bCs/>
          <w:szCs w:val="21"/>
        </w:rPr>
        <w:tab/>
      </w:r>
      <w:r>
        <w:rPr>
          <w:rFonts w:hint="eastAsia" w:eastAsia="黑体"/>
          <w:bCs/>
          <w:szCs w:val="21"/>
          <w:lang w:val="en-US" w:eastAsia="zh-CN"/>
        </w:rPr>
        <w:t xml:space="preserve">                </w:t>
      </w:r>
      <w:r>
        <w:rPr>
          <w:rFonts w:hint="eastAsia" w:eastAsia="黑体"/>
          <w:bCs/>
          <w:szCs w:val="21"/>
        </w:rPr>
        <w:t>适用层次：本科</w:t>
      </w:r>
    </w:p>
    <w:p>
      <w:pPr>
        <w:spacing w:line="360" w:lineRule="auto"/>
        <w:ind w:firstLine="420" w:firstLineChars="200"/>
        <w:rPr>
          <w:rFonts w:eastAsia="黑体"/>
          <w:bCs/>
          <w:szCs w:val="21"/>
        </w:rPr>
      </w:pPr>
      <w:r>
        <w:rPr>
          <w:rFonts w:hint="eastAsia" w:eastAsia="黑体"/>
          <w:bCs/>
          <w:szCs w:val="21"/>
        </w:rPr>
        <w:t>适用专业：智能感知工程                  计划学分</w:t>
      </w:r>
      <w:r>
        <w:rPr>
          <w:rFonts w:eastAsia="黑体"/>
          <w:bCs/>
          <w:szCs w:val="21"/>
        </w:rPr>
        <w:t>：2</w:t>
      </w:r>
    </w:p>
    <w:p>
      <w:pPr>
        <w:spacing w:line="360" w:lineRule="auto"/>
        <w:ind w:firstLine="420" w:firstLineChars="200"/>
        <w:rPr>
          <w:rFonts w:eastAsia="黑体"/>
          <w:bCs/>
          <w:szCs w:val="21"/>
        </w:rPr>
      </w:pPr>
      <w:r>
        <w:rPr>
          <w:rFonts w:eastAsia="黑体"/>
          <w:bCs/>
          <w:szCs w:val="21"/>
        </w:rPr>
        <w:t>计划学时（周数）：</w:t>
      </w:r>
      <w:r>
        <w:rPr>
          <w:rFonts w:hint="eastAsia" w:eastAsia="黑体"/>
          <w:bCs/>
          <w:szCs w:val="21"/>
        </w:rPr>
        <w:t>3</w:t>
      </w:r>
      <w:r>
        <w:rPr>
          <w:rFonts w:eastAsia="黑体"/>
          <w:bCs/>
          <w:szCs w:val="21"/>
        </w:rPr>
        <w:t>2                     讲课学时：24       实验学时：</w:t>
      </w:r>
      <w:r>
        <w:rPr>
          <w:rFonts w:hint="eastAsia" w:eastAsia="黑体"/>
          <w:bCs/>
          <w:szCs w:val="21"/>
        </w:rPr>
        <w:t>8</w:t>
      </w:r>
    </w:p>
    <w:p>
      <w:pPr>
        <w:spacing w:line="360" w:lineRule="auto"/>
        <w:ind w:firstLine="420" w:firstLineChars="200"/>
        <w:rPr>
          <w:rFonts w:hint="eastAsia" w:eastAsia="黑体"/>
          <w:bCs/>
          <w:szCs w:val="21"/>
          <w:lang w:eastAsia="zh-CN"/>
        </w:rPr>
      </w:pPr>
      <w:r>
        <w:rPr>
          <w:rFonts w:eastAsia="黑体"/>
          <w:bCs/>
          <w:szCs w:val="21"/>
        </w:rPr>
        <w:t>开课学期：7</w:t>
      </w:r>
      <w:r>
        <w:rPr>
          <w:rFonts w:hint="eastAsia" w:eastAsia="黑体"/>
          <w:bCs/>
          <w:szCs w:val="21"/>
          <w:lang w:val="en-US" w:eastAsia="zh-CN"/>
        </w:rPr>
        <w:t xml:space="preserve">   </w:t>
      </w:r>
      <w:r>
        <w:rPr>
          <w:rFonts w:eastAsia="黑体"/>
          <w:bCs/>
          <w:szCs w:val="21"/>
        </w:rPr>
        <w:t xml:space="preserve">                        </w:t>
      </w:r>
      <w:r>
        <w:rPr>
          <w:rFonts w:hint="eastAsia" w:eastAsia="黑体"/>
          <w:bCs/>
          <w:szCs w:val="21"/>
          <w:lang w:val="en-US" w:eastAsia="zh-CN"/>
        </w:rPr>
        <w:t xml:space="preserve">  </w:t>
      </w:r>
      <w:r>
        <w:rPr>
          <w:rFonts w:eastAsia="黑体"/>
          <w:bCs/>
          <w:szCs w:val="21"/>
        </w:rPr>
        <w:t>考核方式：</w:t>
      </w:r>
      <w:r>
        <w:rPr>
          <w:rFonts w:hint="eastAsia" w:eastAsia="黑体"/>
          <w:bCs/>
          <w:szCs w:val="21"/>
          <w:lang w:eastAsia="zh-CN"/>
        </w:rPr>
        <w:t>考查</w:t>
      </w:r>
    </w:p>
    <w:p>
      <w:pPr>
        <w:spacing w:line="360" w:lineRule="auto"/>
        <w:ind w:firstLine="420" w:firstLineChars="200"/>
        <w:rPr>
          <w:rFonts w:eastAsia="黑体"/>
          <w:bCs/>
          <w:szCs w:val="21"/>
        </w:rPr>
      </w:pPr>
      <w:r>
        <w:rPr>
          <w:rFonts w:eastAsia="黑体"/>
          <w:bCs/>
          <w:szCs w:val="21"/>
        </w:rPr>
        <w:t>先修课程：</w:t>
      </w:r>
      <w:r>
        <w:rPr>
          <w:rFonts w:hint="eastAsia" w:eastAsia="黑体"/>
          <w:bCs/>
          <w:szCs w:val="21"/>
        </w:rPr>
        <w:t>计算思维导论、人工智能导论</w:t>
      </w:r>
    </w:p>
    <w:p>
      <w:pPr>
        <w:spacing w:line="360" w:lineRule="auto"/>
        <w:ind w:firstLine="420" w:firstLineChars="200"/>
        <w:rPr>
          <w:rFonts w:hint="eastAsia" w:eastAsia="黑体"/>
          <w:bCs/>
          <w:szCs w:val="21"/>
          <w:lang w:eastAsia="zh-CN"/>
        </w:rPr>
      </w:pPr>
      <w:r>
        <w:rPr>
          <w:rFonts w:hint="eastAsia" w:eastAsia="黑体"/>
          <w:bCs/>
          <w:szCs w:val="21"/>
        </w:rPr>
        <w:t>后续课程：</w:t>
      </w:r>
      <w:r>
        <w:rPr>
          <w:rFonts w:hint="eastAsia" w:eastAsia="黑体"/>
          <w:bCs/>
          <w:szCs w:val="21"/>
          <w:lang w:eastAsia="zh-CN"/>
        </w:rPr>
        <w:t>毕业设计</w:t>
      </w:r>
    </w:p>
    <w:p>
      <w:pPr>
        <w:pStyle w:val="9"/>
        <w:rPr>
          <w:rFonts w:hint="eastAsia"/>
        </w:rPr>
      </w:pPr>
    </w:p>
    <w:p>
      <w:pPr>
        <w:spacing w:line="360" w:lineRule="auto"/>
        <w:ind w:firstLine="420" w:firstLineChars="200"/>
        <w:rPr>
          <w:rFonts w:hint="eastAsia" w:eastAsia="黑体"/>
          <w:szCs w:val="21"/>
        </w:rPr>
      </w:pPr>
      <w:r>
        <w:rPr>
          <w:rFonts w:hint="eastAsia" w:eastAsia="黑体"/>
          <w:szCs w:val="21"/>
        </w:rPr>
        <w:t>一、课程性质与教学目标</w:t>
      </w:r>
    </w:p>
    <w:p>
      <w:pPr>
        <w:spacing w:line="360" w:lineRule="auto"/>
        <w:ind w:firstLine="632" w:firstLineChars="300"/>
        <w:rPr>
          <w:rFonts w:ascii="宋体" w:hAnsi="宋体"/>
          <w:b/>
          <w:szCs w:val="21"/>
        </w:rPr>
      </w:pPr>
      <w:r>
        <w:rPr>
          <w:rFonts w:hint="eastAsia" w:ascii="宋体" w:hAnsi="宋体"/>
          <w:b/>
          <w:szCs w:val="21"/>
        </w:rPr>
        <w:t>1、</w:t>
      </w:r>
      <w:r>
        <w:rPr>
          <w:rFonts w:ascii="宋体" w:hAnsi="宋体"/>
          <w:b/>
          <w:szCs w:val="21"/>
        </w:rPr>
        <w:t>课程性质</w:t>
      </w:r>
      <w:r>
        <w:rPr>
          <w:rFonts w:hint="eastAsia" w:ascii="宋体" w:hAnsi="宋体"/>
          <w:b/>
          <w:szCs w:val="21"/>
        </w:rPr>
        <w:t>与任务</w:t>
      </w:r>
      <w:r>
        <w:rPr>
          <w:rFonts w:ascii="宋体" w:hAnsi="宋体"/>
          <w:b/>
          <w:szCs w:val="21"/>
        </w:rPr>
        <w:t>（需说明课程对人才培养</w:t>
      </w:r>
      <w:r>
        <w:rPr>
          <w:rFonts w:hint="eastAsia" w:ascii="宋体" w:hAnsi="宋体"/>
          <w:b/>
          <w:szCs w:val="21"/>
        </w:rPr>
        <w:t>方面</w:t>
      </w:r>
      <w:r>
        <w:rPr>
          <w:rFonts w:ascii="宋体" w:hAnsi="宋体"/>
          <w:b/>
          <w:szCs w:val="21"/>
        </w:rPr>
        <w:t>的贡献）</w:t>
      </w:r>
    </w:p>
    <w:p>
      <w:pPr>
        <w:adjustRightInd w:val="0"/>
        <w:snapToGrid w:val="0"/>
        <w:spacing w:line="360" w:lineRule="auto"/>
        <w:ind w:firstLine="420" w:firstLineChars="200"/>
        <w:rPr>
          <w:rFonts w:hint="eastAsia"/>
          <w:szCs w:val="21"/>
        </w:rPr>
      </w:pPr>
      <w:r>
        <w:rPr>
          <w:rFonts w:hint="eastAsia"/>
          <w:szCs w:val="21"/>
        </w:rPr>
        <w:t>本课程是智能感知工程专业的一门专业类选修课程，是</w:t>
      </w:r>
      <w:r>
        <w:rPr>
          <w:szCs w:val="21"/>
        </w:rPr>
        <w:t>学习和了解</w:t>
      </w:r>
      <w:r>
        <w:rPr>
          <w:rFonts w:hint="eastAsia"/>
          <w:szCs w:val="21"/>
        </w:rPr>
        <w:t>云计算和物联网技术的基本理论和知识的重要课程。本课程的任务为，学生能够掌握云计算和物联网技术的基本理论和知识，掌握云计算和物联网涉及的各种关键技术，了解云计算和物联网的最新发展动态和趋势，对云服务、云服务接口，并行计算与云计算的相互关系等有所了解，理解云计算对于发展物联网所起到的重要推动作用，并对主流的云计算商用平台和开源实现系统有一定的认识。</w:t>
      </w:r>
    </w:p>
    <w:p>
      <w:pPr>
        <w:spacing w:line="360" w:lineRule="auto"/>
        <w:ind w:firstLine="632" w:firstLineChars="300"/>
        <w:rPr>
          <w:rFonts w:hint="eastAsia" w:ascii="宋体" w:hAnsi="宋体"/>
          <w:b/>
          <w:szCs w:val="21"/>
        </w:rPr>
      </w:pPr>
      <w:r>
        <w:rPr>
          <w:rFonts w:hint="eastAsia" w:ascii="宋体" w:hAnsi="宋体"/>
          <w:b/>
          <w:szCs w:val="21"/>
        </w:rPr>
        <w:t>2、课程</w:t>
      </w:r>
      <w:r>
        <w:rPr>
          <w:rFonts w:ascii="宋体" w:hAnsi="宋体"/>
          <w:b/>
          <w:szCs w:val="21"/>
        </w:rPr>
        <w:t>目标</w:t>
      </w:r>
    </w:p>
    <w:p>
      <w:pPr>
        <w:adjustRightInd w:val="0"/>
        <w:snapToGrid w:val="0"/>
        <w:spacing w:line="360" w:lineRule="auto"/>
        <w:ind w:firstLine="420" w:firstLineChars="200"/>
        <w:rPr>
          <w:rFonts w:hint="eastAsia"/>
          <w:bCs/>
          <w:szCs w:val="21"/>
        </w:rPr>
      </w:pPr>
      <w:r>
        <w:rPr>
          <w:rFonts w:hint="eastAsia" w:hAnsi="宋体"/>
          <w:bCs/>
          <w:szCs w:val="21"/>
        </w:rPr>
        <w:t>课程目标</w:t>
      </w:r>
      <w:r>
        <w:rPr>
          <w:rFonts w:hint="eastAsia"/>
          <w:bCs/>
          <w:szCs w:val="21"/>
        </w:rPr>
        <w:t>1</w:t>
      </w:r>
      <w:r>
        <w:rPr>
          <w:rFonts w:hint="eastAsia" w:hAnsi="宋体"/>
          <w:bCs/>
          <w:szCs w:val="21"/>
        </w:rPr>
        <w:t>：能够掌握云计算和物联网技术的基本理论和知识，理解云计算和物联网互相支撑的重要关系。</w:t>
      </w:r>
      <w:r>
        <w:rPr>
          <w:rFonts w:hAnsi="宋体"/>
          <w:bCs/>
          <w:szCs w:val="21"/>
        </w:rPr>
        <w:t>（支撑</w:t>
      </w:r>
      <w:r>
        <w:rPr>
          <w:rFonts w:hint="eastAsia" w:hAnsi="宋体"/>
          <w:bCs/>
          <w:szCs w:val="21"/>
        </w:rPr>
        <w:t>毕业要求指标点1-1 知识体系：系统地学习本专业相关的数学、自然科学、电子类工程基础和专业等多方面的知识。</w:t>
      </w:r>
      <w:r>
        <w:rPr>
          <w:rFonts w:hAnsi="宋体"/>
          <w:bCs/>
          <w:szCs w:val="21"/>
        </w:rPr>
        <w:t>）</w:t>
      </w:r>
    </w:p>
    <w:p>
      <w:pPr>
        <w:adjustRightInd w:val="0"/>
        <w:snapToGrid w:val="0"/>
        <w:spacing w:line="360" w:lineRule="auto"/>
        <w:ind w:firstLine="420" w:firstLineChars="200"/>
        <w:rPr>
          <w:rFonts w:hAnsi="宋体"/>
          <w:bCs/>
          <w:szCs w:val="21"/>
        </w:rPr>
      </w:pPr>
      <w:r>
        <w:rPr>
          <w:rFonts w:hint="eastAsia" w:hAnsi="宋体"/>
          <w:bCs/>
          <w:szCs w:val="21"/>
        </w:rPr>
        <w:t>课程目标</w:t>
      </w:r>
      <w:r>
        <w:rPr>
          <w:bCs/>
          <w:szCs w:val="21"/>
        </w:rPr>
        <w:t>2</w:t>
      </w:r>
      <w:r>
        <w:rPr>
          <w:rFonts w:hint="eastAsia" w:hAnsi="宋体"/>
          <w:bCs/>
          <w:szCs w:val="21"/>
        </w:rPr>
        <w:t>：掌握开源云计算和物联网系统，熟悉云计算应用开发软件，能够用对基础工程案例进行编程设计。</w:t>
      </w:r>
      <w:r>
        <w:rPr>
          <w:rFonts w:hAnsi="宋体"/>
          <w:bCs/>
          <w:szCs w:val="21"/>
        </w:rPr>
        <w:t>（支撑毕业要求</w:t>
      </w:r>
      <w:r>
        <w:rPr>
          <w:rFonts w:hint="eastAsia" w:hAnsi="宋体"/>
          <w:bCs/>
          <w:szCs w:val="21"/>
        </w:rPr>
        <w:t>指标点</w:t>
      </w:r>
      <w:r>
        <w:rPr>
          <w:rFonts w:hint="eastAsia" w:hAnsi="宋体"/>
          <w:bCs/>
          <w:szCs w:val="21"/>
          <w:lang w:val="en-US" w:eastAsia="zh-CN"/>
        </w:rPr>
        <w:t>4-1</w:t>
      </w:r>
      <w:r>
        <w:rPr>
          <w:rFonts w:hint="eastAsia" w:hAnsi="宋体"/>
          <w:bCs/>
          <w:szCs w:val="21"/>
        </w:rPr>
        <w:t xml:space="preserve"> 领域现状认知能力：了解智能感知工程专业领域背景及经典案例，能够针对复杂工程问题提出研究思路和分析方法，并有意识地将实验结果用于指导解决方案的改善和优化。</w:t>
      </w:r>
      <w:r>
        <w:rPr>
          <w:rFonts w:hAnsi="宋体"/>
          <w:bCs/>
          <w:szCs w:val="21"/>
        </w:rPr>
        <w:t>）</w:t>
      </w:r>
    </w:p>
    <w:p>
      <w:pPr>
        <w:adjustRightInd w:val="0"/>
        <w:snapToGrid w:val="0"/>
        <w:spacing w:line="360" w:lineRule="auto"/>
        <w:ind w:firstLine="420" w:firstLineChars="200"/>
        <w:rPr>
          <w:rFonts w:hAnsi="宋体"/>
          <w:bCs/>
          <w:szCs w:val="21"/>
        </w:rPr>
      </w:pPr>
      <w:r>
        <w:rPr>
          <w:rFonts w:hint="eastAsia" w:hAnsi="宋体"/>
          <w:bCs/>
          <w:color w:val="000000"/>
          <w:szCs w:val="21"/>
        </w:rPr>
        <w:t>思政目标：云计算与物联网是未来智能化发展的基础技术。通过梳理当云计算和物联网产业的发展态势，勉励学生将个人专业学习与社会发展紧密结合，培养学生利用所学知识和技术回报社会，建设国家。</w:t>
      </w:r>
    </w:p>
    <w:p>
      <w:pPr>
        <w:adjustRightInd w:val="0"/>
        <w:snapToGrid w:val="0"/>
        <w:spacing w:line="360" w:lineRule="auto"/>
        <w:ind w:firstLine="420" w:firstLineChars="200"/>
        <w:rPr>
          <w:rFonts w:hint="eastAsia" w:hAnsi="宋体"/>
          <w:bCs/>
          <w:szCs w:val="21"/>
        </w:rPr>
      </w:pPr>
    </w:p>
    <w:p>
      <w:pPr>
        <w:spacing w:line="360" w:lineRule="auto"/>
        <w:ind w:firstLine="420" w:firstLineChars="200"/>
        <w:rPr>
          <w:rFonts w:eastAsia="黑体"/>
          <w:szCs w:val="21"/>
        </w:rPr>
        <w:sectPr>
          <w:headerReference r:id="rId132" w:type="default"/>
          <w:headerReference r:id="rId133" w:type="even"/>
          <w:pgSz w:w="11906" w:h="16838"/>
          <w:pgMar w:top="1440" w:right="1418" w:bottom="1440" w:left="1418" w:header="851" w:footer="992" w:gutter="0"/>
          <w:pgNumType w:fmt="decimal"/>
          <w:cols w:space="720" w:num="1"/>
          <w:docGrid w:type="lines" w:linePitch="312" w:charSpace="0"/>
        </w:sectPr>
      </w:pPr>
    </w:p>
    <w:p>
      <w:pPr>
        <w:numPr>
          <w:ilvl w:val="0"/>
          <w:numId w:val="13"/>
        </w:numPr>
        <w:spacing w:before="156" w:beforeLines="50" w:after="156" w:afterLines="50" w:line="360" w:lineRule="auto"/>
        <w:ind w:left="420" w:leftChars="200" w:firstLine="105" w:firstLineChars="50"/>
        <w:rPr>
          <w:rFonts w:eastAsia="黑体"/>
          <w:szCs w:val="21"/>
        </w:rPr>
      </w:pPr>
      <w:r>
        <w:rPr>
          <w:rFonts w:hint="eastAsia" w:eastAsia="黑体"/>
          <w:szCs w:val="21"/>
        </w:rPr>
        <w:t>课程内容、思政融入点、</w:t>
      </w:r>
      <w:r>
        <w:rPr>
          <w:rFonts w:eastAsia="黑体"/>
          <w:szCs w:val="21"/>
        </w:rPr>
        <w:t>学时分配及对毕业要求指标点的支撑</w:t>
      </w:r>
    </w:p>
    <w:p>
      <w:pPr>
        <w:spacing w:before="156" w:beforeLines="50" w:after="156" w:afterLines="50" w:line="360" w:lineRule="auto"/>
        <w:ind w:left="422"/>
        <w:jc w:val="center"/>
        <w:rPr>
          <w:rFonts w:hint="eastAsia" w:eastAsia="黑体"/>
          <w:b/>
          <w:szCs w:val="21"/>
        </w:rPr>
      </w:pPr>
      <w:r>
        <w:rPr>
          <w:rFonts w:hint="eastAsia" w:ascii="宋体" w:hAnsi="宋体" w:cs="宋体"/>
          <w:b/>
          <w:szCs w:val="21"/>
        </w:rPr>
        <w:t>表2.1课程内容、学时分配及对毕业要求指标点的支撑</w:t>
      </w:r>
    </w:p>
    <w:tbl>
      <w:tblPr>
        <w:tblStyle w:val="19"/>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756"/>
        <w:gridCol w:w="682"/>
        <w:gridCol w:w="682"/>
        <w:gridCol w:w="602"/>
        <w:gridCol w:w="955"/>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shd w:val="clear" w:color="auto" w:fill="D9D9D9"/>
            <w:vAlign w:val="center"/>
          </w:tcPr>
          <w:p>
            <w:pPr>
              <w:jc w:val="center"/>
              <w:rPr>
                <w:b/>
                <w:sz w:val="18"/>
                <w:szCs w:val="18"/>
              </w:rPr>
            </w:pPr>
            <w:r>
              <w:rPr>
                <w:b/>
                <w:sz w:val="18"/>
                <w:szCs w:val="18"/>
              </w:rPr>
              <w:t>章节</w:t>
            </w:r>
          </w:p>
        </w:tc>
        <w:tc>
          <w:tcPr>
            <w:tcW w:w="7756" w:type="dxa"/>
            <w:shd w:val="clear" w:color="auto" w:fill="D9D9D9"/>
            <w:vAlign w:val="center"/>
          </w:tcPr>
          <w:p>
            <w:pPr>
              <w:jc w:val="center"/>
              <w:rPr>
                <w:b/>
                <w:sz w:val="18"/>
                <w:szCs w:val="18"/>
              </w:rPr>
            </w:pPr>
            <w:r>
              <w:rPr>
                <w:rFonts w:hint="eastAsia"/>
                <w:b/>
                <w:sz w:val="18"/>
                <w:szCs w:val="18"/>
              </w:rPr>
              <w:t>内            容</w:t>
            </w:r>
          </w:p>
        </w:tc>
        <w:tc>
          <w:tcPr>
            <w:tcW w:w="682" w:type="dxa"/>
            <w:shd w:val="clear" w:color="auto" w:fill="D9D9D9"/>
            <w:vAlign w:val="center"/>
          </w:tcPr>
          <w:p>
            <w:pPr>
              <w:jc w:val="center"/>
              <w:rPr>
                <w:b/>
                <w:sz w:val="18"/>
                <w:szCs w:val="18"/>
              </w:rPr>
            </w:pPr>
            <w:r>
              <w:rPr>
                <w:b/>
                <w:sz w:val="18"/>
                <w:szCs w:val="18"/>
              </w:rPr>
              <w:t>讲课</w:t>
            </w:r>
          </w:p>
        </w:tc>
        <w:tc>
          <w:tcPr>
            <w:tcW w:w="682" w:type="dxa"/>
            <w:shd w:val="clear" w:color="auto" w:fill="D9D9D9"/>
            <w:vAlign w:val="center"/>
          </w:tcPr>
          <w:p>
            <w:pPr>
              <w:jc w:val="center"/>
              <w:rPr>
                <w:b/>
                <w:sz w:val="18"/>
                <w:szCs w:val="18"/>
              </w:rPr>
            </w:pPr>
            <w:r>
              <w:rPr>
                <w:b/>
                <w:sz w:val="18"/>
                <w:szCs w:val="18"/>
              </w:rPr>
              <w:t>实验</w:t>
            </w:r>
          </w:p>
        </w:tc>
        <w:tc>
          <w:tcPr>
            <w:tcW w:w="602" w:type="dxa"/>
            <w:shd w:val="clear" w:color="auto" w:fill="D9D9D9"/>
            <w:vAlign w:val="center"/>
          </w:tcPr>
          <w:p>
            <w:pPr>
              <w:jc w:val="center"/>
              <w:rPr>
                <w:b/>
                <w:sz w:val="18"/>
                <w:szCs w:val="18"/>
              </w:rPr>
            </w:pPr>
            <w:r>
              <w:rPr>
                <w:rFonts w:hint="eastAsia"/>
                <w:b/>
                <w:sz w:val="18"/>
                <w:szCs w:val="18"/>
              </w:rPr>
              <w:t>小计</w:t>
            </w:r>
          </w:p>
        </w:tc>
        <w:tc>
          <w:tcPr>
            <w:tcW w:w="955" w:type="dxa"/>
            <w:shd w:val="clear" w:color="auto" w:fill="D9D9D9"/>
            <w:vAlign w:val="center"/>
          </w:tcPr>
          <w:p>
            <w:pPr>
              <w:jc w:val="center"/>
              <w:rPr>
                <w:b/>
                <w:sz w:val="18"/>
                <w:szCs w:val="18"/>
              </w:rPr>
            </w:pPr>
            <w:r>
              <w:rPr>
                <w:b/>
                <w:sz w:val="18"/>
                <w:szCs w:val="18"/>
              </w:rPr>
              <w:t>支撑课程目标</w:t>
            </w:r>
          </w:p>
        </w:tc>
        <w:tc>
          <w:tcPr>
            <w:tcW w:w="1259" w:type="dxa"/>
            <w:shd w:val="clear" w:color="auto" w:fill="D9D9D9"/>
            <w:vAlign w:val="center"/>
          </w:tcPr>
          <w:p>
            <w:pPr>
              <w:jc w:val="center"/>
              <w:rPr>
                <w:b/>
                <w:sz w:val="18"/>
                <w:szCs w:val="18"/>
              </w:rPr>
            </w:pPr>
            <w:r>
              <w:rPr>
                <w:b/>
                <w:sz w:val="18"/>
                <w:szCs w:val="18"/>
              </w:rPr>
              <w:t>支撑的毕业要求指标点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280" w:lineRule="exact"/>
              <w:jc w:val="center"/>
              <w:rPr>
                <w:sz w:val="18"/>
                <w:szCs w:val="18"/>
              </w:rPr>
            </w:pPr>
            <w:r>
              <w:rPr>
                <w:sz w:val="18"/>
                <w:szCs w:val="18"/>
              </w:rPr>
              <w:t>第1章</w:t>
            </w:r>
          </w:p>
        </w:tc>
        <w:tc>
          <w:tcPr>
            <w:tcW w:w="7756" w:type="dxa"/>
          </w:tcPr>
          <w:p>
            <w:pPr>
              <w:spacing w:line="280" w:lineRule="exact"/>
              <w:rPr>
                <w:rFonts w:hint="eastAsia" w:cs="Calibri"/>
                <w:b/>
                <w:sz w:val="18"/>
                <w:szCs w:val="18"/>
              </w:rPr>
            </w:pPr>
            <w:r>
              <w:rPr>
                <w:rFonts w:hint="eastAsia" w:cs="Calibri"/>
                <w:b/>
                <w:sz w:val="18"/>
                <w:szCs w:val="18"/>
              </w:rPr>
              <w:t xml:space="preserve">1  </w:t>
            </w:r>
            <w:r>
              <w:rPr>
                <w:rFonts w:hint="eastAsia"/>
                <w:b/>
                <w:sz w:val="18"/>
                <w:szCs w:val="18"/>
              </w:rPr>
              <w:t>云计算的概念与发展</w:t>
            </w:r>
          </w:p>
          <w:p>
            <w:pPr>
              <w:spacing w:line="280" w:lineRule="exact"/>
              <w:ind w:firstLine="180" w:firstLineChars="100"/>
              <w:rPr>
                <w:sz w:val="18"/>
                <w:szCs w:val="18"/>
              </w:rPr>
            </w:pPr>
            <w:r>
              <w:rPr>
                <w:sz w:val="18"/>
                <w:szCs w:val="18"/>
              </w:rPr>
              <w:t xml:space="preserve">1.1 </w:t>
            </w:r>
            <w:r>
              <w:rPr>
                <w:rFonts w:hint="eastAsia"/>
                <w:sz w:val="18"/>
                <w:szCs w:val="18"/>
              </w:rPr>
              <w:t>云计算的概念、定义和发展历程；主要内容：云计算的基础概念和定义，以及发展的过程。</w:t>
            </w:r>
          </w:p>
          <w:p>
            <w:pPr>
              <w:spacing w:line="280" w:lineRule="exact"/>
              <w:ind w:firstLine="180" w:firstLineChars="100"/>
              <w:rPr>
                <w:rFonts w:hint="eastAsia"/>
                <w:sz w:val="18"/>
                <w:szCs w:val="18"/>
              </w:rPr>
            </w:pPr>
            <w:r>
              <w:rPr>
                <w:sz w:val="18"/>
                <w:szCs w:val="18"/>
              </w:rPr>
              <w:t xml:space="preserve">1.2 </w:t>
            </w:r>
            <w:r>
              <w:rPr>
                <w:rFonts w:hint="eastAsia"/>
                <w:sz w:val="18"/>
                <w:szCs w:val="18"/>
              </w:rPr>
              <w:t>云计算的发展现状；主要内容：国内外云计算目前的发展现状。</w:t>
            </w:r>
          </w:p>
          <w:p>
            <w:pPr>
              <w:spacing w:line="280" w:lineRule="exact"/>
              <w:ind w:firstLine="180" w:firstLineChars="100"/>
              <w:rPr>
                <w:sz w:val="18"/>
                <w:szCs w:val="18"/>
              </w:rPr>
            </w:pPr>
            <w:r>
              <w:rPr>
                <w:sz w:val="18"/>
                <w:szCs w:val="18"/>
              </w:rPr>
              <w:t xml:space="preserve">1.3 </w:t>
            </w:r>
            <w:r>
              <w:rPr>
                <w:rFonts w:hint="eastAsia"/>
                <w:sz w:val="18"/>
                <w:szCs w:val="18"/>
              </w:rPr>
              <w:t>云计算的挑战；主要内容：目前云计算遇到的问题和面临的挑战。</w:t>
            </w:r>
          </w:p>
          <w:p>
            <w:pPr>
              <w:spacing w:line="280" w:lineRule="exact"/>
              <w:ind w:firstLine="180" w:firstLineChars="100"/>
              <w:rPr>
                <w:sz w:val="18"/>
                <w:szCs w:val="18"/>
              </w:rPr>
            </w:pPr>
            <w:r>
              <w:rPr>
                <w:rFonts w:hint="eastAsia"/>
                <w:sz w:val="18"/>
                <w:szCs w:val="18"/>
              </w:rPr>
              <w:t>重点：云计算的概念、发展及特点。</w:t>
            </w:r>
          </w:p>
          <w:p>
            <w:pPr>
              <w:spacing w:line="280" w:lineRule="exact"/>
              <w:ind w:firstLine="180" w:firstLineChars="100"/>
              <w:rPr>
                <w:rFonts w:hint="eastAsia"/>
                <w:sz w:val="18"/>
                <w:szCs w:val="18"/>
              </w:rPr>
            </w:pPr>
            <w:r>
              <w:rPr>
                <w:rFonts w:hint="eastAsia"/>
                <w:sz w:val="18"/>
                <w:szCs w:val="18"/>
              </w:rPr>
              <w:t>难点：云计算的标准化状况。</w:t>
            </w:r>
          </w:p>
        </w:tc>
        <w:tc>
          <w:tcPr>
            <w:tcW w:w="682" w:type="dxa"/>
            <w:vAlign w:val="center"/>
          </w:tcPr>
          <w:p>
            <w:pPr>
              <w:spacing w:line="280" w:lineRule="exact"/>
              <w:rPr>
                <w:rFonts w:cs="Calibri"/>
                <w:b/>
                <w:sz w:val="18"/>
                <w:szCs w:val="18"/>
              </w:rPr>
            </w:pPr>
            <w:r>
              <w:rPr>
                <w:rFonts w:cs="Calibri"/>
                <w:b/>
                <w:sz w:val="18"/>
                <w:szCs w:val="18"/>
              </w:rPr>
              <w:t>2</w:t>
            </w:r>
          </w:p>
        </w:tc>
        <w:tc>
          <w:tcPr>
            <w:tcW w:w="682" w:type="dxa"/>
            <w:vAlign w:val="center"/>
          </w:tcPr>
          <w:p>
            <w:pPr>
              <w:spacing w:line="280" w:lineRule="exact"/>
              <w:rPr>
                <w:rFonts w:cs="Calibri"/>
                <w:b/>
                <w:sz w:val="18"/>
                <w:szCs w:val="18"/>
              </w:rPr>
            </w:pPr>
            <w:r>
              <w:rPr>
                <w:rFonts w:hint="eastAsia" w:cs="Calibri"/>
                <w:b/>
                <w:sz w:val="18"/>
                <w:szCs w:val="18"/>
              </w:rPr>
              <w:t>0</w:t>
            </w:r>
          </w:p>
        </w:tc>
        <w:tc>
          <w:tcPr>
            <w:tcW w:w="602" w:type="dxa"/>
            <w:vAlign w:val="center"/>
          </w:tcPr>
          <w:p>
            <w:pPr>
              <w:spacing w:line="280" w:lineRule="exact"/>
              <w:rPr>
                <w:rFonts w:cs="Calibri"/>
                <w:b/>
                <w:sz w:val="18"/>
                <w:szCs w:val="18"/>
              </w:rPr>
            </w:pPr>
            <w:r>
              <w:rPr>
                <w:rFonts w:cs="Calibri"/>
                <w:b/>
                <w:sz w:val="18"/>
                <w:szCs w:val="18"/>
              </w:rPr>
              <w:t>2</w:t>
            </w:r>
          </w:p>
        </w:tc>
        <w:tc>
          <w:tcPr>
            <w:tcW w:w="955" w:type="dxa"/>
            <w:vAlign w:val="center"/>
          </w:tcPr>
          <w:p>
            <w:pPr>
              <w:spacing w:line="280" w:lineRule="exact"/>
              <w:rPr>
                <w:rFonts w:cs="Calibri"/>
                <w:b/>
                <w:sz w:val="18"/>
                <w:szCs w:val="18"/>
              </w:rPr>
            </w:pPr>
            <w:r>
              <w:rPr>
                <w:rFonts w:hint="eastAsia" w:cs="Calibri"/>
                <w:b/>
                <w:sz w:val="18"/>
                <w:szCs w:val="18"/>
              </w:rPr>
              <w:t>1</w:t>
            </w:r>
          </w:p>
        </w:tc>
        <w:tc>
          <w:tcPr>
            <w:tcW w:w="1259" w:type="dxa"/>
            <w:vAlign w:val="center"/>
          </w:tcPr>
          <w:p>
            <w:pPr>
              <w:spacing w:line="280" w:lineRule="exact"/>
              <w:rPr>
                <w:rFonts w:cs="Calibri"/>
                <w:b/>
                <w:sz w:val="18"/>
                <w:szCs w:val="18"/>
              </w:rPr>
            </w:pPr>
            <w:r>
              <w:rPr>
                <w:rFonts w:hint="eastAsia" w:cs="Calibri"/>
                <w:b/>
                <w:sz w:val="18"/>
                <w:szCs w:val="18"/>
              </w:rPr>
              <w:t>1-</w:t>
            </w:r>
            <w:r>
              <w:rPr>
                <w:rFonts w:cs="Calibri"/>
                <w:b/>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280" w:lineRule="exact"/>
              <w:jc w:val="center"/>
              <w:rPr>
                <w:sz w:val="18"/>
                <w:szCs w:val="18"/>
              </w:rPr>
            </w:pPr>
            <w:r>
              <w:rPr>
                <w:sz w:val="18"/>
                <w:szCs w:val="18"/>
              </w:rPr>
              <w:t>第2章</w:t>
            </w:r>
          </w:p>
        </w:tc>
        <w:tc>
          <w:tcPr>
            <w:tcW w:w="7756" w:type="dxa"/>
          </w:tcPr>
          <w:p>
            <w:pPr>
              <w:spacing w:line="280" w:lineRule="exact"/>
              <w:rPr>
                <w:rFonts w:hint="eastAsia"/>
                <w:b/>
                <w:bCs/>
                <w:sz w:val="18"/>
                <w:szCs w:val="18"/>
              </w:rPr>
            </w:pPr>
            <w:r>
              <w:rPr>
                <w:rFonts w:hint="eastAsia"/>
                <w:b/>
                <w:bCs/>
                <w:sz w:val="18"/>
                <w:szCs w:val="18"/>
              </w:rPr>
              <w:t>2  云计算的系统结构</w:t>
            </w:r>
          </w:p>
          <w:p>
            <w:pPr>
              <w:spacing w:line="280" w:lineRule="exact"/>
              <w:ind w:firstLine="180" w:firstLineChars="100"/>
              <w:rPr>
                <w:rFonts w:hint="eastAsia"/>
                <w:sz w:val="18"/>
                <w:szCs w:val="18"/>
              </w:rPr>
            </w:pPr>
            <w:r>
              <w:rPr>
                <w:rFonts w:hint="eastAsia"/>
                <w:sz w:val="18"/>
                <w:szCs w:val="18"/>
              </w:rPr>
              <w:t>2.</w:t>
            </w:r>
            <w:r>
              <w:rPr>
                <w:sz w:val="18"/>
                <w:szCs w:val="18"/>
              </w:rPr>
              <w:t>1</w:t>
            </w:r>
            <w:r>
              <w:rPr>
                <w:rFonts w:hint="eastAsia"/>
                <w:sz w:val="18"/>
                <w:szCs w:val="18"/>
              </w:rPr>
              <w:t xml:space="preserve"> 云计算系统结构概念和模型；主要内容：云计算系统结构的基本概念和主要结构模型。</w:t>
            </w:r>
          </w:p>
          <w:p>
            <w:pPr>
              <w:spacing w:line="280" w:lineRule="exact"/>
              <w:ind w:firstLine="180" w:firstLineChars="100"/>
              <w:rPr>
                <w:rFonts w:hint="eastAsia"/>
                <w:sz w:val="18"/>
                <w:szCs w:val="18"/>
              </w:rPr>
            </w:pPr>
            <w:r>
              <w:rPr>
                <w:rFonts w:hint="eastAsia"/>
                <w:sz w:val="18"/>
                <w:szCs w:val="18"/>
              </w:rPr>
              <w:t>2.</w:t>
            </w:r>
            <w:r>
              <w:rPr>
                <w:sz w:val="18"/>
                <w:szCs w:val="18"/>
              </w:rPr>
              <w:t xml:space="preserve">2 </w:t>
            </w:r>
            <w:r>
              <w:rPr>
                <w:rFonts w:hint="eastAsia"/>
                <w:sz w:val="18"/>
                <w:szCs w:val="18"/>
              </w:rPr>
              <w:t>云计算服务层、技术层和SOA层的层次结构；主要内容：各层次结构的主要部分和作用。</w:t>
            </w:r>
          </w:p>
          <w:p>
            <w:pPr>
              <w:spacing w:line="280" w:lineRule="exact"/>
              <w:ind w:firstLine="180" w:firstLineChars="100"/>
              <w:rPr>
                <w:rFonts w:hint="eastAsia"/>
                <w:sz w:val="18"/>
                <w:szCs w:val="18"/>
              </w:rPr>
            </w:pPr>
            <w:r>
              <w:rPr>
                <w:rFonts w:hint="eastAsia"/>
                <w:sz w:val="18"/>
                <w:szCs w:val="18"/>
              </w:rPr>
              <w:t>2.</w:t>
            </w:r>
            <w:r>
              <w:rPr>
                <w:sz w:val="18"/>
                <w:szCs w:val="18"/>
              </w:rPr>
              <w:t>3</w:t>
            </w:r>
            <w:r>
              <w:rPr>
                <w:rFonts w:hint="eastAsia"/>
                <w:sz w:val="18"/>
                <w:szCs w:val="18"/>
              </w:rPr>
              <w:t xml:space="preserve"> 典型云计算平台及系统结构；主要内容：典型的云计算平台和系统结构的组成和工作原理。</w:t>
            </w:r>
          </w:p>
          <w:p>
            <w:pPr>
              <w:spacing w:line="280" w:lineRule="exact"/>
              <w:ind w:firstLine="180" w:firstLineChars="100"/>
              <w:rPr>
                <w:sz w:val="18"/>
                <w:szCs w:val="18"/>
              </w:rPr>
            </w:pPr>
            <w:r>
              <w:rPr>
                <w:rFonts w:hint="eastAsia"/>
                <w:sz w:val="18"/>
                <w:szCs w:val="18"/>
              </w:rPr>
              <w:t>重点：云计算系统结构的组成部分和工作原理。</w:t>
            </w:r>
          </w:p>
          <w:p>
            <w:pPr>
              <w:spacing w:line="280" w:lineRule="exact"/>
              <w:ind w:firstLine="180" w:firstLineChars="100"/>
              <w:rPr>
                <w:rFonts w:hint="eastAsia"/>
                <w:sz w:val="18"/>
                <w:szCs w:val="18"/>
              </w:rPr>
            </w:pPr>
            <w:r>
              <w:rPr>
                <w:rFonts w:hint="eastAsia"/>
                <w:sz w:val="18"/>
                <w:szCs w:val="18"/>
              </w:rPr>
              <w:t>难点：Google云平台和Amazon平台的系统结构。</w:t>
            </w:r>
          </w:p>
        </w:tc>
        <w:tc>
          <w:tcPr>
            <w:tcW w:w="682" w:type="dxa"/>
            <w:vAlign w:val="center"/>
          </w:tcPr>
          <w:p>
            <w:pPr>
              <w:spacing w:line="280" w:lineRule="exact"/>
              <w:rPr>
                <w:rFonts w:cs="Calibri"/>
                <w:b/>
                <w:sz w:val="18"/>
                <w:szCs w:val="18"/>
              </w:rPr>
            </w:pPr>
            <w:r>
              <w:rPr>
                <w:rFonts w:cs="Calibri"/>
                <w:b/>
                <w:sz w:val="18"/>
                <w:szCs w:val="18"/>
              </w:rPr>
              <w:t>2</w:t>
            </w:r>
          </w:p>
        </w:tc>
        <w:tc>
          <w:tcPr>
            <w:tcW w:w="682" w:type="dxa"/>
            <w:vAlign w:val="center"/>
          </w:tcPr>
          <w:p>
            <w:pPr>
              <w:spacing w:line="280" w:lineRule="exact"/>
              <w:rPr>
                <w:rFonts w:cs="Calibri"/>
                <w:b/>
                <w:sz w:val="18"/>
                <w:szCs w:val="18"/>
              </w:rPr>
            </w:pPr>
            <w:r>
              <w:rPr>
                <w:rFonts w:hint="eastAsia" w:cs="Calibri"/>
                <w:b/>
                <w:sz w:val="18"/>
                <w:szCs w:val="18"/>
              </w:rPr>
              <w:t>0</w:t>
            </w:r>
          </w:p>
        </w:tc>
        <w:tc>
          <w:tcPr>
            <w:tcW w:w="602" w:type="dxa"/>
            <w:vAlign w:val="center"/>
          </w:tcPr>
          <w:p>
            <w:pPr>
              <w:spacing w:line="280" w:lineRule="exact"/>
              <w:rPr>
                <w:rFonts w:cs="Calibri"/>
                <w:b/>
                <w:sz w:val="18"/>
                <w:szCs w:val="18"/>
              </w:rPr>
            </w:pPr>
            <w:r>
              <w:rPr>
                <w:rFonts w:cs="Calibri"/>
                <w:b/>
                <w:sz w:val="18"/>
                <w:szCs w:val="18"/>
              </w:rPr>
              <w:t>2</w:t>
            </w:r>
          </w:p>
        </w:tc>
        <w:tc>
          <w:tcPr>
            <w:tcW w:w="955" w:type="dxa"/>
            <w:vAlign w:val="center"/>
          </w:tcPr>
          <w:p>
            <w:pPr>
              <w:spacing w:line="280" w:lineRule="exact"/>
              <w:rPr>
                <w:rFonts w:hint="eastAsia" w:cs="Calibri"/>
                <w:b/>
                <w:sz w:val="18"/>
                <w:szCs w:val="18"/>
              </w:rPr>
            </w:pPr>
            <w:r>
              <w:rPr>
                <w:rFonts w:hint="eastAsia" w:cs="Calibri"/>
                <w:b/>
                <w:sz w:val="18"/>
                <w:szCs w:val="18"/>
              </w:rPr>
              <w:t>1</w:t>
            </w:r>
          </w:p>
        </w:tc>
        <w:tc>
          <w:tcPr>
            <w:tcW w:w="1259" w:type="dxa"/>
            <w:vAlign w:val="center"/>
          </w:tcPr>
          <w:p>
            <w:pPr>
              <w:spacing w:line="280" w:lineRule="exact"/>
              <w:rPr>
                <w:rFonts w:cs="Calibri"/>
                <w:b/>
                <w:sz w:val="18"/>
                <w:szCs w:val="18"/>
              </w:rPr>
            </w:pPr>
            <w:r>
              <w:rPr>
                <w:rFonts w:hint="eastAsia" w:cs="Calibri"/>
                <w:b/>
                <w:sz w:val="18"/>
                <w:szCs w:val="18"/>
              </w:rPr>
              <w:t>1-</w:t>
            </w:r>
            <w:r>
              <w:rPr>
                <w:rFonts w:cs="Calibri"/>
                <w:b/>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280" w:lineRule="exact"/>
              <w:jc w:val="center"/>
              <w:rPr>
                <w:sz w:val="18"/>
                <w:szCs w:val="18"/>
              </w:rPr>
            </w:pPr>
            <w:r>
              <w:rPr>
                <w:sz w:val="18"/>
                <w:szCs w:val="18"/>
              </w:rPr>
              <w:t>第3章</w:t>
            </w:r>
          </w:p>
        </w:tc>
        <w:tc>
          <w:tcPr>
            <w:tcW w:w="7756" w:type="dxa"/>
          </w:tcPr>
          <w:p>
            <w:pPr>
              <w:spacing w:line="280" w:lineRule="exact"/>
              <w:rPr>
                <w:rFonts w:hint="eastAsia"/>
                <w:b/>
                <w:bCs/>
                <w:sz w:val="18"/>
                <w:szCs w:val="18"/>
              </w:rPr>
            </w:pPr>
            <w:r>
              <w:rPr>
                <w:rFonts w:hint="eastAsia"/>
                <w:b/>
                <w:bCs/>
                <w:sz w:val="18"/>
                <w:szCs w:val="18"/>
              </w:rPr>
              <w:t>3</w:t>
            </w:r>
            <w:r>
              <w:rPr>
                <w:b/>
                <w:bCs/>
                <w:sz w:val="18"/>
                <w:szCs w:val="18"/>
              </w:rPr>
              <w:t xml:space="preserve">  </w:t>
            </w:r>
            <w:r>
              <w:rPr>
                <w:rFonts w:hint="eastAsia"/>
                <w:b/>
                <w:bCs/>
                <w:sz w:val="18"/>
                <w:szCs w:val="18"/>
              </w:rPr>
              <w:t>云计算的关键技术</w:t>
            </w:r>
          </w:p>
          <w:p>
            <w:pPr>
              <w:spacing w:line="280" w:lineRule="exact"/>
              <w:ind w:firstLine="180" w:firstLineChars="100"/>
              <w:rPr>
                <w:sz w:val="18"/>
                <w:szCs w:val="18"/>
              </w:rPr>
            </w:pPr>
            <w:r>
              <w:rPr>
                <w:rFonts w:hint="eastAsia"/>
                <w:sz w:val="18"/>
                <w:szCs w:val="18"/>
              </w:rPr>
              <w:t>3.</w:t>
            </w:r>
            <w:r>
              <w:rPr>
                <w:sz w:val="18"/>
                <w:szCs w:val="18"/>
              </w:rPr>
              <w:t xml:space="preserve">1 </w:t>
            </w:r>
            <w:r>
              <w:rPr>
                <w:rFonts w:hint="eastAsia"/>
                <w:sz w:val="18"/>
                <w:szCs w:val="18"/>
              </w:rPr>
              <w:t>资源池技术；主要内容：资源池技术的概念和发展。</w:t>
            </w:r>
          </w:p>
          <w:p>
            <w:pPr>
              <w:spacing w:line="280" w:lineRule="exact"/>
              <w:ind w:firstLine="180" w:firstLineChars="100"/>
              <w:rPr>
                <w:rFonts w:hint="eastAsia"/>
                <w:sz w:val="18"/>
                <w:szCs w:val="18"/>
              </w:rPr>
            </w:pPr>
            <w:r>
              <w:rPr>
                <w:rFonts w:hint="eastAsia"/>
                <w:sz w:val="18"/>
                <w:szCs w:val="18"/>
              </w:rPr>
              <w:t>3.</w:t>
            </w:r>
            <w:r>
              <w:rPr>
                <w:sz w:val="18"/>
                <w:szCs w:val="18"/>
              </w:rPr>
              <w:t xml:space="preserve">2 </w:t>
            </w:r>
            <w:r>
              <w:rPr>
                <w:rFonts w:hint="eastAsia"/>
                <w:sz w:val="18"/>
                <w:szCs w:val="18"/>
              </w:rPr>
              <w:t>数据中心技术；主要内容：数据中心的概念和发展，典型的云计算数据中心。</w:t>
            </w:r>
          </w:p>
          <w:p>
            <w:pPr>
              <w:spacing w:line="280" w:lineRule="exact"/>
              <w:ind w:firstLine="180" w:firstLineChars="100"/>
              <w:rPr>
                <w:sz w:val="18"/>
                <w:szCs w:val="18"/>
              </w:rPr>
            </w:pPr>
            <w:r>
              <w:rPr>
                <w:rFonts w:hint="eastAsia"/>
                <w:sz w:val="18"/>
                <w:szCs w:val="18"/>
              </w:rPr>
              <w:t>3.</w:t>
            </w:r>
            <w:r>
              <w:rPr>
                <w:sz w:val="18"/>
                <w:szCs w:val="18"/>
              </w:rPr>
              <w:t xml:space="preserve">3 </w:t>
            </w:r>
            <w:r>
              <w:rPr>
                <w:rFonts w:hint="eastAsia"/>
                <w:sz w:val="18"/>
                <w:szCs w:val="18"/>
              </w:rPr>
              <w:t>虚拟化技术；主要内容：虚拟化的基本概念、平台架构和实现形式。</w:t>
            </w:r>
          </w:p>
          <w:p>
            <w:pPr>
              <w:spacing w:line="280" w:lineRule="exact"/>
              <w:ind w:firstLine="180" w:firstLineChars="100"/>
              <w:rPr>
                <w:rFonts w:hint="eastAsia"/>
                <w:sz w:val="18"/>
                <w:szCs w:val="18"/>
              </w:rPr>
            </w:pPr>
            <w:r>
              <w:rPr>
                <w:rFonts w:hint="eastAsia"/>
                <w:sz w:val="18"/>
                <w:szCs w:val="18"/>
              </w:rPr>
              <w:t>3.</w:t>
            </w:r>
            <w:r>
              <w:rPr>
                <w:sz w:val="18"/>
                <w:szCs w:val="18"/>
              </w:rPr>
              <w:t xml:space="preserve">4 </w:t>
            </w:r>
            <w:r>
              <w:rPr>
                <w:rFonts w:hint="eastAsia"/>
                <w:sz w:val="18"/>
                <w:szCs w:val="18"/>
              </w:rPr>
              <w:t>资源管理技术；主要内容：资源监测与调度，云计算平台管理技术。</w:t>
            </w:r>
          </w:p>
          <w:p>
            <w:pPr>
              <w:spacing w:line="280" w:lineRule="exact"/>
              <w:ind w:firstLine="180" w:firstLineChars="100"/>
              <w:rPr>
                <w:rFonts w:hint="eastAsia"/>
                <w:sz w:val="18"/>
                <w:szCs w:val="18"/>
              </w:rPr>
            </w:pPr>
            <w:r>
              <w:rPr>
                <w:rFonts w:hint="eastAsia"/>
                <w:sz w:val="18"/>
                <w:szCs w:val="18"/>
              </w:rPr>
              <w:t>3.</w:t>
            </w:r>
            <w:r>
              <w:rPr>
                <w:sz w:val="18"/>
                <w:szCs w:val="18"/>
              </w:rPr>
              <w:t xml:space="preserve">5 </w:t>
            </w:r>
            <w:r>
              <w:rPr>
                <w:rFonts w:hint="eastAsia"/>
                <w:sz w:val="18"/>
                <w:szCs w:val="18"/>
              </w:rPr>
              <w:t>网络通信技术；主要内容：网络通信技术的概念和工作方式。</w:t>
            </w:r>
          </w:p>
          <w:p>
            <w:pPr>
              <w:spacing w:line="280" w:lineRule="exact"/>
              <w:ind w:firstLine="180" w:firstLineChars="100"/>
              <w:rPr>
                <w:sz w:val="18"/>
                <w:szCs w:val="18"/>
              </w:rPr>
            </w:pPr>
            <w:r>
              <w:rPr>
                <w:rFonts w:hint="eastAsia"/>
                <w:sz w:val="18"/>
                <w:szCs w:val="18"/>
              </w:rPr>
              <w:t>重点：云计算中的关键技术概念和工作方式。</w:t>
            </w:r>
          </w:p>
          <w:p>
            <w:pPr>
              <w:spacing w:line="280" w:lineRule="exact"/>
              <w:ind w:firstLine="180" w:firstLineChars="100"/>
              <w:rPr>
                <w:rFonts w:hint="eastAsia"/>
                <w:sz w:val="18"/>
                <w:szCs w:val="18"/>
              </w:rPr>
            </w:pPr>
            <w:r>
              <w:rPr>
                <w:rFonts w:hint="eastAsia"/>
                <w:sz w:val="18"/>
                <w:szCs w:val="18"/>
              </w:rPr>
              <w:t>难点：云计算关键技术的编程模型。</w:t>
            </w:r>
          </w:p>
        </w:tc>
        <w:tc>
          <w:tcPr>
            <w:tcW w:w="682" w:type="dxa"/>
            <w:vAlign w:val="center"/>
          </w:tcPr>
          <w:p>
            <w:pPr>
              <w:spacing w:line="280" w:lineRule="exact"/>
              <w:rPr>
                <w:rFonts w:cs="Calibri"/>
                <w:b/>
                <w:sz w:val="18"/>
                <w:szCs w:val="18"/>
              </w:rPr>
            </w:pPr>
            <w:r>
              <w:rPr>
                <w:rFonts w:cs="Calibri"/>
                <w:b/>
                <w:sz w:val="18"/>
                <w:szCs w:val="18"/>
              </w:rPr>
              <w:t>2</w:t>
            </w:r>
          </w:p>
        </w:tc>
        <w:tc>
          <w:tcPr>
            <w:tcW w:w="682" w:type="dxa"/>
            <w:vAlign w:val="center"/>
          </w:tcPr>
          <w:p>
            <w:pPr>
              <w:spacing w:line="280" w:lineRule="exact"/>
              <w:rPr>
                <w:rFonts w:cs="Calibri"/>
                <w:b/>
                <w:sz w:val="18"/>
                <w:szCs w:val="18"/>
              </w:rPr>
            </w:pPr>
            <w:r>
              <w:rPr>
                <w:rFonts w:hint="eastAsia" w:cs="Calibri"/>
                <w:b/>
                <w:sz w:val="18"/>
                <w:szCs w:val="18"/>
              </w:rPr>
              <w:t>0</w:t>
            </w:r>
          </w:p>
        </w:tc>
        <w:tc>
          <w:tcPr>
            <w:tcW w:w="602" w:type="dxa"/>
            <w:vAlign w:val="center"/>
          </w:tcPr>
          <w:p>
            <w:pPr>
              <w:spacing w:line="280" w:lineRule="exact"/>
              <w:rPr>
                <w:rFonts w:cs="Calibri"/>
                <w:b/>
                <w:sz w:val="18"/>
                <w:szCs w:val="18"/>
              </w:rPr>
            </w:pPr>
            <w:r>
              <w:rPr>
                <w:rFonts w:cs="Calibri"/>
                <w:b/>
                <w:sz w:val="18"/>
                <w:szCs w:val="18"/>
              </w:rPr>
              <w:t>2</w:t>
            </w:r>
          </w:p>
        </w:tc>
        <w:tc>
          <w:tcPr>
            <w:tcW w:w="955" w:type="dxa"/>
            <w:vAlign w:val="center"/>
          </w:tcPr>
          <w:p>
            <w:pPr>
              <w:spacing w:line="280" w:lineRule="exact"/>
              <w:rPr>
                <w:rFonts w:cs="Calibri"/>
                <w:b/>
                <w:sz w:val="18"/>
                <w:szCs w:val="18"/>
              </w:rPr>
            </w:pPr>
            <w:r>
              <w:rPr>
                <w:rFonts w:cs="Calibri"/>
                <w:b/>
                <w:sz w:val="18"/>
                <w:szCs w:val="18"/>
              </w:rPr>
              <w:t>1</w:t>
            </w:r>
          </w:p>
        </w:tc>
        <w:tc>
          <w:tcPr>
            <w:tcW w:w="1259" w:type="dxa"/>
            <w:vAlign w:val="center"/>
          </w:tcPr>
          <w:p>
            <w:pPr>
              <w:spacing w:line="280" w:lineRule="exact"/>
              <w:rPr>
                <w:rFonts w:cs="Calibri"/>
                <w:b/>
                <w:sz w:val="18"/>
                <w:szCs w:val="18"/>
              </w:rPr>
            </w:pPr>
            <w:r>
              <w:rPr>
                <w:rFonts w:hint="eastAsia" w:cs="Calibri"/>
                <w:b/>
                <w:sz w:val="18"/>
                <w:szCs w:val="18"/>
              </w:rPr>
              <w:t>1-</w:t>
            </w:r>
            <w:r>
              <w:rPr>
                <w:rFonts w:cs="Calibri"/>
                <w:b/>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280" w:lineRule="exact"/>
              <w:jc w:val="center"/>
              <w:rPr>
                <w:sz w:val="18"/>
                <w:szCs w:val="18"/>
              </w:rPr>
            </w:pPr>
            <w:r>
              <w:rPr>
                <w:sz w:val="18"/>
                <w:szCs w:val="18"/>
              </w:rPr>
              <w:t>第4章</w:t>
            </w:r>
          </w:p>
        </w:tc>
        <w:tc>
          <w:tcPr>
            <w:tcW w:w="7756" w:type="dxa"/>
          </w:tcPr>
          <w:p>
            <w:pPr>
              <w:spacing w:line="280" w:lineRule="exact"/>
              <w:rPr>
                <w:rFonts w:hint="eastAsia"/>
                <w:b/>
                <w:bCs/>
                <w:sz w:val="18"/>
                <w:szCs w:val="18"/>
              </w:rPr>
            </w:pPr>
            <w:r>
              <w:rPr>
                <w:b/>
                <w:bCs/>
                <w:sz w:val="18"/>
                <w:szCs w:val="18"/>
              </w:rPr>
              <w:t xml:space="preserve">4  </w:t>
            </w:r>
            <w:r>
              <w:rPr>
                <w:rFonts w:hint="eastAsia"/>
                <w:b/>
                <w:bCs/>
                <w:sz w:val="18"/>
                <w:szCs w:val="18"/>
              </w:rPr>
              <w:t>云存储技术及应用</w:t>
            </w:r>
          </w:p>
          <w:p>
            <w:pPr>
              <w:spacing w:line="280" w:lineRule="exact"/>
              <w:ind w:firstLine="180" w:firstLineChars="100"/>
              <w:rPr>
                <w:sz w:val="18"/>
                <w:szCs w:val="18"/>
              </w:rPr>
            </w:pPr>
            <w:r>
              <w:rPr>
                <w:sz w:val="18"/>
                <w:szCs w:val="18"/>
              </w:rPr>
              <w:t>4</w:t>
            </w:r>
            <w:r>
              <w:rPr>
                <w:rFonts w:hint="eastAsia"/>
                <w:sz w:val="18"/>
                <w:szCs w:val="18"/>
              </w:rPr>
              <w:t>.</w:t>
            </w:r>
            <w:r>
              <w:rPr>
                <w:sz w:val="18"/>
                <w:szCs w:val="18"/>
              </w:rPr>
              <w:t xml:space="preserve">1 </w:t>
            </w:r>
            <w:r>
              <w:rPr>
                <w:rFonts w:hint="eastAsia"/>
                <w:sz w:val="18"/>
                <w:szCs w:val="18"/>
              </w:rPr>
              <w:t>云存储概念；主要内容：云存储的基本概念，云存储与云计算和传统存储的关系。</w:t>
            </w:r>
          </w:p>
          <w:p>
            <w:pPr>
              <w:spacing w:line="280" w:lineRule="exact"/>
              <w:ind w:firstLine="180" w:firstLineChars="100"/>
              <w:rPr>
                <w:rFonts w:hint="eastAsia"/>
                <w:sz w:val="18"/>
                <w:szCs w:val="18"/>
              </w:rPr>
            </w:pPr>
            <w:r>
              <w:rPr>
                <w:sz w:val="18"/>
                <w:szCs w:val="18"/>
              </w:rPr>
              <w:t>4</w:t>
            </w:r>
            <w:r>
              <w:rPr>
                <w:rFonts w:hint="eastAsia"/>
                <w:sz w:val="18"/>
                <w:szCs w:val="18"/>
              </w:rPr>
              <w:t>.</w:t>
            </w:r>
            <w:r>
              <w:rPr>
                <w:sz w:val="18"/>
                <w:szCs w:val="18"/>
              </w:rPr>
              <w:t xml:space="preserve">2 </w:t>
            </w:r>
            <w:r>
              <w:rPr>
                <w:rFonts w:hint="eastAsia"/>
                <w:sz w:val="18"/>
                <w:szCs w:val="18"/>
              </w:rPr>
              <w:t>云存储系统模型和关键技术；主要内容：云存储虚拟化、分布式存储和数据备份等技术。</w:t>
            </w:r>
          </w:p>
          <w:p>
            <w:pPr>
              <w:spacing w:line="280" w:lineRule="exact"/>
              <w:ind w:firstLine="180" w:firstLineChars="100"/>
              <w:rPr>
                <w:sz w:val="18"/>
                <w:szCs w:val="18"/>
              </w:rPr>
            </w:pPr>
            <w:r>
              <w:rPr>
                <w:sz w:val="18"/>
                <w:szCs w:val="18"/>
              </w:rPr>
              <w:t>4</w:t>
            </w:r>
            <w:r>
              <w:rPr>
                <w:rFonts w:hint="eastAsia"/>
                <w:sz w:val="18"/>
                <w:szCs w:val="18"/>
              </w:rPr>
              <w:t>.</w:t>
            </w:r>
            <w:r>
              <w:rPr>
                <w:sz w:val="18"/>
                <w:szCs w:val="18"/>
              </w:rPr>
              <w:t xml:space="preserve">3 </w:t>
            </w:r>
            <w:r>
              <w:rPr>
                <w:rFonts w:hint="eastAsia"/>
                <w:sz w:val="18"/>
                <w:szCs w:val="18"/>
              </w:rPr>
              <w:t>云存储的标准化和安全性；主要内容：云存储目前执行的标准化和安全防护措施。</w:t>
            </w:r>
          </w:p>
          <w:p>
            <w:pPr>
              <w:spacing w:line="280" w:lineRule="exact"/>
              <w:ind w:firstLine="180" w:firstLineChars="100"/>
              <w:rPr>
                <w:rFonts w:hint="eastAsia"/>
                <w:sz w:val="18"/>
                <w:szCs w:val="18"/>
              </w:rPr>
            </w:pPr>
            <w:r>
              <w:rPr>
                <w:sz w:val="18"/>
                <w:szCs w:val="18"/>
              </w:rPr>
              <w:t>4</w:t>
            </w:r>
            <w:r>
              <w:rPr>
                <w:rFonts w:hint="eastAsia"/>
                <w:sz w:val="18"/>
                <w:szCs w:val="18"/>
              </w:rPr>
              <w:t>.</w:t>
            </w:r>
            <w:r>
              <w:rPr>
                <w:sz w:val="18"/>
                <w:szCs w:val="18"/>
              </w:rPr>
              <w:t xml:space="preserve">4 </w:t>
            </w:r>
            <w:r>
              <w:rPr>
                <w:rFonts w:hint="eastAsia"/>
                <w:sz w:val="18"/>
                <w:szCs w:val="18"/>
              </w:rPr>
              <w:t>云存储相关产品策略；主要内容：目前成熟的云存储相关产品策略。</w:t>
            </w:r>
          </w:p>
          <w:p>
            <w:pPr>
              <w:spacing w:line="280" w:lineRule="exact"/>
              <w:ind w:firstLine="180" w:firstLineChars="100"/>
              <w:rPr>
                <w:rFonts w:hint="eastAsia"/>
                <w:sz w:val="18"/>
                <w:szCs w:val="18"/>
              </w:rPr>
            </w:pPr>
            <w:r>
              <w:rPr>
                <w:sz w:val="18"/>
                <w:szCs w:val="18"/>
              </w:rPr>
              <w:t>4</w:t>
            </w:r>
            <w:r>
              <w:rPr>
                <w:rFonts w:hint="eastAsia"/>
                <w:sz w:val="18"/>
                <w:szCs w:val="18"/>
              </w:rPr>
              <w:t>.</w:t>
            </w:r>
            <w:r>
              <w:rPr>
                <w:sz w:val="18"/>
                <w:szCs w:val="18"/>
              </w:rPr>
              <w:t xml:space="preserve">5 </w:t>
            </w:r>
            <w:r>
              <w:rPr>
                <w:rFonts w:hint="eastAsia"/>
                <w:sz w:val="18"/>
                <w:szCs w:val="18"/>
              </w:rPr>
              <w:t>云存储服务系统应用；主要内容：个人和企业级云存储的应用。</w:t>
            </w:r>
          </w:p>
          <w:p>
            <w:pPr>
              <w:spacing w:line="280" w:lineRule="exact"/>
              <w:ind w:firstLine="180" w:firstLineChars="100"/>
              <w:rPr>
                <w:sz w:val="18"/>
                <w:szCs w:val="18"/>
              </w:rPr>
            </w:pPr>
            <w:r>
              <w:rPr>
                <w:rFonts w:hint="eastAsia"/>
                <w:sz w:val="18"/>
                <w:szCs w:val="18"/>
              </w:rPr>
              <w:t>重点：云存储的系统模型、关键技术和产品策略。</w:t>
            </w:r>
          </w:p>
          <w:p>
            <w:pPr>
              <w:spacing w:line="280" w:lineRule="exact"/>
              <w:ind w:firstLine="180" w:firstLineChars="100"/>
              <w:rPr>
                <w:rFonts w:cs="Calibri"/>
                <w:b/>
                <w:sz w:val="18"/>
                <w:szCs w:val="18"/>
              </w:rPr>
            </w:pPr>
            <w:r>
              <w:rPr>
                <w:rFonts w:hint="eastAsia"/>
                <w:sz w:val="18"/>
                <w:szCs w:val="18"/>
              </w:rPr>
              <w:t>难点：存储安全技术和容错技术。</w:t>
            </w:r>
          </w:p>
        </w:tc>
        <w:tc>
          <w:tcPr>
            <w:tcW w:w="682" w:type="dxa"/>
            <w:vAlign w:val="center"/>
          </w:tcPr>
          <w:p>
            <w:pPr>
              <w:spacing w:line="280" w:lineRule="exact"/>
              <w:rPr>
                <w:rFonts w:cs="Calibri"/>
                <w:b/>
                <w:sz w:val="18"/>
                <w:szCs w:val="18"/>
              </w:rPr>
            </w:pPr>
            <w:r>
              <w:rPr>
                <w:rFonts w:cs="Calibri"/>
                <w:b/>
                <w:sz w:val="18"/>
                <w:szCs w:val="18"/>
              </w:rPr>
              <w:t>2</w:t>
            </w:r>
          </w:p>
        </w:tc>
        <w:tc>
          <w:tcPr>
            <w:tcW w:w="682" w:type="dxa"/>
            <w:vAlign w:val="center"/>
          </w:tcPr>
          <w:p>
            <w:pPr>
              <w:spacing w:line="280" w:lineRule="exact"/>
              <w:rPr>
                <w:rFonts w:hint="eastAsia" w:cs="Calibri"/>
                <w:b/>
                <w:sz w:val="18"/>
                <w:szCs w:val="18"/>
              </w:rPr>
            </w:pPr>
            <w:r>
              <w:rPr>
                <w:rFonts w:hint="eastAsia" w:cs="Calibri"/>
                <w:b/>
                <w:sz w:val="18"/>
                <w:szCs w:val="18"/>
              </w:rPr>
              <w:t>0</w:t>
            </w:r>
          </w:p>
        </w:tc>
        <w:tc>
          <w:tcPr>
            <w:tcW w:w="602" w:type="dxa"/>
            <w:vAlign w:val="center"/>
          </w:tcPr>
          <w:p>
            <w:pPr>
              <w:spacing w:line="280" w:lineRule="exact"/>
              <w:rPr>
                <w:rFonts w:cs="Calibri"/>
                <w:b/>
                <w:sz w:val="18"/>
                <w:szCs w:val="18"/>
              </w:rPr>
            </w:pPr>
            <w:r>
              <w:rPr>
                <w:rFonts w:cs="Calibri"/>
                <w:b/>
                <w:sz w:val="18"/>
                <w:szCs w:val="18"/>
              </w:rPr>
              <w:t>2</w:t>
            </w:r>
          </w:p>
        </w:tc>
        <w:tc>
          <w:tcPr>
            <w:tcW w:w="955" w:type="dxa"/>
            <w:vAlign w:val="center"/>
          </w:tcPr>
          <w:p>
            <w:pPr>
              <w:spacing w:line="280" w:lineRule="exact"/>
              <w:rPr>
                <w:rFonts w:cs="Calibri"/>
                <w:b/>
                <w:sz w:val="18"/>
                <w:szCs w:val="18"/>
              </w:rPr>
            </w:pPr>
            <w:r>
              <w:rPr>
                <w:rFonts w:cs="Calibri"/>
                <w:b/>
                <w:sz w:val="18"/>
                <w:szCs w:val="18"/>
              </w:rPr>
              <w:t>2</w:t>
            </w:r>
          </w:p>
        </w:tc>
        <w:tc>
          <w:tcPr>
            <w:tcW w:w="1259" w:type="dxa"/>
            <w:vAlign w:val="center"/>
          </w:tcPr>
          <w:p>
            <w:pPr>
              <w:spacing w:line="280" w:lineRule="exact"/>
              <w:rPr>
                <w:rFonts w:hint="default" w:eastAsia="宋体" w:cs="Calibri"/>
                <w:b/>
                <w:sz w:val="18"/>
                <w:szCs w:val="18"/>
                <w:lang w:val="en-US" w:eastAsia="zh-CN"/>
              </w:rPr>
            </w:pPr>
            <w:r>
              <w:rPr>
                <w:rFonts w:hint="eastAsia" w:cs="Calibri"/>
                <w:b/>
                <w:sz w:val="18"/>
                <w:szCs w:val="18"/>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280" w:lineRule="exact"/>
              <w:jc w:val="center"/>
              <w:rPr>
                <w:sz w:val="18"/>
                <w:szCs w:val="18"/>
              </w:rPr>
            </w:pPr>
            <w:r>
              <w:rPr>
                <w:sz w:val="18"/>
                <w:szCs w:val="18"/>
              </w:rPr>
              <w:t>第5章</w:t>
            </w:r>
          </w:p>
        </w:tc>
        <w:tc>
          <w:tcPr>
            <w:tcW w:w="7756" w:type="dxa"/>
          </w:tcPr>
          <w:p>
            <w:pPr>
              <w:spacing w:line="280" w:lineRule="exact"/>
              <w:rPr>
                <w:rFonts w:hint="eastAsia"/>
                <w:b/>
                <w:bCs/>
                <w:sz w:val="18"/>
                <w:szCs w:val="18"/>
              </w:rPr>
            </w:pPr>
            <w:r>
              <w:rPr>
                <w:b/>
                <w:bCs/>
                <w:sz w:val="18"/>
                <w:szCs w:val="18"/>
              </w:rPr>
              <w:t xml:space="preserve">5  </w:t>
            </w:r>
            <w:r>
              <w:rPr>
                <w:rFonts w:hint="eastAsia"/>
                <w:b/>
                <w:bCs/>
                <w:sz w:val="18"/>
                <w:szCs w:val="18"/>
              </w:rPr>
              <w:t>云安全技术及应用</w:t>
            </w:r>
          </w:p>
          <w:p>
            <w:pPr>
              <w:spacing w:line="280" w:lineRule="exact"/>
              <w:ind w:firstLine="180" w:firstLineChars="100"/>
              <w:rPr>
                <w:sz w:val="18"/>
                <w:szCs w:val="18"/>
              </w:rPr>
            </w:pPr>
            <w:r>
              <w:rPr>
                <w:sz w:val="18"/>
                <w:szCs w:val="18"/>
              </w:rPr>
              <w:t>5</w:t>
            </w:r>
            <w:r>
              <w:rPr>
                <w:rFonts w:hint="eastAsia"/>
                <w:sz w:val="18"/>
                <w:szCs w:val="18"/>
              </w:rPr>
              <w:t>.</w:t>
            </w:r>
            <w:r>
              <w:rPr>
                <w:sz w:val="18"/>
                <w:szCs w:val="18"/>
              </w:rPr>
              <w:t xml:space="preserve">1 </w:t>
            </w:r>
            <w:r>
              <w:rPr>
                <w:rFonts w:hint="eastAsia"/>
                <w:sz w:val="18"/>
                <w:szCs w:val="18"/>
              </w:rPr>
              <w:t>云计算的安全问题；主要内容：目前存在的云计算安全问题。</w:t>
            </w:r>
          </w:p>
          <w:p>
            <w:pPr>
              <w:spacing w:line="280" w:lineRule="exact"/>
              <w:ind w:firstLine="180" w:firstLineChars="100"/>
              <w:rPr>
                <w:rFonts w:hint="eastAsia"/>
                <w:sz w:val="18"/>
                <w:szCs w:val="18"/>
              </w:rPr>
            </w:pPr>
            <w:r>
              <w:rPr>
                <w:sz w:val="18"/>
                <w:szCs w:val="18"/>
              </w:rPr>
              <w:t>5</w:t>
            </w:r>
            <w:r>
              <w:rPr>
                <w:rFonts w:hint="eastAsia"/>
                <w:sz w:val="18"/>
                <w:szCs w:val="18"/>
              </w:rPr>
              <w:t>.</w:t>
            </w:r>
            <w:r>
              <w:rPr>
                <w:sz w:val="18"/>
                <w:szCs w:val="18"/>
              </w:rPr>
              <w:t xml:space="preserve">2 </w:t>
            </w:r>
            <w:r>
              <w:rPr>
                <w:rFonts w:hint="eastAsia"/>
                <w:sz w:val="18"/>
                <w:szCs w:val="18"/>
              </w:rPr>
              <w:t>云计算的安全属性；主要内容：云计算安全的可靠性、可用性、保密性、完整性等。</w:t>
            </w:r>
          </w:p>
          <w:p>
            <w:pPr>
              <w:spacing w:line="280" w:lineRule="exact"/>
              <w:ind w:firstLine="180" w:firstLineChars="100"/>
              <w:rPr>
                <w:sz w:val="18"/>
                <w:szCs w:val="18"/>
              </w:rPr>
            </w:pPr>
            <w:r>
              <w:rPr>
                <w:sz w:val="18"/>
                <w:szCs w:val="18"/>
              </w:rPr>
              <w:t>5</w:t>
            </w:r>
            <w:r>
              <w:rPr>
                <w:rFonts w:hint="eastAsia"/>
                <w:sz w:val="18"/>
                <w:szCs w:val="18"/>
              </w:rPr>
              <w:t>.</w:t>
            </w:r>
            <w:r>
              <w:rPr>
                <w:sz w:val="18"/>
                <w:szCs w:val="18"/>
              </w:rPr>
              <w:t xml:space="preserve">3 </w:t>
            </w:r>
            <w:r>
              <w:rPr>
                <w:rFonts w:hint="eastAsia"/>
                <w:sz w:val="18"/>
                <w:szCs w:val="18"/>
              </w:rPr>
              <w:t>云计算的安全架构；主要内容：云计算安全架构的组成部分和工作原理。</w:t>
            </w:r>
          </w:p>
          <w:p>
            <w:pPr>
              <w:spacing w:line="280" w:lineRule="exact"/>
              <w:ind w:firstLine="180" w:firstLineChars="100"/>
              <w:rPr>
                <w:sz w:val="18"/>
                <w:szCs w:val="18"/>
              </w:rPr>
            </w:pPr>
            <w:r>
              <w:rPr>
                <w:sz w:val="18"/>
                <w:szCs w:val="18"/>
              </w:rPr>
              <w:t>5</w:t>
            </w:r>
            <w:r>
              <w:rPr>
                <w:rFonts w:hint="eastAsia"/>
                <w:sz w:val="18"/>
                <w:szCs w:val="18"/>
              </w:rPr>
              <w:t>.</w:t>
            </w:r>
            <w:r>
              <w:rPr>
                <w:sz w:val="18"/>
                <w:szCs w:val="18"/>
              </w:rPr>
              <w:t xml:space="preserve">4 </w:t>
            </w:r>
            <w:r>
              <w:rPr>
                <w:rFonts w:hint="eastAsia"/>
                <w:sz w:val="18"/>
                <w:szCs w:val="18"/>
              </w:rPr>
              <w:t>云计算的安全实施步骤；主要内容：云计算安全防护的实施步骤。</w:t>
            </w:r>
          </w:p>
          <w:p>
            <w:pPr>
              <w:spacing w:line="280" w:lineRule="exact"/>
              <w:ind w:firstLine="180" w:firstLineChars="100"/>
              <w:rPr>
                <w:rFonts w:hint="eastAsia"/>
                <w:sz w:val="18"/>
                <w:szCs w:val="18"/>
              </w:rPr>
            </w:pPr>
            <w:r>
              <w:rPr>
                <w:sz w:val="18"/>
                <w:szCs w:val="18"/>
              </w:rPr>
              <w:t>5</w:t>
            </w:r>
            <w:r>
              <w:rPr>
                <w:rFonts w:hint="eastAsia"/>
                <w:sz w:val="18"/>
                <w:szCs w:val="18"/>
              </w:rPr>
              <w:t>.</w:t>
            </w:r>
            <w:r>
              <w:rPr>
                <w:sz w:val="18"/>
                <w:szCs w:val="18"/>
              </w:rPr>
              <w:t xml:space="preserve">5 </w:t>
            </w:r>
            <w:r>
              <w:rPr>
                <w:rFonts w:hint="eastAsia"/>
                <w:sz w:val="18"/>
                <w:szCs w:val="18"/>
              </w:rPr>
              <w:t>云计算的安全策略和方法；主要内容：阿里云的安全策略和方法。</w:t>
            </w:r>
          </w:p>
          <w:p>
            <w:pPr>
              <w:spacing w:line="280" w:lineRule="exact"/>
              <w:ind w:firstLine="180" w:firstLineChars="100"/>
              <w:rPr>
                <w:sz w:val="18"/>
                <w:szCs w:val="18"/>
              </w:rPr>
            </w:pPr>
            <w:r>
              <w:rPr>
                <w:rFonts w:hint="eastAsia"/>
                <w:sz w:val="18"/>
                <w:szCs w:val="18"/>
              </w:rPr>
              <w:t>重点：云计算安全属性和架构，云计算安全的策略和具体实施方法。</w:t>
            </w:r>
          </w:p>
          <w:p>
            <w:pPr>
              <w:spacing w:line="280" w:lineRule="exact"/>
              <w:ind w:firstLine="180" w:firstLineChars="100"/>
              <w:rPr>
                <w:rFonts w:cs="Calibri"/>
                <w:b/>
                <w:sz w:val="18"/>
                <w:szCs w:val="18"/>
              </w:rPr>
            </w:pPr>
            <w:r>
              <w:rPr>
                <w:rFonts w:hint="eastAsia"/>
                <w:sz w:val="18"/>
                <w:szCs w:val="18"/>
              </w:rPr>
              <w:t>难点：云计算安全策略的制定。</w:t>
            </w:r>
          </w:p>
        </w:tc>
        <w:tc>
          <w:tcPr>
            <w:tcW w:w="682" w:type="dxa"/>
            <w:vAlign w:val="center"/>
          </w:tcPr>
          <w:p>
            <w:pPr>
              <w:spacing w:line="280" w:lineRule="exact"/>
              <w:rPr>
                <w:rFonts w:cs="Calibri"/>
                <w:b/>
                <w:sz w:val="18"/>
                <w:szCs w:val="18"/>
              </w:rPr>
            </w:pPr>
            <w:r>
              <w:rPr>
                <w:rFonts w:cs="Calibri"/>
                <w:b/>
                <w:sz w:val="18"/>
                <w:szCs w:val="18"/>
              </w:rPr>
              <w:t>2</w:t>
            </w:r>
          </w:p>
        </w:tc>
        <w:tc>
          <w:tcPr>
            <w:tcW w:w="682" w:type="dxa"/>
            <w:vAlign w:val="center"/>
          </w:tcPr>
          <w:p>
            <w:pPr>
              <w:spacing w:line="280" w:lineRule="exact"/>
              <w:rPr>
                <w:rFonts w:hint="eastAsia" w:cs="Calibri"/>
                <w:b/>
                <w:sz w:val="18"/>
                <w:szCs w:val="18"/>
              </w:rPr>
            </w:pPr>
            <w:r>
              <w:rPr>
                <w:rFonts w:cs="Calibri"/>
                <w:b/>
                <w:sz w:val="18"/>
                <w:szCs w:val="18"/>
              </w:rPr>
              <w:t>0</w:t>
            </w:r>
          </w:p>
        </w:tc>
        <w:tc>
          <w:tcPr>
            <w:tcW w:w="602" w:type="dxa"/>
            <w:vAlign w:val="center"/>
          </w:tcPr>
          <w:p>
            <w:pPr>
              <w:spacing w:line="280" w:lineRule="exact"/>
              <w:rPr>
                <w:rFonts w:cs="Calibri"/>
                <w:b/>
                <w:sz w:val="18"/>
                <w:szCs w:val="18"/>
              </w:rPr>
            </w:pPr>
            <w:r>
              <w:rPr>
                <w:rFonts w:cs="Calibri"/>
                <w:b/>
                <w:sz w:val="18"/>
                <w:szCs w:val="18"/>
              </w:rPr>
              <w:t>2</w:t>
            </w:r>
          </w:p>
        </w:tc>
        <w:tc>
          <w:tcPr>
            <w:tcW w:w="955" w:type="dxa"/>
            <w:vAlign w:val="center"/>
          </w:tcPr>
          <w:p>
            <w:pPr>
              <w:spacing w:line="280" w:lineRule="exact"/>
              <w:rPr>
                <w:rFonts w:cs="Calibri"/>
                <w:b/>
                <w:sz w:val="18"/>
                <w:szCs w:val="18"/>
              </w:rPr>
            </w:pPr>
            <w:r>
              <w:rPr>
                <w:rFonts w:cs="Calibri"/>
                <w:b/>
                <w:sz w:val="18"/>
                <w:szCs w:val="18"/>
              </w:rPr>
              <w:t>2</w:t>
            </w:r>
          </w:p>
        </w:tc>
        <w:tc>
          <w:tcPr>
            <w:tcW w:w="1259" w:type="dxa"/>
            <w:vAlign w:val="center"/>
          </w:tcPr>
          <w:p>
            <w:pPr>
              <w:spacing w:line="280" w:lineRule="exact"/>
              <w:rPr>
                <w:rFonts w:hint="default" w:eastAsia="宋体" w:cs="Calibri"/>
                <w:b/>
                <w:sz w:val="18"/>
                <w:szCs w:val="18"/>
                <w:lang w:val="en-US" w:eastAsia="zh-CN"/>
              </w:rPr>
            </w:pPr>
            <w:r>
              <w:rPr>
                <w:rFonts w:hint="eastAsia" w:cs="Calibri"/>
                <w:b/>
                <w:sz w:val="18"/>
                <w:szCs w:val="18"/>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280" w:lineRule="exact"/>
              <w:jc w:val="center"/>
              <w:rPr>
                <w:sz w:val="18"/>
                <w:szCs w:val="18"/>
              </w:rPr>
            </w:pPr>
            <w:r>
              <w:rPr>
                <w:sz w:val="18"/>
                <w:szCs w:val="18"/>
              </w:rPr>
              <w:t>第6章</w:t>
            </w:r>
          </w:p>
        </w:tc>
        <w:tc>
          <w:tcPr>
            <w:tcW w:w="7756" w:type="dxa"/>
          </w:tcPr>
          <w:p>
            <w:pPr>
              <w:spacing w:line="280" w:lineRule="exact"/>
              <w:rPr>
                <w:rFonts w:hint="eastAsia"/>
                <w:b/>
                <w:bCs/>
                <w:sz w:val="18"/>
                <w:szCs w:val="18"/>
              </w:rPr>
            </w:pPr>
            <w:r>
              <w:rPr>
                <w:b/>
                <w:bCs/>
                <w:sz w:val="18"/>
                <w:szCs w:val="18"/>
              </w:rPr>
              <w:t>6</w:t>
            </w:r>
            <w:r>
              <w:rPr>
                <w:rFonts w:hint="eastAsia"/>
                <w:b/>
                <w:bCs/>
                <w:sz w:val="18"/>
                <w:szCs w:val="18"/>
              </w:rPr>
              <w:t xml:space="preserve">  开源云计算系统</w:t>
            </w:r>
          </w:p>
          <w:p>
            <w:pPr>
              <w:spacing w:line="280" w:lineRule="exact"/>
              <w:ind w:firstLine="180" w:firstLineChars="100"/>
              <w:rPr>
                <w:rFonts w:hint="eastAsia"/>
                <w:sz w:val="18"/>
                <w:szCs w:val="18"/>
              </w:rPr>
            </w:pPr>
            <w:r>
              <w:rPr>
                <w:sz w:val="18"/>
                <w:szCs w:val="18"/>
              </w:rPr>
              <w:t>6</w:t>
            </w:r>
            <w:r>
              <w:rPr>
                <w:rFonts w:hint="eastAsia"/>
                <w:sz w:val="18"/>
                <w:szCs w:val="18"/>
              </w:rPr>
              <w:t>.</w:t>
            </w:r>
            <w:r>
              <w:rPr>
                <w:sz w:val="18"/>
                <w:szCs w:val="18"/>
              </w:rPr>
              <w:t>1</w:t>
            </w:r>
            <w:r>
              <w:rPr>
                <w:rFonts w:hint="eastAsia"/>
                <w:sz w:val="18"/>
                <w:szCs w:val="18"/>
              </w:rPr>
              <w:t xml:space="preserve"> 开源软件与云计算；主要内容：目前主流的开源软件介绍。</w:t>
            </w:r>
          </w:p>
          <w:p>
            <w:pPr>
              <w:spacing w:line="280" w:lineRule="exact"/>
              <w:ind w:firstLine="180" w:firstLineChars="100"/>
              <w:rPr>
                <w:sz w:val="18"/>
                <w:szCs w:val="18"/>
              </w:rPr>
            </w:pPr>
            <w:r>
              <w:rPr>
                <w:sz w:val="18"/>
                <w:szCs w:val="18"/>
              </w:rPr>
              <w:t>6</w:t>
            </w:r>
            <w:r>
              <w:rPr>
                <w:rFonts w:hint="eastAsia"/>
                <w:sz w:val="18"/>
                <w:szCs w:val="18"/>
              </w:rPr>
              <w:t>.</w:t>
            </w:r>
            <w:r>
              <w:rPr>
                <w:sz w:val="18"/>
                <w:szCs w:val="18"/>
              </w:rPr>
              <w:t xml:space="preserve">2 </w:t>
            </w:r>
            <w:r>
              <w:rPr>
                <w:rFonts w:hint="eastAsia"/>
                <w:sz w:val="18"/>
                <w:szCs w:val="18"/>
              </w:rPr>
              <w:t>主流开源云计算系统；Hadoop、Eucalyptus、OpenStack、CloudStack系统。</w:t>
            </w:r>
          </w:p>
          <w:p>
            <w:pPr>
              <w:spacing w:line="280" w:lineRule="exact"/>
              <w:ind w:firstLine="180" w:firstLineChars="100"/>
              <w:rPr>
                <w:sz w:val="18"/>
                <w:szCs w:val="18"/>
              </w:rPr>
            </w:pPr>
            <w:r>
              <w:rPr>
                <w:rFonts w:hint="eastAsia"/>
                <w:sz w:val="18"/>
                <w:szCs w:val="18"/>
              </w:rPr>
              <w:t>重点：目前主流开源云计算系统的基本知识。</w:t>
            </w:r>
          </w:p>
          <w:p>
            <w:pPr>
              <w:spacing w:line="280" w:lineRule="exact"/>
              <w:ind w:firstLine="180" w:firstLineChars="100"/>
              <w:rPr>
                <w:rFonts w:cs="Calibri"/>
                <w:b/>
                <w:sz w:val="18"/>
                <w:szCs w:val="18"/>
              </w:rPr>
            </w:pPr>
            <w:r>
              <w:rPr>
                <w:rFonts w:hint="eastAsia"/>
                <w:sz w:val="18"/>
                <w:szCs w:val="18"/>
              </w:rPr>
              <w:t>难点：开源云计算系统的工作原理。</w:t>
            </w:r>
          </w:p>
        </w:tc>
        <w:tc>
          <w:tcPr>
            <w:tcW w:w="682" w:type="dxa"/>
            <w:vAlign w:val="center"/>
          </w:tcPr>
          <w:p>
            <w:pPr>
              <w:spacing w:line="280" w:lineRule="exact"/>
              <w:rPr>
                <w:rFonts w:cs="Calibri"/>
                <w:b/>
                <w:sz w:val="18"/>
                <w:szCs w:val="18"/>
              </w:rPr>
            </w:pPr>
            <w:r>
              <w:rPr>
                <w:rFonts w:cs="Calibri"/>
                <w:b/>
                <w:sz w:val="18"/>
                <w:szCs w:val="18"/>
              </w:rPr>
              <w:t>2</w:t>
            </w:r>
          </w:p>
        </w:tc>
        <w:tc>
          <w:tcPr>
            <w:tcW w:w="682" w:type="dxa"/>
            <w:vAlign w:val="center"/>
          </w:tcPr>
          <w:p>
            <w:pPr>
              <w:spacing w:line="280" w:lineRule="exact"/>
              <w:rPr>
                <w:rFonts w:hint="eastAsia" w:cs="Calibri"/>
                <w:b/>
                <w:sz w:val="18"/>
                <w:szCs w:val="18"/>
              </w:rPr>
            </w:pPr>
            <w:r>
              <w:rPr>
                <w:rFonts w:cs="Calibri"/>
                <w:b/>
                <w:sz w:val="18"/>
                <w:szCs w:val="18"/>
              </w:rPr>
              <w:t>2</w:t>
            </w:r>
          </w:p>
        </w:tc>
        <w:tc>
          <w:tcPr>
            <w:tcW w:w="602" w:type="dxa"/>
            <w:vAlign w:val="center"/>
          </w:tcPr>
          <w:p>
            <w:pPr>
              <w:spacing w:line="280" w:lineRule="exact"/>
              <w:rPr>
                <w:rFonts w:cs="Calibri"/>
                <w:b/>
                <w:sz w:val="18"/>
                <w:szCs w:val="18"/>
              </w:rPr>
            </w:pPr>
            <w:r>
              <w:rPr>
                <w:rFonts w:cs="Calibri"/>
                <w:b/>
                <w:sz w:val="18"/>
                <w:szCs w:val="18"/>
              </w:rPr>
              <w:t>4</w:t>
            </w:r>
          </w:p>
        </w:tc>
        <w:tc>
          <w:tcPr>
            <w:tcW w:w="955" w:type="dxa"/>
            <w:vAlign w:val="center"/>
          </w:tcPr>
          <w:p>
            <w:pPr>
              <w:spacing w:line="280" w:lineRule="exact"/>
              <w:rPr>
                <w:rFonts w:cs="Calibri"/>
                <w:b/>
                <w:sz w:val="18"/>
                <w:szCs w:val="18"/>
              </w:rPr>
            </w:pPr>
            <w:r>
              <w:rPr>
                <w:rFonts w:cs="Calibri"/>
                <w:b/>
                <w:sz w:val="18"/>
                <w:szCs w:val="18"/>
              </w:rPr>
              <w:t>2</w:t>
            </w:r>
          </w:p>
        </w:tc>
        <w:tc>
          <w:tcPr>
            <w:tcW w:w="1259" w:type="dxa"/>
            <w:vAlign w:val="center"/>
          </w:tcPr>
          <w:p>
            <w:pPr>
              <w:spacing w:line="280" w:lineRule="exact"/>
              <w:rPr>
                <w:rFonts w:hint="default" w:eastAsia="宋体" w:cs="Calibri"/>
                <w:b/>
                <w:sz w:val="18"/>
                <w:szCs w:val="18"/>
                <w:lang w:val="en-US" w:eastAsia="zh-CN"/>
              </w:rPr>
            </w:pPr>
            <w:r>
              <w:rPr>
                <w:rFonts w:hint="eastAsia" w:cs="Calibri"/>
                <w:b/>
                <w:sz w:val="18"/>
                <w:szCs w:val="18"/>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59" w:type="dxa"/>
            <w:vAlign w:val="center"/>
          </w:tcPr>
          <w:p>
            <w:pPr>
              <w:spacing w:line="280" w:lineRule="exact"/>
              <w:jc w:val="center"/>
              <w:rPr>
                <w:b/>
                <w:sz w:val="18"/>
                <w:szCs w:val="18"/>
              </w:rPr>
            </w:pPr>
            <w:r>
              <w:rPr>
                <w:sz w:val="18"/>
                <w:szCs w:val="18"/>
              </w:rPr>
              <w:t>第7章</w:t>
            </w:r>
          </w:p>
        </w:tc>
        <w:tc>
          <w:tcPr>
            <w:tcW w:w="7756" w:type="dxa"/>
          </w:tcPr>
          <w:p>
            <w:pPr>
              <w:spacing w:line="280" w:lineRule="exact"/>
              <w:rPr>
                <w:rFonts w:hint="eastAsia"/>
                <w:b/>
                <w:bCs/>
                <w:sz w:val="18"/>
                <w:szCs w:val="18"/>
              </w:rPr>
            </w:pPr>
            <w:r>
              <w:rPr>
                <w:b/>
                <w:bCs/>
                <w:sz w:val="18"/>
                <w:szCs w:val="18"/>
              </w:rPr>
              <w:t>7</w:t>
            </w:r>
            <w:r>
              <w:rPr>
                <w:rFonts w:hint="eastAsia"/>
                <w:b/>
                <w:bCs/>
                <w:sz w:val="18"/>
                <w:szCs w:val="18"/>
              </w:rPr>
              <w:t xml:space="preserve">  物联网的概念与发展</w:t>
            </w:r>
          </w:p>
          <w:p>
            <w:pPr>
              <w:spacing w:line="280" w:lineRule="exact"/>
              <w:ind w:firstLine="180" w:firstLineChars="100"/>
              <w:rPr>
                <w:sz w:val="18"/>
                <w:szCs w:val="18"/>
              </w:rPr>
            </w:pPr>
            <w:r>
              <w:rPr>
                <w:sz w:val="18"/>
                <w:szCs w:val="18"/>
              </w:rPr>
              <w:t>7</w:t>
            </w:r>
            <w:r>
              <w:rPr>
                <w:rFonts w:hint="eastAsia"/>
                <w:sz w:val="18"/>
                <w:szCs w:val="18"/>
              </w:rPr>
              <w:t>.</w:t>
            </w:r>
            <w:r>
              <w:rPr>
                <w:sz w:val="18"/>
                <w:szCs w:val="18"/>
              </w:rPr>
              <w:t>1</w:t>
            </w:r>
            <w:r>
              <w:rPr>
                <w:rFonts w:hint="eastAsia"/>
                <w:sz w:val="18"/>
                <w:szCs w:val="18"/>
              </w:rPr>
              <w:t xml:space="preserve"> 物联网的产生背景与定义；主要内容：物联网产生的背景和相关定义。</w:t>
            </w:r>
          </w:p>
          <w:p>
            <w:pPr>
              <w:spacing w:line="280" w:lineRule="exact"/>
              <w:ind w:firstLine="180" w:firstLineChars="100"/>
              <w:rPr>
                <w:sz w:val="18"/>
                <w:szCs w:val="18"/>
              </w:rPr>
            </w:pPr>
            <w:r>
              <w:rPr>
                <w:sz w:val="18"/>
                <w:szCs w:val="18"/>
              </w:rPr>
              <w:t>7</w:t>
            </w:r>
            <w:r>
              <w:rPr>
                <w:rFonts w:hint="eastAsia"/>
                <w:sz w:val="18"/>
                <w:szCs w:val="18"/>
              </w:rPr>
              <w:t>.</w:t>
            </w:r>
            <w:r>
              <w:rPr>
                <w:sz w:val="18"/>
                <w:szCs w:val="18"/>
              </w:rPr>
              <w:t xml:space="preserve">2 </w:t>
            </w:r>
            <w:r>
              <w:rPr>
                <w:rFonts w:hint="eastAsia"/>
                <w:sz w:val="18"/>
                <w:szCs w:val="18"/>
              </w:rPr>
              <w:t>物联网的应用案例；主要内容：物联网与智慧城市和智能制造的应用案例。</w:t>
            </w:r>
          </w:p>
          <w:p>
            <w:pPr>
              <w:spacing w:line="280" w:lineRule="exact"/>
              <w:ind w:firstLine="180" w:firstLineChars="100"/>
              <w:rPr>
                <w:rFonts w:hint="eastAsia"/>
                <w:sz w:val="18"/>
                <w:szCs w:val="18"/>
              </w:rPr>
            </w:pPr>
            <w:r>
              <w:rPr>
                <w:sz w:val="18"/>
                <w:szCs w:val="18"/>
              </w:rPr>
              <w:t>7</w:t>
            </w:r>
            <w:r>
              <w:rPr>
                <w:rFonts w:hint="eastAsia"/>
                <w:sz w:val="18"/>
                <w:szCs w:val="18"/>
              </w:rPr>
              <w:t>.</w:t>
            </w:r>
            <w:r>
              <w:rPr>
                <w:sz w:val="18"/>
                <w:szCs w:val="18"/>
              </w:rPr>
              <w:t>3</w:t>
            </w:r>
            <w:r>
              <w:rPr>
                <w:rFonts w:hint="eastAsia"/>
                <w:sz w:val="18"/>
                <w:szCs w:val="18"/>
              </w:rPr>
              <w:t xml:space="preserve"> 物联网的发展状况；主要内容：物联网在国内外的发展状况。</w:t>
            </w:r>
          </w:p>
          <w:p>
            <w:pPr>
              <w:spacing w:line="280" w:lineRule="exact"/>
              <w:ind w:firstLine="180" w:firstLineChars="100"/>
              <w:rPr>
                <w:sz w:val="18"/>
                <w:szCs w:val="18"/>
              </w:rPr>
            </w:pPr>
            <w:r>
              <w:rPr>
                <w:sz w:val="18"/>
                <w:szCs w:val="18"/>
              </w:rPr>
              <w:t>7</w:t>
            </w:r>
            <w:r>
              <w:rPr>
                <w:rFonts w:hint="eastAsia"/>
                <w:sz w:val="18"/>
                <w:szCs w:val="18"/>
              </w:rPr>
              <w:t>.</w:t>
            </w:r>
            <w:r>
              <w:rPr>
                <w:sz w:val="18"/>
                <w:szCs w:val="18"/>
              </w:rPr>
              <w:t xml:space="preserve">4 </w:t>
            </w:r>
            <w:r>
              <w:rPr>
                <w:rFonts w:hint="eastAsia"/>
                <w:sz w:val="18"/>
                <w:szCs w:val="18"/>
              </w:rPr>
              <w:t>物联网的挑战与建议；主要内容：物联网发展面临的挑战和建议。</w:t>
            </w:r>
          </w:p>
          <w:p>
            <w:pPr>
              <w:spacing w:line="280" w:lineRule="exact"/>
              <w:ind w:firstLine="180" w:firstLineChars="100"/>
              <w:rPr>
                <w:sz w:val="18"/>
                <w:szCs w:val="18"/>
              </w:rPr>
            </w:pPr>
            <w:r>
              <w:rPr>
                <w:rFonts w:hint="eastAsia"/>
                <w:sz w:val="18"/>
                <w:szCs w:val="18"/>
              </w:rPr>
              <w:t>重点：物联网的基础概念、应用案例、发展状况和面临的挑战。</w:t>
            </w:r>
          </w:p>
          <w:p>
            <w:pPr>
              <w:spacing w:line="280" w:lineRule="exact"/>
              <w:ind w:firstLine="180" w:firstLineChars="100"/>
              <w:rPr>
                <w:rFonts w:hint="eastAsia"/>
                <w:sz w:val="18"/>
                <w:szCs w:val="18"/>
              </w:rPr>
            </w:pPr>
            <w:r>
              <w:rPr>
                <w:rFonts w:hint="eastAsia"/>
                <w:sz w:val="18"/>
                <w:szCs w:val="18"/>
              </w:rPr>
              <w:t>难点：针对物联网面临的挑战提出相应的建议。</w:t>
            </w:r>
          </w:p>
        </w:tc>
        <w:tc>
          <w:tcPr>
            <w:tcW w:w="682" w:type="dxa"/>
            <w:vAlign w:val="center"/>
          </w:tcPr>
          <w:p>
            <w:pPr>
              <w:spacing w:line="280" w:lineRule="exact"/>
              <w:rPr>
                <w:rFonts w:cs="Calibri"/>
                <w:b/>
                <w:sz w:val="18"/>
                <w:szCs w:val="18"/>
              </w:rPr>
            </w:pPr>
            <w:r>
              <w:rPr>
                <w:rFonts w:cs="Calibri"/>
                <w:b/>
                <w:sz w:val="18"/>
                <w:szCs w:val="18"/>
              </w:rPr>
              <w:t>2</w:t>
            </w:r>
          </w:p>
        </w:tc>
        <w:tc>
          <w:tcPr>
            <w:tcW w:w="682" w:type="dxa"/>
            <w:vAlign w:val="center"/>
          </w:tcPr>
          <w:p>
            <w:pPr>
              <w:spacing w:line="280" w:lineRule="exact"/>
              <w:rPr>
                <w:rFonts w:cs="Calibri"/>
                <w:b/>
                <w:sz w:val="18"/>
                <w:szCs w:val="18"/>
              </w:rPr>
            </w:pPr>
            <w:r>
              <w:rPr>
                <w:rFonts w:hint="eastAsia" w:cs="Calibri"/>
                <w:b/>
                <w:sz w:val="18"/>
                <w:szCs w:val="18"/>
              </w:rPr>
              <w:t>0</w:t>
            </w:r>
          </w:p>
        </w:tc>
        <w:tc>
          <w:tcPr>
            <w:tcW w:w="602" w:type="dxa"/>
            <w:vAlign w:val="center"/>
          </w:tcPr>
          <w:p>
            <w:pPr>
              <w:spacing w:line="280" w:lineRule="exact"/>
              <w:rPr>
                <w:rFonts w:cs="Calibri"/>
                <w:b/>
                <w:sz w:val="18"/>
                <w:szCs w:val="18"/>
              </w:rPr>
            </w:pPr>
            <w:r>
              <w:rPr>
                <w:rFonts w:cs="Calibri"/>
                <w:b/>
                <w:sz w:val="18"/>
                <w:szCs w:val="18"/>
              </w:rPr>
              <w:t>2</w:t>
            </w:r>
          </w:p>
        </w:tc>
        <w:tc>
          <w:tcPr>
            <w:tcW w:w="955" w:type="dxa"/>
            <w:vAlign w:val="center"/>
          </w:tcPr>
          <w:p>
            <w:pPr>
              <w:spacing w:line="280" w:lineRule="exact"/>
              <w:rPr>
                <w:rFonts w:cs="Calibri"/>
                <w:b/>
                <w:sz w:val="18"/>
                <w:szCs w:val="18"/>
              </w:rPr>
            </w:pPr>
            <w:r>
              <w:rPr>
                <w:rFonts w:cs="Calibri"/>
                <w:b/>
                <w:sz w:val="18"/>
                <w:szCs w:val="18"/>
              </w:rPr>
              <w:t>1</w:t>
            </w:r>
          </w:p>
        </w:tc>
        <w:tc>
          <w:tcPr>
            <w:tcW w:w="1259" w:type="dxa"/>
            <w:vAlign w:val="center"/>
          </w:tcPr>
          <w:p>
            <w:pPr>
              <w:spacing w:line="280" w:lineRule="exact"/>
              <w:rPr>
                <w:rFonts w:cs="Calibri"/>
                <w:b/>
                <w:sz w:val="18"/>
                <w:szCs w:val="18"/>
              </w:rPr>
            </w:pPr>
            <w:r>
              <w:rPr>
                <w:rFonts w:cs="Calibri"/>
                <w:b/>
                <w:sz w:val="18"/>
                <w:szCs w:val="18"/>
              </w:rPr>
              <w:t>1</w:t>
            </w:r>
            <w:r>
              <w:rPr>
                <w:rFonts w:hint="eastAsia" w:cs="Calibri"/>
                <w:b/>
                <w:sz w:val="18"/>
                <w:szCs w:val="18"/>
              </w:rPr>
              <w:t>-</w:t>
            </w:r>
            <w:r>
              <w:rPr>
                <w:rFonts w:cs="Calibri"/>
                <w:b/>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59" w:type="dxa"/>
            <w:vAlign w:val="center"/>
          </w:tcPr>
          <w:p>
            <w:pPr>
              <w:spacing w:line="280" w:lineRule="exact"/>
              <w:jc w:val="center"/>
              <w:rPr>
                <w:sz w:val="18"/>
                <w:szCs w:val="18"/>
              </w:rPr>
            </w:pPr>
            <w:r>
              <w:rPr>
                <w:sz w:val="18"/>
                <w:szCs w:val="18"/>
              </w:rPr>
              <w:t>第8章</w:t>
            </w:r>
          </w:p>
        </w:tc>
        <w:tc>
          <w:tcPr>
            <w:tcW w:w="7756" w:type="dxa"/>
          </w:tcPr>
          <w:p>
            <w:pPr>
              <w:spacing w:line="280" w:lineRule="exact"/>
              <w:rPr>
                <w:rFonts w:hint="eastAsia"/>
                <w:b/>
                <w:bCs/>
                <w:sz w:val="18"/>
                <w:szCs w:val="18"/>
              </w:rPr>
            </w:pPr>
            <w:r>
              <w:rPr>
                <w:b/>
                <w:bCs/>
                <w:sz w:val="18"/>
                <w:szCs w:val="18"/>
              </w:rPr>
              <w:t>8</w:t>
            </w:r>
            <w:r>
              <w:rPr>
                <w:rFonts w:hint="eastAsia"/>
                <w:b/>
                <w:bCs/>
                <w:sz w:val="18"/>
                <w:szCs w:val="18"/>
              </w:rPr>
              <w:t xml:space="preserve">  物联网的系统结构</w:t>
            </w:r>
          </w:p>
          <w:p>
            <w:pPr>
              <w:spacing w:line="280" w:lineRule="exact"/>
              <w:ind w:firstLine="180" w:firstLineChars="100"/>
              <w:rPr>
                <w:sz w:val="18"/>
                <w:szCs w:val="18"/>
              </w:rPr>
            </w:pPr>
            <w:r>
              <w:rPr>
                <w:sz w:val="18"/>
                <w:szCs w:val="18"/>
              </w:rPr>
              <w:t>8</w:t>
            </w:r>
            <w:r>
              <w:rPr>
                <w:rFonts w:hint="eastAsia"/>
                <w:sz w:val="18"/>
                <w:szCs w:val="18"/>
              </w:rPr>
              <w:t>.</w:t>
            </w:r>
            <w:r>
              <w:rPr>
                <w:sz w:val="18"/>
                <w:szCs w:val="18"/>
              </w:rPr>
              <w:t>1</w:t>
            </w:r>
            <w:r>
              <w:rPr>
                <w:rFonts w:hint="eastAsia"/>
                <w:sz w:val="18"/>
                <w:szCs w:val="18"/>
              </w:rPr>
              <w:t xml:space="preserve"> 物联网的一般体系结构；主要内容：物联网一般的三层和四层架构。</w:t>
            </w:r>
          </w:p>
          <w:p>
            <w:pPr>
              <w:spacing w:line="280" w:lineRule="exact"/>
              <w:ind w:firstLine="180" w:firstLineChars="100"/>
              <w:rPr>
                <w:sz w:val="18"/>
                <w:szCs w:val="18"/>
              </w:rPr>
            </w:pPr>
            <w:r>
              <w:rPr>
                <w:sz w:val="18"/>
                <w:szCs w:val="18"/>
              </w:rPr>
              <w:t>8</w:t>
            </w:r>
            <w:r>
              <w:rPr>
                <w:rFonts w:hint="eastAsia"/>
                <w:sz w:val="18"/>
                <w:szCs w:val="18"/>
              </w:rPr>
              <w:t>.</w:t>
            </w:r>
            <w:r>
              <w:rPr>
                <w:sz w:val="18"/>
                <w:szCs w:val="18"/>
              </w:rPr>
              <w:t xml:space="preserve">2 </w:t>
            </w:r>
            <w:r>
              <w:rPr>
                <w:rFonts w:hint="eastAsia"/>
                <w:sz w:val="18"/>
                <w:szCs w:val="18"/>
              </w:rPr>
              <w:t>物联网的自主体系结构；主要内容：物联网自主体系结构的组成。</w:t>
            </w:r>
          </w:p>
          <w:p>
            <w:pPr>
              <w:spacing w:line="280" w:lineRule="exact"/>
              <w:ind w:firstLine="180" w:firstLineChars="100"/>
              <w:rPr>
                <w:sz w:val="18"/>
                <w:szCs w:val="18"/>
              </w:rPr>
            </w:pPr>
            <w:r>
              <w:rPr>
                <w:sz w:val="18"/>
                <w:szCs w:val="18"/>
              </w:rPr>
              <w:t>8</w:t>
            </w:r>
            <w:r>
              <w:rPr>
                <w:rFonts w:hint="eastAsia"/>
                <w:sz w:val="18"/>
                <w:szCs w:val="18"/>
              </w:rPr>
              <w:t>.</w:t>
            </w:r>
            <w:r>
              <w:rPr>
                <w:sz w:val="18"/>
                <w:szCs w:val="18"/>
              </w:rPr>
              <w:t>3</w:t>
            </w:r>
            <w:r>
              <w:rPr>
                <w:rFonts w:hint="eastAsia"/>
                <w:sz w:val="18"/>
                <w:szCs w:val="18"/>
              </w:rPr>
              <w:t xml:space="preserve"> 物联网标准的体系结构；主要内容：物联网标准体系架构和国际标准化状况。</w:t>
            </w:r>
          </w:p>
          <w:p>
            <w:pPr>
              <w:spacing w:line="280" w:lineRule="exact"/>
              <w:ind w:firstLine="180" w:firstLineChars="100"/>
              <w:rPr>
                <w:sz w:val="18"/>
                <w:szCs w:val="18"/>
              </w:rPr>
            </w:pPr>
            <w:r>
              <w:rPr>
                <w:rFonts w:hint="eastAsia"/>
                <w:sz w:val="18"/>
                <w:szCs w:val="18"/>
              </w:rPr>
              <w:t>重点：物联网的系统结构主要组成和功能。</w:t>
            </w:r>
          </w:p>
          <w:p>
            <w:pPr>
              <w:spacing w:line="280" w:lineRule="exact"/>
              <w:ind w:firstLine="180" w:firstLineChars="100"/>
              <w:rPr>
                <w:b/>
                <w:bCs/>
                <w:sz w:val="18"/>
                <w:szCs w:val="18"/>
              </w:rPr>
            </w:pPr>
            <w:r>
              <w:rPr>
                <w:rFonts w:hint="eastAsia"/>
                <w:sz w:val="18"/>
                <w:szCs w:val="18"/>
              </w:rPr>
              <w:t>难点：一般体系结构和标准化体系结构的不同。</w:t>
            </w:r>
          </w:p>
        </w:tc>
        <w:tc>
          <w:tcPr>
            <w:tcW w:w="682" w:type="dxa"/>
            <w:vAlign w:val="center"/>
          </w:tcPr>
          <w:p>
            <w:pPr>
              <w:spacing w:line="280" w:lineRule="exact"/>
              <w:rPr>
                <w:rFonts w:hint="eastAsia" w:cs="Calibri"/>
                <w:b/>
                <w:sz w:val="18"/>
                <w:szCs w:val="18"/>
              </w:rPr>
            </w:pPr>
            <w:r>
              <w:rPr>
                <w:rFonts w:cs="Calibri"/>
                <w:b/>
                <w:sz w:val="18"/>
                <w:szCs w:val="18"/>
              </w:rPr>
              <w:t>2</w:t>
            </w:r>
          </w:p>
        </w:tc>
        <w:tc>
          <w:tcPr>
            <w:tcW w:w="682" w:type="dxa"/>
            <w:vAlign w:val="center"/>
          </w:tcPr>
          <w:p>
            <w:pPr>
              <w:spacing w:line="280" w:lineRule="exact"/>
              <w:rPr>
                <w:rFonts w:hint="eastAsia" w:cs="Calibri"/>
                <w:b/>
                <w:sz w:val="18"/>
                <w:szCs w:val="18"/>
              </w:rPr>
            </w:pPr>
            <w:r>
              <w:rPr>
                <w:rFonts w:hint="eastAsia" w:cs="Calibri"/>
                <w:b/>
                <w:sz w:val="18"/>
                <w:szCs w:val="18"/>
              </w:rPr>
              <w:t>0</w:t>
            </w:r>
          </w:p>
        </w:tc>
        <w:tc>
          <w:tcPr>
            <w:tcW w:w="602" w:type="dxa"/>
            <w:vAlign w:val="center"/>
          </w:tcPr>
          <w:p>
            <w:pPr>
              <w:spacing w:line="280" w:lineRule="exact"/>
              <w:rPr>
                <w:rFonts w:hint="eastAsia" w:cs="Calibri"/>
                <w:b/>
                <w:sz w:val="18"/>
                <w:szCs w:val="18"/>
              </w:rPr>
            </w:pPr>
            <w:r>
              <w:rPr>
                <w:rFonts w:cs="Calibri"/>
                <w:b/>
                <w:sz w:val="18"/>
                <w:szCs w:val="18"/>
              </w:rPr>
              <w:t>2</w:t>
            </w:r>
          </w:p>
        </w:tc>
        <w:tc>
          <w:tcPr>
            <w:tcW w:w="955" w:type="dxa"/>
            <w:vAlign w:val="center"/>
          </w:tcPr>
          <w:p>
            <w:pPr>
              <w:spacing w:line="280" w:lineRule="exact"/>
              <w:rPr>
                <w:rFonts w:hint="eastAsia" w:cs="Calibri"/>
                <w:b/>
                <w:sz w:val="18"/>
                <w:szCs w:val="18"/>
              </w:rPr>
            </w:pPr>
            <w:r>
              <w:rPr>
                <w:rFonts w:cs="Calibri"/>
                <w:b/>
                <w:sz w:val="18"/>
                <w:szCs w:val="18"/>
              </w:rPr>
              <w:t>1</w:t>
            </w:r>
          </w:p>
        </w:tc>
        <w:tc>
          <w:tcPr>
            <w:tcW w:w="1259" w:type="dxa"/>
            <w:vAlign w:val="center"/>
          </w:tcPr>
          <w:p>
            <w:pPr>
              <w:spacing w:line="280" w:lineRule="exact"/>
              <w:rPr>
                <w:rFonts w:cs="Calibri"/>
                <w:b/>
                <w:sz w:val="18"/>
                <w:szCs w:val="18"/>
              </w:rPr>
            </w:pPr>
            <w:r>
              <w:rPr>
                <w:rFonts w:cs="Calibri"/>
                <w:b/>
                <w:sz w:val="18"/>
                <w:szCs w:val="18"/>
              </w:rPr>
              <w:t>1</w:t>
            </w:r>
            <w:r>
              <w:rPr>
                <w:rFonts w:hint="eastAsia" w:cs="Calibri"/>
                <w:b/>
                <w:sz w:val="18"/>
                <w:szCs w:val="18"/>
              </w:rPr>
              <w:t>-</w:t>
            </w:r>
            <w:r>
              <w:rPr>
                <w:rFonts w:cs="Calibri"/>
                <w:b/>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59" w:type="dxa"/>
            <w:vAlign w:val="center"/>
          </w:tcPr>
          <w:p>
            <w:pPr>
              <w:spacing w:line="280" w:lineRule="exact"/>
              <w:jc w:val="center"/>
              <w:rPr>
                <w:sz w:val="18"/>
                <w:szCs w:val="18"/>
              </w:rPr>
            </w:pPr>
            <w:r>
              <w:rPr>
                <w:sz w:val="18"/>
                <w:szCs w:val="18"/>
              </w:rPr>
              <w:t>第9章</w:t>
            </w:r>
          </w:p>
        </w:tc>
        <w:tc>
          <w:tcPr>
            <w:tcW w:w="7756" w:type="dxa"/>
          </w:tcPr>
          <w:p>
            <w:pPr>
              <w:spacing w:line="280" w:lineRule="exact"/>
              <w:rPr>
                <w:rFonts w:hint="eastAsia"/>
                <w:b/>
                <w:bCs/>
                <w:sz w:val="18"/>
                <w:szCs w:val="18"/>
              </w:rPr>
            </w:pPr>
            <w:r>
              <w:rPr>
                <w:b/>
                <w:bCs/>
                <w:sz w:val="18"/>
                <w:szCs w:val="18"/>
              </w:rPr>
              <w:t>9</w:t>
            </w:r>
            <w:r>
              <w:rPr>
                <w:rFonts w:hint="eastAsia"/>
                <w:b/>
                <w:bCs/>
                <w:sz w:val="18"/>
                <w:szCs w:val="18"/>
              </w:rPr>
              <w:t xml:space="preserve">  物联网的关键技术</w:t>
            </w:r>
          </w:p>
          <w:p>
            <w:pPr>
              <w:spacing w:line="280" w:lineRule="exact"/>
              <w:ind w:firstLine="180" w:firstLineChars="100"/>
              <w:rPr>
                <w:sz w:val="18"/>
                <w:szCs w:val="18"/>
              </w:rPr>
            </w:pPr>
            <w:r>
              <w:rPr>
                <w:sz w:val="18"/>
                <w:szCs w:val="18"/>
              </w:rPr>
              <w:t>9</w:t>
            </w:r>
            <w:r>
              <w:rPr>
                <w:rFonts w:hint="eastAsia"/>
                <w:sz w:val="18"/>
                <w:szCs w:val="18"/>
              </w:rPr>
              <w:t>.</w:t>
            </w:r>
            <w:r>
              <w:rPr>
                <w:sz w:val="18"/>
                <w:szCs w:val="18"/>
              </w:rPr>
              <w:t>1</w:t>
            </w:r>
            <w:r>
              <w:rPr>
                <w:rFonts w:hint="eastAsia"/>
                <w:sz w:val="18"/>
                <w:szCs w:val="18"/>
              </w:rPr>
              <w:t xml:space="preserve"> 现代感知与标识技术；主要内容：条码、RFID和传感器技术。</w:t>
            </w:r>
          </w:p>
          <w:p>
            <w:pPr>
              <w:spacing w:line="280" w:lineRule="exact"/>
              <w:ind w:firstLine="180" w:firstLineChars="100"/>
              <w:rPr>
                <w:sz w:val="18"/>
                <w:szCs w:val="18"/>
              </w:rPr>
            </w:pPr>
            <w:r>
              <w:rPr>
                <w:sz w:val="18"/>
                <w:szCs w:val="18"/>
              </w:rPr>
              <w:t>9</w:t>
            </w:r>
            <w:r>
              <w:rPr>
                <w:rFonts w:hint="eastAsia"/>
                <w:sz w:val="18"/>
                <w:szCs w:val="18"/>
              </w:rPr>
              <w:t>.</w:t>
            </w:r>
            <w:r>
              <w:rPr>
                <w:sz w:val="18"/>
                <w:szCs w:val="18"/>
              </w:rPr>
              <w:t xml:space="preserve">2 </w:t>
            </w:r>
            <w:r>
              <w:rPr>
                <w:rFonts w:hint="eastAsia"/>
                <w:sz w:val="18"/>
                <w:szCs w:val="18"/>
              </w:rPr>
              <w:t>嵌入式系统技术；主要内容：嵌入式的组成、特点和开发技术。</w:t>
            </w:r>
          </w:p>
          <w:p>
            <w:pPr>
              <w:spacing w:line="280" w:lineRule="exact"/>
              <w:ind w:firstLine="180" w:firstLineChars="100"/>
              <w:rPr>
                <w:sz w:val="18"/>
                <w:szCs w:val="18"/>
              </w:rPr>
            </w:pPr>
            <w:r>
              <w:rPr>
                <w:sz w:val="18"/>
                <w:szCs w:val="18"/>
              </w:rPr>
              <w:t>9</w:t>
            </w:r>
            <w:r>
              <w:rPr>
                <w:rFonts w:hint="eastAsia"/>
                <w:sz w:val="18"/>
                <w:szCs w:val="18"/>
              </w:rPr>
              <w:t>.</w:t>
            </w:r>
            <w:r>
              <w:rPr>
                <w:sz w:val="18"/>
                <w:szCs w:val="18"/>
              </w:rPr>
              <w:t>3</w:t>
            </w:r>
            <w:r>
              <w:rPr>
                <w:rFonts w:hint="eastAsia"/>
                <w:sz w:val="18"/>
                <w:szCs w:val="18"/>
              </w:rPr>
              <w:t xml:space="preserve"> 网络通信技术；主要内容：短距离网络通信和广域网通信技术。</w:t>
            </w:r>
          </w:p>
          <w:p>
            <w:pPr>
              <w:spacing w:line="280" w:lineRule="exact"/>
              <w:ind w:firstLine="180" w:firstLineChars="100"/>
              <w:rPr>
                <w:sz w:val="18"/>
                <w:szCs w:val="18"/>
              </w:rPr>
            </w:pPr>
            <w:r>
              <w:rPr>
                <w:sz w:val="18"/>
                <w:szCs w:val="18"/>
              </w:rPr>
              <w:t>9</w:t>
            </w:r>
            <w:r>
              <w:rPr>
                <w:rFonts w:hint="eastAsia"/>
                <w:sz w:val="18"/>
                <w:szCs w:val="18"/>
              </w:rPr>
              <w:t>.</w:t>
            </w:r>
            <w:r>
              <w:rPr>
                <w:sz w:val="18"/>
                <w:szCs w:val="18"/>
              </w:rPr>
              <w:t xml:space="preserve">4 </w:t>
            </w:r>
            <w:r>
              <w:rPr>
                <w:rFonts w:hint="eastAsia"/>
                <w:sz w:val="18"/>
                <w:szCs w:val="18"/>
              </w:rPr>
              <w:t>数据汇聚与信息融合；主要内容：信息融合的分层模型。</w:t>
            </w:r>
          </w:p>
          <w:p>
            <w:pPr>
              <w:spacing w:line="280" w:lineRule="exact"/>
              <w:ind w:firstLine="180" w:firstLineChars="100"/>
              <w:rPr>
                <w:sz w:val="18"/>
                <w:szCs w:val="18"/>
              </w:rPr>
            </w:pPr>
            <w:r>
              <w:rPr>
                <w:sz w:val="18"/>
                <w:szCs w:val="18"/>
              </w:rPr>
              <w:t>9</w:t>
            </w:r>
            <w:r>
              <w:rPr>
                <w:rFonts w:hint="eastAsia"/>
                <w:sz w:val="18"/>
                <w:szCs w:val="18"/>
              </w:rPr>
              <w:t>.</w:t>
            </w:r>
            <w:r>
              <w:rPr>
                <w:sz w:val="18"/>
                <w:szCs w:val="18"/>
              </w:rPr>
              <w:t xml:space="preserve">5 </w:t>
            </w:r>
            <w:r>
              <w:rPr>
                <w:rFonts w:hint="eastAsia"/>
                <w:sz w:val="18"/>
                <w:szCs w:val="18"/>
              </w:rPr>
              <w:t>云计算与信息服务技术；主要内容：云计算的计算能力和信息服务的潜能。</w:t>
            </w:r>
          </w:p>
          <w:p>
            <w:pPr>
              <w:spacing w:line="280" w:lineRule="exact"/>
              <w:ind w:firstLine="180" w:firstLineChars="100"/>
              <w:rPr>
                <w:rFonts w:hint="eastAsia"/>
                <w:sz w:val="18"/>
                <w:szCs w:val="18"/>
              </w:rPr>
            </w:pPr>
            <w:r>
              <w:rPr>
                <w:rFonts w:hint="eastAsia"/>
                <w:sz w:val="18"/>
                <w:szCs w:val="18"/>
              </w:rPr>
              <w:t>9.</w:t>
            </w:r>
            <w:r>
              <w:rPr>
                <w:sz w:val="18"/>
                <w:szCs w:val="18"/>
              </w:rPr>
              <w:t xml:space="preserve">6 </w:t>
            </w:r>
            <w:r>
              <w:rPr>
                <w:rFonts w:hint="eastAsia"/>
                <w:sz w:val="18"/>
                <w:szCs w:val="18"/>
              </w:rPr>
              <w:t>物联网的安全技术；主要内容：物联网感知层、传输层、处理层和应用层的安全技术。</w:t>
            </w:r>
          </w:p>
          <w:p>
            <w:pPr>
              <w:spacing w:line="280" w:lineRule="exact"/>
              <w:ind w:firstLine="180" w:firstLineChars="100"/>
              <w:rPr>
                <w:sz w:val="18"/>
                <w:szCs w:val="18"/>
              </w:rPr>
            </w:pPr>
            <w:r>
              <w:rPr>
                <w:rFonts w:hint="eastAsia"/>
                <w:sz w:val="18"/>
                <w:szCs w:val="18"/>
              </w:rPr>
              <w:t>重点：物联网中的关键技术知识。</w:t>
            </w:r>
          </w:p>
          <w:p>
            <w:pPr>
              <w:spacing w:line="280" w:lineRule="exact"/>
              <w:ind w:firstLine="180" w:firstLineChars="100"/>
              <w:rPr>
                <w:b/>
                <w:bCs/>
                <w:sz w:val="18"/>
                <w:szCs w:val="18"/>
              </w:rPr>
            </w:pPr>
            <w:r>
              <w:rPr>
                <w:rFonts w:hint="eastAsia"/>
                <w:sz w:val="18"/>
                <w:szCs w:val="18"/>
              </w:rPr>
              <w:t>难点：物联网中各关键技术的联系和融合。</w:t>
            </w:r>
          </w:p>
        </w:tc>
        <w:tc>
          <w:tcPr>
            <w:tcW w:w="682" w:type="dxa"/>
            <w:vAlign w:val="center"/>
          </w:tcPr>
          <w:p>
            <w:pPr>
              <w:spacing w:line="280" w:lineRule="exact"/>
              <w:rPr>
                <w:rFonts w:hint="eastAsia" w:cs="Calibri"/>
                <w:b/>
                <w:sz w:val="18"/>
                <w:szCs w:val="18"/>
              </w:rPr>
            </w:pPr>
            <w:r>
              <w:rPr>
                <w:rFonts w:cs="Calibri"/>
                <w:b/>
                <w:sz w:val="18"/>
                <w:szCs w:val="18"/>
              </w:rPr>
              <w:t>4</w:t>
            </w:r>
          </w:p>
        </w:tc>
        <w:tc>
          <w:tcPr>
            <w:tcW w:w="682" w:type="dxa"/>
            <w:vAlign w:val="center"/>
          </w:tcPr>
          <w:p>
            <w:pPr>
              <w:spacing w:line="280" w:lineRule="exact"/>
              <w:rPr>
                <w:rFonts w:hint="eastAsia" w:cs="Calibri"/>
                <w:b/>
                <w:sz w:val="18"/>
                <w:szCs w:val="18"/>
              </w:rPr>
            </w:pPr>
            <w:r>
              <w:rPr>
                <w:rFonts w:cs="Calibri"/>
                <w:b/>
                <w:sz w:val="18"/>
                <w:szCs w:val="18"/>
              </w:rPr>
              <w:t>2</w:t>
            </w:r>
          </w:p>
        </w:tc>
        <w:tc>
          <w:tcPr>
            <w:tcW w:w="602" w:type="dxa"/>
            <w:vAlign w:val="center"/>
          </w:tcPr>
          <w:p>
            <w:pPr>
              <w:spacing w:line="280" w:lineRule="exact"/>
              <w:rPr>
                <w:rFonts w:hint="eastAsia" w:cs="Calibri"/>
                <w:b/>
                <w:sz w:val="18"/>
                <w:szCs w:val="18"/>
              </w:rPr>
            </w:pPr>
            <w:r>
              <w:rPr>
                <w:rFonts w:cs="Calibri"/>
                <w:b/>
                <w:sz w:val="18"/>
                <w:szCs w:val="18"/>
              </w:rPr>
              <w:t>6</w:t>
            </w:r>
          </w:p>
        </w:tc>
        <w:tc>
          <w:tcPr>
            <w:tcW w:w="955" w:type="dxa"/>
            <w:vAlign w:val="center"/>
          </w:tcPr>
          <w:p>
            <w:pPr>
              <w:spacing w:line="280" w:lineRule="exact"/>
              <w:rPr>
                <w:rFonts w:hint="eastAsia" w:cs="Calibri"/>
                <w:b/>
                <w:sz w:val="18"/>
                <w:szCs w:val="18"/>
              </w:rPr>
            </w:pPr>
            <w:r>
              <w:rPr>
                <w:rFonts w:cs="Calibri"/>
                <w:b/>
                <w:sz w:val="18"/>
                <w:szCs w:val="18"/>
              </w:rPr>
              <w:t>1</w:t>
            </w:r>
          </w:p>
        </w:tc>
        <w:tc>
          <w:tcPr>
            <w:tcW w:w="1259" w:type="dxa"/>
            <w:vAlign w:val="center"/>
          </w:tcPr>
          <w:p>
            <w:pPr>
              <w:spacing w:line="280" w:lineRule="exact"/>
              <w:rPr>
                <w:rFonts w:cs="Calibri"/>
                <w:b/>
                <w:sz w:val="18"/>
                <w:szCs w:val="18"/>
              </w:rPr>
            </w:pPr>
            <w:r>
              <w:rPr>
                <w:rFonts w:cs="Calibri"/>
                <w:b/>
                <w:sz w:val="18"/>
                <w:szCs w:val="18"/>
              </w:rPr>
              <w:t>1</w:t>
            </w:r>
            <w:r>
              <w:rPr>
                <w:rFonts w:hint="eastAsia" w:cs="Calibri"/>
                <w:b/>
                <w:sz w:val="18"/>
                <w:szCs w:val="18"/>
              </w:rPr>
              <w:t>-</w:t>
            </w:r>
            <w:r>
              <w:rPr>
                <w:rFonts w:cs="Calibri"/>
                <w:b/>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59" w:type="dxa"/>
            <w:vAlign w:val="center"/>
          </w:tcPr>
          <w:p>
            <w:pPr>
              <w:spacing w:line="280" w:lineRule="exact"/>
              <w:jc w:val="center"/>
              <w:rPr>
                <w:sz w:val="18"/>
                <w:szCs w:val="18"/>
              </w:rPr>
            </w:pPr>
            <w:r>
              <w:rPr>
                <w:sz w:val="18"/>
                <w:szCs w:val="18"/>
              </w:rPr>
              <w:t>第10章</w:t>
            </w:r>
          </w:p>
        </w:tc>
        <w:tc>
          <w:tcPr>
            <w:tcW w:w="7756" w:type="dxa"/>
          </w:tcPr>
          <w:p>
            <w:pPr>
              <w:spacing w:line="280" w:lineRule="exact"/>
              <w:rPr>
                <w:rFonts w:hint="eastAsia"/>
                <w:b/>
                <w:bCs/>
                <w:sz w:val="18"/>
                <w:szCs w:val="18"/>
              </w:rPr>
            </w:pPr>
            <w:r>
              <w:rPr>
                <w:b/>
                <w:bCs/>
                <w:sz w:val="18"/>
                <w:szCs w:val="18"/>
              </w:rPr>
              <w:t>10</w:t>
            </w:r>
            <w:r>
              <w:rPr>
                <w:rFonts w:hint="eastAsia"/>
                <w:b/>
                <w:bCs/>
                <w:sz w:val="18"/>
                <w:szCs w:val="18"/>
              </w:rPr>
              <w:t xml:space="preserve">  开源物联网系统</w:t>
            </w:r>
          </w:p>
          <w:p>
            <w:pPr>
              <w:spacing w:line="280" w:lineRule="exact"/>
              <w:ind w:firstLine="180" w:firstLineChars="100"/>
              <w:rPr>
                <w:sz w:val="18"/>
                <w:szCs w:val="18"/>
              </w:rPr>
            </w:pPr>
            <w:r>
              <w:rPr>
                <w:sz w:val="18"/>
                <w:szCs w:val="18"/>
              </w:rPr>
              <w:t>10</w:t>
            </w:r>
            <w:r>
              <w:rPr>
                <w:rFonts w:hint="eastAsia"/>
                <w:sz w:val="18"/>
                <w:szCs w:val="18"/>
              </w:rPr>
              <w:t>.</w:t>
            </w:r>
            <w:r>
              <w:rPr>
                <w:sz w:val="18"/>
                <w:szCs w:val="18"/>
              </w:rPr>
              <w:t>1</w:t>
            </w:r>
            <w:r>
              <w:rPr>
                <w:rFonts w:hint="eastAsia"/>
                <w:sz w:val="18"/>
                <w:szCs w:val="18"/>
              </w:rPr>
              <w:t xml:space="preserve"> 物联网开源平台与创客文化；主要内容：物联网开源平台和创客文化的介绍。</w:t>
            </w:r>
          </w:p>
          <w:p>
            <w:pPr>
              <w:spacing w:line="280" w:lineRule="exact"/>
              <w:ind w:firstLine="180" w:firstLineChars="100"/>
              <w:rPr>
                <w:sz w:val="18"/>
                <w:szCs w:val="18"/>
              </w:rPr>
            </w:pPr>
            <w:r>
              <w:rPr>
                <w:sz w:val="18"/>
                <w:szCs w:val="18"/>
              </w:rPr>
              <w:t>10</w:t>
            </w:r>
            <w:r>
              <w:rPr>
                <w:rFonts w:hint="eastAsia"/>
                <w:sz w:val="18"/>
                <w:szCs w:val="18"/>
              </w:rPr>
              <w:t>.</w:t>
            </w:r>
            <w:r>
              <w:rPr>
                <w:sz w:val="18"/>
                <w:szCs w:val="18"/>
              </w:rPr>
              <w:t xml:space="preserve">2 </w:t>
            </w:r>
            <w:r>
              <w:rPr>
                <w:rFonts w:hint="eastAsia"/>
                <w:sz w:val="18"/>
                <w:szCs w:val="18"/>
              </w:rPr>
              <w:t>物联网开源硬件系统；主要内容：开源平台Arduino和树莓派Raspbian。</w:t>
            </w:r>
          </w:p>
          <w:p>
            <w:pPr>
              <w:spacing w:line="280" w:lineRule="exact"/>
              <w:ind w:firstLine="180" w:firstLineChars="100"/>
              <w:rPr>
                <w:sz w:val="18"/>
                <w:szCs w:val="18"/>
              </w:rPr>
            </w:pPr>
            <w:r>
              <w:rPr>
                <w:sz w:val="18"/>
                <w:szCs w:val="18"/>
              </w:rPr>
              <w:t>10</w:t>
            </w:r>
            <w:r>
              <w:rPr>
                <w:rFonts w:hint="eastAsia"/>
                <w:sz w:val="18"/>
                <w:szCs w:val="18"/>
              </w:rPr>
              <w:t>.</w:t>
            </w:r>
            <w:r>
              <w:rPr>
                <w:sz w:val="18"/>
                <w:szCs w:val="18"/>
              </w:rPr>
              <w:t>3</w:t>
            </w:r>
            <w:r>
              <w:rPr>
                <w:rFonts w:hint="eastAsia"/>
                <w:sz w:val="18"/>
                <w:szCs w:val="18"/>
              </w:rPr>
              <w:t xml:space="preserve"> 物联网开源操作系统；主要内容：Contiki操作系统的特点和特性。</w:t>
            </w:r>
          </w:p>
          <w:p>
            <w:pPr>
              <w:spacing w:line="280" w:lineRule="exact"/>
              <w:ind w:firstLine="180" w:firstLineChars="100"/>
              <w:rPr>
                <w:sz w:val="18"/>
                <w:szCs w:val="18"/>
              </w:rPr>
            </w:pPr>
            <w:r>
              <w:rPr>
                <w:rFonts w:hint="eastAsia"/>
                <w:sz w:val="18"/>
                <w:szCs w:val="18"/>
              </w:rPr>
              <w:t>重点：开源物联网平台、硬件系统和操作系统的基础知识和操作模式。</w:t>
            </w:r>
          </w:p>
          <w:p>
            <w:pPr>
              <w:spacing w:line="280" w:lineRule="exact"/>
              <w:ind w:firstLine="180" w:firstLineChars="100"/>
              <w:rPr>
                <w:b/>
                <w:bCs/>
                <w:sz w:val="18"/>
                <w:szCs w:val="18"/>
              </w:rPr>
            </w:pPr>
            <w:r>
              <w:rPr>
                <w:rFonts w:hint="eastAsia"/>
                <w:sz w:val="18"/>
                <w:szCs w:val="18"/>
              </w:rPr>
              <w:t>难点：Contiki操作系统的代码模块。</w:t>
            </w:r>
          </w:p>
        </w:tc>
        <w:tc>
          <w:tcPr>
            <w:tcW w:w="682" w:type="dxa"/>
            <w:vAlign w:val="center"/>
          </w:tcPr>
          <w:p>
            <w:pPr>
              <w:spacing w:line="280" w:lineRule="exact"/>
              <w:rPr>
                <w:rFonts w:hint="eastAsia" w:cs="Calibri"/>
                <w:b/>
                <w:sz w:val="18"/>
                <w:szCs w:val="18"/>
              </w:rPr>
            </w:pPr>
            <w:r>
              <w:rPr>
                <w:rFonts w:cs="Calibri"/>
                <w:b/>
                <w:sz w:val="18"/>
                <w:szCs w:val="18"/>
              </w:rPr>
              <w:t>2</w:t>
            </w:r>
          </w:p>
        </w:tc>
        <w:tc>
          <w:tcPr>
            <w:tcW w:w="682" w:type="dxa"/>
            <w:vAlign w:val="center"/>
          </w:tcPr>
          <w:p>
            <w:pPr>
              <w:spacing w:line="280" w:lineRule="exact"/>
              <w:rPr>
                <w:rFonts w:hint="eastAsia" w:cs="Calibri"/>
                <w:b/>
                <w:sz w:val="18"/>
                <w:szCs w:val="18"/>
              </w:rPr>
            </w:pPr>
            <w:r>
              <w:rPr>
                <w:rFonts w:cs="Calibri"/>
                <w:b/>
                <w:sz w:val="18"/>
                <w:szCs w:val="18"/>
              </w:rPr>
              <w:t>2</w:t>
            </w:r>
          </w:p>
        </w:tc>
        <w:tc>
          <w:tcPr>
            <w:tcW w:w="602" w:type="dxa"/>
            <w:vAlign w:val="center"/>
          </w:tcPr>
          <w:p>
            <w:pPr>
              <w:spacing w:line="280" w:lineRule="exact"/>
              <w:rPr>
                <w:rFonts w:hint="eastAsia" w:cs="Calibri"/>
                <w:b/>
                <w:sz w:val="18"/>
                <w:szCs w:val="18"/>
              </w:rPr>
            </w:pPr>
            <w:r>
              <w:rPr>
                <w:rFonts w:cs="Calibri"/>
                <w:b/>
                <w:sz w:val="18"/>
                <w:szCs w:val="18"/>
              </w:rPr>
              <w:t>4</w:t>
            </w:r>
          </w:p>
        </w:tc>
        <w:tc>
          <w:tcPr>
            <w:tcW w:w="955" w:type="dxa"/>
            <w:vAlign w:val="center"/>
          </w:tcPr>
          <w:p>
            <w:pPr>
              <w:spacing w:line="280" w:lineRule="exact"/>
              <w:rPr>
                <w:rFonts w:hint="eastAsia" w:cs="Calibri"/>
                <w:b/>
                <w:sz w:val="18"/>
                <w:szCs w:val="18"/>
              </w:rPr>
            </w:pPr>
            <w:r>
              <w:rPr>
                <w:rFonts w:cs="Calibri"/>
                <w:b/>
                <w:sz w:val="18"/>
                <w:szCs w:val="18"/>
              </w:rPr>
              <w:t>2</w:t>
            </w:r>
          </w:p>
        </w:tc>
        <w:tc>
          <w:tcPr>
            <w:tcW w:w="1259" w:type="dxa"/>
            <w:vAlign w:val="center"/>
          </w:tcPr>
          <w:p>
            <w:pPr>
              <w:spacing w:line="280" w:lineRule="exact"/>
              <w:rPr>
                <w:rFonts w:hint="default" w:eastAsia="宋体" w:cs="Calibri"/>
                <w:b/>
                <w:sz w:val="18"/>
                <w:szCs w:val="18"/>
                <w:lang w:val="en-US" w:eastAsia="zh-CN"/>
              </w:rPr>
            </w:pPr>
            <w:r>
              <w:rPr>
                <w:rFonts w:hint="eastAsia" w:cs="Calibri"/>
                <w:b/>
                <w:sz w:val="18"/>
                <w:szCs w:val="18"/>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59" w:type="dxa"/>
            <w:vAlign w:val="center"/>
          </w:tcPr>
          <w:p>
            <w:pPr>
              <w:spacing w:line="280" w:lineRule="exact"/>
              <w:jc w:val="center"/>
              <w:rPr>
                <w:sz w:val="18"/>
                <w:szCs w:val="18"/>
              </w:rPr>
            </w:pPr>
            <w:r>
              <w:rPr>
                <w:sz w:val="18"/>
                <w:szCs w:val="18"/>
              </w:rPr>
              <w:t>第11章</w:t>
            </w:r>
          </w:p>
        </w:tc>
        <w:tc>
          <w:tcPr>
            <w:tcW w:w="7756" w:type="dxa"/>
          </w:tcPr>
          <w:p>
            <w:pPr>
              <w:spacing w:line="280" w:lineRule="exact"/>
              <w:rPr>
                <w:rFonts w:hint="eastAsia"/>
                <w:b/>
                <w:bCs/>
                <w:sz w:val="18"/>
                <w:szCs w:val="18"/>
              </w:rPr>
            </w:pPr>
            <w:r>
              <w:rPr>
                <w:b/>
                <w:bCs/>
                <w:sz w:val="18"/>
                <w:szCs w:val="18"/>
              </w:rPr>
              <w:t>11</w:t>
            </w:r>
            <w:r>
              <w:rPr>
                <w:rFonts w:hint="eastAsia"/>
                <w:b/>
                <w:bCs/>
                <w:sz w:val="18"/>
                <w:szCs w:val="18"/>
              </w:rPr>
              <w:t xml:space="preserve">  云计算与物联网融合应用</w:t>
            </w:r>
          </w:p>
          <w:p>
            <w:pPr>
              <w:spacing w:line="280" w:lineRule="exact"/>
              <w:ind w:firstLine="180" w:firstLineChars="100"/>
              <w:rPr>
                <w:sz w:val="18"/>
                <w:szCs w:val="18"/>
              </w:rPr>
            </w:pPr>
            <w:r>
              <w:rPr>
                <w:sz w:val="18"/>
                <w:szCs w:val="18"/>
              </w:rPr>
              <w:t>11</w:t>
            </w:r>
            <w:r>
              <w:rPr>
                <w:rFonts w:hint="eastAsia"/>
                <w:sz w:val="18"/>
                <w:szCs w:val="18"/>
              </w:rPr>
              <w:t>.</w:t>
            </w:r>
            <w:r>
              <w:rPr>
                <w:sz w:val="18"/>
                <w:szCs w:val="18"/>
              </w:rPr>
              <w:t xml:space="preserve">1 </w:t>
            </w:r>
            <w:r>
              <w:rPr>
                <w:rFonts w:hint="eastAsia"/>
                <w:sz w:val="18"/>
                <w:szCs w:val="18"/>
              </w:rPr>
              <w:t>云计算与物联网在智慧城市中的融合应用；主要内容：智慧城市基础平台架构，智慧城市中的数据融合与共享。</w:t>
            </w:r>
          </w:p>
          <w:p>
            <w:pPr>
              <w:spacing w:line="280" w:lineRule="exact"/>
              <w:ind w:firstLine="180" w:firstLineChars="100"/>
              <w:rPr>
                <w:sz w:val="18"/>
                <w:szCs w:val="18"/>
              </w:rPr>
            </w:pPr>
            <w:r>
              <w:rPr>
                <w:sz w:val="18"/>
                <w:szCs w:val="18"/>
              </w:rPr>
              <w:t>11</w:t>
            </w:r>
            <w:r>
              <w:rPr>
                <w:rFonts w:hint="eastAsia"/>
                <w:sz w:val="18"/>
                <w:szCs w:val="18"/>
              </w:rPr>
              <w:t>.</w:t>
            </w:r>
            <w:r>
              <w:rPr>
                <w:sz w:val="18"/>
                <w:szCs w:val="18"/>
              </w:rPr>
              <w:t xml:space="preserve">2 </w:t>
            </w:r>
            <w:r>
              <w:rPr>
                <w:rFonts w:hint="eastAsia"/>
                <w:sz w:val="18"/>
                <w:szCs w:val="18"/>
              </w:rPr>
              <w:t>云计算与物联网在智慧医疗中的融合应用；主要内容：智慧医疗的总体架构，远程医疗监护系统的工作模式。</w:t>
            </w:r>
          </w:p>
          <w:p>
            <w:pPr>
              <w:spacing w:line="280" w:lineRule="exact"/>
              <w:ind w:firstLine="180" w:firstLineChars="100"/>
              <w:rPr>
                <w:rFonts w:hint="eastAsia"/>
                <w:sz w:val="18"/>
                <w:szCs w:val="18"/>
              </w:rPr>
            </w:pPr>
            <w:r>
              <w:rPr>
                <w:sz w:val="18"/>
                <w:szCs w:val="18"/>
              </w:rPr>
              <w:t>11</w:t>
            </w:r>
            <w:r>
              <w:rPr>
                <w:rFonts w:hint="eastAsia"/>
                <w:sz w:val="18"/>
                <w:szCs w:val="18"/>
              </w:rPr>
              <w:t>.</w:t>
            </w:r>
            <w:r>
              <w:rPr>
                <w:sz w:val="18"/>
                <w:szCs w:val="18"/>
              </w:rPr>
              <w:t>3</w:t>
            </w:r>
            <w:r>
              <w:rPr>
                <w:rFonts w:hint="eastAsia"/>
                <w:sz w:val="18"/>
                <w:szCs w:val="18"/>
              </w:rPr>
              <w:t xml:space="preserve"> 云计算与物联网在智慧社区中的融合应用；主要内容：智慧社区的总体框架和综合信息服务平台的工作模式。</w:t>
            </w:r>
          </w:p>
          <w:p>
            <w:pPr>
              <w:spacing w:line="280" w:lineRule="exact"/>
              <w:ind w:firstLine="180" w:firstLineChars="100"/>
              <w:rPr>
                <w:sz w:val="18"/>
                <w:szCs w:val="18"/>
              </w:rPr>
            </w:pPr>
            <w:r>
              <w:rPr>
                <w:rFonts w:hint="eastAsia"/>
                <w:sz w:val="18"/>
                <w:szCs w:val="18"/>
              </w:rPr>
              <w:t>重点：云计算与物联网在智慧城市、智慧医疗和智慧社区中的应用。</w:t>
            </w:r>
          </w:p>
          <w:p>
            <w:pPr>
              <w:spacing w:line="280" w:lineRule="exact"/>
              <w:ind w:firstLine="180" w:firstLineChars="100"/>
              <w:rPr>
                <w:b/>
                <w:bCs/>
                <w:sz w:val="18"/>
                <w:szCs w:val="18"/>
              </w:rPr>
            </w:pPr>
            <w:r>
              <w:rPr>
                <w:rFonts w:hint="eastAsia"/>
                <w:sz w:val="18"/>
                <w:szCs w:val="18"/>
              </w:rPr>
              <w:t>难点：云计算与物联网融合应用中的基础数据分析。</w:t>
            </w:r>
          </w:p>
        </w:tc>
        <w:tc>
          <w:tcPr>
            <w:tcW w:w="682" w:type="dxa"/>
            <w:vAlign w:val="center"/>
          </w:tcPr>
          <w:p>
            <w:pPr>
              <w:spacing w:line="280" w:lineRule="exact"/>
              <w:rPr>
                <w:rFonts w:hint="eastAsia" w:cs="Calibri"/>
                <w:b/>
                <w:sz w:val="18"/>
                <w:szCs w:val="18"/>
              </w:rPr>
            </w:pPr>
            <w:r>
              <w:rPr>
                <w:rFonts w:cs="Calibri"/>
                <w:b/>
                <w:sz w:val="18"/>
                <w:szCs w:val="18"/>
              </w:rPr>
              <w:t>2</w:t>
            </w:r>
          </w:p>
        </w:tc>
        <w:tc>
          <w:tcPr>
            <w:tcW w:w="682" w:type="dxa"/>
            <w:vAlign w:val="center"/>
          </w:tcPr>
          <w:p>
            <w:pPr>
              <w:spacing w:line="280" w:lineRule="exact"/>
              <w:rPr>
                <w:rFonts w:hint="eastAsia" w:cs="Calibri"/>
                <w:b/>
                <w:sz w:val="18"/>
                <w:szCs w:val="18"/>
              </w:rPr>
            </w:pPr>
            <w:r>
              <w:rPr>
                <w:rFonts w:cs="Calibri"/>
                <w:b/>
                <w:sz w:val="18"/>
                <w:szCs w:val="18"/>
              </w:rPr>
              <w:t>2</w:t>
            </w:r>
          </w:p>
        </w:tc>
        <w:tc>
          <w:tcPr>
            <w:tcW w:w="602" w:type="dxa"/>
            <w:vAlign w:val="center"/>
          </w:tcPr>
          <w:p>
            <w:pPr>
              <w:spacing w:line="280" w:lineRule="exact"/>
              <w:rPr>
                <w:rFonts w:hint="eastAsia" w:cs="Calibri"/>
                <w:b/>
                <w:sz w:val="18"/>
                <w:szCs w:val="18"/>
              </w:rPr>
            </w:pPr>
            <w:r>
              <w:rPr>
                <w:rFonts w:cs="Calibri"/>
                <w:b/>
                <w:sz w:val="18"/>
                <w:szCs w:val="18"/>
              </w:rPr>
              <w:t>4</w:t>
            </w:r>
          </w:p>
        </w:tc>
        <w:tc>
          <w:tcPr>
            <w:tcW w:w="955" w:type="dxa"/>
            <w:vAlign w:val="center"/>
          </w:tcPr>
          <w:p>
            <w:pPr>
              <w:spacing w:line="280" w:lineRule="exact"/>
              <w:rPr>
                <w:rFonts w:hint="eastAsia" w:cs="Calibri"/>
                <w:b/>
                <w:sz w:val="18"/>
                <w:szCs w:val="18"/>
              </w:rPr>
            </w:pPr>
            <w:r>
              <w:rPr>
                <w:rFonts w:cs="Calibri"/>
                <w:b/>
                <w:sz w:val="18"/>
                <w:szCs w:val="18"/>
              </w:rPr>
              <w:t>2</w:t>
            </w:r>
          </w:p>
        </w:tc>
        <w:tc>
          <w:tcPr>
            <w:tcW w:w="1259" w:type="dxa"/>
            <w:vAlign w:val="center"/>
          </w:tcPr>
          <w:p>
            <w:pPr>
              <w:spacing w:line="280" w:lineRule="exact"/>
              <w:rPr>
                <w:rFonts w:hint="default" w:eastAsia="宋体" w:cs="Calibri"/>
                <w:b/>
                <w:sz w:val="18"/>
                <w:szCs w:val="18"/>
                <w:lang w:val="en-US" w:eastAsia="zh-CN"/>
              </w:rPr>
            </w:pPr>
            <w:r>
              <w:rPr>
                <w:rFonts w:hint="eastAsia" w:cs="Calibri"/>
                <w:b/>
                <w:sz w:val="18"/>
                <w:szCs w:val="18"/>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59" w:type="dxa"/>
            <w:vAlign w:val="center"/>
          </w:tcPr>
          <w:p>
            <w:pPr>
              <w:spacing w:line="280" w:lineRule="exact"/>
              <w:jc w:val="center"/>
              <w:rPr>
                <w:b/>
                <w:sz w:val="18"/>
                <w:szCs w:val="18"/>
              </w:rPr>
            </w:pPr>
            <w:r>
              <w:rPr>
                <w:b/>
                <w:sz w:val="18"/>
                <w:szCs w:val="18"/>
              </w:rPr>
              <w:t>合 计</w:t>
            </w:r>
          </w:p>
        </w:tc>
        <w:tc>
          <w:tcPr>
            <w:tcW w:w="7756" w:type="dxa"/>
          </w:tcPr>
          <w:p>
            <w:pPr>
              <w:spacing w:line="280" w:lineRule="exact"/>
              <w:jc w:val="center"/>
              <w:rPr>
                <w:sz w:val="18"/>
                <w:szCs w:val="18"/>
              </w:rPr>
            </w:pPr>
          </w:p>
        </w:tc>
        <w:tc>
          <w:tcPr>
            <w:tcW w:w="682" w:type="dxa"/>
            <w:vAlign w:val="center"/>
          </w:tcPr>
          <w:p>
            <w:pPr>
              <w:spacing w:line="280" w:lineRule="exact"/>
              <w:rPr>
                <w:rFonts w:cs="Calibri"/>
                <w:b/>
                <w:sz w:val="18"/>
                <w:szCs w:val="18"/>
              </w:rPr>
            </w:pPr>
            <w:r>
              <w:rPr>
                <w:rFonts w:cs="Calibri"/>
                <w:b/>
                <w:sz w:val="18"/>
                <w:szCs w:val="18"/>
              </w:rPr>
              <w:t>24</w:t>
            </w:r>
          </w:p>
        </w:tc>
        <w:tc>
          <w:tcPr>
            <w:tcW w:w="682" w:type="dxa"/>
            <w:vAlign w:val="center"/>
          </w:tcPr>
          <w:p>
            <w:pPr>
              <w:spacing w:line="280" w:lineRule="exact"/>
              <w:rPr>
                <w:rFonts w:cs="Calibri"/>
                <w:b/>
                <w:sz w:val="18"/>
                <w:szCs w:val="18"/>
              </w:rPr>
            </w:pPr>
            <w:r>
              <w:rPr>
                <w:rFonts w:cs="Calibri"/>
                <w:b/>
                <w:sz w:val="18"/>
                <w:szCs w:val="18"/>
              </w:rPr>
              <w:t>8</w:t>
            </w:r>
          </w:p>
        </w:tc>
        <w:tc>
          <w:tcPr>
            <w:tcW w:w="602" w:type="dxa"/>
            <w:vAlign w:val="center"/>
          </w:tcPr>
          <w:p>
            <w:pPr>
              <w:spacing w:line="280" w:lineRule="exact"/>
              <w:rPr>
                <w:rFonts w:cs="Calibri"/>
                <w:b/>
                <w:sz w:val="18"/>
                <w:szCs w:val="18"/>
              </w:rPr>
            </w:pPr>
            <w:r>
              <w:rPr>
                <w:rFonts w:cs="Calibri"/>
                <w:b/>
                <w:sz w:val="18"/>
                <w:szCs w:val="18"/>
              </w:rPr>
              <w:t>32</w:t>
            </w:r>
          </w:p>
        </w:tc>
        <w:tc>
          <w:tcPr>
            <w:tcW w:w="955" w:type="dxa"/>
            <w:vAlign w:val="center"/>
          </w:tcPr>
          <w:p>
            <w:pPr>
              <w:spacing w:line="280" w:lineRule="exact"/>
              <w:rPr>
                <w:rFonts w:cs="Calibri"/>
                <w:b/>
                <w:sz w:val="18"/>
                <w:szCs w:val="18"/>
              </w:rPr>
            </w:pPr>
          </w:p>
        </w:tc>
        <w:tc>
          <w:tcPr>
            <w:tcW w:w="1259" w:type="dxa"/>
            <w:vAlign w:val="center"/>
          </w:tcPr>
          <w:p>
            <w:pPr>
              <w:spacing w:line="280" w:lineRule="exact"/>
              <w:rPr>
                <w:rFonts w:cs="Calibri"/>
                <w:b/>
                <w:sz w:val="18"/>
                <w:szCs w:val="18"/>
              </w:rPr>
            </w:pPr>
          </w:p>
        </w:tc>
      </w:tr>
    </w:tbl>
    <w:p>
      <w:pPr>
        <w:spacing w:before="156" w:beforeLines="50" w:after="156" w:afterLines="50" w:line="360" w:lineRule="auto"/>
        <w:ind w:left="422"/>
        <w:jc w:val="center"/>
        <w:rPr>
          <w:rFonts w:hint="eastAsia" w:ascii="宋体" w:hAnsi="宋体" w:cs="宋体"/>
          <w:b/>
          <w:szCs w:val="21"/>
        </w:rPr>
      </w:pPr>
      <w:r>
        <w:rPr>
          <w:rFonts w:hint="eastAsia" w:ascii="宋体" w:hAnsi="宋体" w:cs="宋体"/>
          <w:b/>
          <w:szCs w:val="21"/>
        </w:rPr>
        <w:t>表2.2 课程内容与思政融入点对应关系</w:t>
      </w:r>
    </w:p>
    <w:tbl>
      <w:tblPr>
        <w:tblStyle w:val="19"/>
        <w:tblW w:w="0" w:type="auto"/>
        <w:tblInd w:w="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5121"/>
        <w:gridCol w:w="6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shd w:val="clear" w:color="auto" w:fill="auto"/>
            <w:vAlign w:val="center"/>
          </w:tcPr>
          <w:p>
            <w:pPr>
              <w:spacing w:line="360" w:lineRule="auto"/>
              <w:jc w:val="center"/>
              <w:rPr>
                <w:rFonts w:hint="eastAsia" w:ascii="宋体" w:hAnsi="宋体" w:cs="宋体"/>
                <w:b/>
                <w:kern w:val="0"/>
                <w:sz w:val="18"/>
                <w:szCs w:val="18"/>
              </w:rPr>
            </w:pPr>
            <w:r>
              <w:rPr>
                <w:rFonts w:hint="eastAsia" w:ascii="宋体" w:hAnsi="宋体" w:cs="宋体"/>
                <w:b/>
                <w:kern w:val="0"/>
                <w:sz w:val="18"/>
                <w:szCs w:val="18"/>
              </w:rPr>
              <w:t>序号</w:t>
            </w:r>
          </w:p>
        </w:tc>
        <w:tc>
          <w:tcPr>
            <w:tcW w:w="5121" w:type="dxa"/>
            <w:shd w:val="clear" w:color="auto" w:fill="auto"/>
            <w:vAlign w:val="center"/>
          </w:tcPr>
          <w:p>
            <w:pPr>
              <w:spacing w:line="360" w:lineRule="auto"/>
              <w:jc w:val="center"/>
              <w:rPr>
                <w:rFonts w:hint="eastAsia" w:ascii="宋体" w:hAnsi="宋体" w:cs="宋体"/>
                <w:b/>
                <w:kern w:val="0"/>
                <w:sz w:val="18"/>
                <w:szCs w:val="18"/>
              </w:rPr>
            </w:pPr>
            <w:r>
              <w:rPr>
                <w:rFonts w:hint="eastAsia" w:ascii="宋体" w:hAnsi="宋体" w:cs="宋体"/>
                <w:b/>
                <w:kern w:val="0"/>
                <w:sz w:val="18"/>
                <w:szCs w:val="18"/>
              </w:rPr>
              <w:t>知识点</w:t>
            </w:r>
          </w:p>
        </w:tc>
        <w:tc>
          <w:tcPr>
            <w:tcW w:w="6857" w:type="dxa"/>
            <w:shd w:val="clear" w:color="auto" w:fill="auto"/>
            <w:vAlign w:val="center"/>
          </w:tcPr>
          <w:p>
            <w:pPr>
              <w:spacing w:line="360" w:lineRule="auto"/>
              <w:jc w:val="center"/>
              <w:rPr>
                <w:rFonts w:hint="eastAsia" w:ascii="宋体" w:hAnsi="宋体" w:cs="宋体"/>
                <w:b/>
                <w:kern w:val="0"/>
                <w:sz w:val="18"/>
                <w:szCs w:val="18"/>
              </w:rPr>
            </w:pPr>
            <w:r>
              <w:rPr>
                <w:rFonts w:hint="eastAsia" w:ascii="宋体" w:hAnsi="宋体" w:cs="宋体"/>
                <w:b/>
                <w:kern w:val="0"/>
                <w:sz w:val="18"/>
                <w:szCs w:val="18"/>
              </w:rPr>
              <w:t>思政融入点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shd w:val="clear" w:color="auto" w:fill="auto"/>
            <w:vAlign w:val="center"/>
          </w:tcPr>
          <w:p>
            <w:pPr>
              <w:spacing w:before="156" w:beforeLines="50" w:after="156" w:afterLines="50" w:line="360" w:lineRule="auto"/>
              <w:jc w:val="center"/>
              <w:rPr>
                <w:rFonts w:eastAsia="黑体"/>
                <w:b/>
                <w:kern w:val="0"/>
                <w:sz w:val="20"/>
                <w:szCs w:val="21"/>
              </w:rPr>
            </w:pPr>
            <w:r>
              <w:rPr>
                <w:rFonts w:hint="eastAsia" w:eastAsia="黑体"/>
                <w:b/>
                <w:kern w:val="0"/>
                <w:sz w:val="20"/>
                <w:szCs w:val="21"/>
              </w:rPr>
              <w:t>1</w:t>
            </w:r>
          </w:p>
        </w:tc>
        <w:tc>
          <w:tcPr>
            <w:tcW w:w="5121" w:type="dxa"/>
            <w:shd w:val="clear" w:color="auto" w:fill="auto"/>
            <w:vAlign w:val="center"/>
          </w:tcPr>
          <w:p>
            <w:pPr>
              <w:ind w:left="105" w:leftChars="50"/>
              <w:jc w:val="center"/>
              <w:rPr>
                <w:kern w:val="0"/>
                <w:sz w:val="20"/>
              </w:rPr>
            </w:pPr>
            <w:r>
              <w:rPr>
                <w:rFonts w:hint="eastAsia"/>
                <w:sz w:val="18"/>
                <w:szCs w:val="18"/>
              </w:rPr>
              <w:t>云计算与物联网的发展历程和不同的阶段，信息技术行业的发展现状及对云计算和物联网人才的需求。</w:t>
            </w:r>
          </w:p>
        </w:tc>
        <w:tc>
          <w:tcPr>
            <w:tcW w:w="6857" w:type="dxa"/>
            <w:shd w:val="clear" w:color="auto" w:fill="auto"/>
            <w:vAlign w:val="center"/>
          </w:tcPr>
          <w:p>
            <w:pPr>
              <w:ind w:left="105" w:leftChars="50"/>
              <w:jc w:val="center"/>
              <w:rPr>
                <w:rFonts w:eastAsia="黑体"/>
                <w:b/>
                <w:kern w:val="0"/>
                <w:sz w:val="20"/>
                <w:szCs w:val="21"/>
              </w:rPr>
            </w:pPr>
            <w:r>
              <w:rPr>
                <w:rFonts w:hint="eastAsia"/>
                <w:sz w:val="18"/>
                <w:szCs w:val="18"/>
              </w:rPr>
              <w:t>专业报国思想：通过梳理当云计算和物联网产业的发展态势，勉励学生将个人专业学习与社会发展紧密结合。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shd w:val="clear" w:color="auto" w:fill="auto"/>
            <w:vAlign w:val="center"/>
          </w:tcPr>
          <w:p>
            <w:pPr>
              <w:spacing w:before="156" w:beforeLines="50" w:after="156" w:afterLines="50" w:line="360" w:lineRule="auto"/>
              <w:jc w:val="center"/>
              <w:rPr>
                <w:rFonts w:eastAsia="黑体"/>
                <w:b/>
                <w:kern w:val="0"/>
                <w:sz w:val="20"/>
                <w:szCs w:val="21"/>
              </w:rPr>
            </w:pPr>
            <w:r>
              <w:rPr>
                <w:rFonts w:hint="eastAsia" w:eastAsia="黑体"/>
                <w:b/>
                <w:kern w:val="0"/>
                <w:sz w:val="20"/>
                <w:szCs w:val="21"/>
              </w:rPr>
              <w:t>2</w:t>
            </w:r>
          </w:p>
        </w:tc>
        <w:tc>
          <w:tcPr>
            <w:tcW w:w="5121" w:type="dxa"/>
            <w:shd w:val="clear" w:color="auto" w:fill="auto"/>
            <w:vAlign w:val="center"/>
          </w:tcPr>
          <w:p>
            <w:pPr>
              <w:ind w:left="105" w:leftChars="50"/>
              <w:jc w:val="center"/>
              <w:rPr>
                <w:rFonts w:eastAsia="黑体"/>
                <w:b/>
                <w:kern w:val="0"/>
                <w:sz w:val="20"/>
                <w:szCs w:val="21"/>
              </w:rPr>
            </w:pPr>
            <w:r>
              <w:rPr>
                <w:rFonts w:hint="eastAsia"/>
                <w:sz w:val="18"/>
                <w:szCs w:val="18"/>
              </w:rPr>
              <w:t>云安全和物联网安全中的云计算和物联网信息安全保障技术及常用手段。</w:t>
            </w:r>
          </w:p>
        </w:tc>
        <w:tc>
          <w:tcPr>
            <w:tcW w:w="6857" w:type="dxa"/>
            <w:shd w:val="clear" w:color="auto" w:fill="auto"/>
            <w:vAlign w:val="center"/>
          </w:tcPr>
          <w:p>
            <w:pPr>
              <w:ind w:left="105" w:leftChars="50"/>
              <w:jc w:val="center"/>
              <w:rPr>
                <w:rFonts w:hint="eastAsia" w:eastAsia="黑体"/>
                <w:b/>
                <w:kern w:val="0"/>
                <w:sz w:val="20"/>
                <w:szCs w:val="21"/>
              </w:rPr>
            </w:pPr>
            <w:r>
              <w:rPr>
                <w:rFonts w:hint="eastAsia"/>
                <w:sz w:val="18"/>
                <w:szCs w:val="18"/>
              </w:rPr>
              <w:t>爱国情怀：通过学习云计算和物联网安全保障技术，讲解安全信息防护技术案例，培养学生的国家安全意识，真正的热爱自己国家。</w:t>
            </w:r>
          </w:p>
        </w:tc>
      </w:tr>
    </w:tbl>
    <w:p>
      <w:pPr>
        <w:spacing w:line="420" w:lineRule="exact"/>
        <w:rPr>
          <w:rFonts w:hint="eastAsia" w:eastAsia="黑体"/>
          <w:szCs w:val="21"/>
        </w:rPr>
        <w:sectPr>
          <w:pgSz w:w="16838" w:h="11906" w:orient="landscape"/>
          <w:pgMar w:top="1418" w:right="1440" w:bottom="1418" w:left="1440" w:header="851" w:footer="992" w:gutter="0"/>
          <w:pgNumType w:fmt="decimal"/>
          <w:cols w:space="720" w:num="1"/>
          <w:docGrid w:type="linesAndChars" w:linePitch="312" w:charSpace="0"/>
        </w:sectPr>
      </w:pPr>
    </w:p>
    <w:p>
      <w:pPr>
        <w:spacing w:before="156" w:beforeLines="50" w:after="156" w:afterLines="50" w:line="420" w:lineRule="exact"/>
        <w:rPr>
          <w:rFonts w:ascii="黑体" w:eastAsia="黑体"/>
          <w:bCs/>
          <w:szCs w:val="21"/>
        </w:rPr>
      </w:pPr>
      <w:r>
        <w:rPr>
          <w:rFonts w:hint="eastAsia" w:ascii="黑体" w:eastAsia="黑体"/>
          <w:bCs/>
          <w:szCs w:val="21"/>
        </w:rPr>
        <w:t>三、本课程开设的实验项目</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3202"/>
        <w:gridCol w:w="709"/>
        <w:gridCol w:w="851"/>
        <w:gridCol w:w="850"/>
        <w:gridCol w:w="1418"/>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91" w:type="dxa"/>
            <w:shd w:val="clear" w:color="auto" w:fill="F2F2F2"/>
            <w:vAlign w:val="center"/>
          </w:tcPr>
          <w:p>
            <w:pPr>
              <w:spacing w:line="420" w:lineRule="exact"/>
              <w:jc w:val="center"/>
              <w:rPr>
                <w:b/>
                <w:color w:val="000000"/>
                <w:sz w:val="18"/>
                <w:szCs w:val="18"/>
              </w:rPr>
            </w:pPr>
            <w:r>
              <w:rPr>
                <w:rFonts w:hint="eastAsia"/>
                <w:b/>
                <w:color w:val="000000"/>
                <w:sz w:val="18"/>
                <w:szCs w:val="18"/>
              </w:rPr>
              <w:t>编号</w:t>
            </w:r>
          </w:p>
        </w:tc>
        <w:tc>
          <w:tcPr>
            <w:tcW w:w="3202" w:type="dxa"/>
            <w:shd w:val="clear" w:color="auto" w:fill="F2F2F2"/>
            <w:vAlign w:val="center"/>
          </w:tcPr>
          <w:p>
            <w:pPr>
              <w:spacing w:line="420" w:lineRule="exact"/>
              <w:jc w:val="center"/>
              <w:rPr>
                <w:b/>
                <w:color w:val="000000"/>
                <w:sz w:val="18"/>
                <w:szCs w:val="18"/>
              </w:rPr>
            </w:pPr>
            <w:r>
              <w:rPr>
                <w:rFonts w:hint="eastAsia"/>
                <w:b/>
                <w:color w:val="000000"/>
                <w:sz w:val="18"/>
                <w:szCs w:val="18"/>
              </w:rPr>
              <w:t>实验项目名称</w:t>
            </w:r>
          </w:p>
        </w:tc>
        <w:tc>
          <w:tcPr>
            <w:tcW w:w="709" w:type="dxa"/>
            <w:shd w:val="clear" w:color="auto" w:fill="F2F2F2"/>
            <w:vAlign w:val="center"/>
          </w:tcPr>
          <w:p>
            <w:pPr>
              <w:spacing w:line="420" w:lineRule="exact"/>
              <w:jc w:val="center"/>
              <w:rPr>
                <w:b/>
                <w:color w:val="000000"/>
                <w:sz w:val="18"/>
                <w:szCs w:val="18"/>
              </w:rPr>
            </w:pPr>
            <w:r>
              <w:rPr>
                <w:rFonts w:hint="eastAsia"/>
                <w:b/>
                <w:color w:val="000000"/>
                <w:sz w:val="18"/>
                <w:szCs w:val="18"/>
              </w:rPr>
              <w:t>学时</w:t>
            </w:r>
          </w:p>
        </w:tc>
        <w:tc>
          <w:tcPr>
            <w:tcW w:w="851" w:type="dxa"/>
            <w:shd w:val="clear" w:color="auto" w:fill="F2F2F2"/>
            <w:vAlign w:val="center"/>
          </w:tcPr>
          <w:p>
            <w:pPr>
              <w:spacing w:line="420" w:lineRule="exact"/>
              <w:jc w:val="center"/>
              <w:rPr>
                <w:b/>
                <w:color w:val="000000"/>
                <w:sz w:val="18"/>
                <w:szCs w:val="18"/>
              </w:rPr>
            </w:pPr>
            <w:r>
              <w:rPr>
                <w:rFonts w:hint="eastAsia"/>
                <w:b/>
                <w:color w:val="000000"/>
                <w:sz w:val="18"/>
                <w:szCs w:val="18"/>
              </w:rPr>
              <w:t>类型</w:t>
            </w:r>
          </w:p>
        </w:tc>
        <w:tc>
          <w:tcPr>
            <w:tcW w:w="850" w:type="dxa"/>
            <w:shd w:val="clear" w:color="auto" w:fill="F2F2F2"/>
            <w:vAlign w:val="center"/>
          </w:tcPr>
          <w:p>
            <w:pPr>
              <w:spacing w:line="420" w:lineRule="exact"/>
              <w:jc w:val="center"/>
              <w:rPr>
                <w:b/>
                <w:color w:val="000000"/>
                <w:sz w:val="18"/>
                <w:szCs w:val="18"/>
              </w:rPr>
            </w:pPr>
            <w:r>
              <w:rPr>
                <w:rFonts w:hint="eastAsia"/>
                <w:b/>
                <w:color w:val="000000"/>
                <w:sz w:val="18"/>
                <w:szCs w:val="18"/>
              </w:rPr>
              <w:t>要求</w:t>
            </w:r>
          </w:p>
        </w:tc>
        <w:tc>
          <w:tcPr>
            <w:tcW w:w="1418" w:type="dxa"/>
            <w:shd w:val="clear" w:color="auto" w:fill="F2F2F2"/>
            <w:vAlign w:val="center"/>
          </w:tcPr>
          <w:p>
            <w:pPr>
              <w:spacing w:line="420" w:lineRule="exact"/>
              <w:jc w:val="center"/>
              <w:rPr>
                <w:b/>
                <w:color w:val="000000"/>
                <w:sz w:val="18"/>
                <w:szCs w:val="18"/>
              </w:rPr>
            </w:pPr>
            <w:r>
              <w:rPr>
                <w:rFonts w:hint="eastAsia"/>
                <w:b/>
                <w:color w:val="000000"/>
                <w:sz w:val="18"/>
                <w:szCs w:val="18"/>
              </w:rPr>
              <w:t>支撑课程目标</w:t>
            </w:r>
          </w:p>
        </w:tc>
        <w:tc>
          <w:tcPr>
            <w:tcW w:w="1197" w:type="dxa"/>
            <w:shd w:val="clear" w:color="auto" w:fill="F2F2F2"/>
            <w:vAlign w:val="center"/>
          </w:tcPr>
          <w:p>
            <w:pPr>
              <w:spacing w:line="420" w:lineRule="exact"/>
              <w:jc w:val="center"/>
              <w:rPr>
                <w:rFonts w:hint="eastAsia"/>
                <w:b/>
                <w:color w:val="000000"/>
                <w:sz w:val="18"/>
                <w:szCs w:val="18"/>
              </w:rPr>
            </w:pPr>
            <w:r>
              <w:rPr>
                <w:rFonts w:hint="eastAsia"/>
                <w:b/>
                <w:color w:val="000000"/>
                <w:sz w:val="18"/>
                <w:szCs w:val="18"/>
              </w:rPr>
              <w:t>支撑的毕业要求指标点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91" w:type="dxa"/>
          </w:tcPr>
          <w:p>
            <w:pPr>
              <w:spacing w:line="420" w:lineRule="exact"/>
              <w:jc w:val="center"/>
              <w:rPr>
                <w:bCs/>
                <w:sz w:val="18"/>
                <w:szCs w:val="18"/>
              </w:rPr>
            </w:pPr>
            <w:r>
              <w:rPr>
                <w:rFonts w:hint="eastAsia"/>
                <w:bCs/>
                <w:sz w:val="18"/>
                <w:szCs w:val="18"/>
              </w:rPr>
              <w:t>1</w:t>
            </w:r>
          </w:p>
        </w:tc>
        <w:tc>
          <w:tcPr>
            <w:tcW w:w="3202" w:type="dxa"/>
          </w:tcPr>
          <w:p>
            <w:pPr>
              <w:spacing w:line="420" w:lineRule="exact"/>
              <w:rPr>
                <w:bCs/>
                <w:sz w:val="18"/>
                <w:szCs w:val="18"/>
              </w:rPr>
            </w:pPr>
            <w:bookmarkStart w:id="45" w:name="OLE_LINK6"/>
            <w:r>
              <w:rPr>
                <w:rFonts w:hint="eastAsia" w:hAnsi="宋体"/>
                <w:bCs/>
                <w:sz w:val="18"/>
                <w:szCs w:val="18"/>
              </w:rPr>
              <w:t>阿里云OSS管理控制平台Windows客户端的配置和使用</w:t>
            </w:r>
            <w:bookmarkEnd w:id="45"/>
          </w:p>
        </w:tc>
        <w:tc>
          <w:tcPr>
            <w:tcW w:w="709" w:type="dxa"/>
          </w:tcPr>
          <w:p>
            <w:pPr>
              <w:spacing w:line="420" w:lineRule="exact"/>
              <w:jc w:val="center"/>
              <w:rPr>
                <w:bCs/>
                <w:sz w:val="18"/>
                <w:szCs w:val="18"/>
              </w:rPr>
            </w:pPr>
            <w:r>
              <w:rPr>
                <w:rFonts w:hint="eastAsia"/>
                <w:bCs/>
                <w:sz w:val="18"/>
                <w:szCs w:val="18"/>
              </w:rPr>
              <w:t>2</w:t>
            </w:r>
          </w:p>
        </w:tc>
        <w:tc>
          <w:tcPr>
            <w:tcW w:w="851" w:type="dxa"/>
          </w:tcPr>
          <w:p>
            <w:pPr>
              <w:spacing w:line="420" w:lineRule="exact"/>
              <w:jc w:val="center"/>
              <w:rPr>
                <w:bCs/>
                <w:sz w:val="18"/>
                <w:szCs w:val="18"/>
              </w:rPr>
            </w:pPr>
            <w:r>
              <w:rPr>
                <w:rFonts w:hAnsi="宋体"/>
                <w:bCs/>
                <w:sz w:val="18"/>
                <w:szCs w:val="18"/>
              </w:rPr>
              <w:t>验证性</w:t>
            </w:r>
          </w:p>
        </w:tc>
        <w:tc>
          <w:tcPr>
            <w:tcW w:w="850" w:type="dxa"/>
          </w:tcPr>
          <w:p>
            <w:pPr>
              <w:spacing w:line="420" w:lineRule="exact"/>
              <w:jc w:val="center"/>
              <w:rPr>
                <w:bCs/>
                <w:sz w:val="18"/>
                <w:szCs w:val="18"/>
              </w:rPr>
            </w:pPr>
            <w:r>
              <w:rPr>
                <w:rFonts w:hint="eastAsia" w:hAnsi="宋体"/>
                <w:bCs/>
                <w:sz w:val="18"/>
                <w:szCs w:val="18"/>
              </w:rPr>
              <w:t>必做</w:t>
            </w:r>
          </w:p>
        </w:tc>
        <w:tc>
          <w:tcPr>
            <w:tcW w:w="1418" w:type="dxa"/>
          </w:tcPr>
          <w:p>
            <w:pPr>
              <w:spacing w:line="420" w:lineRule="exact"/>
              <w:jc w:val="center"/>
              <w:rPr>
                <w:bCs/>
                <w:sz w:val="18"/>
                <w:szCs w:val="18"/>
              </w:rPr>
            </w:pPr>
            <w:r>
              <w:rPr>
                <w:bCs/>
                <w:sz w:val="18"/>
                <w:szCs w:val="18"/>
              </w:rPr>
              <w:t>1</w:t>
            </w:r>
          </w:p>
        </w:tc>
        <w:tc>
          <w:tcPr>
            <w:tcW w:w="1197" w:type="dxa"/>
          </w:tcPr>
          <w:p>
            <w:pPr>
              <w:spacing w:line="420" w:lineRule="exact"/>
              <w:jc w:val="center"/>
              <w:rPr>
                <w:rFonts w:hint="eastAsia"/>
                <w:b/>
                <w:color w:val="000000"/>
                <w:sz w:val="18"/>
                <w:szCs w:val="18"/>
              </w:rPr>
            </w:pPr>
            <w:r>
              <w:rPr>
                <w:bCs/>
                <w:color w:val="000000"/>
                <w:sz w:val="18"/>
                <w:szCs w:val="18"/>
              </w:rPr>
              <w:t>1</w:t>
            </w:r>
            <w:r>
              <w:rPr>
                <w:rFonts w:hint="eastAsia"/>
                <w:bCs/>
                <w:color w:val="000000"/>
                <w:sz w:val="18"/>
                <w:szCs w:val="18"/>
              </w:rPr>
              <w:t>-</w:t>
            </w:r>
            <w:r>
              <w:rPr>
                <w:bCs/>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91" w:type="dxa"/>
          </w:tcPr>
          <w:p>
            <w:pPr>
              <w:spacing w:line="420" w:lineRule="exact"/>
              <w:jc w:val="center"/>
              <w:rPr>
                <w:bCs/>
                <w:sz w:val="18"/>
                <w:szCs w:val="18"/>
              </w:rPr>
            </w:pPr>
            <w:r>
              <w:rPr>
                <w:rFonts w:hint="eastAsia"/>
                <w:bCs/>
                <w:sz w:val="18"/>
                <w:szCs w:val="18"/>
              </w:rPr>
              <w:t>2</w:t>
            </w:r>
          </w:p>
        </w:tc>
        <w:tc>
          <w:tcPr>
            <w:tcW w:w="3202" w:type="dxa"/>
          </w:tcPr>
          <w:p>
            <w:pPr>
              <w:spacing w:line="420" w:lineRule="exact"/>
              <w:rPr>
                <w:bCs/>
                <w:sz w:val="18"/>
                <w:szCs w:val="18"/>
              </w:rPr>
            </w:pPr>
            <w:r>
              <w:rPr>
                <w:rFonts w:hint="eastAsia" w:hAnsi="宋体"/>
                <w:bCs/>
                <w:sz w:val="18"/>
                <w:szCs w:val="18"/>
              </w:rPr>
              <w:t>TP-Link</w:t>
            </w:r>
            <w:r>
              <w:rPr>
                <w:rFonts w:hAnsi="宋体"/>
                <w:bCs/>
                <w:sz w:val="18"/>
                <w:szCs w:val="18"/>
              </w:rPr>
              <w:t xml:space="preserve"> </w:t>
            </w:r>
            <w:r>
              <w:rPr>
                <w:rFonts w:hint="eastAsia" w:hAnsi="宋体"/>
                <w:bCs/>
                <w:sz w:val="18"/>
                <w:szCs w:val="18"/>
              </w:rPr>
              <w:t>TL-WR745N无线ADSL路由器快速配置方法</w:t>
            </w:r>
          </w:p>
        </w:tc>
        <w:tc>
          <w:tcPr>
            <w:tcW w:w="709" w:type="dxa"/>
          </w:tcPr>
          <w:p>
            <w:pPr>
              <w:spacing w:line="420" w:lineRule="exact"/>
              <w:jc w:val="center"/>
              <w:rPr>
                <w:bCs/>
                <w:sz w:val="18"/>
                <w:szCs w:val="18"/>
              </w:rPr>
            </w:pPr>
            <w:r>
              <w:rPr>
                <w:rFonts w:hint="eastAsia"/>
                <w:bCs/>
                <w:sz w:val="18"/>
                <w:szCs w:val="18"/>
              </w:rPr>
              <w:t>2</w:t>
            </w:r>
          </w:p>
        </w:tc>
        <w:tc>
          <w:tcPr>
            <w:tcW w:w="851" w:type="dxa"/>
          </w:tcPr>
          <w:p>
            <w:pPr>
              <w:spacing w:line="420" w:lineRule="exact"/>
              <w:jc w:val="center"/>
              <w:rPr>
                <w:bCs/>
                <w:sz w:val="18"/>
                <w:szCs w:val="18"/>
              </w:rPr>
            </w:pPr>
            <w:r>
              <w:rPr>
                <w:rFonts w:hAnsi="宋体"/>
                <w:bCs/>
                <w:sz w:val="18"/>
                <w:szCs w:val="18"/>
              </w:rPr>
              <w:t>验证性</w:t>
            </w:r>
          </w:p>
        </w:tc>
        <w:tc>
          <w:tcPr>
            <w:tcW w:w="850" w:type="dxa"/>
          </w:tcPr>
          <w:p>
            <w:pPr>
              <w:spacing w:line="420" w:lineRule="exact"/>
              <w:jc w:val="center"/>
              <w:rPr>
                <w:bCs/>
                <w:sz w:val="18"/>
                <w:szCs w:val="18"/>
              </w:rPr>
            </w:pPr>
            <w:r>
              <w:rPr>
                <w:rFonts w:hint="eastAsia" w:hAnsi="宋体"/>
                <w:bCs/>
                <w:sz w:val="18"/>
                <w:szCs w:val="18"/>
              </w:rPr>
              <w:t>必做</w:t>
            </w:r>
          </w:p>
        </w:tc>
        <w:tc>
          <w:tcPr>
            <w:tcW w:w="1418" w:type="dxa"/>
          </w:tcPr>
          <w:p>
            <w:pPr>
              <w:spacing w:line="420" w:lineRule="exact"/>
              <w:jc w:val="center"/>
              <w:rPr>
                <w:rFonts w:eastAsia="黑体"/>
                <w:bCs/>
                <w:sz w:val="18"/>
                <w:szCs w:val="18"/>
              </w:rPr>
            </w:pPr>
            <w:r>
              <w:rPr>
                <w:bCs/>
                <w:sz w:val="18"/>
                <w:szCs w:val="18"/>
              </w:rPr>
              <w:t>2</w:t>
            </w:r>
          </w:p>
        </w:tc>
        <w:tc>
          <w:tcPr>
            <w:tcW w:w="1197" w:type="dxa"/>
          </w:tcPr>
          <w:p>
            <w:pPr>
              <w:spacing w:line="420" w:lineRule="exact"/>
              <w:jc w:val="center"/>
              <w:rPr>
                <w:rFonts w:hint="default" w:eastAsia="宋体"/>
                <w:bCs/>
                <w:sz w:val="18"/>
                <w:szCs w:val="18"/>
                <w:lang w:val="en-US" w:eastAsia="zh-CN"/>
              </w:rPr>
            </w:pPr>
            <w:r>
              <w:rPr>
                <w:rFonts w:hint="eastAsia"/>
                <w:bCs/>
                <w:sz w:val="18"/>
                <w:szCs w:val="18"/>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91" w:type="dxa"/>
          </w:tcPr>
          <w:p>
            <w:pPr>
              <w:spacing w:line="420" w:lineRule="exact"/>
              <w:jc w:val="center"/>
              <w:rPr>
                <w:bCs/>
                <w:sz w:val="18"/>
                <w:szCs w:val="18"/>
              </w:rPr>
            </w:pPr>
            <w:r>
              <w:rPr>
                <w:rFonts w:hint="eastAsia"/>
                <w:bCs/>
                <w:sz w:val="18"/>
                <w:szCs w:val="18"/>
              </w:rPr>
              <w:t>3</w:t>
            </w:r>
          </w:p>
        </w:tc>
        <w:tc>
          <w:tcPr>
            <w:tcW w:w="3202" w:type="dxa"/>
          </w:tcPr>
          <w:p>
            <w:pPr>
              <w:spacing w:line="420" w:lineRule="exact"/>
              <w:rPr>
                <w:rFonts w:hint="eastAsia"/>
                <w:bCs/>
                <w:sz w:val="18"/>
                <w:szCs w:val="18"/>
              </w:rPr>
            </w:pPr>
            <w:r>
              <w:rPr>
                <w:rFonts w:hint="eastAsia" w:hAnsi="宋体"/>
                <w:bCs/>
                <w:sz w:val="18"/>
                <w:szCs w:val="18"/>
              </w:rPr>
              <w:t>BlueSoleil蓝牙软件管理系统的配置和使用</w:t>
            </w:r>
          </w:p>
        </w:tc>
        <w:tc>
          <w:tcPr>
            <w:tcW w:w="709" w:type="dxa"/>
          </w:tcPr>
          <w:p>
            <w:pPr>
              <w:spacing w:line="420" w:lineRule="exact"/>
              <w:jc w:val="center"/>
              <w:rPr>
                <w:bCs/>
                <w:sz w:val="18"/>
                <w:szCs w:val="18"/>
              </w:rPr>
            </w:pPr>
            <w:r>
              <w:rPr>
                <w:rFonts w:hint="eastAsia"/>
                <w:bCs/>
                <w:sz w:val="18"/>
                <w:szCs w:val="18"/>
              </w:rPr>
              <w:t>2</w:t>
            </w:r>
          </w:p>
        </w:tc>
        <w:tc>
          <w:tcPr>
            <w:tcW w:w="851" w:type="dxa"/>
          </w:tcPr>
          <w:p>
            <w:pPr>
              <w:spacing w:line="420" w:lineRule="exact"/>
              <w:jc w:val="center"/>
              <w:rPr>
                <w:bCs/>
                <w:sz w:val="18"/>
                <w:szCs w:val="18"/>
              </w:rPr>
            </w:pPr>
            <w:r>
              <w:rPr>
                <w:rFonts w:hAnsi="宋体"/>
                <w:bCs/>
                <w:sz w:val="18"/>
                <w:szCs w:val="18"/>
              </w:rPr>
              <w:t>验证性</w:t>
            </w:r>
          </w:p>
        </w:tc>
        <w:tc>
          <w:tcPr>
            <w:tcW w:w="850" w:type="dxa"/>
          </w:tcPr>
          <w:p>
            <w:pPr>
              <w:spacing w:line="420" w:lineRule="exact"/>
              <w:jc w:val="center"/>
              <w:rPr>
                <w:bCs/>
                <w:sz w:val="18"/>
                <w:szCs w:val="18"/>
              </w:rPr>
            </w:pPr>
            <w:r>
              <w:rPr>
                <w:rFonts w:hint="eastAsia" w:hAnsi="宋体"/>
                <w:bCs/>
                <w:sz w:val="18"/>
                <w:szCs w:val="18"/>
              </w:rPr>
              <w:t>必做</w:t>
            </w:r>
          </w:p>
        </w:tc>
        <w:tc>
          <w:tcPr>
            <w:tcW w:w="1418" w:type="dxa"/>
          </w:tcPr>
          <w:p>
            <w:pPr>
              <w:spacing w:line="420" w:lineRule="exact"/>
              <w:jc w:val="center"/>
              <w:rPr>
                <w:rFonts w:eastAsia="黑体"/>
                <w:bCs/>
                <w:sz w:val="18"/>
                <w:szCs w:val="18"/>
              </w:rPr>
            </w:pPr>
            <w:r>
              <w:rPr>
                <w:bCs/>
                <w:sz w:val="18"/>
                <w:szCs w:val="18"/>
              </w:rPr>
              <w:t>2</w:t>
            </w:r>
          </w:p>
        </w:tc>
        <w:tc>
          <w:tcPr>
            <w:tcW w:w="1197" w:type="dxa"/>
          </w:tcPr>
          <w:p>
            <w:pPr>
              <w:spacing w:line="420" w:lineRule="exact"/>
              <w:jc w:val="center"/>
              <w:rPr>
                <w:bCs/>
                <w:sz w:val="18"/>
                <w:szCs w:val="18"/>
              </w:rPr>
            </w:pPr>
            <w:r>
              <w:rPr>
                <w:rFonts w:hint="eastAsia"/>
                <w:bCs/>
                <w:sz w:val="18"/>
                <w:szCs w:val="18"/>
                <w:lang w:val="en-US" w:eastAsia="zh-CN"/>
              </w:rPr>
              <w:t>4</w:t>
            </w:r>
            <w:r>
              <w:rPr>
                <w:rFonts w:hint="eastAsia"/>
                <w:bCs/>
                <w:sz w:val="18"/>
                <w:szCs w:val="18"/>
              </w:rPr>
              <w:t>-</w:t>
            </w:r>
            <w:r>
              <w:rPr>
                <w:bCs/>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91" w:type="dxa"/>
          </w:tcPr>
          <w:p>
            <w:pPr>
              <w:spacing w:line="420" w:lineRule="exact"/>
              <w:jc w:val="center"/>
              <w:rPr>
                <w:rFonts w:hint="eastAsia"/>
                <w:bCs/>
                <w:sz w:val="18"/>
                <w:szCs w:val="18"/>
              </w:rPr>
            </w:pPr>
            <w:r>
              <w:rPr>
                <w:rFonts w:hint="eastAsia"/>
                <w:bCs/>
                <w:sz w:val="18"/>
                <w:szCs w:val="18"/>
              </w:rPr>
              <w:t>4</w:t>
            </w:r>
          </w:p>
        </w:tc>
        <w:tc>
          <w:tcPr>
            <w:tcW w:w="3202" w:type="dxa"/>
          </w:tcPr>
          <w:p>
            <w:pPr>
              <w:spacing w:line="420" w:lineRule="exact"/>
              <w:rPr>
                <w:rFonts w:hint="eastAsia" w:hAnsi="宋体"/>
                <w:bCs/>
                <w:sz w:val="18"/>
                <w:szCs w:val="18"/>
              </w:rPr>
            </w:pPr>
            <w:r>
              <w:rPr>
                <w:rFonts w:hint="eastAsia"/>
                <w:bCs/>
                <w:sz w:val="18"/>
                <w:szCs w:val="18"/>
              </w:rPr>
              <w:t>Hadoop数据处理实验</w:t>
            </w:r>
          </w:p>
        </w:tc>
        <w:tc>
          <w:tcPr>
            <w:tcW w:w="709" w:type="dxa"/>
          </w:tcPr>
          <w:p>
            <w:pPr>
              <w:spacing w:line="420" w:lineRule="exact"/>
              <w:jc w:val="center"/>
              <w:rPr>
                <w:rFonts w:hint="eastAsia"/>
                <w:bCs/>
                <w:sz w:val="18"/>
                <w:szCs w:val="18"/>
              </w:rPr>
            </w:pPr>
            <w:r>
              <w:rPr>
                <w:rFonts w:hint="eastAsia"/>
                <w:bCs/>
                <w:sz w:val="18"/>
                <w:szCs w:val="18"/>
              </w:rPr>
              <w:t>2</w:t>
            </w:r>
          </w:p>
        </w:tc>
        <w:tc>
          <w:tcPr>
            <w:tcW w:w="851" w:type="dxa"/>
          </w:tcPr>
          <w:p>
            <w:pPr>
              <w:spacing w:line="420" w:lineRule="exact"/>
              <w:jc w:val="center"/>
              <w:rPr>
                <w:rFonts w:hAnsi="宋体"/>
                <w:bCs/>
                <w:sz w:val="18"/>
                <w:szCs w:val="18"/>
              </w:rPr>
            </w:pPr>
            <w:r>
              <w:rPr>
                <w:rFonts w:hAnsi="宋体"/>
                <w:bCs/>
                <w:sz w:val="18"/>
                <w:szCs w:val="18"/>
              </w:rPr>
              <w:t>验证性</w:t>
            </w:r>
          </w:p>
        </w:tc>
        <w:tc>
          <w:tcPr>
            <w:tcW w:w="850" w:type="dxa"/>
          </w:tcPr>
          <w:p>
            <w:pPr>
              <w:spacing w:line="420" w:lineRule="exact"/>
              <w:jc w:val="center"/>
              <w:rPr>
                <w:rFonts w:hint="eastAsia" w:hAnsi="宋体"/>
                <w:bCs/>
                <w:sz w:val="18"/>
                <w:szCs w:val="18"/>
              </w:rPr>
            </w:pPr>
            <w:r>
              <w:rPr>
                <w:rFonts w:hint="eastAsia" w:hAnsi="宋体"/>
                <w:bCs/>
                <w:sz w:val="18"/>
                <w:szCs w:val="18"/>
              </w:rPr>
              <w:t>必做</w:t>
            </w:r>
          </w:p>
        </w:tc>
        <w:tc>
          <w:tcPr>
            <w:tcW w:w="1418" w:type="dxa"/>
          </w:tcPr>
          <w:p>
            <w:pPr>
              <w:spacing w:line="420" w:lineRule="exact"/>
              <w:jc w:val="center"/>
              <w:rPr>
                <w:bCs/>
                <w:sz w:val="18"/>
                <w:szCs w:val="18"/>
              </w:rPr>
            </w:pPr>
            <w:r>
              <w:rPr>
                <w:bCs/>
                <w:sz w:val="18"/>
                <w:szCs w:val="18"/>
              </w:rPr>
              <w:t>2</w:t>
            </w:r>
          </w:p>
        </w:tc>
        <w:tc>
          <w:tcPr>
            <w:tcW w:w="1197" w:type="dxa"/>
          </w:tcPr>
          <w:p>
            <w:pPr>
              <w:spacing w:line="420" w:lineRule="exact"/>
              <w:jc w:val="center"/>
              <w:rPr>
                <w:bCs/>
                <w:sz w:val="18"/>
                <w:szCs w:val="18"/>
              </w:rPr>
            </w:pPr>
            <w:r>
              <w:rPr>
                <w:rFonts w:hint="eastAsia"/>
                <w:bCs/>
                <w:sz w:val="18"/>
                <w:szCs w:val="18"/>
                <w:lang w:val="en-US" w:eastAsia="zh-CN"/>
              </w:rPr>
              <w:t>4</w:t>
            </w:r>
            <w:r>
              <w:rPr>
                <w:rFonts w:hint="eastAsia"/>
                <w:bCs/>
                <w:sz w:val="18"/>
                <w:szCs w:val="18"/>
              </w:rPr>
              <w:t>-</w:t>
            </w:r>
            <w:r>
              <w:rPr>
                <w:bCs/>
                <w:sz w:val="18"/>
                <w:szCs w:val="18"/>
              </w:rPr>
              <w:t>1</w:t>
            </w:r>
          </w:p>
        </w:tc>
      </w:tr>
    </w:tbl>
    <w:p>
      <w:pPr>
        <w:spacing w:line="360" w:lineRule="auto"/>
        <w:ind w:firstLine="422" w:firstLineChars="200"/>
        <w:rPr>
          <w:color w:val="000000"/>
          <w:szCs w:val="21"/>
        </w:rPr>
      </w:pPr>
      <w:r>
        <w:rPr>
          <w:rFonts w:ascii="宋体" w:hAnsi="宋体"/>
          <w:b/>
          <w:color w:val="000000"/>
          <w:szCs w:val="21"/>
        </w:rPr>
        <w:t>实验一</w:t>
      </w:r>
      <w:r>
        <w:rPr>
          <w:rFonts w:hint="eastAsia" w:ascii="宋体" w:hAnsi="宋体"/>
          <w:b/>
          <w:color w:val="000000"/>
          <w:szCs w:val="21"/>
        </w:rPr>
        <w:t xml:space="preserve"> ：</w:t>
      </w:r>
      <w:r>
        <w:rPr>
          <w:rFonts w:hint="eastAsia" w:ascii="宋体" w:hAnsi="宋体"/>
          <w:color w:val="000000"/>
          <w:szCs w:val="21"/>
        </w:rPr>
        <w:t>阿里</w:t>
      </w:r>
      <w:r>
        <w:rPr>
          <w:color w:val="000000"/>
          <w:szCs w:val="21"/>
        </w:rPr>
        <w:t>云OSS管理控制平台Windows客户端的配置和使用</w:t>
      </w:r>
    </w:p>
    <w:p>
      <w:pPr>
        <w:spacing w:line="360" w:lineRule="auto"/>
        <w:ind w:firstLine="420" w:firstLineChars="200"/>
        <w:rPr>
          <w:rFonts w:hint="eastAsia"/>
          <w:color w:val="0000FF"/>
          <w:szCs w:val="21"/>
        </w:rPr>
      </w:pPr>
      <w:r>
        <w:rPr>
          <w:color w:val="000000"/>
          <w:szCs w:val="21"/>
        </w:rPr>
        <w:t>实验目的：</w:t>
      </w:r>
      <w:r>
        <w:rPr>
          <w:rFonts w:hint="eastAsia"/>
          <w:color w:val="000000"/>
          <w:szCs w:val="21"/>
        </w:rPr>
        <w:t>了解阿里云OSS管理控制平台Windows客户端，使用OSS</w:t>
      </w:r>
      <w:r>
        <w:rPr>
          <w:color w:val="000000"/>
          <w:szCs w:val="21"/>
        </w:rPr>
        <w:t xml:space="preserve"> </w:t>
      </w:r>
      <w:r>
        <w:rPr>
          <w:rFonts w:hint="eastAsia"/>
          <w:color w:val="000000"/>
          <w:szCs w:val="21"/>
        </w:rPr>
        <w:t>Windows客户端上传和下载文件；实现RAM授权。</w:t>
      </w:r>
    </w:p>
    <w:p>
      <w:pPr>
        <w:spacing w:line="360" w:lineRule="auto"/>
        <w:ind w:firstLine="420" w:firstLineChars="200"/>
        <w:rPr>
          <w:rFonts w:hint="eastAsia"/>
          <w:color w:val="000000"/>
          <w:szCs w:val="21"/>
        </w:rPr>
      </w:pPr>
      <w:r>
        <w:rPr>
          <w:color w:val="000000"/>
          <w:szCs w:val="21"/>
        </w:rPr>
        <w:t xml:space="preserve">实验原理： </w:t>
      </w:r>
      <w:r>
        <w:rPr>
          <w:rFonts w:hint="eastAsia"/>
          <w:color w:val="000000"/>
          <w:szCs w:val="21"/>
        </w:rPr>
        <w:t>弹性计算服务技术；对象存储服务技术。</w:t>
      </w:r>
    </w:p>
    <w:p>
      <w:pPr>
        <w:spacing w:line="360" w:lineRule="auto"/>
        <w:ind w:firstLine="420" w:firstLineChars="200"/>
        <w:rPr>
          <w:color w:val="000000"/>
          <w:szCs w:val="21"/>
        </w:rPr>
      </w:pPr>
      <w:r>
        <w:rPr>
          <w:color w:val="000000"/>
          <w:szCs w:val="21"/>
        </w:rPr>
        <w:t>实验</w:t>
      </w:r>
      <w:r>
        <w:rPr>
          <w:rFonts w:hint="eastAsia"/>
          <w:color w:val="000000"/>
          <w:szCs w:val="21"/>
        </w:rPr>
        <w:t>设备</w:t>
      </w:r>
      <w:r>
        <w:rPr>
          <w:color w:val="000000"/>
          <w:szCs w:val="21"/>
        </w:rPr>
        <w:t>：</w:t>
      </w:r>
      <w:r>
        <w:rPr>
          <w:color w:val="0000FF"/>
          <w:szCs w:val="21"/>
        </w:rPr>
        <w:t xml:space="preserve"> </w:t>
      </w:r>
      <w:r>
        <w:rPr>
          <w:rFonts w:hint="eastAsia"/>
          <w:color w:val="000000"/>
          <w:szCs w:val="21"/>
        </w:rPr>
        <w:t>Windows操作系统计算机。</w:t>
      </w:r>
    </w:p>
    <w:p>
      <w:pPr>
        <w:spacing w:line="360" w:lineRule="auto"/>
        <w:ind w:firstLine="420" w:firstLineChars="200"/>
        <w:rPr>
          <w:rFonts w:hint="eastAsia"/>
          <w:color w:val="000000"/>
          <w:szCs w:val="21"/>
        </w:rPr>
      </w:pPr>
      <w:r>
        <w:rPr>
          <w:color w:val="000000"/>
          <w:szCs w:val="21"/>
        </w:rPr>
        <w:t xml:space="preserve">实验安排： </w:t>
      </w:r>
      <w:r>
        <w:rPr>
          <w:rFonts w:hint="eastAsia"/>
          <w:color w:val="000000"/>
          <w:szCs w:val="21"/>
        </w:rPr>
        <w:t>教师介绍阿里云自助实验系统，进行操作演示，配置OSS</w:t>
      </w:r>
      <w:r>
        <w:rPr>
          <w:color w:val="000000"/>
          <w:szCs w:val="21"/>
        </w:rPr>
        <w:t xml:space="preserve"> </w:t>
      </w:r>
      <w:r>
        <w:rPr>
          <w:rFonts w:hint="eastAsia"/>
          <w:color w:val="000000"/>
          <w:szCs w:val="21"/>
        </w:rPr>
        <w:t>Windows客户端的用户信息，创建bucket，并上传和下载文件，结合RAM服务，自定义策略，实现对子用户的OSS服务使用权限；学生熟悉OSS</w:t>
      </w:r>
      <w:r>
        <w:rPr>
          <w:color w:val="000000"/>
          <w:szCs w:val="21"/>
        </w:rPr>
        <w:t xml:space="preserve"> </w:t>
      </w:r>
      <w:r>
        <w:rPr>
          <w:rFonts w:hint="eastAsia"/>
          <w:color w:val="000000"/>
          <w:szCs w:val="21"/>
        </w:rPr>
        <w:t>Windows客户端操作，对实验案例进行验证分析。</w:t>
      </w:r>
    </w:p>
    <w:p>
      <w:pPr>
        <w:spacing w:line="360" w:lineRule="auto"/>
        <w:ind w:firstLine="420" w:firstLineChars="200"/>
      </w:pPr>
      <w:r>
        <w:rPr>
          <w:color w:val="000000"/>
          <w:szCs w:val="21"/>
        </w:rPr>
        <w:t xml:space="preserve">实验报告要求： </w:t>
      </w:r>
      <w:r>
        <w:rPr>
          <w:rFonts w:hint="eastAsia"/>
          <w:color w:val="000000"/>
          <w:szCs w:val="21"/>
        </w:rPr>
        <w:t>简述OSS</w:t>
      </w:r>
      <w:r>
        <w:rPr>
          <w:color w:val="000000"/>
          <w:szCs w:val="21"/>
        </w:rPr>
        <w:t xml:space="preserve"> </w:t>
      </w:r>
      <w:r>
        <w:rPr>
          <w:rFonts w:hint="eastAsia"/>
          <w:color w:val="000000"/>
          <w:szCs w:val="21"/>
        </w:rPr>
        <w:t>Windows客户端用户信息配置过程；记录创建OSS的新策略</w:t>
      </w:r>
      <w:r>
        <w:rPr>
          <w:rFonts w:hint="eastAsia"/>
        </w:rPr>
        <w:t>授权不同权限给子用户的操作方法；写出实验的体会与疑问。</w:t>
      </w:r>
    </w:p>
    <w:p>
      <w:pPr>
        <w:spacing w:line="360" w:lineRule="auto"/>
        <w:ind w:firstLine="422" w:firstLineChars="200"/>
        <w:rPr>
          <w:color w:val="000000"/>
          <w:szCs w:val="21"/>
        </w:rPr>
      </w:pPr>
      <w:r>
        <w:rPr>
          <w:rFonts w:ascii="宋体" w:hAnsi="宋体"/>
          <w:b/>
          <w:color w:val="000000"/>
          <w:szCs w:val="21"/>
        </w:rPr>
        <w:t>实验</w:t>
      </w:r>
      <w:r>
        <w:rPr>
          <w:rFonts w:hint="eastAsia" w:ascii="宋体" w:hAnsi="宋体"/>
          <w:b/>
          <w:color w:val="000000"/>
          <w:szCs w:val="21"/>
        </w:rPr>
        <w:t>二 ：</w:t>
      </w:r>
      <w:r>
        <w:rPr>
          <w:color w:val="000000"/>
          <w:szCs w:val="21"/>
        </w:rPr>
        <w:t>TP-Link TL-WR745N无线ADSL路由器快速配置方法</w:t>
      </w:r>
    </w:p>
    <w:p>
      <w:pPr>
        <w:spacing w:line="360" w:lineRule="auto"/>
        <w:ind w:firstLine="420" w:firstLineChars="200"/>
        <w:rPr>
          <w:color w:val="000000"/>
          <w:szCs w:val="21"/>
        </w:rPr>
      </w:pPr>
      <w:r>
        <w:rPr>
          <w:color w:val="000000"/>
          <w:szCs w:val="21"/>
        </w:rPr>
        <w:t>实验目的：掌握TP-Link TL-WR745N路由器配置方法</w:t>
      </w:r>
    </w:p>
    <w:p>
      <w:pPr>
        <w:spacing w:line="360" w:lineRule="auto"/>
        <w:ind w:firstLine="420" w:firstLineChars="200"/>
        <w:rPr>
          <w:color w:val="000000"/>
          <w:szCs w:val="21"/>
        </w:rPr>
      </w:pPr>
      <w:r>
        <w:rPr>
          <w:color w:val="000000"/>
          <w:szCs w:val="21"/>
        </w:rPr>
        <w:t>实验原理：</w:t>
      </w:r>
      <w:bookmarkStart w:id="46" w:name="OLE_LINK7"/>
      <w:r>
        <w:rPr>
          <w:color w:val="000000"/>
          <w:szCs w:val="21"/>
        </w:rPr>
        <w:t xml:space="preserve"> IEEE 802.11n无线通讯协议</w:t>
      </w:r>
      <w:bookmarkEnd w:id="46"/>
      <w:r>
        <w:rPr>
          <w:color w:val="000000"/>
          <w:szCs w:val="21"/>
        </w:rPr>
        <w:t>。</w:t>
      </w:r>
    </w:p>
    <w:p>
      <w:pPr>
        <w:spacing w:line="360" w:lineRule="auto"/>
        <w:ind w:firstLine="420" w:firstLineChars="200"/>
        <w:rPr>
          <w:color w:val="000000"/>
          <w:szCs w:val="21"/>
        </w:rPr>
      </w:pPr>
      <w:r>
        <w:rPr>
          <w:color w:val="000000"/>
          <w:szCs w:val="21"/>
        </w:rPr>
        <w:t>实验设备：</w:t>
      </w:r>
      <w:r>
        <w:rPr>
          <w:color w:val="0000FF"/>
          <w:szCs w:val="21"/>
        </w:rPr>
        <w:t xml:space="preserve"> </w:t>
      </w:r>
      <w:r>
        <w:rPr>
          <w:color w:val="000000"/>
          <w:szCs w:val="21"/>
        </w:rPr>
        <w:t>TP-Link TL-WR745N无线</w:t>
      </w:r>
      <w:r>
        <w:rPr>
          <w:rFonts w:hint="eastAsia"/>
          <w:color w:val="000000"/>
          <w:szCs w:val="21"/>
        </w:rPr>
        <w:t>路由器，</w:t>
      </w:r>
      <w:r>
        <w:rPr>
          <w:color w:val="000000"/>
          <w:szCs w:val="21"/>
        </w:rPr>
        <w:t>Windows操作系统计算机</w:t>
      </w:r>
      <w:r>
        <w:rPr>
          <w:rFonts w:hint="eastAsia"/>
          <w:color w:val="000000"/>
          <w:szCs w:val="21"/>
        </w:rPr>
        <w:t>。</w:t>
      </w:r>
    </w:p>
    <w:p>
      <w:pPr>
        <w:spacing w:line="360" w:lineRule="auto"/>
        <w:ind w:firstLine="420" w:firstLineChars="200"/>
        <w:rPr>
          <w:rFonts w:hint="eastAsia"/>
          <w:color w:val="000000"/>
          <w:szCs w:val="21"/>
        </w:rPr>
      </w:pPr>
      <w:r>
        <w:rPr>
          <w:color w:val="000000"/>
          <w:szCs w:val="21"/>
        </w:rPr>
        <w:t>实验安排： 教师</w:t>
      </w:r>
      <w:r>
        <w:rPr>
          <w:rFonts w:hint="eastAsia"/>
          <w:color w:val="000000"/>
          <w:szCs w:val="21"/>
        </w:rPr>
        <w:t>讲解</w:t>
      </w:r>
      <w:r>
        <w:rPr>
          <w:color w:val="000000"/>
          <w:szCs w:val="21"/>
        </w:rPr>
        <w:t>IEEE 802.11</w:t>
      </w:r>
      <w:r>
        <w:rPr>
          <w:rFonts w:hint="eastAsia"/>
          <w:color w:val="000000"/>
          <w:szCs w:val="21"/>
        </w:rPr>
        <w:t>无线通讯协议的族成员、频谱划分、</w:t>
      </w:r>
      <w:r>
        <w:rPr>
          <w:color w:val="000000"/>
          <w:szCs w:val="21"/>
        </w:rPr>
        <w:t>802.11</w:t>
      </w:r>
      <w:r>
        <w:rPr>
          <w:rFonts w:hint="eastAsia"/>
          <w:color w:val="000000"/>
          <w:szCs w:val="21"/>
        </w:rPr>
        <w:t>网络的基本元素和</w:t>
      </w:r>
      <w:r>
        <w:rPr>
          <w:color w:val="000000"/>
          <w:szCs w:val="21"/>
        </w:rPr>
        <w:t>802.11</w:t>
      </w:r>
      <w:r>
        <w:rPr>
          <w:rFonts w:hint="eastAsia"/>
          <w:color w:val="000000"/>
          <w:szCs w:val="21"/>
        </w:rPr>
        <w:t>MAC层工作原理</w:t>
      </w:r>
      <w:r>
        <w:rPr>
          <w:color w:val="000000"/>
          <w:szCs w:val="21"/>
        </w:rPr>
        <w:t>，进</w:t>
      </w:r>
      <w:r>
        <w:rPr>
          <w:rFonts w:hint="eastAsia"/>
          <w:color w:val="000000"/>
          <w:szCs w:val="21"/>
        </w:rPr>
        <w:t>行无线路由器配置操作演示；学生学习熟悉</w:t>
      </w:r>
      <w:r>
        <w:rPr>
          <w:color w:val="000000"/>
          <w:szCs w:val="21"/>
        </w:rPr>
        <w:t>IEEE 802.11</w:t>
      </w:r>
      <w:r>
        <w:rPr>
          <w:rFonts w:hint="eastAsia"/>
          <w:color w:val="000000"/>
          <w:szCs w:val="21"/>
        </w:rPr>
        <w:t>n无线通讯协议基础知识，对</w:t>
      </w:r>
      <w:bookmarkStart w:id="47" w:name="OLE_LINK8"/>
      <w:r>
        <w:rPr>
          <w:color w:val="000000"/>
          <w:szCs w:val="21"/>
        </w:rPr>
        <w:t>TP-Link TL-WR745N</w:t>
      </w:r>
      <w:r>
        <w:rPr>
          <w:rFonts w:hint="eastAsia"/>
          <w:color w:val="000000"/>
          <w:szCs w:val="21"/>
        </w:rPr>
        <w:t>无线路由器</w:t>
      </w:r>
      <w:bookmarkEnd w:id="47"/>
      <w:r>
        <w:rPr>
          <w:rFonts w:hint="eastAsia"/>
          <w:color w:val="000000"/>
          <w:szCs w:val="21"/>
        </w:rPr>
        <w:t>进行网络参数、无线安全以及DHCP服务器配置。</w:t>
      </w:r>
    </w:p>
    <w:p>
      <w:pPr>
        <w:spacing w:line="360" w:lineRule="auto"/>
        <w:ind w:firstLine="420" w:firstLineChars="200"/>
      </w:pPr>
      <w:r>
        <w:rPr>
          <w:color w:val="000000"/>
          <w:szCs w:val="21"/>
        </w:rPr>
        <w:t xml:space="preserve">实验报告要求： </w:t>
      </w:r>
      <w:r>
        <w:rPr>
          <w:rFonts w:hint="eastAsia"/>
          <w:color w:val="000000"/>
          <w:szCs w:val="21"/>
        </w:rPr>
        <w:t>简述</w:t>
      </w:r>
      <w:r>
        <w:rPr>
          <w:color w:val="000000"/>
          <w:szCs w:val="21"/>
        </w:rPr>
        <w:t>TP-Link TL-WR745N</w:t>
      </w:r>
      <w:r>
        <w:rPr>
          <w:rFonts w:hint="eastAsia"/>
          <w:color w:val="000000"/>
          <w:szCs w:val="21"/>
        </w:rPr>
        <w:t>无线路由器的配置过程；记录不同的配置方法对无线信号的影响，</w:t>
      </w:r>
      <w:r>
        <w:rPr>
          <w:rFonts w:hint="eastAsia"/>
        </w:rPr>
        <w:t>写出实验的体会与疑问。</w:t>
      </w:r>
    </w:p>
    <w:p>
      <w:pPr>
        <w:spacing w:line="360" w:lineRule="auto"/>
        <w:ind w:firstLine="422" w:firstLineChars="200"/>
        <w:rPr>
          <w:color w:val="000000"/>
          <w:szCs w:val="21"/>
        </w:rPr>
      </w:pPr>
      <w:r>
        <w:rPr>
          <w:rFonts w:ascii="宋体" w:hAnsi="宋体"/>
          <w:b/>
          <w:color w:val="000000"/>
          <w:szCs w:val="21"/>
        </w:rPr>
        <w:t>实验</w:t>
      </w:r>
      <w:r>
        <w:rPr>
          <w:rFonts w:hint="eastAsia" w:ascii="宋体" w:hAnsi="宋体"/>
          <w:b/>
          <w:color w:val="000000"/>
          <w:szCs w:val="21"/>
        </w:rPr>
        <w:t>三 ：</w:t>
      </w:r>
      <w:r>
        <w:rPr>
          <w:rFonts w:hint="eastAsia" w:ascii="宋体" w:hAnsi="宋体"/>
          <w:color w:val="000000"/>
          <w:szCs w:val="21"/>
        </w:rPr>
        <w:t>BlueSoleil蓝牙软件管理系统的配置和使用</w:t>
      </w:r>
    </w:p>
    <w:p>
      <w:pPr>
        <w:spacing w:line="360" w:lineRule="auto"/>
        <w:ind w:firstLine="420" w:firstLineChars="200"/>
        <w:rPr>
          <w:rFonts w:hint="eastAsia"/>
          <w:color w:val="0000FF"/>
          <w:szCs w:val="21"/>
        </w:rPr>
      </w:pPr>
      <w:r>
        <w:rPr>
          <w:color w:val="000000"/>
          <w:szCs w:val="21"/>
        </w:rPr>
        <w:t>实验目的：</w:t>
      </w:r>
      <w:r>
        <w:rPr>
          <w:rFonts w:hint="eastAsia"/>
          <w:color w:val="000000"/>
          <w:szCs w:val="21"/>
        </w:rPr>
        <w:t>了解蓝牙机理，学习蓝牙协议结构的基本功能，掌握蓝牙设备的各种应用方式。</w:t>
      </w:r>
    </w:p>
    <w:p>
      <w:pPr>
        <w:spacing w:line="360" w:lineRule="auto"/>
        <w:ind w:firstLine="420" w:firstLineChars="200"/>
        <w:rPr>
          <w:rFonts w:hint="eastAsia"/>
          <w:color w:val="000000"/>
          <w:szCs w:val="21"/>
        </w:rPr>
      </w:pPr>
      <w:r>
        <w:rPr>
          <w:color w:val="000000"/>
          <w:szCs w:val="21"/>
        </w:rPr>
        <w:t xml:space="preserve">实验原理： </w:t>
      </w:r>
      <w:r>
        <w:rPr>
          <w:rFonts w:hint="eastAsia"/>
          <w:color w:val="000000"/>
          <w:szCs w:val="21"/>
        </w:rPr>
        <w:t>蓝牙传输协议。</w:t>
      </w:r>
    </w:p>
    <w:p>
      <w:pPr>
        <w:spacing w:line="360" w:lineRule="auto"/>
        <w:ind w:firstLine="420" w:firstLineChars="200"/>
        <w:rPr>
          <w:color w:val="000000"/>
          <w:szCs w:val="21"/>
        </w:rPr>
      </w:pPr>
      <w:r>
        <w:rPr>
          <w:color w:val="000000"/>
          <w:szCs w:val="21"/>
        </w:rPr>
        <w:t>实验</w:t>
      </w:r>
      <w:r>
        <w:rPr>
          <w:rFonts w:hint="eastAsia"/>
          <w:color w:val="000000"/>
          <w:szCs w:val="21"/>
        </w:rPr>
        <w:t>设备</w:t>
      </w:r>
      <w:r>
        <w:rPr>
          <w:color w:val="000000"/>
          <w:szCs w:val="21"/>
        </w:rPr>
        <w:t>：</w:t>
      </w:r>
      <w:r>
        <w:rPr>
          <w:color w:val="0000FF"/>
          <w:szCs w:val="21"/>
        </w:rPr>
        <w:t xml:space="preserve"> </w:t>
      </w:r>
      <w:r>
        <w:rPr>
          <w:rFonts w:hint="eastAsia"/>
          <w:color w:val="000000"/>
          <w:szCs w:val="21"/>
        </w:rPr>
        <w:t>Windows操作系统计算机。</w:t>
      </w:r>
    </w:p>
    <w:p>
      <w:pPr>
        <w:spacing w:line="360" w:lineRule="auto"/>
        <w:ind w:firstLine="420" w:firstLineChars="200"/>
        <w:rPr>
          <w:rFonts w:hint="eastAsia"/>
          <w:color w:val="000000"/>
          <w:szCs w:val="21"/>
        </w:rPr>
      </w:pPr>
      <w:r>
        <w:rPr>
          <w:color w:val="000000"/>
          <w:szCs w:val="21"/>
        </w:rPr>
        <w:t xml:space="preserve">实验安排： </w:t>
      </w:r>
      <w:r>
        <w:rPr>
          <w:rFonts w:hint="eastAsia"/>
          <w:color w:val="000000"/>
          <w:szCs w:val="21"/>
        </w:rPr>
        <w:t>教师讲解BuleSoleil系统基础知识，演示蓝牙文件传送，蓝牙网桥，蓝牙拨号网络等；学生熟悉BlueSoleil蓝牙操作软件，进行蓝牙网桥和拨号网络的配置链接。</w:t>
      </w:r>
    </w:p>
    <w:p>
      <w:pPr>
        <w:spacing w:line="360" w:lineRule="auto"/>
        <w:ind w:firstLine="420" w:firstLineChars="200"/>
      </w:pPr>
      <w:r>
        <w:rPr>
          <w:color w:val="000000"/>
          <w:szCs w:val="21"/>
        </w:rPr>
        <w:t xml:space="preserve">实验报告要求： </w:t>
      </w:r>
      <w:r>
        <w:rPr>
          <w:rFonts w:hint="eastAsia"/>
          <w:color w:val="000000"/>
          <w:szCs w:val="21"/>
        </w:rPr>
        <w:t>简述BlueSoleil蓝牙操作软件的配置过程；记录蓝牙网桥和拨号网络的实验数据</w:t>
      </w:r>
      <w:r>
        <w:rPr>
          <w:rFonts w:hint="eastAsia"/>
        </w:rPr>
        <w:t>；写出实验的体会与疑问。</w:t>
      </w:r>
    </w:p>
    <w:p>
      <w:pPr>
        <w:spacing w:line="360" w:lineRule="auto"/>
        <w:ind w:firstLine="422" w:firstLineChars="200"/>
        <w:rPr>
          <w:color w:val="000000"/>
          <w:szCs w:val="21"/>
        </w:rPr>
      </w:pPr>
      <w:r>
        <w:rPr>
          <w:rFonts w:ascii="宋体" w:hAnsi="宋体"/>
          <w:b/>
          <w:color w:val="000000"/>
          <w:szCs w:val="21"/>
        </w:rPr>
        <w:t>实验</w:t>
      </w:r>
      <w:r>
        <w:rPr>
          <w:rFonts w:hint="eastAsia" w:ascii="宋体" w:hAnsi="宋体"/>
          <w:b/>
          <w:color w:val="000000"/>
          <w:szCs w:val="21"/>
        </w:rPr>
        <w:t>四 ：</w:t>
      </w:r>
      <w:r>
        <w:rPr>
          <w:rFonts w:hint="eastAsia" w:ascii="宋体" w:hAnsi="宋体"/>
          <w:color w:val="000000"/>
          <w:szCs w:val="21"/>
        </w:rPr>
        <w:t>Hadoop数据处理实验</w:t>
      </w:r>
    </w:p>
    <w:p>
      <w:pPr>
        <w:spacing w:line="360" w:lineRule="auto"/>
        <w:ind w:firstLine="420" w:firstLineChars="200"/>
        <w:rPr>
          <w:rFonts w:hint="eastAsia"/>
          <w:color w:val="0000FF"/>
          <w:szCs w:val="21"/>
        </w:rPr>
      </w:pPr>
      <w:r>
        <w:rPr>
          <w:color w:val="000000"/>
          <w:szCs w:val="21"/>
        </w:rPr>
        <w:t>实验目的：</w:t>
      </w:r>
      <w:r>
        <w:rPr>
          <w:rFonts w:hint="eastAsia"/>
          <w:color w:val="000000"/>
          <w:szCs w:val="21"/>
        </w:rPr>
        <w:t>了解虚拟机Ubuntu上的Hadoop，学会编写用Hadoop处理数据的程序并在单机上运行。</w:t>
      </w:r>
    </w:p>
    <w:p>
      <w:pPr>
        <w:spacing w:line="360" w:lineRule="auto"/>
        <w:ind w:firstLine="420" w:firstLineChars="200"/>
        <w:rPr>
          <w:rFonts w:hint="eastAsia"/>
          <w:color w:val="000000"/>
          <w:szCs w:val="21"/>
        </w:rPr>
      </w:pPr>
      <w:r>
        <w:rPr>
          <w:color w:val="000000"/>
          <w:szCs w:val="21"/>
        </w:rPr>
        <w:t xml:space="preserve">实验原理： </w:t>
      </w:r>
      <w:r>
        <w:rPr>
          <w:rFonts w:hint="eastAsia"/>
          <w:color w:val="000000"/>
          <w:szCs w:val="21"/>
        </w:rPr>
        <w:t>Eclipse编写程序的大数据统计。</w:t>
      </w:r>
    </w:p>
    <w:p>
      <w:pPr>
        <w:spacing w:line="360" w:lineRule="auto"/>
        <w:ind w:firstLine="420" w:firstLineChars="200"/>
        <w:rPr>
          <w:color w:val="000000"/>
          <w:szCs w:val="21"/>
        </w:rPr>
      </w:pPr>
      <w:r>
        <w:rPr>
          <w:color w:val="000000"/>
          <w:szCs w:val="21"/>
        </w:rPr>
        <w:t>实验</w:t>
      </w:r>
      <w:r>
        <w:rPr>
          <w:rFonts w:hint="eastAsia"/>
          <w:color w:val="000000"/>
          <w:szCs w:val="21"/>
        </w:rPr>
        <w:t>设备</w:t>
      </w:r>
      <w:r>
        <w:rPr>
          <w:color w:val="000000"/>
          <w:szCs w:val="21"/>
        </w:rPr>
        <w:t>：</w:t>
      </w:r>
      <w:r>
        <w:rPr>
          <w:color w:val="0000FF"/>
          <w:szCs w:val="21"/>
        </w:rPr>
        <w:t xml:space="preserve"> </w:t>
      </w:r>
      <w:r>
        <w:rPr>
          <w:rFonts w:hint="eastAsia"/>
          <w:color w:val="000000"/>
          <w:szCs w:val="21"/>
        </w:rPr>
        <w:t>虚拟机VMware</w:t>
      </w:r>
      <w:r>
        <w:rPr>
          <w:color w:val="000000"/>
          <w:szCs w:val="21"/>
        </w:rPr>
        <w:t xml:space="preserve"> 9</w:t>
      </w:r>
      <w:r>
        <w:rPr>
          <w:rFonts w:hint="eastAsia"/>
          <w:color w:val="000000"/>
          <w:szCs w:val="21"/>
        </w:rPr>
        <w:t>，Ubuntu-</w:t>
      </w:r>
      <w:r>
        <w:rPr>
          <w:color w:val="000000"/>
          <w:szCs w:val="21"/>
        </w:rPr>
        <w:t>12</w:t>
      </w:r>
      <w:r>
        <w:rPr>
          <w:rFonts w:hint="eastAsia"/>
          <w:color w:val="000000"/>
          <w:szCs w:val="21"/>
        </w:rPr>
        <w:t>操作系统。</w:t>
      </w:r>
    </w:p>
    <w:p>
      <w:pPr>
        <w:spacing w:line="360" w:lineRule="auto"/>
        <w:ind w:firstLine="420" w:firstLineChars="200"/>
        <w:rPr>
          <w:rFonts w:hint="eastAsia"/>
          <w:color w:val="000000"/>
          <w:szCs w:val="21"/>
        </w:rPr>
      </w:pPr>
      <w:r>
        <w:rPr>
          <w:color w:val="000000"/>
          <w:szCs w:val="21"/>
        </w:rPr>
        <w:t xml:space="preserve">实验安排： </w:t>
      </w:r>
      <w:r>
        <w:rPr>
          <w:rFonts w:hint="eastAsia"/>
          <w:color w:val="000000"/>
          <w:szCs w:val="21"/>
        </w:rPr>
        <w:t>教师讲解实验设计思路，算法设计和程序说明，进行操作演示，学生安装实验环境，安装配置Samba和JDK，在单节点环境下运行Hadoop，运行程序并分析。</w:t>
      </w:r>
    </w:p>
    <w:p>
      <w:pPr>
        <w:spacing w:line="360" w:lineRule="auto"/>
        <w:ind w:firstLine="420" w:firstLineChars="200"/>
      </w:pPr>
      <w:r>
        <w:rPr>
          <w:color w:val="000000"/>
          <w:szCs w:val="21"/>
        </w:rPr>
        <w:t xml:space="preserve">实验报告要求： </w:t>
      </w:r>
      <w:r>
        <w:rPr>
          <w:rFonts w:hint="eastAsia"/>
          <w:color w:val="000000"/>
          <w:szCs w:val="21"/>
        </w:rPr>
        <w:t>简述虚拟机和Ubuntu实验环境的安装配置过程，记录程序在单机上运行时出现的问题和解决办法，</w:t>
      </w:r>
      <w:r>
        <w:rPr>
          <w:rFonts w:hint="eastAsia"/>
        </w:rPr>
        <w:t>写出实验的体会与疑问。</w:t>
      </w:r>
    </w:p>
    <w:p>
      <w:pPr>
        <w:spacing w:before="156" w:beforeLines="50" w:after="156" w:afterLines="50" w:line="360" w:lineRule="auto"/>
        <w:ind w:firstLine="210" w:firstLineChars="100"/>
        <w:rPr>
          <w:rFonts w:eastAsia="黑体"/>
          <w:szCs w:val="21"/>
        </w:rPr>
      </w:pPr>
      <w:r>
        <w:rPr>
          <w:rFonts w:hint="eastAsia" w:eastAsia="黑体"/>
          <w:szCs w:val="21"/>
        </w:rPr>
        <w:t>四、</w:t>
      </w:r>
      <w:r>
        <w:rPr>
          <w:rFonts w:eastAsia="黑体"/>
          <w:szCs w:val="21"/>
        </w:rPr>
        <w:t>达成课程目标的途径和措施</w:t>
      </w:r>
    </w:p>
    <w:p>
      <w:pPr>
        <w:spacing w:line="360" w:lineRule="auto"/>
        <w:ind w:firstLine="420" w:firstLineChars="20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采用多种信息化教学手段，讲解云计算和物联网技术的基本理论知识，理解云计算和物联网相互支撑的重要关系，保证授课质量和授课进度，活跃课堂气氛，把我学生接收程度。</w:t>
      </w:r>
    </w:p>
    <w:p>
      <w:pPr>
        <w:spacing w:line="360" w:lineRule="auto"/>
        <w:ind w:firstLine="420" w:firstLineChars="200"/>
        <w:rPr>
          <w:rFonts w:hint="eastAsia" w:ascii="宋体" w:hAnsi="宋体"/>
          <w:szCs w:val="21"/>
        </w:rPr>
      </w:pPr>
      <w:r>
        <w:rPr>
          <w:rFonts w:hint="eastAsia" w:ascii="宋体" w:hAnsi="宋体"/>
          <w:szCs w:val="21"/>
        </w:rPr>
        <w:t>2</w:t>
      </w:r>
      <w:r>
        <w:rPr>
          <w:rFonts w:ascii="宋体" w:hAnsi="宋体"/>
          <w:szCs w:val="21"/>
        </w:rPr>
        <w:t>.</w:t>
      </w:r>
      <w:r>
        <w:rPr>
          <w:rFonts w:hint="eastAsia" w:ascii="宋体" w:hAnsi="宋体"/>
          <w:szCs w:val="21"/>
        </w:rPr>
        <w:t>采用案例式教学，结合实际问题，进行云计算和物联网应用开发的练习，达到能够对工程案例进行设计和编程。</w:t>
      </w:r>
    </w:p>
    <w:p>
      <w:pPr>
        <w:spacing w:before="156" w:beforeLines="50" w:after="156" w:afterLines="50" w:line="360" w:lineRule="auto"/>
        <w:ind w:firstLine="210" w:firstLineChars="100"/>
        <w:rPr>
          <w:rFonts w:eastAsia="黑体"/>
          <w:szCs w:val="21"/>
        </w:rPr>
      </w:pPr>
      <w:r>
        <w:rPr>
          <w:rFonts w:hint="eastAsia" w:eastAsia="黑体"/>
          <w:szCs w:val="21"/>
        </w:rPr>
        <w:t>五</w:t>
      </w:r>
      <w:r>
        <w:rPr>
          <w:rFonts w:eastAsia="黑体"/>
          <w:szCs w:val="21"/>
        </w:rPr>
        <w:t>、考核方式</w:t>
      </w:r>
    </w:p>
    <w:p>
      <w:pPr>
        <w:spacing w:line="360" w:lineRule="auto"/>
        <w:ind w:left="420" w:leftChars="200"/>
        <w:rPr>
          <w:szCs w:val="21"/>
        </w:rPr>
      </w:pPr>
      <w:r>
        <w:rPr>
          <w:szCs w:val="21"/>
        </w:rPr>
        <w:t>1. 课程考核方式包括</w:t>
      </w:r>
      <w:r>
        <w:rPr>
          <w:rFonts w:hint="eastAsia"/>
          <w:szCs w:val="21"/>
        </w:rPr>
        <w:t>随堂测验</w:t>
      </w:r>
      <w:r>
        <w:rPr>
          <w:szCs w:val="21"/>
        </w:rPr>
        <w:t>、</w:t>
      </w:r>
      <w:r>
        <w:rPr>
          <w:rFonts w:hint="eastAsia"/>
          <w:szCs w:val="21"/>
        </w:rPr>
        <w:t>课后</w:t>
      </w:r>
      <w:r>
        <w:rPr>
          <w:szCs w:val="21"/>
        </w:rPr>
        <w:t>作业情况</w:t>
      </w:r>
      <w:r>
        <w:rPr>
          <w:rFonts w:hint="eastAsia"/>
          <w:szCs w:val="21"/>
        </w:rPr>
        <w:t>、</w:t>
      </w:r>
      <w:r>
        <w:rPr>
          <w:szCs w:val="21"/>
        </w:rPr>
        <w:t>实验情况</w:t>
      </w:r>
      <w:r>
        <w:rPr>
          <w:rFonts w:hint="eastAsia"/>
          <w:szCs w:val="21"/>
        </w:rPr>
        <w:t>和</w:t>
      </w:r>
      <w:r>
        <w:rPr>
          <w:szCs w:val="21"/>
        </w:rPr>
        <w:t>期末考试</w:t>
      </w:r>
      <w:r>
        <w:rPr>
          <w:rFonts w:hint="eastAsia"/>
          <w:szCs w:val="21"/>
        </w:rPr>
        <w:t>等</w:t>
      </w:r>
      <w:r>
        <w:rPr>
          <w:szCs w:val="21"/>
        </w:rPr>
        <w:t>。</w:t>
      </w:r>
    </w:p>
    <w:p>
      <w:pPr>
        <w:spacing w:line="360" w:lineRule="auto"/>
        <w:ind w:firstLine="420" w:firstLineChars="200"/>
        <w:rPr>
          <w:rFonts w:hint="eastAsia"/>
          <w:szCs w:val="21"/>
        </w:rPr>
      </w:pPr>
      <w:r>
        <w:rPr>
          <w:rFonts w:hint="eastAsia"/>
          <w:szCs w:val="21"/>
        </w:rPr>
        <w:t>考核方式：课后作业、实验情况；综述小论文。</w:t>
      </w:r>
    </w:p>
    <w:p>
      <w:pPr>
        <w:numPr>
          <w:ilvl w:val="0"/>
          <w:numId w:val="14"/>
        </w:numPr>
        <w:spacing w:line="360" w:lineRule="auto"/>
        <w:ind w:left="420" w:leftChars="200"/>
        <w:rPr>
          <w:rFonts w:hint="eastAsia"/>
          <w:szCs w:val="21"/>
        </w:rPr>
      </w:pPr>
      <w:r>
        <w:rPr>
          <w:rFonts w:hint="eastAsia"/>
          <w:szCs w:val="21"/>
        </w:rPr>
        <w:t>定量评价</w:t>
      </w:r>
    </w:p>
    <w:p>
      <w:pPr>
        <w:spacing w:line="360" w:lineRule="auto"/>
        <w:ind w:firstLine="420" w:firstLineChars="200"/>
        <w:rPr>
          <w:szCs w:val="21"/>
        </w:rPr>
      </w:pPr>
      <w:r>
        <w:rPr>
          <w:rFonts w:hint="eastAsia"/>
          <w:szCs w:val="21"/>
        </w:rPr>
        <w:t>本课程</w:t>
      </w:r>
      <w:r>
        <w:rPr>
          <w:szCs w:val="21"/>
        </w:rPr>
        <w:t>包含</w:t>
      </w:r>
      <w:r>
        <w:rPr>
          <w:rFonts w:hint="eastAsia"/>
          <w:szCs w:val="21"/>
          <w:lang w:val="en-US" w:eastAsia="zh-CN"/>
        </w:rPr>
        <w:t>2</w:t>
      </w:r>
      <w:r>
        <w:rPr>
          <w:szCs w:val="21"/>
        </w:rPr>
        <w:t>个分课程目标</w:t>
      </w:r>
      <w:r>
        <w:rPr>
          <w:rFonts w:hint="eastAsia"/>
          <w:szCs w:val="21"/>
        </w:rPr>
        <w:t>，有</w:t>
      </w:r>
      <w:r>
        <w:rPr>
          <w:rFonts w:hint="eastAsia"/>
          <w:szCs w:val="21"/>
          <w:lang w:val="en-US" w:eastAsia="zh-CN"/>
        </w:rPr>
        <w:t>3</w:t>
      </w:r>
      <w:r>
        <w:rPr>
          <w:rFonts w:hint="eastAsia"/>
          <w:szCs w:val="21"/>
        </w:rPr>
        <w:t>个考核方式，各考核方式对课程目标达成评价的权重占比分配如下：</w:t>
      </w:r>
    </w:p>
    <w:p>
      <w:pPr>
        <w:spacing w:line="360" w:lineRule="auto"/>
        <w:ind w:firstLine="420" w:firstLineChars="200"/>
        <w:rPr>
          <w:rFonts w:hint="eastAsia"/>
          <w:szCs w:val="21"/>
        </w:rPr>
      </w:pPr>
    </w:p>
    <w:p>
      <w:pPr>
        <w:spacing w:line="360" w:lineRule="auto"/>
        <w:jc w:val="center"/>
        <w:rPr>
          <w:rFonts w:hint="eastAsia"/>
          <w:sz w:val="18"/>
          <w:szCs w:val="18"/>
        </w:rPr>
      </w:pPr>
      <w:r>
        <w:rPr>
          <w:sz w:val="18"/>
          <w:szCs w:val="18"/>
        </w:rPr>
        <w:t>表4</w:t>
      </w:r>
      <w:r>
        <w:rPr>
          <w:rFonts w:hint="eastAsia"/>
          <w:sz w:val="18"/>
          <w:szCs w:val="18"/>
        </w:rPr>
        <w:t xml:space="preserve">.1   </w:t>
      </w:r>
      <w:r>
        <w:rPr>
          <w:sz w:val="18"/>
          <w:szCs w:val="18"/>
        </w:rPr>
        <w:t>各考核方式对课程目标达成评价的</w:t>
      </w:r>
      <w:r>
        <w:rPr>
          <w:rFonts w:hint="eastAsia"/>
          <w:sz w:val="18"/>
          <w:szCs w:val="18"/>
        </w:rPr>
        <w:t>权重</w:t>
      </w:r>
      <w:r>
        <w:rPr>
          <w:sz w:val="18"/>
          <w:szCs w:val="18"/>
        </w:rPr>
        <w:t>占比分配</w:t>
      </w:r>
    </w:p>
    <w:tbl>
      <w:tblPr>
        <w:tblStyle w:val="19"/>
        <w:tblW w:w="7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1436"/>
        <w:gridCol w:w="1436"/>
        <w:gridCol w:w="1306"/>
        <w:gridCol w:w="2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600" w:type="dxa"/>
            <w:vMerge w:val="restart"/>
            <w:vAlign w:val="center"/>
          </w:tcPr>
          <w:p>
            <w:pPr>
              <w:spacing w:line="360" w:lineRule="auto"/>
              <w:jc w:val="center"/>
              <w:rPr>
                <w:b/>
              </w:rPr>
            </w:pPr>
            <w:r>
              <w:rPr>
                <w:b/>
                <w:kern w:val="0"/>
                <w:sz w:val="18"/>
                <w:szCs w:val="18"/>
              </w:rPr>
              <w:t>课程目标</w:t>
            </w:r>
          </w:p>
        </w:tc>
        <w:tc>
          <w:tcPr>
            <w:tcW w:w="4178" w:type="dxa"/>
            <w:gridSpan w:val="3"/>
            <w:vAlign w:val="center"/>
          </w:tcPr>
          <w:p>
            <w:pPr>
              <w:spacing w:line="360" w:lineRule="auto"/>
              <w:jc w:val="center"/>
              <w:rPr>
                <w:b/>
              </w:rPr>
            </w:pPr>
            <w:r>
              <w:rPr>
                <w:rFonts w:hint="eastAsia"/>
                <w:b/>
                <w:sz w:val="18"/>
                <w:szCs w:val="18"/>
              </w:rPr>
              <w:t>考核方式以及成绩占比（%）</w:t>
            </w:r>
          </w:p>
        </w:tc>
        <w:tc>
          <w:tcPr>
            <w:tcW w:w="2072" w:type="dxa"/>
            <w:vMerge w:val="restart"/>
            <w:vAlign w:val="center"/>
          </w:tcPr>
          <w:p>
            <w:pPr>
              <w:spacing w:line="360" w:lineRule="auto"/>
              <w:jc w:val="center"/>
              <w:rPr>
                <w:rFonts w:hint="eastAsia"/>
                <w:b/>
                <w:i/>
                <w:kern w:val="0"/>
                <w:sz w:val="18"/>
                <w:szCs w:val="18"/>
              </w:rPr>
            </w:pPr>
            <w:r>
              <w:rPr>
                <w:b/>
                <w:kern w:val="0"/>
                <w:sz w:val="18"/>
                <w:szCs w:val="18"/>
              </w:rPr>
              <w:t>分课程目标权重</w:t>
            </w:r>
            <w:r>
              <w:rPr>
                <w:b/>
                <w:i/>
                <w:kern w:val="0"/>
                <w:sz w:val="18"/>
                <w:szCs w:val="18"/>
              </w:rPr>
              <w:t>P</w:t>
            </w:r>
            <w:r>
              <w:rPr>
                <w:b/>
                <w:i/>
                <w:kern w:val="0"/>
                <w:sz w:val="18"/>
                <w:szCs w:val="18"/>
                <w:vertAlign w:val="subscript"/>
              </w:rPr>
              <w:t>i</w:t>
            </w:r>
          </w:p>
          <w:p>
            <w:pPr>
              <w:spacing w:line="360" w:lineRule="auto"/>
              <w:jc w:val="center"/>
              <w:rPr>
                <w:kern w:val="0"/>
                <w:sz w:val="18"/>
                <w:szCs w:val="18"/>
              </w:rPr>
            </w:pPr>
            <w:r>
              <w:rPr>
                <w:rFonts w:hint="eastAsia"/>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0" w:type="dxa"/>
            <w:vMerge w:val="continue"/>
            <w:vAlign w:val="center"/>
          </w:tcPr>
          <w:p>
            <w:pPr>
              <w:widowControl/>
              <w:jc w:val="center"/>
              <w:rPr>
                <w:b/>
                <w:kern w:val="0"/>
                <w:sz w:val="18"/>
                <w:szCs w:val="18"/>
              </w:rPr>
            </w:pPr>
          </w:p>
        </w:tc>
        <w:tc>
          <w:tcPr>
            <w:tcW w:w="1436" w:type="dxa"/>
            <w:vAlign w:val="center"/>
          </w:tcPr>
          <w:p>
            <w:pPr>
              <w:widowControl/>
              <w:jc w:val="center"/>
              <w:rPr>
                <w:b/>
                <w:kern w:val="0"/>
                <w:sz w:val="18"/>
                <w:szCs w:val="18"/>
              </w:rPr>
            </w:pPr>
            <w:r>
              <w:rPr>
                <w:rFonts w:hint="eastAsia"/>
                <w:b/>
                <w:kern w:val="0"/>
                <w:sz w:val="18"/>
                <w:szCs w:val="18"/>
              </w:rPr>
              <w:t>作业</w:t>
            </w:r>
          </w:p>
          <w:p>
            <w:pPr>
              <w:widowControl/>
              <w:jc w:val="center"/>
              <w:rPr>
                <w:rFonts w:hint="eastAsia"/>
                <w:b/>
                <w:kern w:val="0"/>
                <w:sz w:val="18"/>
                <w:szCs w:val="18"/>
              </w:rPr>
            </w:pPr>
            <w:r>
              <w:rPr>
                <w:rFonts w:hint="eastAsia"/>
                <w:b/>
                <w:kern w:val="0"/>
                <w:sz w:val="18"/>
                <w:szCs w:val="18"/>
              </w:rPr>
              <w:t>（1）</w:t>
            </w:r>
          </w:p>
        </w:tc>
        <w:tc>
          <w:tcPr>
            <w:tcW w:w="1436" w:type="dxa"/>
            <w:vAlign w:val="center"/>
          </w:tcPr>
          <w:p>
            <w:pPr>
              <w:widowControl/>
              <w:jc w:val="center"/>
              <w:rPr>
                <w:b/>
                <w:kern w:val="0"/>
                <w:sz w:val="18"/>
                <w:szCs w:val="18"/>
              </w:rPr>
            </w:pPr>
            <w:r>
              <w:rPr>
                <w:rFonts w:hint="eastAsia"/>
                <w:b/>
                <w:kern w:val="0"/>
                <w:sz w:val="18"/>
                <w:szCs w:val="18"/>
              </w:rPr>
              <w:t>实验情况</w:t>
            </w:r>
          </w:p>
          <w:p>
            <w:pPr>
              <w:widowControl/>
              <w:jc w:val="center"/>
              <w:rPr>
                <w:rFonts w:hint="eastAsia"/>
                <w:b/>
                <w:kern w:val="0"/>
                <w:sz w:val="18"/>
                <w:szCs w:val="18"/>
              </w:rPr>
            </w:pPr>
            <w:r>
              <w:rPr>
                <w:rFonts w:hint="eastAsia"/>
                <w:b/>
                <w:kern w:val="0"/>
                <w:sz w:val="18"/>
                <w:szCs w:val="18"/>
              </w:rPr>
              <w:t>（2）</w:t>
            </w:r>
          </w:p>
        </w:tc>
        <w:tc>
          <w:tcPr>
            <w:tcW w:w="1306" w:type="dxa"/>
            <w:vAlign w:val="center"/>
          </w:tcPr>
          <w:p>
            <w:pPr>
              <w:widowControl/>
              <w:jc w:val="center"/>
              <w:rPr>
                <w:b/>
                <w:kern w:val="0"/>
                <w:sz w:val="18"/>
                <w:szCs w:val="18"/>
              </w:rPr>
            </w:pPr>
            <w:r>
              <w:rPr>
                <w:rFonts w:hint="eastAsia"/>
                <w:b/>
                <w:kern w:val="0"/>
                <w:sz w:val="18"/>
                <w:szCs w:val="18"/>
              </w:rPr>
              <w:t>综述小论文</w:t>
            </w:r>
          </w:p>
          <w:p>
            <w:pPr>
              <w:widowControl/>
              <w:jc w:val="center"/>
              <w:rPr>
                <w:rFonts w:hint="eastAsia"/>
                <w:b/>
                <w:kern w:val="0"/>
                <w:sz w:val="18"/>
                <w:szCs w:val="18"/>
              </w:rPr>
            </w:pPr>
            <w:r>
              <w:rPr>
                <w:rFonts w:hint="eastAsia"/>
                <w:b/>
                <w:kern w:val="0"/>
                <w:sz w:val="18"/>
                <w:szCs w:val="18"/>
              </w:rPr>
              <w:t>（k）</w:t>
            </w:r>
          </w:p>
        </w:tc>
        <w:tc>
          <w:tcPr>
            <w:tcW w:w="2072" w:type="dxa"/>
            <w:vMerge w:val="continue"/>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0" w:type="dxa"/>
            <w:vAlign w:val="center"/>
          </w:tcPr>
          <w:p>
            <w:pPr>
              <w:widowControl/>
              <w:jc w:val="center"/>
              <w:rPr>
                <w:kern w:val="0"/>
                <w:sz w:val="18"/>
                <w:szCs w:val="18"/>
              </w:rPr>
            </w:pPr>
            <w:r>
              <w:rPr>
                <w:kern w:val="0"/>
                <w:sz w:val="18"/>
                <w:szCs w:val="18"/>
              </w:rPr>
              <w:t>1</w:t>
            </w:r>
          </w:p>
        </w:tc>
        <w:tc>
          <w:tcPr>
            <w:tcW w:w="1436" w:type="dxa"/>
            <w:vAlign w:val="center"/>
          </w:tcPr>
          <w:p>
            <w:pPr>
              <w:spacing w:line="360" w:lineRule="auto"/>
              <w:jc w:val="center"/>
            </w:pPr>
            <w:r>
              <w:rPr>
                <w:i/>
              </w:rPr>
              <w:t>10</w:t>
            </w:r>
          </w:p>
        </w:tc>
        <w:tc>
          <w:tcPr>
            <w:tcW w:w="1436" w:type="dxa"/>
            <w:vAlign w:val="center"/>
          </w:tcPr>
          <w:p>
            <w:pPr>
              <w:spacing w:line="360" w:lineRule="auto"/>
              <w:jc w:val="center"/>
            </w:pPr>
            <w:r>
              <w:rPr>
                <w:i/>
              </w:rPr>
              <w:t>20</w:t>
            </w:r>
          </w:p>
        </w:tc>
        <w:tc>
          <w:tcPr>
            <w:tcW w:w="1306" w:type="dxa"/>
            <w:vAlign w:val="center"/>
          </w:tcPr>
          <w:p>
            <w:pPr>
              <w:spacing w:line="360" w:lineRule="auto"/>
              <w:jc w:val="center"/>
            </w:pPr>
            <w:r>
              <w:rPr>
                <w:i/>
              </w:rPr>
              <w:t>20</w:t>
            </w:r>
          </w:p>
        </w:tc>
        <w:tc>
          <w:tcPr>
            <w:tcW w:w="2072" w:type="dxa"/>
            <w:vAlign w:val="center"/>
          </w:tcPr>
          <w:p>
            <w:pPr>
              <w:spacing w:line="360" w:lineRule="auto"/>
              <w:jc w:val="center"/>
            </w:pPr>
            <w:r>
              <w:rPr>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0" w:type="dxa"/>
            <w:vAlign w:val="center"/>
          </w:tcPr>
          <w:p>
            <w:pPr>
              <w:widowControl/>
              <w:jc w:val="center"/>
              <w:rPr>
                <w:kern w:val="0"/>
                <w:sz w:val="18"/>
                <w:szCs w:val="18"/>
              </w:rPr>
            </w:pPr>
            <w:r>
              <w:rPr>
                <w:kern w:val="0"/>
                <w:sz w:val="18"/>
                <w:szCs w:val="18"/>
              </w:rPr>
              <w:t>2</w:t>
            </w:r>
          </w:p>
        </w:tc>
        <w:tc>
          <w:tcPr>
            <w:tcW w:w="1436" w:type="dxa"/>
            <w:vAlign w:val="center"/>
          </w:tcPr>
          <w:p>
            <w:pPr>
              <w:spacing w:line="360" w:lineRule="auto"/>
              <w:jc w:val="center"/>
            </w:pPr>
            <w:r>
              <w:rPr>
                <w:i/>
              </w:rPr>
              <w:t>10</w:t>
            </w:r>
          </w:p>
        </w:tc>
        <w:tc>
          <w:tcPr>
            <w:tcW w:w="1436" w:type="dxa"/>
            <w:vAlign w:val="center"/>
          </w:tcPr>
          <w:p>
            <w:pPr>
              <w:spacing w:line="360" w:lineRule="auto"/>
              <w:jc w:val="center"/>
            </w:pPr>
            <w:r>
              <w:rPr>
                <w:i/>
              </w:rPr>
              <w:t>20</w:t>
            </w:r>
          </w:p>
        </w:tc>
        <w:tc>
          <w:tcPr>
            <w:tcW w:w="1306" w:type="dxa"/>
            <w:vAlign w:val="center"/>
          </w:tcPr>
          <w:p>
            <w:pPr>
              <w:spacing w:line="360" w:lineRule="auto"/>
              <w:jc w:val="center"/>
            </w:pPr>
            <w:r>
              <w:rPr>
                <w:i/>
              </w:rPr>
              <w:t>20</w:t>
            </w:r>
          </w:p>
        </w:tc>
        <w:tc>
          <w:tcPr>
            <w:tcW w:w="2072" w:type="dxa"/>
            <w:vAlign w:val="center"/>
          </w:tcPr>
          <w:p>
            <w:pPr>
              <w:spacing w:line="360" w:lineRule="auto"/>
              <w:jc w:val="center"/>
            </w:pPr>
            <w:r>
              <w:rPr>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0" w:type="dxa"/>
            <w:vAlign w:val="center"/>
          </w:tcPr>
          <w:p>
            <w:pPr>
              <w:widowControl/>
              <w:jc w:val="center"/>
              <w:rPr>
                <w:kern w:val="0"/>
                <w:sz w:val="18"/>
                <w:szCs w:val="18"/>
              </w:rPr>
            </w:pPr>
            <w:r>
              <w:rPr>
                <w:rFonts w:hint="eastAsia"/>
                <w:kern w:val="0"/>
                <w:sz w:val="18"/>
                <w:szCs w:val="18"/>
              </w:rPr>
              <w:t>考核环节成绩比例合计（%）</w:t>
            </w:r>
          </w:p>
        </w:tc>
        <w:tc>
          <w:tcPr>
            <w:tcW w:w="1436" w:type="dxa"/>
            <w:vAlign w:val="center"/>
          </w:tcPr>
          <w:p>
            <w:pPr>
              <w:spacing w:line="360" w:lineRule="auto"/>
              <w:jc w:val="center"/>
              <w:rPr>
                <w:rFonts w:hint="eastAsia"/>
                <w:vertAlign w:val="subscript"/>
              </w:rPr>
            </w:pPr>
            <w:r>
              <w:rPr>
                <w:sz w:val="18"/>
                <w:szCs w:val="18"/>
              </w:rPr>
              <w:t>20</w:t>
            </w:r>
          </w:p>
        </w:tc>
        <w:tc>
          <w:tcPr>
            <w:tcW w:w="1436" w:type="dxa"/>
            <w:vAlign w:val="center"/>
          </w:tcPr>
          <w:p>
            <w:pPr>
              <w:spacing w:line="360" w:lineRule="auto"/>
              <w:jc w:val="center"/>
              <w:rPr>
                <w:rFonts w:hint="eastAsia"/>
                <w:sz w:val="20"/>
                <w:szCs w:val="22"/>
              </w:rPr>
            </w:pPr>
            <w:r>
              <w:rPr>
                <w:sz w:val="20"/>
                <w:szCs w:val="22"/>
              </w:rPr>
              <w:t>40</w:t>
            </w:r>
          </w:p>
        </w:tc>
        <w:tc>
          <w:tcPr>
            <w:tcW w:w="1306" w:type="dxa"/>
            <w:vAlign w:val="center"/>
          </w:tcPr>
          <w:p>
            <w:pPr>
              <w:spacing w:line="360" w:lineRule="auto"/>
              <w:jc w:val="center"/>
              <w:rPr>
                <w:sz w:val="20"/>
                <w:szCs w:val="22"/>
              </w:rPr>
            </w:pPr>
            <w:r>
              <w:rPr>
                <w:sz w:val="20"/>
                <w:szCs w:val="22"/>
              </w:rPr>
              <w:t>40</w:t>
            </w:r>
          </w:p>
        </w:tc>
        <w:tc>
          <w:tcPr>
            <w:tcW w:w="2072" w:type="dxa"/>
            <w:vAlign w:val="center"/>
          </w:tcPr>
          <w:p>
            <w:pPr>
              <w:spacing w:line="360" w:lineRule="auto"/>
              <w:jc w:val="center"/>
            </w:pPr>
            <w:r>
              <w:rPr>
                <w:rFonts w:hint="eastAsia"/>
              </w:rPr>
              <w:t>1</w:t>
            </w:r>
            <w:r>
              <w:t>00</w:t>
            </w:r>
          </w:p>
        </w:tc>
      </w:tr>
    </w:tbl>
    <w:p>
      <w:pPr>
        <w:spacing w:line="360" w:lineRule="auto"/>
        <w:rPr>
          <w:szCs w:val="21"/>
        </w:rPr>
      </w:pPr>
    </w:p>
    <w:p>
      <w:pPr>
        <w:spacing w:line="360" w:lineRule="auto"/>
        <w:ind w:firstLine="420" w:firstLineChars="200"/>
        <w:rPr>
          <w:szCs w:val="21"/>
        </w:rPr>
      </w:pPr>
      <w:r>
        <w:rPr>
          <w:szCs w:val="21"/>
        </w:rPr>
        <w:t>那么第i个分课程目标的评价基于各环节k的贡献加权求和，就是该分课程目标的达成度</w:t>
      </w:r>
      <w:r>
        <w:rPr>
          <w:i/>
          <w:szCs w:val="21"/>
        </w:rPr>
        <w:t>A</w:t>
      </w:r>
      <w:r>
        <w:rPr>
          <w:szCs w:val="21"/>
          <w:vertAlign w:val="subscript"/>
        </w:rPr>
        <w:t>i</w:t>
      </w:r>
      <w:r>
        <w:rPr>
          <w:szCs w:val="21"/>
        </w:rPr>
        <w:t xml:space="preserve">，即 </w:t>
      </w:r>
    </w:p>
    <w:p>
      <w:pPr>
        <w:spacing w:line="360" w:lineRule="auto"/>
        <w:jc w:val="right"/>
        <w:rPr>
          <w:sz w:val="24"/>
        </w:rPr>
      </w:pPr>
      <w:r>
        <w:rPr>
          <w:position w:val="-14"/>
        </w:rPr>
        <w:object>
          <v:shape id="_x0000_i1161" o:spt="75" type="#_x0000_t75" style="height:20pt;width:105.5pt;" o:ole="t" filled="f" o:preferrelative="t" stroked="f" coordsize="21600,21600">
            <v:path/>
            <v:fill on="f" focussize="0,0"/>
            <v:stroke on="f" joinstyle="miter"/>
            <v:imagedata r:id="rId296" o:title=""/>
            <o:lock v:ext="edit" aspectratio="t"/>
            <w10:wrap type="none"/>
            <w10:anchorlock/>
          </v:shape>
          <o:OLEObject Type="Embed" ProgID="Equation.DSMT4" ShapeID="_x0000_i1161" DrawAspect="Content" ObjectID="_1468075861" r:id="rId302">
            <o:LockedField>false</o:LockedField>
          </o:OLEObject>
        </w:object>
      </w:r>
      <w:r>
        <w:rPr>
          <w:position w:val="-14"/>
        </w:rPr>
        <w:t xml:space="preserve">                                    5-1</w:t>
      </w:r>
    </w:p>
    <w:p>
      <w:pPr>
        <w:snapToGrid w:val="0"/>
        <w:spacing w:line="360" w:lineRule="auto"/>
        <w:ind w:firstLine="420" w:firstLineChars="200"/>
        <w:rPr>
          <w:szCs w:val="21"/>
        </w:rPr>
      </w:pPr>
      <w:r>
        <w:rPr>
          <w:szCs w:val="21"/>
        </w:rPr>
        <w:t>而多个分课程目标再根据比例加权求和，就得到本门课程的课程目标达成度</w:t>
      </w:r>
      <w:r>
        <w:rPr>
          <w:i/>
          <w:szCs w:val="21"/>
        </w:rPr>
        <w:t>A。</w:t>
      </w:r>
    </w:p>
    <w:p>
      <w:pPr>
        <w:pStyle w:val="59"/>
        <w:spacing w:line="360" w:lineRule="auto"/>
        <w:ind w:left="-2" w:leftChars="-1" w:firstLine="3362" w:firstLineChars="1601"/>
        <w:jc w:val="right"/>
        <w:rPr>
          <w:rFonts w:ascii="Times New Roman" w:hAnsi="Times New Roman"/>
        </w:rPr>
      </w:pPr>
      <w:r>
        <w:rPr>
          <w:rFonts w:ascii="Times New Roman" w:hAnsi="Times New Roman"/>
          <w:position w:val="-14"/>
        </w:rPr>
        <w:object>
          <v:shape id="_x0000_i1162" o:spt="75" type="#_x0000_t75" style="height:20pt;width:62.5pt;" o:ole="t" filled="f" o:preferrelative="t" stroked="f" coordsize="21600,21600">
            <v:path/>
            <v:fill on="f" focussize="0,0"/>
            <v:stroke on="f" joinstyle="miter"/>
            <v:imagedata r:id="rId298" o:title=""/>
            <o:lock v:ext="edit" aspectratio="t"/>
            <w10:wrap type="none"/>
            <w10:anchorlock/>
          </v:shape>
          <o:OLEObject Type="Embed" ProgID="Equation.DSMT4" ShapeID="_x0000_i1162" DrawAspect="Content" ObjectID="_1468075862" r:id="rId303">
            <o:LockedField>false</o:LockedField>
          </o:OLEObject>
        </w:object>
      </w:r>
      <w:r>
        <w:rPr>
          <w:rFonts w:ascii="Times New Roman" w:hAnsi="Times New Roman"/>
          <w:position w:val="-14"/>
        </w:rPr>
        <w:t xml:space="preserve">                                      5-2</w:t>
      </w:r>
    </w:p>
    <w:p>
      <w:pPr>
        <w:spacing w:line="360" w:lineRule="auto"/>
        <w:rPr>
          <w:szCs w:val="21"/>
        </w:rPr>
      </w:pPr>
      <w:r>
        <w:rPr>
          <w:szCs w:val="21"/>
        </w:rPr>
        <w:t>其中：</w:t>
      </w:r>
      <w:r>
        <w:rPr>
          <w:i/>
          <w:szCs w:val="21"/>
        </w:rPr>
        <w:t>k</w:t>
      </w:r>
      <w:r>
        <w:rPr>
          <w:szCs w:val="21"/>
        </w:rPr>
        <w:t>表示不同的考核</w:t>
      </w:r>
      <w:r>
        <w:rPr>
          <w:rFonts w:hint="eastAsia"/>
          <w:szCs w:val="21"/>
        </w:rPr>
        <w:t>方式</w:t>
      </w:r>
      <w:r>
        <w:rPr>
          <w:szCs w:val="21"/>
        </w:rPr>
        <w:t>，</w:t>
      </w:r>
      <w:r>
        <w:rPr>
          <w:i/>
          <w:szCs w:val="21"/>
        </w:rPr>
        <w:t>i</w:t>
      </w:r>
      <w:r>
        <w:rPr>
          <w:szCs w:val="21"/>
        </w:rPr>
        <w:t>表示不同的分课程目标；</w:t>
      </w:r>
    </w:p>
    <w:p>
      <w:pPr>
        <w:spacing w:line="360" w:lineRule="auto"/>
        <w:ind w:firstLine="630" w:firstLineChars="300"/>
      </w:pPr>
      <w:r>
        <w:rPr>
          <w:position w:val="-12"/>
        </w:rPr>
        <w:object>
          <v:shape id="_x0000_i1163" o:spt="75" type="#_x0000_t75" style="height:19pt;width:15.5pt;" o:ole="t" filled="f" o:preferrelative="t" stroked="f" coordsize="21600,21600">
            <v:path/>
            <v:fill on="f" focussize="0,0"/>
            <v:stroke on="f" joinstyle="miter"/>
            <v:imagedata r:id="rId300" o:title=""/>
            <o:lock v:ext="edit" aspectratio="t"/>
            <w10:wrap type="none"/>
            <w10:anchorlock/>
          </v:shape>
          <o:OLEObject Type="Embed" ProgID="Equation.3" ShapeID="_x0000_i1163" DrawAspect="Content" ObjectID="_1468075863" r:id="rId304">
            <o:LockedField>false</o:LockedField>
          </o:OLEObject>
        </w:object>
      </w:r>
      <w:r>
        <w:t>表示第</w:t>
      </w:r>
      <w:r>
        <w:rPr>
          <w:i/>
        </w:rPr>
        <w:t>i</w:t>
      </w:r>
      <w:r>
        <w:t>个课程目标</w:t>
      </w:r>
      <w:r>
        <w:rPr>
          <w:rFonts w:hint="eastAsia"/>
        </w:rPr>
        <w:t>中</w:t>
      </w:r>
      <w:r>
        <w:t>第</w:t>
      </w:r>
      <w:r>
        <w:rPr>
          <w:i/>
        </w:rPr>
        <w:t>k</w:t>
      </w:r>
      <w:r>
        <w:t>种</w:t>
      </w:r>
      <w:r>
        <w:rPr>
          <w:rFonts w:hint="eastAsia"/>
        </w:rPr>
        <w:t>考核方式在总成绩中的占比</w:t>
      </w:r>
      <w:r>
        <w:t>；</w:t>
      </w:r>
    </w:p>
    <w:p>
      <w:pPr>
        <w:spacing w:line="360" w:lineRule="auto"/>
        <w:ind w:firstLine="630" w:firstLineChars="300"/>
      </w:pPr>
      <w:r>
        <w:rPr>
          <w:position w:val="-10"/>
        </w:rPr>
        <w:object>
          <v:shape id="_x0000_i1164" o:spt="75" type="#_x0000_t75" style="height:19pt;width:13.5pt;" o:ole="t" filled="f" o:preferrelative="t" stroked="f" coordsize="21600,21600">
            <v:path/>
            <v:fill on="f" focussize="0,0"/>
            <v:stroke on="f" joinstyle="miter"/>
            <v:imagedata r:id="rId155" o:title=""/>
            <o:lock v:ext="edit" aspectratio="t"/>
            <w10:wrap type="none"/>
            <w10:anchorlock/>
          </v:shape>
          <o:OLEObject Type="Embed" ProgID="Equation.3" ShapeID="_x0000_i1164" DrawAspect="Content" ObjectID="_1468075864" r:id="rId305">
            <o:LockedField>false</o:LockedField>
          </o:OLEObject>
        </w:object>
      </w:r>
      <w:r>
        <w:t>表示第</w:t>
      </w:r>
      <w:r>
        <w:rPr>
          <w:i/>
        </w:rPr>
        <w:t>i</w:t>
      </w:r>
      <w:r>
        <w:t>个课程目标在课程总评价中的占比；</w:t>
      </w:r>
    </w:p>
    <w:p>
      <w:pPr>
        <w:spacing w:line="360" w:lineRule="auto"/>
        <w:rPr>
          <w:szCs w:val="21"/>
        </w:rPr>
      </w:pPr>
      <w:r>
        <w:rPr>
          <w:rFonts w:hint="eastAsia"/>
          <w:i/>
          <w:iCs/>
          <w:kern w:val="0"/>
          <w:sz w:val="28"/>
          <w:szCs w:val="28"/>
        </w:rPr>
        <w:t xml:space="preserve">    </w:t>
      </w:r>
      <w:r>
        <w:rPr>
          <w:i/>
          <w:iCs/>
          <w:kern w:val="0"/>
          <w:sz w:val="28"/>
          <w:szCs w:val="28"/>
        </w:rPr>
        <w:t>G</w:t>
      </w:r>
      <w:r>
        <w:rPr>
          <w:i/>
          <w:iCs/>
          <w:kern w:val="0"/>
          <w:sz w:val="28"/>
          <w:szCs w:val="28"/>
          <w:vertAlign w:val="subscript"/>
        </w:rPr>
        <w:t>ik</w:t>
      </w:r>
      <w:r>
        <w:t>表示第</w:t>
      </w:r>
      <w:r>
        <w:rPr>
          <w:i/>
          <w:iCs/>
        </w:rPr>
        <w:t>k</w:t>
      </w:r>
      <w:r>
        <w:t>种考核方式支撑第i个课程目标的达成度</w:t>
      </w:r>
      <w:r>
        <w:rPr>
          <w:rFonts w:hint="eastAsia"/>
        </w:rPr>
        <w:t>。</w:t>
      </w:r>
    </w:p>
    <w:p>
      <w:pPr>
        <w:numPr>
          <w:ilvl w:val="0"/>
          <w:numId w:val="15"/>
        </w:numPr>
        <w:spacing w:line="360" w:lineRule="auto"/>
        <w:ind w:firstLine="420" w:firstLineChars="200"/>
        <w:rPr>
          <w:rFonts w:hint="eastAsia"/>
          <w:szCs w:val="21"/>
        </w:rPr>
      </w:pPr>
      <w:r>
        <w:rPr>
          <w:rFonts w:hint="eastAsia"/>
          <w:szCs w:val="21"/>
        </w:rPr>
        <w:t>定性评价</w:t>
      </w:r>
    </w:p>
    <w:p>
      <w:pPr>
        <w:spacing w:line="360" w:lineRule="auto"/>
        <w:ind w:firstLine="420" w:firstLineChars="200"/>
        <w:rPr>
          <w:rFonts w:hint="eastAsia"/>
          <w:szCs w:val="21"/>
        </w:rPr>
      </w:pPr>
      <w:r>
        <w:t>定性评价指利用学生的调查问卷进行课程目标达成情况评价</w:t>
      </w:r>
      <w:r>
        <w:rPr>
          <w:rFonts w:hint="eastAsia"/>
        </w:rPr>
        <w:t>，</w:t>
      </w:r>
      <w:r>
        <w:rPr>
          <w:szCs w:val="21"/>
        </w:rPr>
        <w:t>按照各课程目标分项设计合适的问卷，调查学生掌握知识及获得能力等课程目标达成情况</w:t>
      </w:r>
      <w:r>
        <w:rPr>
          <w:rFonts w:hint="eastAsia"/>
          <w:szCs w:val="21"/>
        </w:rPr>
        <w:t>。</w:t>
      </w:r>
      <w:r>
        <w:rPr>
          <w:szCs w:val="21"/>
        </w:rPr>
        <w:t>其中成绩均采用百分制统计，五级分制转换为百分制时，优对应9</w:t>
      </w:r>
      <w:r>
        <w:rPr>
          <w:rFonts w:hint="eastAsia"/>
          <w:szCs w:val="21"/>
        </w:rPr>
        <w:t>0</w:t>
      </w:r>
      <w:r>
        <w:rPr>
          <w:szCs w:val="21"/>
        </w:rPr>
        <w:t>分，良对应8</w:t>
      </w:r>
      <w:r>
        <w:rPr>
          <w:rFonts w:hint="eastAsia"/>
          <w:szCs w:val="21"/>
        </w:rPr>
        <w:t>0</w:t>
      </w:r>
      <w:r>
        <w:rPr>
          <w:szCs w:val="21"/>
        </w:rPr>
        <w:t>分，中对应7</w:t>
      </w:r>
      <w:r>
        <w:rPr>
          <w:rFonts w:hint="eastAsia"/>
          <w:szCs w:val="21"/>
        </w:rPr>
        <w:t>0</w:t>
      </w:r>
      <w:r>
        <w:rPr>
          <w:szCs w:val="21"/>
        </w:rPr>
        <w:t>分，及格对应6</w:t>
      </w:r>
      <w:r>
        <w:rPr>
          <w:rFonts w:hint="eastAsia"/>
          <w:szCs w:val="21"/>
        </w:rPr>
        <w:t>0</w:t>
      </w:r>
      <w:r>
        <w:rPr>
          <w:szCs w:val="21"/>
        </w:rPr>
        <w:t>分，不及格对应5</w:t>
      </w:r>
      <w:r>
        <w:rPr>
          <w:rFonts w:hint="eastAsia"/>
          <w:szCs w:val="21"/>
        </w:rPr>
        <w:t>0</w:t>
      </w:r>
      <w:r>
        <w:rPr>
          <w:szCs w:val="21"/>
        </w:rPr>
        <w:t>分。</w:t>
      </w:r>
    </w:p>
    <w:p>
      <w:pPr>
        <w:spacing w:line="360" w:lineRule="auto"/>
        <w:ind w:firstLine="420" w:firstLineChars="200"/>
      </w:pPr>
      <w:r>
        <w:rPr>
          <w:rFonts w:hint="eastAsia"/>
        </w:rPr>
        <w:t>综合定性与定量评价结果，取最小量为最终评价结果。</w:t>
      </w:r>
    </w:p>
    <w:p>
      <w:pPr>
        <w:spacing w:before="156" w:beforeLines="50" w:after="156" w:afterLines="50" w:line="360" w:lineRule="auto"/>
        <w:ind w:firstLine="210" w:firstLineChars="100"/>
        <w:rPr>
          <w:rFonts w:eastAsia="黑体"/>
          <w:szCs w:val="21"/>
        </w:rPr>
      </w:pPr>
      <w:r>
        <w:rPr>
          <w:rFonts w:hint="eastAsia" w:eastAsia="黑体"/>
          <w:szCs w:val="21"/>
        </w:rPr>
        <w:t>六</w:t>
      </w:r>
      <w:r>
        <w:rPr>
          <w:rFonts w:eastAsia="黑体"/>
          <w:szCs w:val="21"/>
        </w:rPr>
        <w:t>、</w:t>
      </w:r>
      <w:r>
        <w:rPr>
          <w:rFonts w:hint="eastAsia" w:eastAsia="黑体"/>
          <w:szCs w:val="21"/>
        </w:rPr>
        <w:t>评价标准：</w:t>
      </w:r>
    </w:p>
    <w:p>
      <w:pPr>
        <w:spacing w:line="360" w:lineRule="auto"/>
        <w:ind w:firstLine="207" w:firstLineChars="98"/>
        <w:rPr>
          <w:rFonts w:ascii="宋体" w:hAnsi="宋体"/>
          <w:b/>
          <w:szCs w:val="21"/>
        </w:rPr>
      </w:pPr>
      <w:r>
        <w:rPr>
          <w:rFonts w:hint="eastAsia" w:ascii="宋体" w:hAnsi="宋体"/>
          <w:b/>
          <w:szCs w:val="21"/>
        </w:rPr>
        <w:t>1、</w:t>
      </w:r>
      <w:r>
        <w:rPr>
          <w:rFonts w:hint="eastAsia"/>
          <w:b/>
        </w:rPr>
        <w:t>课后作业</w:t>
      </w:r>
      <w:r>
        <w:rPr>
          <w:rFonts w:hint="eastAsia" w:ascii="宋体" w:hAnsi="宋体"/>
          <w:b/>
          <w:szCs w:val="21"/>
        </w:rPr>
        <w:t>评价标准</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1560"/>
        <w:gridCol w:w="1559"/>
        <w:gridCol w:w="1559"/>
        <w:gridCol w:w="1381"/>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310" w:type="dxa"/>
            <w:vMerge w:val="restart"/>
            <w:shd w:val="clear" w:color="auto" w:fill="F2F2F2"/>
            <w:vAlign w:val="center"/>
          </w:tcPr>
          <w:p>
            <w:pPr>
              <w:jc w:val="center"/>
              <w:rPr>
                <w:b/>
                <w:sz w:val="18"/>
                <w:szCs w:val="18"/>
              </w:rPr>
            </w:pPr>
            <w:r>
              <w:rPr>
                <w:rFonts w:hint="eastAsia"/>
                <w:b/>
                <w:sz w:val="18"/>
                <w:szCs w:val="18"/>
              </w:rPr>
              <w:t>基本要求</w:t>
            </w:r>
          </w:p>
        </w:tc>
        <w:tc>
          <w:tcPr>
            <w:tcW w:w="6059" w:type="dxa"/>
            <w:gridSpan w:val="4"/>
            <w:shd w:val="clear" w:color="auto" w:fill="F2F2F2"/>
            <w:vAlign w:val="center"/>
          </w:tcPr>
          <w:p>
            <w:pPr>
              <w:jc w:val="center"/>
              <w:rPr>
                <w:b/>
                <w:sz w:val="18"/>
                <w:szCs w:val="18"/>
              </w:rPr>
            </w:pPr>
            <w:r>
              <w:rPr>
                <w:rFonts w:hint="eastAsia"/>
                <w:b/>
                <w:sz w:val="18"/>
                <w:szCs w:val="18"/>
              </w:rPr>
              <w:t>评价标准</w:t>
            </w:r>
          </w:p>
        </w:tc>
        <w:tc>
          <w:tcPr>
            <w:tcW w:w="785" w:type="dxa"/>
            <w:vMerge w:val="restart"/>
            <w:shd w:val="clear" w:color="auto" w:fill="F2F2F2"/>
            <w:vAlign w:val="center"/>
          </w:tcPr>
          <w:p>
            <w:pPr>
              <w:jc w:val="center"/>
              <w:rPr>
                <w:rFonts w:hint="eastAsia"/>
                <w:b/>
                <w:sz w:val="18"/>
                <w:szCs w:val="18"/>
              </w:rPr>
            </w:pPr>
            <w:r>
              <w:rPr>
                <w:rFonts w:hint="eastAsia"/>
                <w:b/>
                <w:sz w:val="18"/>
                <w:szCs w:val="1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310" w:type="dxa"/>
            <w:vMerge w:val="continue"/>
            <w:shd w:val="clear" w:color="auto" w:fill="F2F2F2"/>
          </w:tcPr>
          <w:p>
            <w:pPr>
              <w:spacing w:line="420" w:lineRule="exact"/>
              <w:jc w:val="center"/>
              <w:rPr>
                <w:rFonts w:hint="eastAsia"/>
                <w:b/>
                <w:sz w:val="18"/>
                <w:szCs w:val="18"/>
              </w:rPr>
            </w:pPr>
          </w:p>
        </w:tc>
        <w:tc>
          <w:tcPr>
            <w:tcW w:w="1560" w:type="dxa"/>
            <w:shd w:val="clear" w:color="auto" w:fill="F2F2F2"/>
          </w:tcPr>
          <w:p>
            <w:pPr>
              <w:spacing w:line="420" w:lineRule="exact"/>
              <w:jc w:val="center"/>
              <w:rPr>
                <w:rFonts w:hint="eastAsia"/>
                <w:b/>
                <w:sz w:val="18"/>
                <w:szCs w:val="18"/>
              </w:rPr>
            </w:pPr>
            <w:r>
              <w:rPr>
                <w:rFonts w:hint="eastAsia"/>
                <w:b/>
                <w:sz w:val="18"/>
                <w:szCs w:val="18"/>
              </w:rPr>
              <w:t>90-100分</w:t>
            </w:r>
          </w:p>
        </w:tc>
        <w:tc>
          <w:tcPr>
            <w:tcW w:w="1559" w:type="dxa"/>
            <w:shd w:val="clear" w:color="auto" w:fill="F2F2F2"/>
          </w:tcPr>
          <w:p>
            <w:pPr>
              <w:spacing w:line="420" w:lineRule="exact"/>
              <w:jc w:val="center"/>
              <w:rPr>
                <w:rFonts w:hint="eastAsia"/>
                <w:b/>
                <w:sz w:val="18"/>
                <w:szCs w:val="18"/>
              </w:rPr>
            </w:pPr>
            <w:r>
              <w:rPr>
                <w:rFonts w:hint="eastAsia"/>
                <w:b/>
                <w:sz w:val="18"/>
                <w:szCs w:val="18"/>
              </w:rPr>
              <w:t>75-89分</w:t>
            </w:r>
          </w:p>
        </w:tc>
        <w:tc>
          <w:tcPr>
            <w:tcW w:w="1559" w:type="dxa"/>
            <w:shd w:val="clear" w:color="auto" w:fill="F2F2F2"/>
          </w:tcPr>
          <w:p>
            <w:pPr>
              <w:spacing w:line="420" w:lineRule="exact"/>
              <w:jc w:val="center"/>
              <w:rPr>
                <w:rFonts w:hint="eastAsia"/>
                <w:b/>
                <w:sz w:val="18"/>
                <w:szCs w:val="18"/>
              </w:rPr>
            </w:pPr>
            <w:r>
              <w:rPr>
                <w:rFonts w:hint="eastAsia"/>
                <w:b/>
                <w:sz w:val="18"/>
                <w:szCs w:val="18"/>
              </w:rPr>
              <w:t>60-74分</w:t>
            </w:r>
          </w:p>
        </w:tc>
        <w:tc>
          <w:tcPr>
            <w:tcW w:w="1381" w:type="dxa"/>
            <w:shd w:val="clear" w:color="auto" w:fill="F2F2F2"/>
          </w:tcPr>
          <w:p>
            <w:pPr>
              <w:spacing w:line="420" w:lineRule="exact"/>
              <w:jc w:val="center"/>
              <w:rPr>
                <w:rFonts w:hint="eastAsia"/>
                <w:b/>
                <w:sz w:val="18"/>
                <w:szCs w:val="18"/>
              </w:rPr>
            </w:pPr>
            <w:r>
              <w:rPr>
                <w:rFonts w:hint="eastAsia"/>
                <w:b/>
                <w:sz w:val="18"/>
                <w:szCs w:val="18"/>
              </w:rPr>
              <w:t>0-59分</w:t>
            </w:r>
          </w:p>
        </w:tc>
        <w:tc>
          <w:tcPr>
            <w:tcW w:w="785" w:type="dxa"/>
            <w:vMerge w:val="continue"/>
            <w:shd w:val="clear" w:color="auto" w:fill="F2F2F2"/>
          </w:tcPr>
          <w:p>
            <w:pPr>
              <w:spacing w:line="420" w:lineRule="exact"/>
              <w:jc w:val="center"/>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ascii="宋体" w:hAnsi="宋体"/>
                <w:bCs/>
                <w:sz w:val="18"/>
                <w:szCs w:val="18"/>
              </w:rPr>
            </w:pPr>
            <w:r>
              <w:rPr>
                <w:rFonts w:hint="eastAsia" w:ascii="宋体" w:hAnsi="宋体"/>
                <w:bCs/>
                <w:sz w:val="18"/>
                <w:szCs w:val="18"/>
              </w:rPr>
              <w:t>掌握云计算和物联网技术的基本理论知识，理解云计算和物联网相互支撑的重要关系。(支撑课程目标1、毕业要求指标点</w:t>
            </w:r>
            <w:r>
              <w:rPr>
                <w:rFonts w:ascii="宋体" w:hAnsi="宋体"/>
                <w:bCs/>
                <w:sz w:val="18"/>
                <w:szCs w:val="18"/>
              </w:rPr>
              <w:t>1</w:t>
            </w:r>
            <w:r>
              <w:rPr>
                <w:rFonts w:hint="eastAsia" w:ascii="宋体" w:hAnsi="宋体"/>
                <w:bCs/>
                <w:sz w:val="18"/>
                <w:szCs w:val="18"/>
              </w:rPr>
              <w:t>-1)</w:t>
            </w:r>
          </w:p>
        </w:tc>
        <w:tc>
          <w:tcPr>
            <w:tcW w:w="1560" w:type="dxa"/>
            <w:vAlign w:val="center"/>
          </w:tcPr>
          <w:p>
            <w:pPr>
              <w:rPr>
                <w:rFonts w:ascii="宋体" w:hAnsi="宋体"/>
                <w:bCs/>
                <w:sz w:val="18"/>
                <w:szCs w:val="18"/>
              </w:rPr>
            </w:pPr>
            <w:r>
              <w:rPr>
                <w:bCs/>
                <w:sz w:val="18"/>
                <w:szCs w:val="18"/>
              </w:rPr>
              <w:t>按时交作业；能够</w:t>
            </w:r>
            <w:r>
              <w:rPr>
                <w:rFonts w:hint="eastAsia"/>
                <w:bCs/>
                <w:sz w:val="18"/>
                <w:szCs w:val="18"/>
              </w:rPr>
              <w:t>完全</w:t>
            </w:r>
            <w:r>
              <w:rPr>
                <w:bCs/>
                <w:sz w:val="18"/>
                <w:szCs w:val="18"/>
              </w:rPr>
              <w:t>掌握</w:t>
            </w:r>
            <w:r>
              <w:rPr>
                <w:rFonts w:hint="eastAsia" w:ascii="宋体" w:hAnsi="宋体"/>
                <w:bCs/>
                <w:sz w:val="18"/>
                <w:szCs w:val="18"/>
              </w:rPr>
              <w:t>云计算和物联网技术的基本理论知识</w:t>
            </w:r>
            <w:r>
              <w:rPr>
                <w:bCs/>
                <w:sz w:val="18"/>
                <w:szCs w:val="18"/>
              </w:rPr>
              <w:t>；</w:t>
            </w:r>
            <w:r>
              <w:rPr>
                <w:rFonts w:hint="eastAsia" w:ascii="宋体" w:hAnsi="宋体"/>
                <w:bCs/>
                <w:sz w:val="18"/>
                <w:szCs w:val="18"/>
              </w:rPr>
              <w:t>理解云计算和物联网相互关系</w:t>
            </w:r>
            <w:r>
              <w:rPr>
                <w:bCs/>
                <w:sz w:val="18"/>
                <w:szCs w:val="18"/>
              </w:rPr>
              <w:t>；完成作业认真，语言规范，表述清楚</w:t>
            </w:r>
            <w:r>
              <w:rPr>
                <w:rFonts w:hint="eastAsia"/>
                <w:bCs/>
                <w:sz w:val="18"/>
                <w:szCs w:val="18"/>
              </w:rPr>
              <w:t>。</w:t>
            </w:r>
          </w:p>
        </w:tc>
        <w:tc>
          <w:tcPr>
            <w:tcW w:w="1559" w:type="dxa"/>
            <w:vAlign w:val="center"/>
          </w:tcPr>
          <w:p>
            <w:pPr>
              <w:rPr>
                <w:rFonts w:ascii="宋体" w:hAnsi="宋体"/>
                <w:bCs/>
                <w:sz w:val="18"/>
                <w:szCs w:val="18"/>
              </w:rPr>
            </w:pPr>
            <w:r>
              <w:rPr>
                <w:bCs/>
                <w:sz w:val="18"/>
                <w:szCs w:val="18"/>
              </w:rPr>
              <w:t>按时交作业；能够较好地掌握</w:t>
            </w:r>
            <w:r>
              <w:rPr>
                <w:rFonts w:hint="eastAsia" w:ascii="宋体" w:hAnsi="宋体"/>
                <w:bCs/>
                <w:sz w:val="18"/>
                <w:szCs w:val="18"/>
              </w:rPr>
              <w:t>云计算和物联网技术的基本理论知识</w:t>
            </w:r>
            <w:r>
              <w:rPr>
                <w:bCs/>
                <w:sz w:val="18"/>
                <w:szCs w:val="18"/>
              </w:rPr>
              <w:t>；</w:t>
            </w:r>
            <w:r>
              <w:rPr>
                <w:rFonts w:hint="eastAsia"/>
                <w:bCs/>
                <w:sz w:val="18"/>
                <w:szCs w:val="18"/>
              </w:rPr>
              <w:t>较好地</w:t>
            </w:r>
            <w:r>
              <w:rPr>
                <w:rFonts w:hint="eastAsia" w:ascii="宋体" w:hAnsi="宋体"/>
                <w:bCs/>
                <w:sz w:val="18"/>
                <w:szCs w:val="18"/>
              </w:rPr>
              <w:t>理解云计算和物联网相互关系</w:t>
            </w:r>
            <w:r>
              <w:rPr>
                <w:rFonts w:hint="eastAsia"/>
                <w:bCs/>
                <w:sz w:val="18"/>
                <w:szCs w:val="18"/>
              </w:rPr>
              <w:t>，</w:t>
            </w:r>
            <w:r>
              <w:rPr>
                <w:bCs/>
                <w:sz w:val="18"/>
                <w:szCs w:val="18"/>
              </w:rPr>
              <w:t>完成作业较认真，语言较规范，表述较清楚。</w:t>
            </w:r>
          </w:p>
        </w:tc>
        <w:tc>
          <w:tcPr>
            <w:tcW w:w="1559" w:type="dxa"/>
            <w:vAlign w:val="center"/>
          </w:tcPr>
          <w:p>
            <w:pPr>
              <w:rPr>
                <w:rFonts w:ascii="宋体" w:hAnsi="宋体"/>
                <w:bCs/>
                <w:sz w:val="18"/>
                <w:szCs w:val="18"/>
              </w:rPr>
            </w:pPr>
            <w:r>
              <w:rPr>
                <w:bCs/>
                <w:sz w:val="18"/>
                <w:szCs w:val="18"/>
              </w:rPr>
              <w:t>按时交作业；能够</w:t>
            </w:r>
            <w:r>
              <w:rPr>
                <w:rFonts w:hint="eastAsia"/>
                <w:bCs/>
                <w:sz w:val="18"/>
                <w:szCs w:val="18"/>
              </w:rPr>
              <w:t>基本</w:t>
            </w:r>
            <w:r>
              <w:rPr>
                <w:bCs/>
                <w:sz w:val="18"/>
                <w:szCs w:val="18"/>
              </w:rPr>
              <w:t>掌握</w:t>
            </w:r>
            <w:r>
              <w:rPr>
                <w:rFonts w:hint="eastAsia" w:ascii="宋体" w:hAnsi="宋体"/>
                <w:bCs/>
                <w:sz w:val="18"/>
                <w:szCs w:val="18"/>
              </w:rPr>
              <w:t>云计算和物联网技术的基本理论知识</w:t>
            </w:r>
            <w:r>
              <w:rPr>
                <w:bCs/>
                <w:sz w:val="18"/>
                <w:szCs w:val="18"/>
              </w:rPr>
              <w:t>；能</w:t>
            </w:r>
            <w:r>
              <w:rPr>
                <w:rFonts w:hint="eastAsia"/>
                <w:bCs/>
                <w:sz w:val="18"/>
                <w:szCs w:val="18"/>
              </w:rPr>
              <w:t>基本</w:t>
            </w:r>
            <w:r>
              <w:rPr>
                <w:rFonts w:hint="eastAsia" w:ascii="宋体" w:hAnsi="宋体"/>
                <w:bCs/>
                <w:sz w:val="18"/>
                <w:szCs w:val="18"/>
              </w:rPr>
              <w:t>理解云计算和物联网相互关系</w:t>
            </w:r>
            <w:r>
              <w:rPr>
                <w:bCs/>
                <w:sz w:val="18"/>
                <w:szCs w:val="18"/>
              </w:rPr>
              <w:t>；</w:t>
            </w:r>
            <w:r>
              <w:rPr>
                <w:rFonts w:hint="eastAsia"/>
                <w:bCs/>
                <w:sz w:val="18"/>
                <w:szCs w:val="18"/>
              </w:rPr>
              <w:t>完整作业基本认真</w:t>
            </w:r>
            <w:r>
              <w:rPr>
                <w:bCs/>
                <w:sz w:val="18"/>
                <w:szCs w:val="18"/>
              </w:rPr>
              <w:t>，语言基本规范，表述基本清楚。</w:t>
            </w:r>
          </w:p>
        </w:tc>
        <w:tc>
          <w:tcPr>
            <w:tcW w:w="1381" w:type="dxa"/>
            <w:vAlign w:val="center"/>
          </w:tcPr>
          <w:p>
            <w:pPr>
              <w:rPr>
                <w:rFonts w:ascii="宋体" w:hAnsi="宋体"/>
                <w:bCs/>
                <w:sz w:val="18"/>
                <w:szCs w:val="18"/>
              </w:rPr>
            </w:pPr>
            <w:r>
              <w:rPr>
                <w:rFonts w:hint="eastAsia"/>
                <w:bCs/>
                <w:sz w:val="18"/>
                <w:szCs w:val="18"/>
              </w:rPr>
              <w:t>不能按时交作业，有抄袭现象；或者答案不合理。</w:t>
            </w:r>
          </w:p>
        </w:tc>
        <w:tc>
          <w:tcPr>
            <w:tcW w:w="785" w:type="dxa"/>
            <w:vAlign w:val="center"/>
          </w:tcPr>
          <w:p>
            <w:pPr>
              <w:jc w:val="center"/>
              <w:rPr>
                <w:rFonts w:ascii="宋体" w:hAnsi="宋体"/>
                <w:bCs/>
                <w:sz w:val="18"/>
                <w:szCs w:val="18"/>
              </w:rPr>
            </w:pPr>
            <w:r>
              <w:rPr>
                <w:rFonts w:ascii="宋体" w:hAnsi="宋体"/>
                <w:bCs/>
                <w:sz w:val="18"/>
                <w:szCs w:val="18"/>
              </w:rPr>
              <w:t>50</w:t>
            </w:r>
            <w:r>
              <w:rPr>
                <w:rFonts w:hint="eastAsia" w:ascii="宋体" w:hAnsi="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ascii="宋体" w:hAnsi="宋体"/>
                <w:bCs/>
                <w:sz w:val="18"/>
                <w:szCs w:val="18"/>
              </w:rPr>
            </w:pPr>
            <w:r>
              <w:rPr>
                <w:rFonts w:hint="eastAsia" w:ascii="宋体" w:hAnsi="宋体"/>
                <w:bCs/>
                <w:sz w:val="18"/>
                <w:szCs w:val="18"/>
              </w:rPr>
              <w:t>能够对云计算和物联网工程案例进行合理设计，编写运行程序。(支撑课程目标</w:t>
            </w:r>
            <w:r>
              <w:rPr>
                <w:rFonts w:ascii="宋体" w:hAnsi="宋体"/>
                <w:bCs/>
                <w:sz w:val="18"/>
                <w:szCs w:val="18"/>
              </w:rPr>
              <w:t>2</w:t>
            </w:r>
            <w:r>
              <w:rPr>
                <w:rFonts w:hint="eastAsia" w:ascii="宋体" w:hAnsi="宋体"/>
                <w:bCs/>
                <w:sz w:val="18"/>
                <w:szCs w:val="18"/>
              </w:rPr>
              <w:t>、毕业要求指标点</w:t>
            </w:r>
            <w:r>
              <w:rPr>
                <w:rFonts w:ascii="宋体" w:hAnsi="宋体"/>
                <w:bCs/>
                <w:sz w:val="18"/>
                <w:szCs w:val="18"/>
              </w:rPr>
              <w:t>3</w:t>
            </w:r>
            <w:r>
              <w:rPr>
                <w:rFonts w:hint="eastAsia" w:ascii="宋体" w:hAnsi="宋体"/>
                <w:bCs/>
                <w:sz w:val="18"/>
                <w:szCs w:val="18"/>
              </w:rPr>
              <w:t>-</w:t>
            </w:r>
            <w:r>
              <w:rPr>
                <w:rFonts w:ascii="宋体" w:hAnsi="宋体"/>
                <w:bCs/>
                <w:sz w:val="18"/>
                <w:szCs w:val="18"/>
              </w:rPr>
              <w:t>1</w:t>
            </w:r>
            <w:r>
              <w:rPr>
                <w:rFonts w:hint="eastAsia" w:ascii="宋体" w:hAnsi="宋体"/>
                <w:bCs/>
                <w:sz w:val="18"/>
                <w:szCs w:val="18"/>
              </w:rPr>
              <w:t>)</w:t>
            </w:r>
          </w:p>
        </w:tc>
        <w:tc>
          <w:tcPr>
            <w:tcW w:w="1560" w:type="dxa"/>
            <w:vAlign w:val="center"/>
          </w:tcPr>
          <w:p>
            <w:pPr>
              <w:rPr>
                <w:rFonts w:hint="eastAsia" w:ascii="宋体" w:hAnsi="宋体"/>
                <w:bCs/>
                <w:sz w:val="18"/>
                <w:szCs w:val="18"/>
              </w:rPr>
            </w:pPr>
            <w:r>
              <w:rPr>
                <w:bCs/>
                <w:sz w:val="18"/>
                <w:szCs w:val="18"/>
              </w:rPr>
              <w:t>按时交作业；</w:t>
            </w:r>
            <w:r>
              <w:rPr>
                <w:rFonts w:hint="eastAsia"/>
                <w:bCs/>
                <w:sz w:val="18"/>
                <w:szCs w:val="18"/>
              </w:rPr>
              <w:t>能够熟练</w:t>
            </w:r>
            <w:r>
              <w:rPr>
                <w:rFonts w:hint="eastAsia" w:ascii="宋体" w:hAnsi="宋体"/>
                <w:bCs/>
                <w:sz w:val="18"/>
                <w:szCs w:val="18"/>
              </w:rPr>
              <w:t>对云计算和物联网工程案例进行合理设计，编写运行程序</w:t>
            </w:r>
            <w:r>
              <w:rPr>
                <w:rFonts w:hint="eastAsia"/>
                <w:bCs/>
                <w:sz w:val="18"/>
                <w:szCs w:val="18"/>
              </w:rPr>
              <w:t>；</w:t>
            </w:r>
            <w:r>
              <w:rPr>
                <w:bCs/>
                <w:sz w:val="18"/>
                <w:szCs w:val="18"/>
              </w:rPr>
              <w:t>完成作业认真，语言规范，表述清楚</w:t>
            </w:r>
            <w:r>
              <w:rPr>
                <w:rFonts w:hint="eastAsia"/>
                <w:bCs/>
                <w:sz w:val="18"/>
                <w:szCs w:val="18"/>
              </w:rPr>
              <w:t>。</w:t>
            </w:r>
          </w:p>
        </w:tc>
        <w:tc>
          <w:tcPr>
            <w:tcW w:w="1559" w:type="dxa"/>
            <w:vAlign w:val="center"/>
          </w:tcPr>
          <w:p>
            <w:pPr>
              <w:rPr>
                <w:rFonts w:ascii="宋体" w:hAnsi="宋体"/>
                <w:bCs/>
                <w:sz w:val="18"/>
                <w:szCs w:val="18"/>
              </w:rPr>
            </w:pPr>
            <w:r>
              <w:rPr>
                <w:bCs/>
                <w:sz w:val="18"/>
                <w:szCs w:val="18"/>
              </w:rPr>
              <w:t>按时交作业；</w:t>
            </w:r>
            <w:r>
              <w:rPr>
                <w:rFonts w:hint="eastAsia"/>
                <w:bCs/>
                <w:sz w:val="18"/>
                <w:szCs w:val="18"/>
              </w:rPr>
              <w:t>能够较好地</w:t>
            </w:r>
            <w:r>
              <w:rPr>
                <w:rFonts w:hint="eastAsia" w:ascii="宋体" w:hAnsi="宋体"/>
                <w:bCs/>
                <w:sz w:val="18"/>
                <w:szCs w:val="18"/>
              </w:rPr>
              <w:t>对云计算和物联网工程案例进行合理设计，编写运行程序</w:t>
            </w:r>
            <w:r>
              <w:rPr>
                <w:rFonts w:hint="eastAsia"/>
                <w:bCs/>
                <w:sz w:val="18"/>
                <w:szCs w:val="18"/>
              </w:rPr>
              <w:t>；</w:t>
            </w:r>
            <w:r>
              <w:rPr>
                <w:bCs/>
                <w:sz w:val="18"/>
                <w:szCs w:val="18"/>
              </w:rPr>
              <w:t>完成作业较认真，语言较规范，表述较清楚。</w:t>
            </w:r>
          </w:p>
        </w:tc>
        <w:tc>
          <w:tcPr>
            <w:tcW w:w="1559" w:type="dxa"/>
            <w:vAlign w:val="center"/>
          </w:tcPr>
          <w:p>
            <w:pPr>
              <w:rPr>
                <w:rFonts w:ascii="宋体" w:hAnsi="宋体"/>
                <w:bCs/>
                <w:sz w:val="18"/>
                <w:szCs w:val="18"/>
              </w:rPr>
            </w:pPr>
            <w:r>
              <w:rPr>
                <w:bCs/>
                <w:sz w:val="18"/>
                <w:szCs w:val="18"/>
              </w:rPr>
              <w:t>按时交作业；</w:t>
            </w:r>
            <w:r>
              <w:rPr>
                <w:rFonts w:hint="eastAsia"/>
                <w:bCs/>
                <w:sz w:val="18"/>
                <w:szCs w:val="18"/>
              </w:rPr>
              <w:t>能够基本</w:t>
            </w:r>
            <w:r>
              <w:rPr>
                <w:rFonts w:hint="eastAsia" w:ascii="宋体" w:hAnsi="宋体"/>
                <w:bCs/>
                <w:sz w:val="18"/>
                <w:szCs w:val="18"/>
              </w:rPr>
              <w:t>对云计算和物联网工程案例进行合理设计，编写运行程序</w:t>
            </w:r>
            <w:r>
              <w:rPr>
                <w:rFonts w:hint="eastAsia"/>
                <w:bCs/>
                <w:sz w:val="18"/>
                <w:szCs w:val="18"/>
              </w:rPr>
              <w:t>；完整作业基本认真</w:t>
            </w:r>
            <w:r>
              <w:rPr>
                <w:bCs/>
                <w:sz w:val="18"/>
                <w:szCs w:val="18"/>
              </w:rPr>
              <w:t>，语言基本规范，表述基本清楚。</w:t>
            </w:r>
          </w:p>
        </w:tc>
        <w:tc>
          <w:tcPr>
            <w:tcW w:w="1381" w:type="dxa"/>
            <w:vAlign w:val="center"/>
          </w:tcPr>
          <w:p>
            <w:pPr>
              <w:rPr>
                <w:rFonts w:ascii="宋体" w:hAnsi="宋体"/>
                <w:bCs/>
                <w:sz w:val="18"/>
                <w:szCs w:val="18"/>
              </w:rPr>
            </w:pPr>
            <w:r>
              <w:rPr>
                <w:bCs/>
                <w:sz w:val="18"/>
                <w:szCs w:val="18"/>
              </w:rPr>
              <w:t>不能按时交作业，有抄袭现象；或者</w:t>
            </w:r>
            <w:r>
              <w:rPr>
                <w:rFonts w:hint="eastAsia"/>
                <w:bCs/>
                <w:sz w:val="18"/>
                <w:szCs w:val="18"/>
              </w:rPr>
              <w:t>答案</w:t>
            </w:r>
            <w:r>
              <w:rPr>
                <w:bCs/>
                <w:sz w:val="18"/>
                <w:szCs w:val="18"/>
              </w:rPr>
              <w:t>不合理。</w:t>
            </w:r>
          </w:p>
        </w:tc>
        <w:tc>
          <w:tcPr>
            <w:tcW w:w="785" w:type="dxa"/>
            <w:vAlign w:val="center"/>
          </w:tcPr>
          <w:p>
            <w:pPr>
              <w:jc w:val="center"/>
              <w:rPr>
                <w:rFonts w:ascii="宋体" w:hAnsi="宋体"/>
                <w:bCs/>
                <w:sz w:val="18"/>
                <w:szCs w:val="18"/>
              </w:rPr>
            </w:pPr>
            <w:r>
              <w:rPr>
                <w:rFonts w:ascii="宋体" w:hAnsi="宋体"/>
                <w:bCs/>
                <w:sz w:val="18"/>
                <w:szCs w:val="18"/>
              </w:rPr>
              <w:t>50</w:t>
            </w:r>
            <w:r>
              <w:rPr>
                <w:rFonts w:hint="eastAsia" w:ascii="宋体" w:hAnsi="宋体"/>
                <w:bCs/>
                <w:sz w:val="18"/>
                <w:szCs w:val="18"/>
              </w:rPr>
              <w:t>%</w:t>
            </w:r>
          </w:p>
        </w:tc>
      </w:tr>
    </w:tbl>
    <w:p>
      <w:pPr>
        <w:pStyle w:val="59"/>
        <w:spacing w:line="360" w:lineRule="auto"/>
        <w:ind w:firstLine="207" w:firstLineChars="98"/>
        <w:rPr>
          <w:rFonts w:hint="eastAsia" w:ascii="宋体" w:hAnsi="宋体"/>
          <w:b/>
          <w:szCs w:val="21"/>
          <w:highlight w:val="yellow"/>
        </w:rPr>
      </w:pPr>
      <w:r>
        <w:rPr>
          <w:rFonts w:hint="eastAsia" w:ascii="宋体" w:hAnsi="宋体"/>
          <w:b/>
          <w:szCs w:val="21"/>
        </w:rPr>
        <w:t>2、实验教学评价标准</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1560"/>
        <w:gridCol w:w="1646"/>
        <w:gridCol w:w="1472"/>
        <w:gridCol w:w="1381"/>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310" w:type="dxa"/>
            <w:vMerge w:val="restart"/>
            <w:shd w:val="clear" w:color="auto" w:fill="F2F2F2"/>
            <w:vAlign w:val="center"/>
          </w:tcPr>
          <w:p>
            <w:pPr>
              <w:jc w:val="center"/>
              <w:rPr>
                <w:b/>
                <w:sz w:val="18"/>
                <w:szCs w:val="18"/>
              </w:rPr>
            </w:pPr>
            <w:r>
              <w:rPr>
                <w:rFonts w:hint="eastAsia"/>
                <w:b/>
                <w:sz w:val="18"/>
                <w:szCs w:val="18"/>
              </w:rPr>
              <w:t>基本要求</w:t>
            </w:r>
          </w:p>
        </w:tc>
        <w:tc>
          <w:tcPr>
            <w:tcW w:w="6059" w:type="dxa"/>
            <w:gridSpan w:val="4"/>
            <w:shd w:val="clear" w:color="auto" w:fill="F2F2F2"/>
            <w:vAlign w:val="center"/>
          </w:tcPr>
          <w:p>
            <w:pPr>
              <w:jc w:val="center"/>
              <w:rPr>
                <w:b/>
                <w:sz w:val="18"/>
                <w:szCs w:val="18"/>
              </w:rPr>
            </w:pPr>
            <w:r>
              <w:rPr>
                <w:rFonts w:hint="eastAsia"/>
                <w:b/>
                <w:sz w:val="18"/>
                <w:szCs w:val="18"/>
              </w:rPr>
              <w:t>评价标准</w:t>
            </w:r>
          </w:p>
        </w:tc>
        <w:tc>
          <w:tcPr>
            <w:tcW w:w="785" w:type="dxa"/>
            <w:vMerge w:val="restart"/>
            <w:shd w:val="clear" w:color="auto" w:fill="F2F2F2"/>
            <w:vAlign w:val="center"/>
          </w:tcPr>
          <w:p>
            <w:pPr>
              <w:jc w:val="center"/>
              <w:rPr>
                <w:rFonts w:hint="eastAsia"/>
                <w:b/>
                <w:sz w:val="18"/>
                <w:szCs w:val="18"/>
              </w:rPr>
            </w:pPr>
            <w:r>
              <w:rPr>
                <w:rFonts w:hint="eastAsia"/>
                <w:b/>
                <w:sz w:val="18"/>
                <w:szCs w:val="1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310" w:type="dxa"/>
            <w:vMerge w:val="continue"/>
            <w:shd w:val="clear" w:color="auto" w:fill="F2F2F2"/>
          </w:tcPr>
          <w:p>
            <w:pPr>
              <w:spacing w:line="420" w:lineRule="exact"/>
              <w:jc w:val="center"/>
              <w:rPr>
                <w:rFonts w:hint="eastAsia"/>
                <w:b/>
                <w:sz w:val="18"/>
                <w:szCs w:val="18"/>
              </w:rPr>
            </w:pPr>
          </w:p>
        </w:tc>
        <w:tc>
          <w:tcPr>
            <w:tcW w:w="1560" w:type="dxa"/>
            <w:shd w:val="clear" w:color="auto" w:fill="F2F2F2"/>
          </w:tcPr>
          <w:p>
            <w:pPr>
              <w:spacing w:line="420" w:lineRule="exact"/>
              <w:jc w:val="center"/>
              <w:rPr>
                <w:rFonts w:hint="eastAsia"/>
                <w:b/>
                <w:sz w:val="18"/>
                <w:szCs w:val="18"/>
              </w:rPr>
            </w:pPr>
            <w:r>
              <w:rPr>
                <w:rFonts w:hint="eastAsia"/>
                <w:b/>
                <w:sz w:val="18"/>
                <w:szCs w:val="18"/>
              </w:rPr>
              <w:t>90-100分</w:t>
            </w:r>
          </w:p>
        </w:tc>
        <w:tc>
          <w:tcPr>
            <w:tcW w:w="1646" w:type="dxa"/>
            <w:shd w:val="clear" w:color="auto" w:fill="F2F2F2"/>
          </w:tcPr>
          <w:p>
            <w:pPr>
              <w:spacing w:line="420" w:lineRule="exact"/>
              <w:jc w:val="center"/>
              <w:rPr>
                <w:rFonts w:hint="eastAsia"/>
                <w:b/>
                <w:sz w:val="18"/>
                <w:szCs w:val="18"/>
              </w:rPr>
            </w:pPr>
            <w:r>
              <w:rPr>
                <w:rFonts w:hint="eastAsia"/>
                <w:b/>
                <w:sz w:val="18"/>
                <w:szCs w:val="18"/>
              </w:rPr>
              <w:t>75-89分</w:t>
            </w:r>
          </w:p>
        </w:tc>
        <w:tc>
          <w:tcPr>
            <w:tcW w:w="1472" w:type="dxa"/>
            <w:shd w:val="clear" w:color="auto" w:fill="F2F2F2"/>
          </w:tcPr>
          <w:p>
            <w:pPr>
              <w:spacing w:line="420" w:lineRule="exact"/>
              <w:jc w:val="center"/>
              <w:rPr>
                <w:rFonts w:hint="eastAsia"/>
                <w:b/>
                <w:sz w:val="18"/>
                <w:szCs w:val="18"/>
              </w:rPr>
            </w:pPr>
            <w:r>
              <w:rPr>
                <w:rFonts w:hint="eastAsia"/>
                <w:b/>
                <w:sz w:val="18"/>
                <w:szCs w:val="18"/>
              </w:rPr>
              <w:t>60-74分</w:t>
            </w:r>
          </w:p>
        </w:tc>
        <w:tc>
          <w:tcPr>
            <w:tcW w:w="1381" w:type="dxa"/>
            <w:shd w:val="clear" w:color="auto" w:fill="F2F2F2"/>
          </w:tcPr>
          <w:p>
            <w:pPr>
              <w:spacing w:line="420" w:lineRule="exact"/>
              <w:jc w:val="center"/>
              <w:rPr>
                <w:rFonts w:hint="eastAsia"/>
                <w:b/>
                <w:sz w:val="18"/>
                <w:szCs w:val="18"/>
              </w:rPr>
            </w:pPr>
            <w:r>
              <w:rPr>
                <w:rFonts w:hint="eastAsia"/>
                <w:b/>
                <w:sz w:val="18"/>
                <w:szCs w:val="18"/>
              </w:rPr>
              <w:t>0-59分</w:t>
            </w:r>
          </w:p>
        </w:tc>
        <w:tc>
          <w:tcPr>
            <w:tcW w:w="785" w:type="dxa"/>
            <w:vMerge w:val="continue"/>
            <w:shd w:val="clear" w:color="auto" w:fill="F2F2F2"/>
          </w:tcPr>
          <w:p>
            <w:pPr>
              <w:spacing w:line="420" w:lineRule="exact"/>
              <w:jc w:val="center"/>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sz w:val="18"/>
                <w:szCs w:val="18"/>
              </w:rPr>
            </w:pPr>
            <w:r>
              <w:rPr>
                <w:sz w:val="18"/>
                <w:szCs w:val="18"/>
              </w:rPr>
              <w:t>能够根据实验指导书规定的实验目的与要求，</w:t>
            </w:r>
            <w:r>
              <w:rPr>
                <w:rFonts w:hint="eastAsia"/>
                <w:sz w:val="18"/>
                <w:szCs w:val="18"/>
              </w:rPr>
              <w:t>进行阿里云OSS管理控制平台的配置和使用</w:t>
            </w:r>
            <w:r>
              <w:rPr>
                <w:sz w:val="18"/>
                <w:szCs w:val="18"/>
              </w:rPr>
              <w:t>，并完成模拟实验</w:t>
            </w:r>
            <w:r>
              <w:rPr>
                <w:rFonts w:hint="eastAsia"/>
                <w:sz w:val="18"/>
                <w:szCs w:val="18"/>
              </w:rPr>
              <w:t>，撰写实验报告</w:t>
            </w:r>
            <w:r>
              <w:rPr>
                <w:sz w:val="18"/>
                <w:szCs w:val="18"/>
              </w:rPr>
              <w:t>。</w:t>
            </w:r>
          </w:p>
          <w:p>
            <w:pPr>
              <w:rPr>
                <w:rFonts w:hint="eastAsia" w:ascii="宋体" w:hAnsi="宋体"/>
                <w:bCs/>
                <w:sz w:val="18"/>
                <w:szCs w:val="18"/>
              </w:rPr>
            </w:pPr>
            <w:r>
              <w:rPr>
                <w:sz w:val="18"/>
                <w:szCs w:val="18"/>
              </w:rPr>
              <w:t>（支撑课程目标1、毕业要求指标点1-1）</w:t>
            </w:r>
          </w:p>
        </w:tc>
        <w:tc>
          <w:tcPr>
            <w:tcW w:w="1560" w:type="dxa"/>
            <w:vAlign w:val="center"/>
          </w:tcPr>
          <w:p>
            <w:pPr>
              <w:rPr>
                <w:rFonts w:ascii="宋体" w:hAnsi="宋体"/>
                <w:bCs/>
                <w:sz w:val="18"/>
                <w:szCs w:val="18"/>
              </w:rPr>
            </w:pPr>
            <w:r>
              <w:rPr>
                <w:sz w:val="18"/>
                <w:szCs w:val="18"/>
              </w:rPr>
              <w:t>按照要求完成预习，按照实验安全操作规程进行实验，</w:t>
            </w:r>
            <w:r>
              <w:rPr>
                <w:rFonts w:hint="eastAsia"/>
                <w:sz w:val="18"/>
                <w:szCs w:val="18"/>
              </w:rPr>
              <w:t>阿里云OSS管理平台配置和使用正确</w:t>
            </w:r>
            <w:r>
              <w:rPr>
                <w:sz w:val="18"/>
                <w:szCs w:val="18"/>
              </w:rPr>
              <w:t>；实验步骤与结果正确；</w:t>
            </w:r>
            <w:r>
              <w:rPr>
                <w:rFonts w:hint="eastAsia"/>
                <w:sz w:val="18"/>
                <w:szCs w:val="18"/>
              </w:rPr>
              <w:t>实验报告数据正确、语言规范</w:t>
            </w:r>
            <w:r>
              <w:rPr>
                <w:sz w:val="18"/>
                <w:szCs w:val="18"/>
              </w:rPr>
              <w:t>。</w:t>
            </w:r>
          </w:p>
        </w:tc>
        <w:tc>
          <w:tcPr>
            <w:tcW w:w="1646" w:type="dxa"/>
            <w:vAlign w:val="center"/>
          </w:tcPr>
          <w:p>
            <w:pPr>
              <w:rPr>
                <w:rFonts w:ascii="宋体" w:hAnsi="宋体"/>
                <w:bCs/>
                <w:sz w:val="18"/>
                <w:szCs w:val="18"/>
              </w:rPr>
            </w:pPr>
            <w:r>
              <w:rPr>
                <w:sz w:val="18"/>
                <w:szCs w:val="18"/>
              </w:rPr>
              <w:t>能够预习，按照实验安全操作规程进行实验，</w:t>
            </w:r>
            <w:r>
              <w:rPr>
                <w:rFonts w:hint="eastAsia"/>
                <w:sz w:val="18"/>
                <w:szCs w:val="18"/>
              </w:rPr>
              <w:t>阿里云OSS管理平台配置和使用正确</w:t>
            </w:r>
            <w:r>
              <w:rPr>
                <w:sz w:val="18"/>
                <w:szCs w:val="18"/>
              </w:rPr>
              <w:t>；实验</w:t>
            </w:r>
            <w:r>
              <w:rPr>
                <w:rFonts w:hint="eastAsia"/>
                <w:sz w:val="18"/>
                <w:szCs w:val="18"/>
              </w:rPr>
              <w:t>大部分</w:t>
            </w:r>
            <w:r>
              <w:rPr>
                <w:sz w:val="18"/>
                <w:szCs w:val="18"/>
              </w:rPr>
              <w:t>步骤与结果正确；</w:t>
            </w:r>
            <w:r>
              <w:rPr>
                <w:rFonts w:hint="eastAsia"/>
                <w:sz w:val="18"/>
                <w:szCs w:val="18"/>
              </w:rPr>
              <w:t>实验报告数据较为正确、语言较为规范</w:t>
            </w:r>
            <w:r>
              <w:rPr>
                <w:sz w:val="18"/>
                <w:szCs w:val="18"/>
              </w:rPr>
              <w:t>。</w:t>
            </w:r>
          </w:p>
        </w:tc>
        <w:tc>
          <w:tcPr>
            <w:tcW w:w="1472" w:type="dxa"/>
            <w:vAlign w:val="center"/>
          </w:tcPr>
          <w:p>
            <w:pPr>
              <w:rPr>
                <w:rFonts w:ascii="宋体" w:hAnsi="宋体"/>
                <w:bCs/>
                <w:sz w:val="18"/>
                <w:szCs w:val="18"/>
              </w:rPr>
            </w:pPr>
            <w:r>
              <w:rPr>
                <w:sz w:val="18"/>
                <w:szCs w:val="18"/>
              </w:rPr>
              <w:t>按照实验安全操作规程进行实验，</w:t>
            </w:r>
            <w:r>
              <w:rPr>
                <w:rFonts w:hint="eastAsia"/>
                <w:sz w:val="18"/>
                <w:szCs w:val="18"/>
              </w:rPr>
              <w:t>阿里云OSS管理平台配置和使用正确</w:t>
            </w:r>
            <w:r>
              <w:rPr>
                <w:sz w:val="18"/>
                <w:szCs w:val="18"/>
              </w:rPr>
              <w:t>；实验步骤与结果基本正确；</w:t>
            </w:r>
            <w:r>
              <w:rPr>
                <w:rFonts w:hint="eastAsia"/>
                <w:sz w:val="18"/>
                <w:szCs w:val="18"/>
              </w:rPr>
              <w:t>实验报告数据基本正确、语言基本规范</w:t>
            </w:r>
            <w:r>
              <w:rPr>
                <w:sz w:val="18"/>
                <w:szCs w:val="18"/>
              </w:rPr>
              <w:t>。</w:t>
            </w:r>
          </w:p>
        </w:tc>
        <w:tc>
          <w:tcPr>
            <w:tcW w:w="1381" w:type="dxa"/>
            <w:vAlign w:val="center"/>
          </w:tcPr>
          <w:p>
            <w:pPr>
              <w:rPr>
                <w:rFonts w:ascii="宋体" w:hAnsi="宋体"/>
                <w:bCs/>
                <w:sz w:val="18"/>
                <w:szCs w:val="18"/>
              </w:rPr>
            </w:pPr>
            <w:r>
              <w:rPr>
                <w:sz w:val="18"/>
                <w:szCs w:val="18"/>
              </w:rPr>
              <w:t>没有按照实验安全操作规程进行实验；或者</w:t>
            </w:r>
            <w:r>
              <w:rPr>
                <w:rFonts w:hint="eastAsia"/>
                <w:sz w:val="18"/>
                <w:szCs w:val="18"/>
              </w:rPr>
              <w:t>阿里云OSS管理平台配置和使用有重大错误</w:t>
            </w:r>
            <w:r>
              <w:rPr>
                <w:sz w:val="18"/>
                <w:szCs w:val="18"/>
              </w:rPr>
              <w:t>；或者实验步骤与结果不正确。</w:t>
            </w:r>
          </w:p>
        </w:tc>
        <w:tc>
          <w:tcPr>
            <w:tcW w:w="785" w:type="dxa"/>
            <w:vAlign w:val="center"/>
          </w:tcPr>
          <w:p>
            <w:pPr>
              <w:jc w:val="center"/>
              <w:rPr>
                <w:rFonts w:ascii="宋体" w:hAnsi="宋体"/>
                <w:bCs/>
                <w:sz w:val="18"/>
                <w:szCs w:val="18"/>
              </w:rPr>
            </w:pPr>
            <w:r>
              <w:rPr>
                <w:rFonts w:hint="eastAsia" w:ascii="宋体" w:hAnsi="宋体"/>
                <w:bCs/>
                <w:sz w:val="18"/>
                <w:szCs w:val="18"/>
              </w:rPr>
              <w:t>2</w:t>
            </w:r>
            <w:r>
              <w:rPr>
                <w:rFonts w:ascii="宋体" w:hAnsi="宋体"/>
                <w:bCs/>
                <w:sz w:val="18"/>
                <w:szCs w:val="18"/>
              </w:rPr>
              <w:t>5</w:t>
            </w:r>
            <w:r>
              <w:rPr>
                <w:rFonts w:hint="eastAsia" w:ascii="宋体" w:hAnsi="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hint="eastAsia" w:ascii="宋体" w:hAnsi="宋体"/>
                <w:bCs/>
                <w:sz w:val="18"/>
                <w:szCs w:val="18"/>
              </w:rPr>
            </w:pPr>
            <w:r>
              <w:rPr>
                <w:sz w:val="18"/>
                <w:szCs w:val="18"/>
              </w:rPr>
              <w:t>能够根据实验指导书规定的实验目的与要求，</w:t>
            </w:r>
            <w:r>
              <w:rPr>
                <w:rFonts w:hint="eastAsia"/>
                <w:sz w:val="18"/>
                <w:szCs w:val="18"/>
              </w:rPr>
              <w:t>进行TP-Link TL-WR745N无线ADSL路由器快速配置</w:t>
            </w:r>
            <w:r>
              <w:rPr>
                <w:sz w:val="18"/>
                <w:szCs w:val="18"/>
              </w:rPr>
              <w:t>，并完成模拟实验</w:t>
            </w:r>
            <w:r>
              <w:rPr>
                <w:rFonts w:hint="eastAsia"/>
                <w:sz w:val="18"/>
                <w:szCs w:val="18"/>
              </w:rPr>
              <w:t>，撰写实验报告</w:t>
            </w:r>
            <w:r>
              <w:rPr>
                <w:sz w:val="18"/>
                <w:szCs w:val="18"/>
              </w:rPr>
              <w:t>。（支撑课程目标2、毕业要求指标点3</w:t>
            </w:r>
            <w:r>
              <w:rPr>
                <w:rFonts w:hint="eastAsia"/>
                <w:sz w:val="18"/>
                <w:szCs w:val="18"/>
              </w:rPr>
              <w:t>-</w:t>
            </w:r>
            <w:r>
              <w:rPr>
                <w:sz w:val="18"/>
                <w:szCs w:val="18"/>
              </w:rPr>
              <w:t>1）</w:t>
            </w:r>
          </w:p>
        </w:tc>
        <w:tc>
          <w:tcPr>
            <w:tcW w:w="1560" w:type="dxa"/>
            <w:vAlign w:val="center"/>
          </w:tcPr>
          <w:p>
            <w:pPr>
              <w:rPr>
                <w:rFonts w:ascii="宋体" w:hAnsi="宋体"/>
                <w:bCs/>
                <w:sz w:val="18"/>
                <w:szCs w:val="18"/>
              </w:rPr>
            </w:pPr>
            <w:r>
              <w:rPr>
                <w:sz w:val="18"/>
                <w:szCs w:val="18"/>
              </w:rPr>
              <w:t>按照要求完成预习，按照实验安全操作规程进行实验，</w:t>
            </w:r>
            <w:r>
              <w:rPr>
                <w:rFonts w:hint="eastAsia"/>
                <w:sz w:val="18"/>
                <w:szCs w:val="18"/>
              </w:rPr>
              <w:t>TP-Link TL-WR745N无线ADSL路由器配置正确</w:t>
            </w:r>
            <w:r>
              <w:rPr>
                <w:sz w:val="18"/>
                <w:szCs w:val="18"/>
              </w:rPr>
              <w:t>；实验步骤与结果正确；</w:t>
            </w:r>
            <w:r>
              <w:rPr>
                <w:rFonts w:hint="eastAsia"/>
                <w:sz w:val="18"/>
                <w:szCs w:val="18"/>
              </w:rPr>
              <w:t>实验报告数据正确、语言规范</w:t>
            </w:r>
            <w:r>
              <w:rPr>
                <w:sz w:val="18"/>
                <w:szCs w:val="18"/>
              </w:rPr>
              <w:t>。</w:t>
            </w:r>
          </w:p>
        </w:tc>
        <w:tc>
          <w:tcPr>
            <w:tcW w:w="1646" w:type="dxa"/>
            <w:vAlign w:val="center"/>
          </w:tcPr>
          <w:p>
            <w:pPr>
              <w:rPr>
                <w:rFonts w:ascii="宋体" w:hAnsi="宋体"/>
                <w:bCs/>
                <w:sz w:val="18"/>
                <w:szCs w:val="18"/>
              </w:rPr>
            </w:pPr>
            <w:r>
              <w:rPr>
                <w:sz w:val="18"/>
                <w:szCs w:val="18"/>
              </w:rPr>
              <w:t>能够预习，按照实验安全操作规程进行实验，</w:t>
            </w:r>
            <w:r>
              <w:rPr>
                <w:rFonts w:hint="eastAsia"/>
                <w:sz w:val="18"/>
                <w:szCs w:val="18"/>
              </w:rPr>
              <w:t>TP-Link TL-WR745N无线ADSL路由器配置正确</w:t>
            </w:r>
            <w:r>
              <w:rPr>
                <w:sz w:val="18"/>
                <w:szCs w:val="18"/>
              </w:rPr>
              <w:t>；实验</w:t>
            </w:r>
            <w:r>
              <w:rPr>
                <w:rFonts w:hint="eastAsia"/>
                <w:sz w:val="18"/>
                <w:szCs w:val="18"/>
              </w:rPr>
              <w:t>大部分</w:t>
            </w:r>
            <w:r>
              <w:rPr>
                <w:sz w:val="18"/>
                <w:szCs w:val="18"/>
              </w:rPr>
              <w:t>步骤与结果正确；</w:t>
            </w:r>
            <w:r>
              <w:rPr>
                <w:rFonts w:hint="eastAsia"/>
                <w:sz w:val="18"/>
                <w:szCs w:val="18"/>
              </w:rPr>
              <w:t>实验报告数据较为正确、语言较为规范</w:t>
            </w:r>
            <w:r>
              <w:rPr>
                <w:sz w:val="18"/>
                <w:szCs w:val="18"/>
              </w:rPr>
              <w:t>。</w:t>
            </w:r>
          </w:p>
        </w:tc>
        <w:tc>
          <w:tcPr>
            <w:tcW w:w="1472" w:type="dxa"/>
            <w:vAlign w:val="center"/>
          </w:tcPr>
          <w:p>
            <w:pPr>
              <w:rPr>
                <w:rFonts w:ascii="宋体" w:hAnsi="宋体"/>
                <w:bCs/>
                <w:sz w:val="18"/>
                <w:szCs w:val="18"/>
              </w:rPr>
            </w:pPr>
            <w:r>
              <w:rPr>
                <w:sz w:val="18"/>
                <w:szCs w:val="18"/>
              </w:rPr>
              <w:t>按照实验安全操作规程进行实验，</w:t>
            </w:r>
            <w:r>
              <w:rPr>
                <w:rFonts w:hint="eastAsia"/>
                <w:sz w:val="18"/>
                <w:szCs w:val="18"/>
              </w:rPr>
              <w:t>TP-Link TL-WR745N无线ADSL路由器配置正确</w:t>
            </w:r>
            <w:r>
              <w:rPr>
                <w:sz w:val="18"/>
                <w:szCs w:val="18"/>
              </w:rPr>
              <w:t>；实验步骤与结果基本正确；</w:t>
            </w:r>
            <w:r>
              <w:rPr>
                <w:rFonts w:hint="eastAsia"/>
                <w:sz w:val="18"/>
                <w:szCs w:val="18"/>
              </w:rPr>
              <w:t>实验报告数据基本正确、语言基本规范</w:t>
            </w:r>
            <w:r>
              <w:rPr>
                <w:sz w:val="18"/>
                <w:szCs w:val="18"/>
              </w:rPr>
              <w:t>。</w:t>
            </w:r>
          </w:p>
        </w:tc>
        <w:tc>
          <w:tcPr>
            <w:tcW w:w="1381" w:type="dxa"/>
            <w:vAlign w:val="center"/>
          </w:tcPr>
          <w:p>
            <w:pPr>
              <w:rPr>
                <w:rFonts w:ascii="宋体" w:hAnsi="宋体"/>
                <w:bCs/>
                <w:sz w:val="18"/>
                <w:szCs w:val="18"/>
              </w:rPr>
            </w:pPr>
            <w:r>
              <w:rPr>
                <w:sz w:val="18"/>
                <w:szCs w:val="18"/>
              </w:rPr>
              <w:t>没有按照实验安全操作规程进行实验；或</w:t>
            </w:r>
            <w:r>
              <w:rPr>
                <w:rFonts w:hint="eastAsia"/>
                <w:sz w:val="18"/>
                <w:szCs w:val="18"/>
              </w:rPr>
              <w:t>TP-Link TL-WR745N无线ADSL路由器配置有重大错误</w:t>
            </w:r>
            <w:r>
              <w:rPr>
                <w:sz w:val="18"/>
                <w:szCs w:val="18"/>
              </w:rPr>
              <w:t>；或者实验步骤与结果不正确。</w:t>
            </w:r>
          </w:p>
        </w:tc>
        <w:tc>
          <w:tcPr>
            <w:tcW w:w="785" w:type="dxa"/>
            <w:vAlign w:val="center"/>
          </w:tcPr>
          <w:p>
            <w:pPr>
              <w:jc w:val="center"/>
              <w:rPr>
                <w:rFonts w:ascii="宋体" w:hAnsi="宋体"/>
                <w:bCs/>
                <w:sz w:val="18"/>
                <w:szCs w:val="18"/>
              </w:rPr>
            </w:pPr>
            <w:r>
              <w:rPr>
                <w:rFonts w:hint="eastAsia" w:ascii="宋体" w:hAnsi="宋体"/>
                <w:bCs/>
                <w:sz w:val="18"/>
                <w:szCs w:val="18"/>
              </w:rPr>
              <w:t>2</w:t>
            </w:r>
            <w:r>
              <w:rPr>
                <w:rFonts w:ascii="宋体" w:hAnsi="宋体"/>
                <w:bCs/>
                <w:sz w:val="18"/>
                <w:szCs w:val="18"/>
              </w:rPr>
              <w:t>5</w:t>
            </w:r>
            <w:r>
              <w:rPr>
                <w:rFonts w:hint="eastAsia" w:ascii="宋体" w:hAnsi="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hint="eastAsia" w:ascii="宋体" w:hAnsi="宋体"/>
                <w:bCs/>
                <w:sz w:val="18"/>
                <w:szCs w:val="18"/>
              </w:rPr>
            </w:pPr>
            <w:r>
              <w:rPr>
                <w:sz w:val="18"/>
                <w:szCs w:val="18"/>
              </w:rPr>
              <w:t>能够根据实验指导书规定的实验目的与要求，</w:t>
            </w:r>
            <w:r>
              <w:rPr>
                <w:rFonts w:hint="eastAsia"/>
                <w:sz w:val="18"/>
                <w:szCs w:val="18"/>
              </w:rPr>
              <w:t>进行BlueSoleil蓝牙软件管理系统的配置和使用</w:t>
            </w:r>
            <w:r>
              <w:rPr>
                <w:sz w:val="18"/>
                <w:szCs w:val="18"/>
              </w:rPr>
              <w:t>，并完成模拟实验</w:t>
            </w:r>
            <w:r>
              <w:rPr>
                <w:rFonts w:hint="eastAsia"/>
                <w:sz w:val="18"/>
                <w:szCs w:val="18"/>
              </w:rPr>
              <w:t>，撰写实验报告</w:t>
            </w:r>
            <w:r>
              <w:rPr>
                <w:sz w:val="18"/>
                <w:szCs w:val="18"/>
              </w:rPr>
              <w:t>。（支撑课程目标2、毕业要求指标点3</w:t>
            </w:r>
            <w:r>
              <w:rPr>
                <w:rFonts w:hint="eastAsia"/>
                <w:sz w:val="18"/>
                <w:szCs w:val="18"/>
              </w:rPr>
              <w:t>-</w:t>
            </w:r>
            <w:r>
              <w:rPr>
                <w:sz w:val="18"/>
                <w:szCs w:val="18"/>
              </w:rPr>
              <w:t>1）</w:t>
            </w:r>
          </w:p>
        </w:tc>
        <w:tc>
          <w:tcPr>
            <w:tcW w:w="1560" w:type="dxa"/>
            <w:vAlign w:val="center"/>
          </w:tcPr>
          <w:p>
            <w:pPr>
              <w:rPr>
                <w:rFonts w:hint="eastAsia" w:ascii="宋体" w:hAnsi="宋体"/>
                <w:bCs/>
                <w:sz w:val="18"/>
                <w:szCs w:val="18"/>
              </w:rPr>
            </w:pPr>
            <w:r>
              <w:rPr>
                <w:sz w:val="18"/>
                <w:szCs w:val="18"/>
              </w:rPr>
              <w:t>按照要求完成预习，按照实验安全操作规程进行实验，</w:t>
            </w:r>
            <w:r>
              <w:rPr>
                <w:rFonts w:hint="eastAsia"/>
                <w:sz w:val="18"/>
                <w:szCs w:val="18"/>
              </w:rPr>
              <w:t>BlueSoleil蓝牙软件管理系统的配置和使用正确</w:t>
            </w:r>
            <w:r>
              <w:rPr>
                <w:sz w:val="18"/>
                <w:szCs w:val="18"/>
              </w:rPr>
              <w:t>；实验步骤与结果正确；</w:t>
            </w:r>
            <w:r>
              <w:rPr>
                <w:rFonts w:hint="eastAsia"/>
                <w:sz w:val="18"/>
                <w:szCs w:val="18"/>
              </w:rPr>
              <w:t>实验报告数据正确、语言规范</w:t>
            </w:r>
            <w:r>
              <w:rPr>
                <w:sz w:val="18"/>
                <w:szCs w:val="18"/>
              </w:rPr>
              <w:t>。</w:t>
            </w:r>
          </w:p>
        </w:tc>
        <w:tc>
          <w:tcPr>
            <w:tcW w:w="1646" w:type="dxa"/>
            <w:vAlign w:val="center"/>
          </w:tcPr>
          <w:p>
            <w:pPr>
              <w:rPr>
                <w:rFonts w:hint="eastAsia" w:ascii="宋体" w:hAnsi="宋体"/>
                <w:bCs/>
                <w:sz w:val="18"/>
                <w:szCs w:val="18"/>
              </w:rPr>
            </w:pPr>
            <w:r>
              <w:rPr>
                <w:sz w:val="18"/>
                <w:szCs w:val="18"/>
              </w:rPr>
              <w:t>能够预习，按照实验安全操作规程进行实验，</w:t>
            </w:r>
            <w:r>
              <w:rPr>
                <w:rFonts w:hint="eastAsia" w:hAnsi="宋体"/>
                <w:bCs/>
                <w:sz w:val="18"/>
                <w:szCs w:val="18"/>
              </w:rPr>
              <w:t>BlueSoleil蓝牙软件管理系统的配置和使用</w:t>
            </w:r>
            <w:r>
              <w:rPr>
                <w:rFonts w:hint="eastAsia"/>
                <w:sz w:val="18"/>
                <w:szCs w:val="18"/>
              </w:rPr>
              <w:t>正确</w:t>
            </w:r>
            <w:r>
              <w:rPr>
                <w:sz w:val="18"/>
                <w:szCs w:val="18"/>
              </w:rPr>
              <w:t>；实验</w:t>
            </w:r>
            <w:r>
              <w:rPr>
                <w:rFonts w:hint="eastAsia"/>
                <w:sz w:val="18"/>
                <w:szCs w:val="18"/>
              </w:rPr>
              <w:t>大部分</w:t>
            </w:r>
            <w:r>
              <w:rPr>
                <w:sz w:val="18"/>
                <w:szCs w:val="18"/>
              </w:rPr>
              <w:t>步骤与结果正确；</w:t>
            </w:r>
            <w:r>
              <w:rPr>
                <w:rFonts w:hint="eastAsia"/>
                <w:sz w:val="18"/>
                <w:szCs w:val="18"/>
              </w:rPr>
              <w:t>实验报告数据较为正确、语言较为规范</w:t>
            </w:r>
            <w:r>
              <w:rPr>
                <w:sz w:val="18"/>
                <w:szCs w:val="18"/>
              </w:rPr>
              <w:t>。</w:t>
            </w:r>
          </w:p>
        </w:tc>
        <w:tc>
          <w:tcPr>
            <w:tcW w:w="1472" w:type="dxa"/>
            <w:vAlign w:val="center"/>
          </w:tcPr>
          <w:p>
            <w:pPr>
              <w:rPr>
                <w:rFonts w:hint="eastAsia" w:ascii="宋体" w:hAnsi="宋体"/>
                <w:bCs/>
                <w:sz w:val="18"/>
                <w:szCs w:val="18"/>
              </w:rPr>
            </w:pPr>
            <w:r>
              <w:rPr>
                <w:sz w:val="18"/>
                <w:szCs w:val="18"/>
              </w:rPr>
              <w:t>按照实验安全操作规程进行实验，</w:t>
            </w:r>
            <w:r>
              <w:rPr>
                <w:rFonts w:hint="eastAsia" w:hAnsi="宋体"/>
                <w:bCs/>
                <w:sz w:val="18"/>
                <w:szCs w:val="18"/>
              </w:rPr>
              <w:t>BlueSoleil蓝牙软件管理系统的配置和使用基本</w:t>
            </w:r>
            <w:r>
              <w:rPr>
                <w:rFonts w:hint="eastAsia"/>
                <w:sz w:val="18"/>
                <w:szCs w:val="18"/>
              </w:rPr>
              <w:t>正确</w:t>
            </w:r>
            <w:r>
              <w:rPr>
                <w:sz w:val="18"/>
                <w:szCs w:val="18"/>
              </w:rPr>
              <w:t>；实验步骤与结果基本正确；</w:t>
            </w:r>
            <w:r>
              <w:rPr>
                <w:rFonts w:hint="eastAsia"/>
                <w:sz w:val="18"/>
                <w:szCs w:val="18"/>
              </w:rPr>
              <w:t>实验报告数据基本正确、语言基本规范</w:t>
            </w:r>
            <w:r>
              <w:rPr>
                <w:sz w:val="18"/>
                <w:szCs w:val="18"/>
              </w:rPr>
              <w:t>。</w:t>
            </w:r>
          </w:p>
        </w:tc>
        <w:tc>
          <w:tcPr>
            <w:tcW w:w="1381" w:type="dxa"/>
            <w:vAlign w:val="center"/>
          </w:tcPr>
          <w:p>
            <w:pPr>
              <w:rPr>
                <w:rFonts w:hint="eastAsia" w:ascii="宋体" w:hAnsi="宋体"/>
                <w:bCs/>
                <w:sz w:val="18"/>
                <w:szCs w:val="18"/>
              </w:rPr>
            </w:pPr>
            <w:r>
              <w:rPr>
                <w:sz w:val="18"/>
                <w:szCs w:val="18"/>
              </w:rPr>
              <w:t>没有按照实验安全操作规程进行实验；或</w:t>
            </w:r>
            <w:r>
              <w:rPr>
                <w:rFonts w:hint="eastAsia" w:hAnsi="宋体"/>
                <w:bCs/>
                <w:sz w:val="18"/>
                <w:szCs w:val="18"/>
              </w:rPr>
              <w:t>BlueSoleil蓝牙软件管理系统的配置和使用</w:t>
            </w:r>
            <w:r>
              <w:rPr>
                <w:rFonts w:hint="eastAsia"/>
                <w:sz w:val="18"/>
                <w:szCs w:val="18"/>
              </w:rPr>
              <w:t>有重大错误</w:t>
            </w:r>
            <w:r>
              <w:rPr>
                <w:sz w:val="18"/>
                <w:szCs w:val="18"/>
              </w:rPr>
              <w:t>；或者实验步骤与结果不正确。</w:t>
            </w:r>
          </w:p>
        </w:tc>
        <w:tc>
          <w:tcPr>
            <w:tcW w:w="785" w:type="dxa"/>
            <w:vAlign w:val="center"/>
          </w:tcPr>
          <w:p>
            <w:pPr>
              <w:jc w:val="center"/>
              <w:rPr>
                <w:rFonts w:hint="eastAsia" w:ascii="宋体" w:hAnsi="宋体"/>
                <w:bCs/>
                <w:sz w:val="18"/>
                <w:szCs w:val="18"/>
              </w:rPr>
            </w:pPr>
            <w:r>
              <w:rPr>
                <w:rFonts w:hint="eastAsia" w:ascii="宋体" w:hAnsi="宋体"/>
                <w:bCs/>
                <w:sz w:val="18"/>
                <w:szCs w:val="18"/>
              </w:rPr>
              <w:t>2</w:t>
            </w:r>
            <w:r>
              <w:rPr>
                <w:rFonts w:ascii="宋体" w:hAnsi="宋体"/>
                <w:bCs/>
                <w:sz w:val="18"/>
                <w:szCs w:val="18"/>
              </w:rPr>
              <w:t>5</w:t>
            </w:r>
            <w:r>
              <w:rPr>
                <w:rFonts w:hint="eastAsia" w:ascii="宋体" w:hAnsi="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sz w:val="18"/>
                <w:szCs w:val="18"/>
              </w:rPr>
            </w:pPr>
            <w:r>
              <w:rPr>
                <w:sz w:val="18"/>
                <w:szCs w:val="18"/>
              </w:rPr>
              <w:t>能够根据实验指导书规定的实验目的与要求，</w:t>
            </w:r>
            <w:r>
              <w:rPr>
                <w:rFonts w:hint="eastAsia"/>
                <w:sz w:val="18"/>
                <w:szCs w:val="18"/>
              </w:rPr>
              <w:t>进行Hadoop数据处理实验</w:t>
            </w:r>
            <w:r>
              <w:rPr>
                <w:sz w:val="18"/>
                <w:szCs w:val="18"/>
              </w:rPr>
              <w:t>，并完成模拟实验</w:t>
            </w:r>
            <w:r>
              <w:rPr>
                <w:rFonts w:hint="eastAsia"/>
                <w:sz w:val="18"/>
                <w:szCs w:val="18"/>
              </w:rPr>
              <w:t>，撰写实验报告</w:t>
            </w:r>
            <w:r>
              <w:rPr>
                <w:sz w:val="18"/>
                <w:szCs w:val="18"/>
              </w:rPr>
              <w:t>。（支撑课程目标2、毕业要求指标点3</w:t>
            </w:r>
            <w:r>
              <w:rPr>
                <w:rFonts w:hint="eastAsia"/>
                <w:sz w:val="18"/>
                <w:szCs w:val="18"/>
              </w:rPr>
              <w:t>-</w:t>
            </w:r>
            <w:r>
              <w:rPr>
                <w:sz w:val="18"/>
                <w:szCs w:val="18"/>
              </w:rPr>
              <w:t>1）</w:t>
            </w:r>
          </w:p>
        </w:tc>
        <w:tc>
          <w:tcPr>
            <w:tcW w:w="1560" w:type="dxa"/>
            <w:vAlign w:val="center"/>
          </w:tcPr>
          <w:p>
            <w:pPr>
              <w:rPr>
                <w:sz w:val="18"/>
                <w:szCs w:val="18"/>
              </w:rPr>
            </w:pPr>
            <w:r>
              <w:rPr>
                <w:sz w:val="18"/>
                <w:szCs w:val="18"/>
              </w:rPr>
              <w:t>按照要求完成预习，按照实验安全操作规程进行实验，</w:t>
            </w:r>
            <w:r>
              <w:rPr>
                <w:rFonts w:hint="eastAsia"/>
                <w:sz w:val="18"/>
                <w:szCs w:val="18"/>
              </w:rPr>
              <w:t>Hadoop数据处理正确</w:t>
            </w:r>
            <w:r>
              <w:rPr>
                <w:sz w:val="18"/>
                <w:szCs w:val="18"/>
              </w:rPr>
              <w:t>；实验步骤与结果正确；</w:t>
            </w:r>
            <w:r>
              <w:rPr>
                <w:rFonts w:hint="eastAsia"/>
                <w:sz w:val="18"/>
                <w:szCs w:val="18"/>
              </w:rPr>
              <w:t>实验报告数据正确、语言规范</w:t>
            </w:r>
            <w:r>
              <w:rPr>
                <w:sz w:val="18"/>
                <w:szCs w:val="18"/>
              </w:rPr>
              <w:t>。</w:t>
            </w:r>
          </w:p>
        </w:tc>
        <w:tc>
          <w:tcPr>
            <w:tcW w:w="1646" w:type="dxa"/>
            <w:vAlign w:val="center"/>
          </w:tcPr>
          <w:p>
            <w:pPr>
              <w:rPr>
                <w:sz w:val="18"/>
                <w:szCs w:val="18"/>
              </w:rPr>
            </w:pPr>
            <w:r>
              <w:rPr>
                <w:sz w:val="18"/>
                <w:szCs w:val="18"/>
              </w:rPr>
              <w:t>能够预习，按照实验安全操作规程进行实验，</w:t>
            </w:r>
            <w:r>
              <w:rPr>
                <w:rFonts w:hint="eastAsia"/>
                <w:sz w:val="18"/>
                <w:szCs w:val="18"/>
              </w:rPr>
              <w:t>Hadoop数据处理正确</w:t>
            </w:r>
            <w:r>
              <w:rPr>
                <w:sz w:val="18"/>
                <w:szCs w:val="18"/>
              </w:rPr>
              <w:t>；实验</w:t>
            </w:r>
            <w:r>
              <w:rPr>
                <w:rFonts w:hint="eastAsia"/>
                <w:sz w:val="18"/>
                <w:szCs w:val="18"/>
              </w:rPr>
              <w:t>大部分</w:t>
            </w:r>
            <w:r>
              <w:rPr>
                <w:sz w:val="18"/>
                <w:szCs w:val="18"/>
              </w:rPr>
              <w:t>步骤与结果正确；</w:t>
            </w:r>
            <w:r>
              <w:rPr>
                <w:rFonts w:hint="eastAsia"/>
                <w:sz w:val="18"/>
                <w:szCs w:val="18"/>
              </w:rPr>
              <w:t>实验报告数据较为正确、语言较为规范</w:t>
            </w:r>
            <w:r>
              <w:rPr>
                <w:sz w:val="18"/>
                <w:szCs w:val="18"/>
              </w:rPr>
              <w:t>。</w:t>
            </w:r>
          </w:p>
        </w:tc>
        <w:tc>
          <w:tcPr>
            <w:tcW w:w="1472" w:type="dxa"/>
            <w:vAlign w:val="center"/>
          </w:tcPr>
          <w:p>
            <w:pPr>
              <w:rPr>
                <w:sz w:val="18"/>
                <w:szCs w:val="18"/>
              </w:rPr>
            </w:pPr>
            <w:r>
              <w:rPr>
                <w:sz w:val="18"/>
                <w:szCs w:val="18"/>
              </w:rPr>
              <w:t>按照实验安全操作规程进行实验，</w:t>
            </w:r>
            <w:r>
              <w:rPr>
                <w:rFonts w:hint="eastAsia"/>
                <w:sz w:val="18"/>
                <w:szCs w:val="18"/>
              </w:rPr>
              <w:t>Hadoop数据处理基本正确</w:t>
            </w:r>
            <w:r>
              <w:rPr>
                <w:sz w:val="18"/>
                <w:szCs w:val="18"/>
              </w:rPr>
              <w:t>；实验步骤与结果基本正确；</w:t>
            </w:r>
            <w:r>
              <w:rPr>
                <w:rFonts w:hint="eastAsia"/>
                <w:sz w:val="18"/>
                <w:szCs w:val="18"/>
              </w:rPr>
              <w:t>实验报告数据基本正确、语言基本规范</w:t>
            </w:r>
            <w:r>
              <w:rPr>
                <w:sz w:val="18"/>
                <w:szCs w:val="18"/>
              </w:rPr>
              <w:t>。</w:t>
            </w:r>
          </w:p>
        </w:tc>
        <w:tc>
          <w:tcPr>
            <w:tcW w:w="1381" w:type="dxa"/>
            <w:vAlign w:val="center"/>
          </w:tcPr>
          <w:p>
            <w:pPr>
              <w:rPr>
                <w:sz w:val="18"/>
                <w:szCs w:val="18"/>
              </w:rPr>
            </w:pPr>
            <w:r>
              <w:rPr>
                <w:sz w:val="18"/>
                <w:szCs w:val="18"/>
              </w:rPr>
              <w:t>没有按照实验安全操作规程进行实验；或</w:t>
            </w:r>
            <w:r>
              <w:rPr>
                <w:rFonts w:hint="eastAsia"/>
                <w:sz w:val="18"/>
                <w:szCs w:val="18"/>
              </w:rPr>
              <w:t>Hadoop数据处理有重大错误</w:t>
            </w:r>
            <w:r>
              <w:rPr>
                <w:sz w:val="18"/>
                <w:szCs w:val="18"/>
              </w:rPr>
              <w:t>；或者实验步骤与结果不正确。</w:t>
            </w:r>
          </w:p>
        </w:tc>
        <w:tc>
          <w:tcPr>
            <w:tcW w:w="785" w:type="dxa"/>
            <w:vAlign w:val="center"/>
          </w:tcPr>
          <w:p>
            <w:pPr>
              <w:jc w:val="center"/>
              <w:rPr>
                <w:rFonts w:hint="eastAsia" w:ascii="宋体" w:hAnsi="宋体"/>
                <w:bCs/>
                <w:sz w:val="18"/>
                <w:szCs w:val="18"/>
              </w:rPr>
            </w:pPr>
            <w:r>
              <w:rPr>
                <w:rFonts w:hint="eastAsia" w:ascii="宋体" w:hAnsi="宋体"/>
                <w:bCs/>
                <w:sz w:val="18"/>
                <w:szCs w:val="18"/>
              </w:rPr>
              <w:t>2</w:t>
            </w:r>
            <w:r>
              <w:rPr>
                <w:rFonts w:ascii="宋体" w:hAnsi="宋体"/>
                <w:bCs/>
                <w:sz w:val="18"/>
                <w:szCs w:val="18"/>
              </w:rPr>
              <w:t>5</w:t>
            </w:r>
            <w:r>
              <w:rPr>
                <w:rFonts w:hint="eastAsia" w:ascii="宋体" w:hAnsi="宋体"/>
                <w:bCs/>
                <w:sz w:val="18"/>
                <w:szCs w:val="18"/>
              </w:rPr>
              <w:t>%</w:t>
            </w:r>
          </w:p>
        </w:tc>
      </w:tr>
    </w:tbl>
    <w:p>
      <w:pPr>
        <w:pStyle w:val="59"/>
        <w:spacing w:line="360" w:lineRule="auto"/>
        <w:ind w:firstLine="207" w:firstLineChars="98"/>
        <w:rPr>
          <w:rFonts w:hint="eastAsia" w:ascii="宋体" w:hAnsi="宋体"/>
          <w:b/>
          <w:szCs w:val="21"/>
          <w:highlight w:val="yellow"/>
        </w:rPr>
      </w:pPr>
      <w:r>
        <w:rPr>
          <w:rFonts w:hint="eastAsia" w:ascii="宋体" w:hAnsi="宋体"/>
          <w:b/>
          <w:szCs w:val="21"/>
        </w:rPr>
        <w:t>3、小论文评价标准</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1560"/>
        <w:gridCol w:w="1559"/>
        <w:gridCol w:w="1559"/>
        <w:gridCol w:w="1381"/>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310" w:type="dxa"/>
            <w:vMerge w:val="restart"/>
            <w:shd w:val="clear" w:color="auto" w:fill="F2F2F2"/>
            <w:vAlign w:val="center"/>
          </w:tcPr>
          <w:p>
            <w:pPr>
              <w:jc w:val="center"/>
              <w:rPr>
                <w:b/>
                <w:sz w:val="18"/>
                <w:szCs w:val="18"/>
              </w:rPr>
            </w:pPr>
            <w:r>
              <w:rPr>
                <w:rFonts w:hint="eastAsia"/>
                <w:b/>
                <w:sz w:val="18"/>
                <w:szCs w:val="18"/>
              </w:rPr>
              <w:t>基本要求</w:t>
            </w:r>
          </w:p>
        </w:tc>
        <w:tc>
          <w:tcPr>
            <w:tcW w:w="6059" w:type="dxa"/>
            <w:gridSpan w:val="4"/>
            <w:shd w:val="clear" w:color="auto" w:fill="F2F2F2"/>
            <w:vAlign w:val="center"/>
          </w:tcPr>
          <w:p>
            <w:pPr>
              <w:jc w:val="center"/>
              <w:rPr>
                <w:b/>
                <w:sz w:val="18"/>
                <w:szCs w:val="18"/>
              </w:rPr>
            </w:pPr>
            <w:r>
              <w:rPr>
                <w:rFonts w:hint="eastAsia"/>
                <w:b/>
                <w:sz w:val="18"/>
                <w:szCs w:val="18"/>
              </w:rPr>
              <w:t>评价标准</w:t>
            </w:r>
          </w:p>
        </w:tc>
        <w:tc>
          <w:tcPr>
            <w:tcW w:w="785" w:type="dxa"/>
            <w:vMerge w:val="restart"/>
            <w:shd w:val="clear" w:color="auto" w:fill="F2F2F2"/>
            <w:vAlign w:val="center"/>
          </w:tcPr>
          <w:p>
            <w:pPr>
              <w:jc w:val="center"/>
              <w:rPr>
                <w:rFonts w:hint="eastAsia"/>
                <w:b/>
                <w:sz w:val="18"/>
                <w:szCs w:val="18"/>
              </w:rPr>
            </w:pPr>
            <w:r>
              <w:rPr>
                <w:rFonts w:hint="eastAsia"/>
                <w:b/>
                <w:sz w:val="18"/>
                <w:szCs w:val="1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310" w:type="dxa"/>
            <w:vMerge w:val="continue"/>
            <w:shd w:val="clear" w:color="auto" w:fill="F2F2F2"/>
          </w:tcPr>
          <w:p>
            <w:pPr>
              <w:spacing w:line="420" w:lineRule="exact"/>
              <w:jc w:val="center"/>
              <w:rPr>
                <w:rFonts w:hint="eastAsia"/>
                <w:b/>
                <w:sz w:val="18"/>
                <w:szCs w:val="18"/>
              </w:rPr>
            </w:pPr>
          </w:p>
        </w:tc>
        <w:tc>
          <w:tcPr>
            <w:tcW w:w="1560" w:type="dxa"/>
            <w:shd w:val="clear" w:color="auto" w:fill="F2F2F2"/>
          </w:tcPr>
          <w:p>
            <w:pPr>
              <w:spacing w:line="420" w:lineRule="exact"/>
              <w:jc w:val="center"/>
              <w:rPr>
                <w:rFonts w:hint="eastAsia"/>
                <w:b/>
                <w:sz w:val="18"/>
                <w:szCs w:val="18"/>
              </w:rPr>
            </w:pPr>
            <w:r>
              <w:rPr>
                <w:rFonts w:hint="eastAsia"/>
                <w:b/>
                <w:sz w:val="18"/>
                <w:szCs w:val="18"/>
              </w:rPr>
              <w:t>90-100分</w:t>
            </w:r>
          </w:p>
        </w:tc>
        <w:tc>
          <w:tcPr>
            <w:tcW w:w="1559" w:type="dxa"/>
            <w:shd w:val="clear" w:color="auto" w:fill="F2F2F2"/>
          </w:tcPr>
          <w:p>
            <w:pPr>
              <w:spacing w:line="420" w:lineRule="exact"/>
              <w:jc w:val="center"/>
              <w:rPr>
                <w:rFonts w:hint="eastAsia"/>
                <w:b/>
                <w:sz w:val="18"/>
                <w:szCs w:val="18"/>
              </w:rPr>
            </w:pPr>
            <w:r>
              <w:rPr>
                <w:rFonts w:hint="eastAsia"/>
                <w:b/>
                <w:sz w:val="18"/>
                <w:szCs w:val="18"/>
              </w:rPr>
              <w:t>75-89分</w:t>
            </w:r>
          </w:p>
        </w:tc>
        <w:tc>
          <w:tcPr>
            <w:tcW w:w="1559" w:type="dxa"/>
            <w:shd w:val="clear" w:color="auto" w:fill="F2F2F2"/>
          </w:tcPr>
          <w:p>
            <w:pPr>
              <w:spacing w:line="420" w:lineRule="exact"/>
              <w:jc w:val="center"/>
              <w:rPr>
                <w:rFonts w:hint="eastAsia"/>
                <w:b/>
                <w:sz w:val="18"/>
                <w:szCs w:val="18"/>
              </w:rPr>
            </w:pPr>
            <w:r>
              <w:rPr>
                <w:rFonts w:hint="eastAsia"/>
                <w:b/>
                <w:sz w:val="18"/>
                <w:szCs w:val="18"/>
              </w:rPr>
              <w:t>60-74分</w:t>
            </w:r>
          </w:p>
        </w:tc>
        <w:tc>
          <w:tcPr>
            <w:tcW w:w="1381" w:type="dxa"/>
            <w:shd w:val="clear" w:color="auto" w:fill="F2F2F2"/>
          </w:tcPr>
          <w:p>
            <w:pPr>
              <w:spacing w:line="420" w:lineRule="exact"/>
              <w:jc w:val="center"/>
              <w:rPr>
                <w:rFonts w:hint="eastAsia"/>
                <w:b/>
                <w:sz w:val="18"/>
                <w:szCs w:val="18"/>
              </w:rPr>
            </w:pPr>
            <w:r>
              <w:rPr>
                <w:rFonts w:hint="eastAsia"/>
                <w:b/>
                <w:sz w:val="18"/>
                <w:szCs w:val="18"/>
              </w:rPr>
              <w:t>0-59分</w:t>
            </w:r>
          </w:p>
        </w:tc>
        <w:tc>
          <w:tcPr>
            <w:tcW w:w="785" w:type="dxa"/>
            <w:vMerge w:val="continue"/>
            <w:shd w:val="clear" w:color="auto" w:fill="F2F2F2"/>
          </w:tcPr>
          <w:p>
            <w:pPr>
              <w:spacing w:line="420" w:lineRule="exact"/>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hint="eastAsia"/>
                <w:bCs/>
                <w:sz w:val="18"/>
                <w:szCs w:val="18"/>
              </w:rPr>
            </w:pPr>
            <w:r>
              <w:rPr>
                <w:rFonts w:hint="eastAsia"/>
                <w:bCs/>
                <w:sz w:val="18"/>
                <w:szCs w:val="18"/>
              </w:rPr>
              <w:t>能够针对物联网发展面临的挑战选取合理的视角，对所面临的挑战进行分析和建议。</w:t>
            </w:r>
            <w:r>
              <w:rPr>
                <w:rFonts w:hint="eastAsia" w:ascii="宋体" w:hAnsi="宋体"/>
                <w:bCs/>
                <w:sz w:val="18"/>
                <w:szCs w:val="18"/>
              </w:rPr>
              <w:t>（支撑课程目标</w:t>
            </w:r>
            <w:r>
              <w:rPr>
                <w:rFonts w:ascii="宋体" w:hAnsi="宋体"/>
                <w:bCs/>
                <w:sz w:val="18"/>
                <w:szCs w:val="18"/>
              </w:rPr>
              <w:t>1</w:t>
            </w:r>
            <w:r>
              <w:rPr>
                <w:rFonts w:hint="eastAsia" w:ascii="宋体" w:hAnsi="宋体"/>
                <w:bCs/>
                <w:sz w:val="18"/>
                <w:szCs w:val="18"/>
              </w:rPr>
              <w:t>、毕业要求指标点1-</w:t>
            </w:r>
            <w:r>
              <w:rPr>
                <w:rFonts w:ascii="宋体" w:hAnsi="宋体"/>
                <w:bCs/>
                <w:sz w:val="18"/>
                <w:szCs w:val="18"/>
              </w:rPr>
              <w:t>1</w:t>
            </w:r>
            <w:r>
              <w:rPr>
                <w:rFonts w:hint="eastAsia" w:ascii="宋体" w:hAnsi="宋体"/>
                <w:bCs/>
                <w:sz w:val="18"/>
                <w:szCs w:val="18"/>
              </w:rPr>
              <w:t>）</w:t>
            </w:r>
          </w:p>
        </w:tc>
        <w:tc>
          <w:tcPr>
            <w:tcW w:w="1560" w:type="dxa"/>
            <w:vAlign w:val="center"/>
          </w:tcPr>
          <w:p>
            <w:pPr>
              <w:rPr>
                <w:bCs/>
                <w:sz w:val="18"/>
                <w:szCs w:val="18"/>
              </w:rPr>
            </w:pPr>
            <w:r>
              <w:rPr>
                <w:rFonts w:hint="eastAsia"/>
                <w:sz w:val="18"/>
                <w:szCs w:val="18"/>
              </w:rPr>
              <w:t>检索和整理文献资料全面，分析和建议合理</w:t>
            </w:r>
            <w:r>
              <w:rPr>
                <w:sz w:val="18"/>
                <w:szCs w:val="18"/>
              </w:rPr>
              <w:t>，</w:t>
            </w:r>
            <w:r>
              <w:rPr>
                <w:rFonts w:hint="eastAsia"/>
                <w:sz w:val="18"/>
                <w:szCs w:val="18"/>
              </w:rPr>
              <w:t>表述清晰，</w:t>
            </w:r>
            <w:r>
              <w:rPr>
                <w:sz w:val="18"/>
                <w:szCs w:val="18"/>
              </w:rPr>
              <w:t>语言规范。</w:t>
            </w:r>
          </w:p>
        </w:tc>
        <w:tc>
          <w:tcPr>
            <w:tcW w:w="1559" w:type="dxa"/>
            <w:vAlign w:val="center"/>
          </w:tcPr>
          <w:p>
            <w:pPr>
              <w:rPr>
                <w:bCs/>
                <w:sz w:val="18"/>
                <w:szCs w:val="18"/>
              </w:rPr>
            </w:pPr>
            <w:r>
              <w:rPr>
                <w:rFonts w:hint="eastAsia"/>
                <w:sz w:val="18"/>
                <w:szCs w:val="18"/>
              </w:rPr>
              <w:t>检索和整理文献资料较为全面，分析和建议较为合理</w:t>
            </w:r>
            <w:r>
              <w:rPr>
                <w:sz w:val="18"/>
                <w:szCs w:val="18"/>
              </w:rPr>
              <w:t>，</w:t>
            </w:r>
            <w:r>
              <w:rPr>
                <w:rFonts w:hint="eastAsia"/>
                <w:sz w:val="18"/>
                <w:szCs w:val="18"/>
              </w:rPr>
              <w:t>表述较为清晰，</w:t>
            </w:r>
            <w:r>
              <w:rPr>
                <w:sz w:val="18"/>
                <w:szCs w:val="18"/>
              </w:rPr>
              <w:t>语言</w:t>
            </w:r>
            <w:r>
              <w:rPr>
                <w:rFonts w:hint="eastAsia"/>
                <w:sz w:val="18"/>
                <w:szCs w:val="18"/>
              </w:rPr>
              <w:t>较为</w:t>
            </w:r>
            <w:r>
              <w:rPr>
                <w:sz w:val="18"/>
                <w:szCs w:val="18"/>
              </w:rPr>
              <w:t>规范。</w:t>
            </w:r>
          </w:p>
        </w:tc>
        <w:tc>
          <w:tcPr>
            <w:tcW w:w="1559" w:type="dxa"/>
            <w:vAlign w:val="center"/>
          </w:tcPr>
          <w:p>
            <w:pPr>
              <w:rPr>
                <w:bCs/>
                <w:sz w:val="18"/>
                <w:szCs w:val="18"/>
              </w:rPr>
            </w:pPr>
            <w:r>
              <w:rPr>
                <w:rFonts w:hint="eastAsia"/>
                <w:sz w:val="18"/>
                <w:szCs w:val="18"/>
              </w:rPr>
              <w:t>检索和整理文献资料基本全面，分析和建议基本合理</w:t>
            </w:r>
            <w:r>
              <w:rPr>
                <w:sz w:val="18"/>
                <w:szCs w:val="18"/>
              </w:rPr>
              <w:t>，</w:t>
            </w:r>
            <w:r>
              <w:rPr>
                <w:rFonts w:hint="eastAsia"/>
                <w:sz w:val="18"/>
                <w:szCs w:val="18"/>
              </w:rPr>
              <w:t>表述基本清晰，</w:t>
            </w:r>
            <w:r>
              <w:rPr>
                <w:sz w:val="18"/>
                <w:szCs w:val="18"/>
              </w:rPr>
              <w:t>语言</w:t>
            </w:r>
            <w:r>
              <w:rPr>
                <w:rFonts w:hint="eastAsia"/>
                <w:sz w:val="18"/>
                <w:szCs w:val="18"/>
              </w:rPr>
              <w:t>基本</w:t>
            </w:r>
            <w:r>
              <w:rPr>
                <w:sz w:val="18"/>
                <w:szCs w:val="18"/>
              </w:rPr>
              <w:t>规范。</w:t>
            </w:r>
          </w:p>
        </w:tc>
        <w:tc>
          <w:tcPr>
            <w:tcW w:w="1381" w:type="dxa"/>
            <w:vAlign w:val="center"/>
          </w:tcPr>
          <w:p>
            <w:pPr>
              <w:rPr>
                <w:bCs/>
                <w:sz w:val="18"/>
                <w:szCs w:val="18"/>
              </w:rPr>
            </w:pPr>
            <w:r>
              <w:rPr>
                <w:rFonts w:hint="eastAsia"/>
                <w:sz w:val="18"/>
                <w:szCs w:val="18"/>
              </w:rPr>
              <w:t>检索和整理文献资料不全面，分析和建议不合理</w:t>
            </w:r>
            <w:r>
              <w:rPr>
                <w:sz w:val="18"/>
                <w:szCs w:val="18"/>
              </w:rPr>
              <w:t>，语言</w:t>
            </w:r>
            <w:r>
              <w:rPr>
                <w:rFonts w:hint="eastAsia"/>
                <w:sz w:val="18"/>
                <w:szCs w:val="18"/>
              </w:rPr>
              <w:t>不</w:t>
            </w:r>
            <w:r>
              <w:rPr>
                <w:sz w:val="18"/>
                <w:szCs w:val="18"/>
              </w:rPr>
              <w:t>规范。</w:t>
            </w:r>
          </w:p>
        </w:tc>
        <w:tc>
          <w:tcPr>
            <w:tcW w:w="785" w:type="dxa"/>
            <w:vAlign w:val="center"/>
          </w:tcPr>
          <w:p>
            <w:pPr>
              <w:jc w:val="center"/>
              <w:rPr>
                <w:bCs/>
                <w:sz w:val="18"/>
                <w:szCs w:val="18"/>
              </w:rPr>
            </w:pPr>
            <w:r>
              <w:rPr>
                <w:rFonts w:hint="eastAsia"/>
                <w:bCs/>
                <w:sz w:val="18"/>
                <w:szCs w:val="18"/>
              </w:rPr>
              <w:t>5</w:t>
            </w:r>
            <w:r>
              <w:rPr>
                <w:bCs/>
                <w:sz w:val="18"/>
                <w:szCs w:val="18"/>
              </w:rPr>
              <w:t>0</w:t>
            </w:r>
            <w:r>
              <w:rPr>
                <w:rFonts w:hint="eastAsia"/>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hint="eastAsia"/>
                <w:bCs/>
                <w:sz w:val="18"/>
                <w:szCs w:val="18"/>
              </w:rPr>
            </w:pPr>
            <w:r>
              <w:rPr>
                <w:rFonts w:hint="eastAsia"/>
                <w:bCs/>
                <w:sz w:val="18"/>
                <w:szCs w:val="18"/>
              </w:rPr>
              <w:t>能够综述云计算与物联网联合应用在智能城市、智能医疗和智能社区中的发展现状和未来发展趋势。</w:t>
            </w:r>
            <w:r>
              <w:rPr>
                <w:rFonts w:hint="eastAsia" w:ascii="宋体" w:hAnsi="宋体"/>
                <w:bCs/>
                <w:sz w:val="18"/>
                <w:szCs w:val="18"/>
              </w:rPr>
              <w:t>（支撑课程目标2、毕业要求指标点1-2）</w:t>
            </w:r>
          </w:p>
        </w:tc>
        <w:tc>
          <w:tcPr>
            <w:tcW w:w="1560" w:type="dxa"/>
            <w:vAlign w:val="center"/>
          </w:tcPr>
          <w:p>
            <w:pPr>
              <w:rPr>
                <w:rFonts w:hint="eastAsia"/>
                <w:bCs/>
                <w:sz w:val="18"/>
                <w:szCs w:val="18"/>
              </w:rPr>
            </w:pPr>
            <w:r>
              <w:rPr>
                <w:rFonts w:hint="eastAsia"/>
                <w:sz w:val="18"/>
                <w:szCs w:val="18"/>
              </w:rPr>
              <w:t>检索和整理文献资料全面，对云计算和物联网联合应用的发展现状和未来趋势分析合理</w:t>
            </w:r>
            <w:r>
              <w:rPr>
                <w:sz w:val="18"/>
                <w:szCs w:val="18"/>
              </w:rPr>
              <w:t>，</w:t>
            </w:r>
            <w:r>
              <w:rPr>
                <w:rFonts w:hint="eastAsia"/>
                <w:sz w:val="18"/>
                <w:szCs w:val="18"/>
              </w:rPr>
              <w:t>表述清晰，</w:t>
            </w:r>
            <w:r>
              <w:rPr>
                <w:sz w:val="18"/>
                <w:szCs w:val="18"/>
              </w:rPr>
              <w:t>语言规范。</w:t>
            </w:r>
          </w:p>
        </w:tc>
        <w:tc>
          <w:tcPr>
            <w:tcW w:w="1559" w:type="dxa"/>
            <w:vAlign w:val="center"/>
          </w:tcPr>
          <w:p>
            <w:pPr>
              <w:rPr>
                <w:bCs/>
                <w:sz w:val="18"/>
                <w:szCs w:val="18"/>
              </w:rPr>
            </w:pPr>
            <w:r>
              <w:rPr>
                <w:rFonts w:hint="eastAsia"/>
                <w:sz w:val="18"/>
                <w:szCs w:val="18"/>
              </w:rPr>
              <w:t>检索和整理文献资料较为全面，对云计算和物联网联合应用的发展现状和未来趋势分析较为合理</w:t>
            </w:r>
            <w:r>
              <w:rPr>
                <w:sz w:val="18"/>
                <w:szCs w:val="18"/>
              </w:rPr>
              <w:t>，</w:t>
            </w:r>
            <w:r>
              <w:rPr>
                <w:rFonts w:hint="eastAsia"/>
                <w:sz w:val="18"/>
                <w:szCs w:val="18"/>
              </w:rPr>
              <w:t>表述较为清晰，</w:t>
            </w:r>
            <w:r>
              <w:rPr>
                <w:sz w:val="18"/>
                <w:szCs w:val="18"/>
              </w:rPr>
              <w:t>语言</w:t>
            </w:r>
            <w:r>
              <w:rPr>
                <w:rFonts w:hint="eastAsia"/>
                <w:sz w:val="18"/>
                <w:szCs w:val="18"/>
              </w:rPr>
              <w:t>较为</w:t>
            </w:r>
            <w:r>
              <w:rPr>
                <w:sz w:val="18"/>
                <w:szCs w:val="18"/>
              </w:rPr>
              <w:t>规范。</w:t>
            </w:r>
          </w:p>
        </w:tc>
        <w:tc>
          <w:tcPr>
            <w:tcW w:w="1559" w:type="dxa"/>
            <w:vAlign w:val="center"/>
          </w:tcPr>
          <w:p>
            <w:pPr>
              <w:rPr>
                <w:bCs/>
                <w:sz w:val="18"/>
                <w:szCs w:val="18"/>
              </w:rPr>
            </w:pPr>
            <w:r>
              <w:rPr>
                <w:rFonts w:hint="eastAsia"/>
                <w:sz w:val="18"/>
                <w:szCs w:val="18"/>
              </w:rPr>
              <w:t>检索和整理文献资料基本全面，对云计算和物联网联合应用的发展现状和未来趋势分析基本合理</w:t>
            </w:r>
            <w:r>
              <w:rPr>
                <w:sz w:val="18"/>
                <w:szCs w:val="18"/>
              </w:rPr>
              <w:t>，</w:t>
            </w:r>
            <w:r>
              <w:rPr>
                <w:rFonts w:hint="eastAsia"/>
                <w:sz w:val="18"/>
                <w:szCs w:val="18"/>
              </w:rPr>
              <w:t>表述基本清晰，</w:t>
            </w:r>
            <w:r>
              <w:rPr>
                <w:sz w:val="18"/>
                <w:szCs w:val="18"/>
              </w:rPr>
              <w:t>语言</w:t>
            </w:r>
            <w:r>
              <w:rPr>
                <w:rFonts w:hint="eastAsia"/>
                <w:sz w:val="18"/>
                <w:szCs w:val="18"/>
              </w:rPr>
              <w:t>基本</w:t>
            </w:r>
            <w:r>
              <w:rPr>
                <w:sz w:val="18"/>
                <w:szCs w:val="18"/>
              </w:rPr>
              <w:t>规范。</w:t>
            </w:r>
          </w:p>
        </w:tc>
        <w:tc>
          <w:tcPr>
            <w:tcW w:w="1381" w:type="dxa"/>
            <w:vAlign w:val="center"/>
          </w:tcPr>
          <w:p>
            <w:pPr>
              <w:rPr>
                <w:rFonts w:hint="eastAsia"/>
                <w:bCs/>
                <w:sz w:val="18"/>
                <w:szCs w:val="18"/>
              </w:rPr>
            </w:pPr>
            <w:r>
              <w:rPr>
                <w:rFonts w:hint="eastAsia"/>
                <w:sz w:val="18"/>
                <w:szCs w:val="18"/>
              </w:rPr>
              <w:t>检索和整理文献资料不全面，对云计算和物联网联合应用的发展现状和未来趋势分析较不合理</w:t>
            </w:r>
            <w:r>
              <w:rPr>
                <w:sz w:val="18"/>
                <w:szCs w:val="18"/>
              </w:rPr>
              <w:t>，语言</w:t>
            </w:r>
            <w:r>
              <w:rPr>
                <w:rFonts w:hint="eastAsia"/>
                <w:sz w:val="18"/>
                <w:szCs w:val="18"/>
              </w:rPr>
              <w:t>不</w:t>
            </w:r>
            <w:r>
              <w:rPr>
                <w:sz w:val="18"/>
                <w:szCs w:val="18"/>
              </w:rPr>
              <w:t>规范。</w:t>
            </w:r>
          </w:p>
        </w:tc>
        <w:tc>
          <w:tcPr>
            <w:tcW w:w="785" w:type="dxa"/>
            <w:vAlign w:val="center"/>
          </w:tcPr>
          <w:p>
            <w:pPr>
              <w:jc w:val="center"/>
              <w:rPr>
                <w:bCs/>
                <w:sz w:val="18"/>
                <w:szCs w:val="18"/>
              </w:rPr>
            </w:pPr>
            <w:r>
              <w:rPr>
                <w:rFonts w:hint="eastAsia"/>
                <w:bCs/>
                <w:sz w:val="18"/>
                <w:szCs w:val="18"/>
              </w:rPr>
              <w:t>5</w:t>
            </w:r>
            <w:r>
              <w:rPr>
                <w:bCs/>
                <w:sz w:val="18"/>
                <w:szCs w:val="18"/>
              </w:rPr>
              <w:t>0</w:t>
            </w:r>
            <w:r>
              <w:rPr>
                <w:rFonts w:hint="eastAsia"/>
                <w:bCs/>
                <w:sz w:val="18"/>
                <w:szCs w:val="18"/>
              </w:rPr>
              <w:t>%</w:t>
            </w:r>
          </w:p>
        </w:tc>
      </w:tr>
    </w:tbl>
    <w:p>
      <w:pPr>
        <w:spacing w:before="156" w:beforeLines="50" w:after="156" w:afterLines="50" w:line="360" w:lineRule="auto"/>
        <w:rPr>
          <w:rFonts w:hint="eastAsia" w:ascii="黑体" w:hAnsi="黑体" w:eastAsia="黑体"/>
          <w:szCs w:val="21"/>
        </w:rPr>
      </w:pPr>
      <w:r>
        <w:rPr>
          <w:rFonts w:hint="eastAsia" w:ascii="黑体" w:hAnsi="黑体" w:eastAsia="黑体"/>
          <w:szCs w:val="21"/>
        </w:rPr>
        <w:t>六、</w:t>
      </w:r>
      <w:r>
        <w:rPr>
          <w:rFonts w:ascii="黑体" w:hAnsi="黑体" w:eastAsia="黑体"/>
          <w:szCs w:val="21"/>
        </w:rPr>
        <w:t>参考书目及学习资料</w:t>
      </w:r>
      <w:r>
        <w:rPr>
          <w:rFonts w:hint="eastAsia" w:ascii="黑体" w:hAnsi="黑体" w:eastAsia="黑体"/>
          <w:szCs w:val="21"/>
        </w:rPr>
        <w:t>（书名，主编，出版社，出版时间及版次）</w:t>
      </w:r>
    </w:p>
    <w:p>
      <w:pPr>
        <w:spacing w:line="360" w:lineRule="auto"/>
        <w:ind w:firstLine="420"/>
        <w:rPr>
          <w:szCs w:val="21"/>
        </w:rPr>
      </w:pPr>
      <w:r>
        <w:rPr>
          <w:rFonts w:hint="eastAsia"/>
          <w:szCs w:val="21"/>
        </w:rPr>
        <w:t>[</w:t>
      </w:r>
      <w:r>
        <w:rPr>
          <w:szCs w:val="21"/>
        </w:rPr>
        <w:t xml:space="preserve">1]  </w:t>
      </w:r>
      <w:r>
        <w:rPr>
          <w:rFonts w:hint="eastAsia"/>
          <w:szCs w:val="21"/>
        </w:rPr>
        <w:t>陈红松著.云计算与物联网信息融合[</w:t>
      </w:r>
      <w:r>
        <w:rPr>
          <w:szCs w:val="21"/>
        </w:rPr>
        <w:t xml:space="preserve">M]. </w:t>
      </w:r>
      <w:r>
        <w:rPr>
          <w:rFonts w:hint="eastAsia"/>
          <w:szCs w:val="21"/>
        </w:rPr>
        <w:t>北京：清华大学出版社，</w:t>
      </w:r>
      <w:r>
        <w:rPr>
          <w:szCs w:val="21"/>
        </w:rPr>
        <w:t>2017</w:t>
      </w:r>
      <w:r>
        <w:rPr>
          <w:rFonts w:hint="eastAsia"/>
          <w:szCs w:val="21"/>
        </w:rPr>
        <w:t>年</w:t>
      </w:r>
      <w:r>
        <w:rPr>
          <w:szCs w:val="21"/>
        </w:rPr>
        <w:t>1</w:t>
      </w:r>
      <w:r>
        <w:rPr>
          <w:rFonts w:hint="eastAsia"/>
          <w:szCs w:val="21"/>
        </w:rPr>
        <w:t>月第一版；</w:t>
      </w:r>
    </w:p>
    <w:p>
      <w:pPr>
        <w:spacing w:line="360" w:lineRule="auto"/>
        <w:ind w:firstLine="420"/>
        <w:rPr>
          <w:szCs w:val="21"/>
        </w:rPr>
      </w:pPr>
      <w:r>
        <w:rPr>
          <w:rFonts w:hint="eastAsia"/>
          <w:szCs w:val="21"/>
        </w:rPr>
        <w:t>[</w:t>
      </w:r>
      <w:r>
        <w:rPr>
          <w:szCs w:val="21"/>
        </w:rPr>
        <w:t xml:space="preserve">2]  </w:t>
      </w:r>
      <w:r>
        <w:rPr>
          <w:rFonts w:hint="eastAsia"/>
          <w:szCs w:val="21"/>
        </w:rPr>
        <w:t>杨正洪、周发武著.云计算和物联网[</w:t>
      </w:r>
      <w:r>
        <w:rPr>
          <w:szCs w:val="21"/>
        </w:rPr>
        <w:t xml:space="preserve">M]. </w:t>
      </w:r>
      <w:r>
        <w:rPr>
          <w:rFonts w:hint="eastAsia"/>
          <w:szCs w:val="21"/>
        </w:rPr>
        <w:t>北京：清华大学出版社，</w:t>
      </w:r>
      <w:r>
        <w:rPr>
          <w:szCs w:val="21"/>
        </w:rPr>
        <w:t>2013</w:t>
      </w:r>
      <w:r>
        <w:rPr>
          <w:rFonts w:hint="eastAsia"/>
          <w:szCs w:val="21"/>
        </w:rPr>
        <w:t>年</w:t>
      </w:r>
      <w:r>
        <w:rPr>
          <w:szCs w:val="21"/>
        </w:rPr>
        <w:t>7</w:t>
      </w:r>
      <w:r>
        <w:rPr>
          <w:rFonts w:hint="eastAsia"/>
          <w:szCs w:val="21"/>
        </w:rPr>
        <w:t>月第一版；</w:t>
      </w:r>
    </w:p>
    <w:p>
      <w:pPr>
        <w:spacing w:line="360" w:lineRule="auto"/>
        <w:ind w:firstLine="420"/>
        <w:rPr>
          <w:rFonts w:hint="eastAsia" w:eastAsia="宋体"/>
          <w:szCs w:val="21"/>
          <w:lang w:eastAsia="zh-CN"/>
        </w:rPr>
      </w:pPr>
      <w:r>
        <w:rPr>
          <w:rFonts w:hint="eastAsia"/>
          <w:szCs w:val="21"/>
        </w:rPr>
        <w:t>[</w:t>
      </w:r>
      <w:r>
        <w:rPr>
          <w:szCs w:val="21"/>
        </w:rPr>
        <w:t xml:space="preserve">3]  </w:t>
      </w:r>
      <w:r>
        <w:rPr>
          <w:rFonts w:hint="eastAsia"/>
          <w:szCs w:val="21"/>
        </w:rPr>
        <w:t>张为民、赵立君、刘玮著.物联网与云计算[</w:t>
      </w:r>
      <w:r>
        <w:rPr>
          <w:szCs w:val="21"/>
        </w:rPr>
        <w:t xml:space="preserve">M]. </w:t>
      </w:r>
      <w:r>
        <w:rPr>
          <w:rFonts w:hint="eastAsia"/>
          <w:szCs w:val="21"/>
        </w:rPr>
        <w:t>北京：电子工业出版社，</w:t>
      </w:r>
      <w:r>
        <w:rPr>
          <w:szCs w:val="21"/>
        </w:rPr>
        <w:t>2012</w:t>
      </w:r>
      <w:r>
        <w:rPr>
          <w:rFonts w:hint="eastAsia"/>
          <w:szCs w:val="21"/>
        </w:rPr>
        <w:t>年</w:t>
      </w:r>
      <w:r>
        <w:rPr>
          <w:szCs w:val="21"/>
        </w:rPr>
        <w:t>6</w:t>
      </w:r>
      <w:r>
        <w:rPr>
          <w:rFonts w:hint="eastAsia"/>
          <w:szCs w:val="21"/>
        </w:rPr>
        <w:t>月第一版</w:t>
      </w:r>
      <w:r>
        <w:rPr>
          <w:rFonts w:hint="eastAsia"/>
          <w:szCs w:val="21"/>
          <w:lang w:eastAsia="zh-CN"/>
        </w:rPr>
        <w:t>。</w:t>
      </w:r>
    </w:p>
    <w:p>
      <w:pPr>
        <w:spacing w:line="360" w:lineRule="auto"/>
        <w:ind w:left="210" w:leftChars="100"/>
        <w:jc w:val="center"/>
        <w:rPr>
          <w:rFonts w:hint="eastAsia"/>
          <w:b/>
          <w:bCs/>
          <w:szCs w:val="21"/>
        </w:rPr>
      </w:pPr>
    </w:p>
    <w:p>
      <w:pPr>
        <w:spacing w:line="360" w:lineRule="auto"/>
        <w:ind w:left="210" w:leftChars="100"/>
        <w:jc w:val="center"/>
        <w:rPr>
          <w:rFonts w:hint="eastAsia" w:eastAsia="宋体"/>
          <w:szCs w:val="21"/>
          <w:lang w:eastAsia="zh-CN"/>
        </w:rPr>
      </w:pPr>
      <w:r>
        <w:rPr>
          <w:rFonts w:hint="eastAsia"/>
          <w:b/>
          <w:bCs/>
          <w:szCs w:val="21"/>
        </w:rPr>
        <w:t>制定人</w:t>
      </w:r>
      <w:r>
        <w:rPr>
          <w:rFonts w:hint="eastAsia"/>
          <w:szCs w:val="21"/>
        </w:rPr>
        <w:t xml:space="preserve">：王佳云      </w:t>
      </w:r>
      <w:r>
        <w:rPr>
          <w:rFonts w:hint="eastAsia"/>
          <w:b/>
          <w:bCs/>
          <w:szCs w:val="21"/>
        </w:rPr>
        <w:t>审定人</w:t>
      </w:r>
      <w:r>
        <w:rPr>
          <w:rFonts w:hint="eastAsia"/>
          <w:szCs w:val="21"/>
        </w:rPr>
        <w:t>：</w:t>
      </w:r>
      <w:r>
        <w:rPr>
          <w:rFonts w:hint="eastAsia"/>
          <w:szCs w:val="21"/>
          <w:lang w:eastAsia="zh-CN"/>
        </w:rPr>
        <w:t>刘文耀</w:t>
      </w:r>
      <w:r>
        <w:rPr>
          <w:rFonts w:hint="eastAsia"/>
          <w:szCs w:val="21"/>
        </w:rPr>
        <w:t xml:space="preserve">        </w:t>
      </w:r>
      <w:r>
        <w:rPr>
          <w:rFonts w:hint="eastAsia"/>
          <w:b/>
          <w:bCs/>
          <w:szCs w:val="21"/>
        </w:rPr>
        <w:t>批准人</w:t>
      </w:r>
      <w:r>
        <w:rPr>
          <w:rFonts w:hint="eastAsia"/>
          <w:szCs w:val="21"/>
        </w:rPr>
        <w:t>：</w:t>
      </w:r>
      <w:r>
        <w:rPr>
          <w:rFonts w:hint="eastAsia"/>
          <w:szCs w:val="21"/>
          <w:lang w:eastAsia="zh-CN"/>
        </w:rPr>
        <w:t>刘文怡</w:t>
      </w:r>
    </w:p>
    <w:p>
      <w:pPr>
        <w:spacing w:line="440" w:lineRule="exact"/>
        <w:ind w:right="480" w:firstLine="6090" w:firstLineChars="2900"/>
        <w:jc w:val="both"/>
        <w:rPr>
          <w:b/>
          <w:spacing w:val="20"/>
          <w:szCs w:val="21"/>
        </w:rPr>
      </w:pPr>
      <w:r>
        <w:rPr>
          <w:rFonts w:hint="eastAsia"/>
          <w:szCs w:val="21"/>
          <w:lang w:val="en-US" w:eastAsia="zh-CN"/>
        </w:rPr>
        <w:t>2021</w:t>
      </w:r>
      <w:r>
        <w:rPr>
          <w:rFonts w:hint="eastAsia"/>
          <w:szCs w:val="21"/>
        </w:rPr>
        <w:t xml:space="preserve">年 </w:t>
      </w:r>
      <w:r>
        <w:rPr>
          <w:rFonts w:hint="eastAsia"/>
          <w:szCs w:val="21"/>
          <w:lang w:val="en-US" w:eastAsia="zh-CN"/>
        </w:rPr>
        <w:t>12</w:t>
      </w:r>
      <w:r>
        <w:rPr>
          <w:rFonts w:hint="eastAsia"/>
          <w:szCs w:val="21"/>
        </w:rPr>
        <w:t xml:space="preserve">月 </w:t>
      </w:r>
      <w:r>
        <w:rPr>
          <w:rFonts w:hint="eastAsia"/>
          <w:szCs w:val="21"/>
          <w:lang w:val="en-US" w:eastAsia="zh-CN"/>
        </w:rPr>
        <w:t>1</w:t>
      </w:r>
      <w:r>
        <w:rPr>
          <w:rFonts w:hint="eastAsia"/>
          <w:szCs w:val="21"/>
        </w:rPr>
        <w:t>日</w:t>
      </w:r>
    </w:p>
    <w:p/>
    <w:p/>
    <w:p/>
    <w:p/>
    <w:p/>
    <w:p/>
    <w:p/>
    <w:p/>
    <w:p/>
    <w:p/>
    <w:p/>
    <w:p/>
    <w:p/>
    <w:p/>
    <w:p/>
    <w:p/>
    <w:p/>
    <w:p/>
    <w:p/>
    <w:p/>
    <w:p/>
    <w:p/>
    <w:p/>
    <w:p/>
    <w:p/>
    <w:p/>
    <w:p/>
    <w:p/>
    <w:p/>
    <w:p/>
    <w:p/>
    <w:p/>
    <w:p/>
    <w:p/>
    <w:p/>
    <w:p/>
    <w:p/>
    <w:p>
      <w:pPr>
        <w:pStyle w:val="18"/>
        <w:spacing w:before="312" w:after="468"/>
        <w:rPr>
          <w:rFonts w:hint="eastAsia"/>
          <w:bCs w:val="0"/>
          <w:color w:val="000000"/>
          <w:szCs w:val="28"/>
        </w:rPr>
      </w:pPr>
      <w:bookmarkStart w:id="48" w:name="_Toc11096"/>
      <w:r>
        <w:rPr>
          <w:rFonts w:hint="eastAsia" w:ascii="Times New Roman" w:hAnsi="Times New Roman" w:cs="Times New Roman"/>
          <w:highlight w:val="none"/>
        </w:rPr>
        <w:t>《智能传感材料》</w:t>
      </w:r>
      <w:r>
        <w:rPr>
          <w:rFonts w:hint="eastAsia"/>
          <w:bCs w:val="0"/>
          <w:highlight w:val="none"/>
        </w:rPr>
        <w:t>课程教学大纲</w:t>
      </w:r>
      <w:bookmarkEnd w:id="48"/>
      <w:r>
        <w:rPr>
          <w:rFonts w:hint="eastAsia"/>
          <w:bCs w:val="0"/>
          <w:color w:val="000000"/>
          <w:szCs w:val="28"/>
        </w:rPr>
        <w:t xml:space="preserve"> </w:t>
      </w:r>
    </w:p>
    <w:p>
      <w:pPr>
        <w:spacing w:line="360" w:lineRule="auto"/>
        <w:ind w:firstLine="420" w:firstLineChars="200"/>
        <w:rPr>
          <w:rFonts w:hint="eastAsia" w:eastAsia="黑体"/>
          <w:bCs/>
          <w:color w:val="000000"/>
          <w:szCs w:val="21"/>
        </w:rPr>
      </w:pPr>
      <w:r>
        <w:rPr>
          <w:rFonts w:hint="eastAsia" w:eastAsia="黑体"/>
          <w:bCs/>
          <w:color w:val="000000"/>
          <w:szCs w:val="21"/>
        </w:rPr>
        <w:t>一、课程基本信息</w:t>
      </w:r>
    </w:p>
    <w:p>
      <w:pPr>
        <w:spacing w:line="360" w:lineRule="auto"/>
        <w:ind w:firstLine="420" w:firstLineChars="200"/>
        <w:rPr>
          <w:rFonts w:hint="eastAsia" w:eastAsia="黑体"/>
          <w:bCs/>
          <w:color w:val="000000"/>
          <w:szCs w:val="21"/>
        </w:rPr>
      </w:pPr>
      <w:r>
        <w:rPr>
          <w:rFonts w:hint="eastAsia" w:eastAsia="黑体"/>
          <w:bCs/>
          <w:color w:val="000000"/>
          <w:szCs w:val="21"/>
        </w:rPr>
        <w:t>制定人：    姚慧珍                              教学基层组织审核人：刘文耀</w:t>
      </w:r>
    </w:p>
    <w:p>
      <w:pPr>
        <w:spacing w:line="360" w:lineRule="auto"/>
        <w:ind w:firstLine="420" w:firstLineChars="200"/>
        <w:rPr>
          <w:rFonts w:hint="eastAsia" w:eastAsia="黑体"/>
          <w:bCs/>
          <w:color w:val="000000"/>
          <w:szCs w:val="21"/>
        </w:rPr>
      </w:pPr>
      <w:r>
        <w:rPr>
          <w:rFonts w:hint="eastAsia" w:eastAsia="黑体"/>
          <w:bCs/>
          <w:color w:val="000000"/>
          <w:szCs w:val="21"/>
        </w:rPr>
        <w:t xml:space="preserve">开课学院：  仪器与电子学院     </w:t>
      </w:r>
      <w:r>
        <w:rPr>
          <w:rFonts w:hint="eastAsia" w:eastAsia="黑体"/>
          <w:bCs/>
          <w:color w:val="000000"/>
          <w:szCs w:val="21"/>
          <w:lang w:val="en-US" w:eastAsia="zh-CN"/>
        </w:rPr>
        <w:t xml:space="preserve"> </w:t>
      </w:r>
      <w:r>
        <w:rPr>
          <w:rFonts w:hint="eastAsia" w:eastAsia="黑体"/>
          <w:bCs/>
          <w:color w:val="000000"/>
          <w:szCs w:val="21"/>
        </w:rPr>
        <w:t xml:space="preserve">                开课学院审核人：刘文怡</w:t>
      </w:r>
    </w:p>
    <w:p>
      <w:pPr>
        <w:spacing w:line="360" w:lineRule="auto"/>
        <w:ind w:firstLine="420" w:firstLineChars="200"/>
        <w:rPr>
          <w:rFonts w:hint="eastAsia" w:eastAsia="黑体"/>
          <w:bCs/>
          <w:color w:val="000000"/>
          <w:szCs w:val="21"/>
        </w:rPr>
      </w:pPr>
      <w:r>
        <w:rPr>
          <w:rFonts w:hint="eastAsia" w:eastAsia="黑体"/>
          <w:bCs/>
          <w:color w:val="000000"/>
          <w:szCs w:val="21"/>
        </w:rPr>
        <w:t>课程名称（中文）：智能传感材料</w:t>
      </w:r>
    </w:p>
    <w:p>
      <w:pPr>
        <w:spacing w:line="360" w:lineRule="auto"/>
        <w:ind w:firstLine="420" w:firstLineChars="200"/>
        <w:rPr>
          <w:rFonts w:hint="eastAsia" w:eastAsia="黑体"/>
          <w:bCs/>
          <w:color w:val="000000"/>
          <w:szCs w:val="21"/>
        </w:rPr>
      </w:pPr>
      <w:r>
        <w:rPr>
          <w:rFonts w:hint="eastAsia" w:eastAsia="黑体"/>
          <w:bCs/>
          <w:color w:val="000000"/>
          <w:szCs w:val="21"/>
        </w:rPr>
        <w:t>课程名称（英文）：</w:t>
      </w:r>
      <w:r>
        <w:rPr>
          <w:rFonts w:eastAsia="黑体"/>
          <w:bCs/>
          <w:color w:val="000000"/>
          <w:szCs w:val="21"/>
        </w:rPr>
        <w:t>Intelligent sensing material</w:t>
      </w:r>
    </w:p>
    <w:p>
      <w:pPr>
        <w:spacing w:line="360" w:lineRule="auto"/>
        <w:ind w:firstLine="420" w:firstLineChars="200"/>
        <w:rPr>
          <w:rFonts w:hint="eastAsia" w:eastAsia="黑体"/>
          <w:bCs/>
          <w:color w:val="000000"/>
          <w:szCs w:val="21"/>
        </w:rPr>
      </w:pPr>
      <w:r>
        <w:rPr>
          <w:rFonts w:hint="eastAsia" w:eastAsia="黑体"/>
          <w:bCs/>
          <w:color w:val="000000"/>
          <w:szCs w:val="21"/>
        </w:rPr>
        <w:t>课程类别：专业课                                课程性质：必修课</w:t>
      </w:r>
    </w:p>
    <w:p>
      <w:pPr>
        <w:spacing w:line="360" w:lineRule="auto"/>
        <w:ind w:firstLine="420" w:firstLineChars="200"/>
        <w:rPr>
          <w:rFonts w:hint="eastAsia" w:eastAsia="黑体"/>
          <w:bCs/>
          <w:color w:val="000000"/>
          <w:szCs w:val="21"/>
        </w:rPr>
      </w:pPr>
      <w:r>
        <w:rPr>
          <w:rFonts w:hint="eastAsia" w:eastAsia="黑体"/>
          <w:bCs/>
          <w:color w:val="000000"/>
          <w:szCs w:val="21"/>
        </w:rPr>
        <w:t xml:space="preserve">课程代码：Z03060403  </w:t>
      </w:r>
      <w:r>
        <w:rPr>
          <w:rFonts w:hint="eastAsia" w:eastAsia="黑体"/>
          <w:bCs/>
          <w:color w:val="000000"/>
          <w:szCs w:val="21"/>
        </w:rPr>
        <w:tab/>
      </w:r>
      <w:r>
        <w:rPr>
          <w:rFonts w:hint="eastAsia" w:eastAsia="黑体"/>
          <w:bCs/>
          <w:color w:val="000000"/>
          <w:szCs w:val="21"/>
        </w:rPr>
        <w:t xml:space="preserve">                    </w:t>
      </w:r>
      <w:r>
        <w:rPr>
          <w:rFonts w:hint="eastAsia" w:eastAsia="黑体"/>
          <w:bCs/>
          <w:color w:val="000000"/>
          <w:szCs w:val="21"/>
          <w:lang w:val="en-US" w:eastAsia="zh-CN"/>
        </w:rPr>
        <w:t xml:space="preserve">   </w:t>
      </w:r>
      <w:r>
        <w:rPr>
          <w:rFonts w:hint="eastAsia" w:eastAsia="黑体"/>
          <w:bCs/>
          <w:color w:val="000000"/>
          <w:szCs w:val="21"/>
        </w:rPr>
        <w:t xml:space="preserve"> 适用层次（本科）：本科</w:t>
      </w:r>
    </w:p>
    <w:p>
      <w:pPr>
        <w:spacing w:line="360" w:lineRule="auto"/>
        <w:ind w:firstLine="420" w:firstLineChars="200"/>
        <w:rPr>
          <w:rFonts w:hint="eastAsia" w:eastAsia="黑体"/>
          <w:bCs/>
          <w:color w:val="000000"/>
          <w:szCs w:val="21"/>
        </w:rPr>
      </w:pPr>
      <w:r>
        <w:rPr>
          <w:rFonts w:hint="eastAsia" w:eastAsia="黑体"/>
          <w:bCs/>
          <w:color w:val="000000"/>
          <w:szCs w:val="21"/>
        </w:rPr>
        <w:t>适用专业：智能感知工程                          计划学分：2.5</w:t>
      </w:r>
    </w:p>
    <w:p>
      <w:pPr>
        <w:spacing w:line="360" w:lineRule="auto"/>
        <w:ind w:firstLine="420" w:firstLineChars="200"/>
        <w:rPr>
          <w:rFonts w:hint="eastAsia" w:eastAsia="黑体"/>
          <w:bCs/>
          <w:color w:val="000000"/>
          <w:szCs w:val="21"/>
        </w:rPr>
      </w:pPr>
      <w:r>
        <w:rPr>
          <w:rFonts w:hint="eastAsia" w:eastAsia="黑体"/>
          <w:bCs/>
          <w:color w:val="000000"/>
          <w:szCs w:val="21"/>
        </w:rPr>
        <w:t xml:space="preserve">计划学时（周数）：40                   </w:t>
      </w:r>
      <w:r>
        <w:rPr>
          <w:rFonts w:hint="eastAsia" w:eastAsia="黑体"/>
          <w:bCs/>
          <w:color w:val="000000"/>
          <w:szCs w:val="21"/>
          <w:lang w:val="en-US" w:eastAsia="zh-CN"/>
        </w:rPr>
        <w:t xml:space="preserve">        </w:t>
      </w:r>
      <w:r>
        <w:rPr>
          <w:rFonts w:hint="eastAsia" w:eastAsia="黑体"/>
          <w:bCs/>
          <w:color w:val="000000"/>
          <w:szCs w:val="21"/>
        </w:rPr>
        <w:t xml:space="preserve">  讲课学时：30      实验学时：10</w:t>
      </w:r>
    </w:p>
    <w:p>
      <w:pPr>
        <w:spacing w:line="360" w:lineRule="auto"/>
        <w:ind w:firstLine="420" w:firstLineChars="200"/>
        <w:rPr>
          <w:rFonts w:hint="eastAsia" w:eastAsia="黑体"/>
          <w:bCs/>
          <w:color w:val="000000"/>
          <w:szCs w:val="21"/>
        </w:rPr>
      </w:pPr>
      <w:r>
        <w:rPr>
          <w:rFonts w:hint="eastAsia" w:eastAsia="黑体"/>
          <w:bCs/>
          <w:color w:val="000000"/>
          <w:szCs w:val="21"/>
        </w:rPr>
        <w:t xml:space="preserve">开课学期： 5                    </w:t>
      </w:r>
      <w:r>
        <w:rPr>
          <w:rFonts w:hint="eastAsia" w:eastAsia="黑体"/>
          <w:bCs/>
          <w:color w:val="000000"/>
          <w:szCs w:val="21"/>
          <w:lang w:val="en-US" w:eastAsia="zh-CN"/>
        </w:rPr>
        <w:t xml:space="preserve">               </w:t>
      </w:r>
      <w:r>
        <w:rPr>
          <w:rFonts w:hint="eastAsia" w:eastAsia="黑体"/>
          <w:bCs/>
          <w:color w:val="000000"/>
          <w:szCs w:val="21"/>
        </w:rPr>
        <w:t xml:space="preserve"> 考核方式： 考试</w:t>
      </w:r>
    </w:p>
    <w:p>
      <w:pPr>
        <w:spacing w:line="360" w:lineRule="auto"/>
        <w:ind w:firstLine="420" w:firstLineChars="200"/>
        <w:rPr>
          <w:rFonts w:hint="eastAsia" w:eastAsia="黑体"/>
          <w:bCs/>
          <w:color w:val="000000"/>
          <w:szCs w:val="21"/>
        </w:rPr>
      </w:pPr>
      <w:r>
        <w:rPr>
          <w:rFonts w:hint="eastAsia" w:eastAsia="黑体"/>
          <w:bCs/>
          <w:color w:val="000000"/>
          <w:szCs w:val="21"/>
        </w:rPr>
        <w:t>先修课程：大学物理</w:t>
      </w:r>
    </w:p>
    <w:p>
      <w:pPr>
        <w:spacing w:line="360" w:lineRule="auto"/>
        <w:ind w:firstLine="420" w:firstLineChars="200"/>
        <w:rPr>
          <w:rFonts w:hint="eastAsia" w:eastAsia="黑体"/>
          <w:bCs/>
          <w:color w:val="000000"/>
          <w:szCs w:val="21"/>
          <w:lang w:eastAsia="zh-CN"/>
        </w:rPr>
      </w:pPr>
      <w:r>
        <w:rPr>
          <w:rFonts w:hint="eastAsia" w:eastAsia="黑体"/>
          <w:bCs/>
          <w:color w:val="000000"/>
          <w:szCs w:val="21"/>
        </w:rPr>
        <w:t>后续课程：智能传感</w:t>
      </w:r>
      <w:r>
        <w:rPr>
          <w:rFonts w:hint="eastAsia" w:eastAsia="黑体"/>
          <w:bCs/>
          <w:color w:val="000000"/>
          <w:szCs w:val="21"/>
          <w:lang w:eastAsia="zh-CN"/>
        </w:rPr>
        <w:t>系统</w:t>
      </w:r>
    </w:p>
    <w:p>
      <w:pPr>
        <w:pStyle w:val="9"/>
        <w:rPr>
          <w:rFonts w:hint="eastAsia"/>
          <w:lang w:eastAsia="zh-CN"/>
        </w:rPr>
      </w:pPr>
    </w:p>
    <w:p>
      <w:pPr>
        <w:spacing w:line="360" w:lineRule="auto"/>
        <w:ind w:firstLine="420" w:firstLineChars="200"/>
        <w:rPr>
          <w:rFonts w:hint="eastAsia" w:eastAsia="黑体"/>
          <w:color w:val="000000"/>
          <w:szCs w:val="21"/>
        </w:rPr>
      </w:pPr>
      <w:r>
        <w:rPr>
          <w:rFonts w:hint="eastAsia" w:eastAsia="黑体"/>
          <w:color w:val="000000"/>
          <w:szCs w:val="21"/>
        </w:rPr>
        <w:t>一、课程性质与教学目标</w:t>
      </w:r>
    </w:p>
    <w:p>
      <w:pPr>
        <w:spacing w:line="360" w:lineRule="auto"/>
        <w:ind w:firstLine="422" w:firstLineChars="200"/>
        <w:rPr>
          <w:rFonts w:ascii="宋体" w:hAnsi="宋体"/>
          <w:b/>
          <w:color w:val="000000"/>
          <w:szCs w:val="21"/>
        </w:rPr>
      </w:pPr>
      <w:r>
        <w:rPr>
          <w:rFonts w:hint="eastAsia" w:ascii="宋体" w:hAnsi="宋体"/>
          <w:b/>
          <w:color w:val="000000"/>
          <w:szCs w:val="21"/>
        </w:rPr>
        <w:t>1、</w:t>
      </w:r>
      <w:r>
        <w:rPr>
          <w:rFonts w:ascii="宋体" w:hAnsi="宋体"/>
          <w:b/>
          <w:color w:val="000000"/>
          <w:szCs w:val="21"/>
        </w:rPr>
        <w:t>课程性质</w:t>
      </w:r>
      <w:r>
        <w:rPr>
          <w:rFonts w:hint="eastAsia" w:ascii="宋体" w:hAnsi="宋体"/>
          <w:b/>
          <w:color w:val="000000"/>
          <w:szCs w:val="21"/>
        </w:rPr>
        <w:t>与任务</w:t>
      </w:r>
      <w:r>
        <w:rPr>
          <w:rFonts w:ascii="宋体" w:hAnsi="宋体"/>
          <w:b/>
          <w:color w:val="000000"/>
          <w:szCs w:val="21"/>
        </w:rPr>
        <w:t>（需说明课程对人才培养</w:t>
      </w:r>
      <w:r>
        <w:rPr>
          <w:rFonts w:hint="eastAsia" w:ascii="宋体" w:hAnsi="宋体"/>
          <w:b/>
          <w:color w:val="000000"/>
          <w:szCs w:val="21"/>
        </w:rPr>
        <w:t>方面</w:t>
      </w:r>
      <w:r>
        <w:rPr>
          <w:rFonts w:ascii="宋体" w:hAnsi="宋体"/>
          <w:b/>
          <w:color w:val="000000"/>
          <w:szCs w:val="21"/>
        </w:rPr>
        <w:t>的贡献）</w:t>
      </w:r>
    </w:p>
    <w:p>
      <w:pPr>
        <w:spacing w:line="360" w:lineRule="auto"/>
        <w:ind w:firstLine="420" w:firstLineChars="200"/>
        <w:rPr>
          <w:rFonts w:hint="eastAsia" w:ascii="宋体" w:hAnsi="宋体"/>
          <w:bCs/>
          <w:color w:val="000000"/>
          <w:szCs w:val="21"/>
        </w:rPr>
      </w:pPr>
      <w:r>
        <w:rPr>
          <w:rFonts w:hint="eastAsia" w:ascii="宋体" w:hAnsi="宋体"/>
          <w:bCs/>
          <w:color w:val="000000"/>
          <w:szCs w:val="21"/>
        </w:rPr>
        <w:t>本课程是智能感知工程专业的一门重要的专业基础类教育课程。通过本课程的学习，使学生明确</w:t>
      </w:r>
      <w:r>
        <w:t>智能材料与结构是集优越感、控制和驱动于一体的材料结构系统的概念及智能材料的分类。能够掌握智能材料对环境行为进行感知、响应并优化自身功能</w:t>
      </w:r>
      <w:r>
        <w:rPr>
          <w:rFonts w:hint="eastAsia" w:ascii="宋体" w:hAnsi="宋体"/>
          <w:bCs/>
          <w:color w:val="000000"/>
          <w:szCs w:val="21"/>
        </w:rPr>
        <w:t>的理论，掌握智能材料的设计制备及材料智能化的基本方法和初步技能，掌握智能材料的性能改善途径，着眼于培养学生的综合素质和能力，为后续课程的学习、从事理论研究和工程技术打下坚实基础。本课程理论严密，逻辑性强，对学生辩证思维能力的培养和树立理论联系实际的科学观点，及提高学生分析问题、解决问题的能力都有重要作用。</w:t>
      </w:r>
    </w:p>
    <w:p>
      <w:pPr>
        <w:spacing w:line="360" w:lineRule="auto"/>
        <w:ind w:firstLine="422" w:firstLineChars="200"/>
        <w:rPr>
          <w:rFonts w:hint="eastAsia" w:ascii="宋体" w:hAnsi="宋体"/>
          <w:b/>
          <w:color w:val="000000"/>
          <w:szCs w:val="21"/>
        </w:rPr>
      </w:pPr>
      <w:r>
        <w:rPr>
          <w:rFonts w:hint="eastAsia" w:ascii="宋体" w:hAnsi="宋体"/>
          <w:b/>
          <w:color w:val="000000"/>
          <w:szCs w:val="21"/>
        </w:rPr>
        <w:t>2、课程</w:t>
      </w:r>
      <w:r>
        <w:rPr>
          <w:rFonts w:ascii="宋体" w:hAnsi="宋体"/>
          <w:b/>
          <w:color w:val="000000"/>
          <w:szCs w:val="21"/>
        </w:rPr>
        <w:t>目标</w:t>
      </w:r>
    </w:p>
    <w:p>
      <w:pPr>
        <w:spacing w:line="360" w:lineRule="auto"/>
        <w:ind w:firstLine="630" w:firstLineChars="300"/>
        <w:rPr>
          <w:b/>
          <w:bCs/>
          <w:szCs w:val="21"/>
        </w:rPr>
      </w:pPr>
      <w:r>
        <w:rPr>
          <w:rFonts w:hAnsi="宋体"/>
          <w:szCs w:val="21"/>
        </w:rPr>
        <w:t>课程目标</w:t>
      </w:r>
      <w:r>
        <w:rPr>
          <w:szCs w:val="21"/>
        </w:rPr>
        <w:t>1</w:t>
      </w:r>
      <w:r>
        <w:rPr>
          <w:rFonts w:hAnsi="宋体"/>
          <w:szCs w:val="21"/>
        </w:rPr>
        <w:t>：能够掌握智能材料的基本概念与分类方法，材料智能化的概念，掌握材料智能化的处理方法和原则，对实际器件设计与智能材料的联系有深刻的认识。具备本专业相关的材料、自然科学、物理及传感、测试、仪器等多方面的知识。（</w:t>
      </w:r>
      <w:r>
        <w:rPr>
          <w:rFonts w:hint="eastAsia" w:hAnsi="宋体"/>
          <w:szCs w:val="21"/>
        </w:rPr>
        <w:t>支撑</w:t>
      </w:r>
      <w:r>
        <w:rPr>
          <w:rFonts w:hAnsi="宋体"/>
          <w:szCs w:val="21"/>
        </w:rPr>
        <w:t>指标点</w:t>
      </w:r>
      <w:r>
        <w:rPr>
          <w:szCs w:val="21"/>
        </w:rPr>
        <w:t>1-1</w:t>
      </w:r>
      <w:r>
        <w:rPr>
          <w:rFonts w:hAnsi="宋体"/>
          <w:szCs w:val="21"/>
        </w:rPr>
        <w:t>知识体系）</w:t>
      </w:r>
      <w:r>
        <w:rPr>
          <w:rFonts w:hint="eastAsia" w:hAnsi="宋体"/>
          <w:szCs w:val="21"/>
        </w:rPr>
        <w:t>。</w:t>
      </w:r>
    </w:p>
    <w:p>
      <w:pPr>
        <w:spacing w:line="360" w:lineRule="auto"/>
        <w:ind w:firstLine="420" w:firstLineChars="200"/>
        <w:rPr>
          <w:rFonts w:hint="eastAsia" w:hAnsi="宋体"/>
          <w:szCs w:val="21"/>
        </w:rPr>
      </w:pPr>
      <w:r>
        <w:rPr>
          <w:rFonts w:hAnsi="宋体"/>
          <w:szCs w:val="21"/>
        </w:rPr>
        <w:t>课程目标</w:t>
      </w:r>
      <w:r>
        <w:rPr>
          <w:szCs w:val="21"/>
        </w:rPr>
        <w:t>2</w:t>
      </w:r>
      <w:r>
        <w:rPr>
          <w:rFonts w:hAnsi="宋体"/>
          <w:szCs w:val="21"/>
        </w:rPr>
        <w:t>：能够形成处理智能材料结构与系统问题的思路，并针对实际智能传感器件中涉及到的材料设计问题和背景建立相应材料体系模型，识别其中关键特性和参数。能应用科学原理对智能材料系统的设计问题进行分解，并识别其中的关键特征和参数。（</w:t>
      </w:r>
      <w:r>
        <w:rPr>
          <w:rFonts w:hint="eastAsia" w:hAnsi="宋体"/>
          <w:szCs w:val="21"/>
        </w:rPr>
        <w:t>支撑</w:t>
      </w:r>
      <w:r>
        <w:rPr>
          <w:rFonts w:hAnsi="宋体"/>
          <w:szCs w:val="21"/>
        </w:rPr>
        <w:t>指标点</w:t>
      </w:r>
      <w:r>
        <w:rPr>
          <w:szCs w:val="21"/>
        </w:rPr>
        <w:t>2-1</w:t>
      </w:r>
      <w:r>
        <w:rPr>
          <w:rFonts w:hAnsi="宋体"/>
          <w:szCs w:val="21"/>
        </w:rPr>
        <w:t>问题识别）</w:t>
      </w:r>
      <w:r>
        <w:rPr>
          <w:rFonts w:hint="eastAsia" w:hAnsi="宋体"/>
          <w:szCs w:val="21"/>
        </w:rPr>
        <w:t>。</w:t>
      </w:r>
    </w:p>
    <w:p>
      <w:pPr>
        <w:spacing w:line="360" w:lineRule="auto"/>
        <w:ind w:firstLine="420" w:firstLineChars="200"/>
        <w:rPr>
          <w:rFonts w:hint="eastAsia" w:hAnsi="宋体" w:eastAsia="宋体"/>
          <w:szCs w:val="21"/>
          <w:lang w:eastAsia="zh-CN"/>
        </w:rPr>
      </w:pPr>
      <w:r>
        <w:rPr>
          <w:rFonts w:hint="eastAsia" w:hAnsi="宋体"/>
          <w:bCs/>
          <w:color w:val="000000"/>
          <w:szCs w:val="21"/>
        </w:rPr>
        <w:t>思政目标：</w:t>
      </w:r>
      <w:r>
        <w:rPr>
          <w:rFonts w:hint="eastAsia" w:hAnsi="宋体"/>
          <w:szCs w:val="21"/>
          <w:lang w:eastAsia="zh-CN"/>
        </w:rPr>
        <w:t>通过对</w:t>
      </w:r>
      <w:r>
        <w:rPr>
          <w:rFonts w:hint="eastAsia" w:hAnsi="宋体"/>
          <w:szCs w:val="21"/>
        </w:rPr>
        <w:t>智能传感器的结构与系统的应用及发展前景</w:t>
      </w:r>
      <w:r>
        <w:rPr>
          <w:rFonts w:hint="eastAsia" w:hAnsi="宋体"/>
          <w:szCs w:val="21"/>
          <w:lang w:eastAsia="zh-CN"/>
        </w:rPr>
        <w:t>等内容的讲述，激发学生的</w:t>
      </w:r>
      <w:r>
        <w:rPr>
          <w:rFonts w:hint="eastAsia" w:hAnsi="宋体"/>
          <w:szCs w:val="21"/>
        </w:rPr>
        <w:t>技术创新理念与科技强国</w:t>
      </w:r>
      <w:r>
        <w:rPr>
          <w:rFonts w:hint="eastAsia" w:hAnsi="宋体"/>
          <w:szCs w:val="21"/>
          <w:lang w:eastAsia="zh-CN"/>
        </w:rPr>
        <w:t>的信念。通过对相关</w:t>
      </w:r>
      <w:r>
        <w:rPr>
          <w:rFonts w:hint="eastAsia" w:hAnsi="宋体"/>
          <w:szCs w:val="21"/>
        </w:rPr>
        <w:t>技术市场垄断</w:t>
      </w:r>
      <w:r>
        <w:rPr>
          <w:rFonts w:hint="eastAsia" w:hAnsi="宋体"/>
          <w:szCs w:val="21"/>
          <w:lang w:eastAsia="zh-CN"/>
        </w:rPr>
        <w:t>的介绍，向学生展示公正、平等、法治的重要性。</w:t>
      </w:r>
    </w:p>
    <w:p>
      <w:pPr>
        <w:spacing w:line="360" w:lineRule="auto"/>
        <w:ind w:firstLine="632" w:firstLineChars="300"/>
        <w:rPr>
          <w:rFonts w:ascii="宋体" w:hAnsi="宋体"/>
          <w:b/>
          <w:color w:val="000000"/>
          <w:szCs w:val="21"/>
        </w:rPr>
        <w:sectPr>
          <w:headerReference r:id="rId134" w:type="default"/>
          <w:pgSz w:w="11906" w:h="16838"/>
          <w:pgMar w:top="1440" w:right="1418" w:bottom="1440" w:left="1418" w:header="851" w:footer="992" w:gutter="0"/>
          <w:pgNumType w:fmt="decimal"/>
          <w:cols w:space="720" w:num="1"/>
          <w:docGrid w:type="lines" w:linePitch="312" w:charSpace="0"/>
        </w:sectPr>
      </w:pPr>
    </w:p>
    <w:p>
      <w:pPr>
        <w:numPr>
          <w:ilvl w:val="0"/>
          <w:numId w:val="13"/>
        </w:numPr>
        <w:spacing w:before="156" w:beforeLines="50" w:after="156" w:afterLines="50" w:line="360" w:lineRule="auto"/>
        <w:ind w:left="420" w:leftChars="200" w:firstLine="105" w:firstLineChars="50"/>
        <w:rPr>
          <w:rFonts w:eastAsia="黑体"/>
          <w:color w:val="000000"/>
          <w:szCs w:val="21"/>
        </w:rPr>
      </w:pPr>
      <w:r>
        <w:rPr>
          <w:rFonts w:hint="eastAsia" w:eastAsia="黑体"/>
          <w:color w:val="000000"/>
          <w:szCs w:val="21"/>
        </w:rPr>
        <w:t>课程内容、思政融入点、</w:t>
      </w:r>
      <w:r>
        <w:rPr>
          <w:rFonts w:eastAsia="黑体"/>
          <w:color w:val="000000"/>
          <w:szCs w:val="21"/>
        </w:rPr>
        <w:t>学时分配及对毕业要求指标点的支撑</w:t>
      </w:r>
    </w:p>
    <w:p>
      <w:pPr>
        <w:spacing w:before="156" w:beforeLines="50" w:after="156" w:afterLines="50" w:line="360" w:lineRule="auto"/>
        <w:ind w:left="422"/>
        <w:jc w:val="center"/>
        <w:rPr>
          <w:rFonts w:hint="eastAsia" w:ascii="宋体" w:hAnsi="宋体" w:cs="宋体"/>
          <w:b/>
          <w:szCs w:val="21"/>
        </w:rPr>
      </w:pPr>
      <w:r>
        <w:rPr>
          <w:rFonts w:hint="eastAsia" w:ascii="宋体" w:hAnsi="宋体" w:cs="宋体"/>
          <w:b/>
          <w:szCs w:val="21"/>
        </w:rPr>
        <w:t>表2.1课程内容、学时分配及对毕业要求指标点的支撑</w:t>
      </w:r>
    </w:p>
    <w:p>
      <w:pPr>
        <w:spacing w:before="156" w:beforeLines="50" w:after="156" w:afterLines="50" w:line="360" w:lineRule="auto"/>
        <w:ind w:left="422"/>
        <w:jc w:val="center"/>
        <w:rPr>
          <w:rFonts w:eastAsia="黑体"/>
          <w:b/>
          <w:color w:val="FF0000"/>
          <w:szCs w:val="21"/>
        </w:rPr>
      </w:pPr>
    </w:p>
    <w:tbl>
      <w:tblPr>
        <w:tblStyle w:val="19"/>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756"/>
        <w:gridCol w:w="682"/>
        <w:gridCol w:w="682"/>
        <w:gridCol w:w="602"/>
        <w:gridCol w:w="955"/>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shd w:val="clear" w:color="auto" w:fill="D9D9D9"/>
            <w:vAlign w:val="center"/>
          </w:tcPr>
          <w:p>
            <w:pPr>
              <w:jc w:val="center"/>
              <w:rPr>
                <w:b/>
                <w:color w:val="000000"/>
                <w:sz w:val="18"/>
                <w:szCs w:val="18"/>
              </w:rPr>
            </w:pPr>
            <w:r>
              <w:rPr>
                <w:b/>
                <w:color w:val="000000"/>
                <w:sz w:val="18"/>
                <w:szCs w:val="18"/>
              </w:rPr>
              <w:t>章节</w:t>
            </w:r>
          </w:p>
        </w:tc>
        <w:tc>
          <w:tcPr>
            <w:tcW w:w="7756" w:type="dxa"/>
            <w:shd w:val="clear" w:color="auto" w:fill="D9D9D9"/>
            <w:vAlign w:val="center"/>
          </w:tcPr>
          <w:p>
            <w:pPr>
              <w:jc w:val="center"/>
              <w:rPr>
                <w:b/>
                <w:color w:val="000000"/>
                <w:sz w:val="18"/>
                <w:szCs w:val="18"/>
              </w:rPr>
            </w:pPr>
            <w:r>
              <w:rPr>
                <w:rFonts w:hint="eastAsia"/>
                <w:b/>
                <w:color w:val="000000"/>
                <w:sz w:val="18"/>
                <w:szCs w:val="18"/>
              </w:rPr>
              <w:t>内            容</w:t>
            </w:r>
          </w:p>
        </w:tc>
        <w:tc>
          <w:tcPr>
            <w:tcW w:w="682" w:type="dxa"/>
            <w:shd w:val="clear" w:color="auto" w:fill="D9D9D9"/>
            <w:vAlign w:val="center"/>
          </w:tcPr>
          <w:p>
            <w:pPr>
              <w:jc w:val="center"/>
              <w:rPr>
                <w:b/>
                <w:color w:val="000000"/>
                <w:sz w:val="18"/>
                <w:szCs w:val="18"/>
              </w:rPr>
            </w:pPr>
            <w:r>
              <w:rPr>
                <w:b/>
                <w:color w:val="000000"/>
                <w:sz w:val="18"/>
                <w:szCs w:val="18"/>
              </w:rPr>
              <w:t>讲课</w:t>
            </w:r>
          </w:p>
        </w:tc>
        <w:tc>
          <w:tcPr>
            <w:tcW w:w="682" w:type="dxa"/>
            <w:shd w:val="clear" w:color="auto" w:fill="D9D9D9"/>
            <w:vAlign w:val="center"/>
          </w:tcPr>
          <w:p>
            <w:pPr>
              <w:jc w:val="center"/>
              <w:rPr>
                <w:b/>
                <w:color w:val="000000"/>
                <w:sz w:val="18"/>
                <w:szCs w:val="18"/>
              </w:rPr>
            </w:pPr>
            <w:r>
              <w:rPr>
                <w:b/>
                <w:color w:val="000000"/>
                <w:sz w:val="18"/>
                <w:szCs w:val="18"/>
              </w:rPr>
              <w:t>实验</w:t>
            </w:r>
          </w:p>
        </w:tc>
        <w:tc>
          <w:tcPr>
            <w:tcW w:w="602" w:type="dxa"/>
            <w:shd w:val="clear" w:color="auto" w:fill="D9D9D9"/>
            <w:vAlign w:val="center"/>
          </w:tcPr>
          <w:p>
            <w:pPr>
              <w:jc w:val="center"/>
              <w:rPr>
                <w:b/>
                <w:color w:val="000000"/>
                <w:sz w:val="18"/>
                <w:szCs w:val="18"/>
              </w:rPr>
            </w:pPr>
            <w:r>
              <w:rPr>
                <w:rFonts w:hint="eastAsia"/>
                <w:b/>
                <w:color w:val="000000"/>
                <w:sz w:val="18"/>
                <w:szCs w:val="18"/>
              </w:rPr>
              <w:t>小计</w:t>
            </w:r>
          </w:p>
        </w:tc>
        <w:tc>
          <w:tcPr>
            <w:tcW w:w="955" w:type="dxa"/>
            <w:shd w:val="clear" w:color="auto" w:fill="D9D9D9"/>
            <w:vAlign w:val="center"/>
          </w:tcPr>
          <w:p>
            <w:pPr>
              <w:jc w:val="center"/>
              <w:rPr>
                <w:b/>
                <w:color w:val="000000"/>
                <w:sz w:val="18"/>
                <w:szCs w:val="18"/>
              </w:rPr>
            </w:pPr>
            <w:r>
              <w:rPr>
                <w:b/>
                <w:color w:val="000000"/>
                <w:sz w:val="18"/>
                <w:szCs w:val="18"/>
              </w:rPr>
              <w:t>支撑课程目标</w:t>
            </w:r>
          </w:p>
        </w:tc>
        <w:tc>
          <w:tcPr>
            <w:tcW w:w="1259" w:type="dxa"/>
            <w:shd w:val="clear" w:color="auto" w:fill="D9D9D9"/>
            <w:vAlign w:val="center"/>
          </w:tcPr>
          <w:p>
            <w:pPr>
              <w:jc w:val="center"/>
              <w:rPr>
                <w:b/>
                <w:color w:val="000000"/>
                <w:sz w:val="18"/>
                <w:szCs w:val="18"/>
              </w:rPr>
            </w:pPr>
            <w:r>
              <w:rPr>
                <w:b/>
                <w:color w:val="000000"/>
                <w:sz w:val="18"/>
                <w:szCs w:val="18"/>
              </w:rPr>
              <w:t>支撑的毕业要求指标点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280" w:lineRule="exact"/>
              <w:jc w:val="center"/>
              <w:rPr>
                <w:sz w:val="18"/>
                <w:szCs w:val="18"/>
              </w:rPr>
            </w:pPr>
            <w:r>
              <w:rPr>
                <w:sz w:val="18"/>
                <w:szCs w:val="18"/>
              </w:rPr>
              <w:t>第1章</w:t>
            </w:r>
          </w:p>
        </w:tc>
        <w:tc>
          <w:tcPr>
            <w:tcW w:w="7756" w:type="dxa"/>
          </w:tcPr>
          <w:p>
            <w:pPr>
              <w:spacing w:line="280" w:lineRule="exact"/>
              <w:rPr>
                <w:rFonts w:hint="eastAsia" w:cs="Calibri"/>
                <w:b/>
                <w:color w:val="000000"/>
                <w:sz w:val="18"/>
                <w:szCs w:val="18"/>
              </w:rPr>
            </w:pPr>
            <w:r>
              <w:rPr>
                <w:rFonts w:hint="eastAsia" w:cs="Calibri"/>
                <w:b/>
                <w:color w:val="000000"/>
                <w:sz w:val="18"/>
                <w:szCs w:val="18"/>
              </w:rPr>
              <w:t xml:space="preserve">1  </w:t>
            </w:r>
            <w:r>
              <w:rPr>
                <w:rFonts w:hint="eastAsia"/>
                <w:b/>
                <w:sz w:val="18"/>
                <w:szCs w:val="18"/>
              </w:rPr>
              <w:t>绪论</w:t>
            </w:r>
          </w:p>
          <w:p>
            <w:pPr>
              <w:spacing w:line="280" w:lineRule="exact"/>
              <w:ind w:firstLine="180" w:firstLineChars="100"/>
              <w:rPr>
                <w:rFonts w:hint="eastAsia"/>
                <w:color w:val="000000"/>
                <w:sz w:val="18"/>
                <w:szCs w:val="18"/>
              </w:rPr>
            </w:pPr>
            <w:r>
              <w:rPr>
                <w:color w:val="000000"/>
                <w:sz w:val="18"/>
                <w:szCs w:val="18"/>
              </w:rPr>
              <w:t xml:space="preserve">1.1 </w:t>
            </w:r>
            <w:r>
              <w:rPr>
                <w:rFonts w:hint="eastAsia"/>
                <w:sz w:val="18"/>
                <w:szCs w:val="18"/>
              </w:rPr>
              <w:t>概述</w:t>
            </w:r>
            <w:r>
              <w:rPr>
                <w:rFonts w:hint="eastAsia"/>
                <w:color w:val="000000"/>
                <w:sz w:val="18"/>
                <w:szCs w:val="18"/>
              </w:rPr>
              <w:t>；主要内容：智能材料的发展历史及现状</w:t>
            </w:r>
          </w:p>
          <w:p>
            <w:pPr>
              <w:spacing w:line="280" w:lineRule="exact"/>
              <w:ind w:firstLine="180" w:firstLineChars="100"/>
              <w:rPr>
                <w:rFonts w:hint="eastAsia"/>
                <w:color w:val="000000"/>
                <w:sz w:val="18"/>
                <w:szCs w:val="18"/>
              </w:rPr>
            </w:pPr>
            <w:r>
              <w:rPr>
                <w:color w:val="000000"/>
                <w:sz w:val="18"/>
                <w:szCs w:val="18"/>
              </w:rPr>
              <w:t xml:space="preserve">1.2 </w:t>
            </w:r>
            <w:r>
              <w:rPr>
                <w:rFonts w:hint="eastAsia"/>
                <w:sz w:val="18"/>
                <w:szCs w:val="18"/>
              </w:rPr>
              <w:t>智能</w:t>
            </w:r>
            <w:r>
              <w:rPr>
                <w:sz w:val="18"/>
                <w:szCs w:val="18"/>
              </w:rPr>
              <w:t>材料</w:t>
            </w:r>
            <w:r>
              <w:rPr>
                <w:rFonts w:hint="eastAsia"/>
                <w:sz w:val="18"/>
                <w:szCs w:val="18"/>
              </w:rPr>
              <w:t>导论</w:t>
            </w:r>
            <w:r>
              <w:rPr>
                <w:rFonts w:hint="eastAsia"/>
                <w:color w:val="000000"/>
                <w:sz w:val="18"/>
                <w:szCs w:val="18"/>
              </w:rPr>
              <w:t>；主要内容：智能材料的定义和分类，智能材料的度量指标、智能材料的特征与功能，智能材料的设计思路</w:t>
            </w:r>
          </w:p>
          <w:p>
            <w:pPr>
              <w:spacing w:line="280" w:lineRule="exact"/>
              <w:ind w:firstLine="180" w:firstLineChars="100"/>
              <w:rPr>
                <w:color w:val="000000"/>
                <w:sz w:val="18"/>
                <w:szCs w:val="18"/>
              </w:rPr>
            </w:pPr>
            <w:r>
              <w:rPr>
                <w:rFonts w:hint="eastAsia"/>
                <w:color w:val="000000"/>
                <w:sz w:val="18"/>
                <w:szCs w:val="18"/>
              </w:rPr>
              <w:t>1.3 传感器智能化及智能传感器结构; 主要内容：智能传感器的结构与系统的应用及发展前景</w:t>
            </w:r>
          </w:p>
          <w:p>
            <w:pPr>
              <w:spacing w:line="280" w:lineRule="exact"/>
              <w:ind w:firstLine="180" w:firstLineChars="100"/>
              <w:rPr>
                <w:color w:val="000000"/>
                <w:sz w:val="18"/>
                <w:szCs w:val="18"/>
              </w:rPr>
            </w:pPr>
            <w:r>
              <w:rPr>
                <w:rFonts w:hint="eastAsia"/>
                <w:color w:val="000000"/>
                <w:sz w:val="18"/>
                <w:szCs w:val="18"/>
              </w:rPr>
              <w:t>重点：智能材料的特点</w:t>
            </w:r>
          </w:p>
          <w:p>
            <w:pPr>
              <w:spacing w:line="280" w:lineRule="exact"/>
              <w:ind w:firstLine="180" w:firstLineChars="100"/>
              <w:rPr>
                <w:rFonts w:hint="eastAsia"/>
                <w:color w:val="000000"/>
                <w:sz w:val="18"/>
                <w:szCs w:val="18"/>
              </w:rPr>
            </w:pPr>
            <w:r>
              <w:rPr>
                <w:rFonts w:hint="eastAsia"/>
                <w:color w:val="000000"/>
                <w:sz w:val="18"/>
                <w:szCs w:val="18"/>
              </w:rPr>
              <w:t>难点：材料智能化的实现过程</w:t>
            </w:r>
          </w:p>
        </w:tc>
        <w:tc>
          <w:tcPr>
            <w:tcW w:w="682" w:type="dxa"/>
            <w:vAlign w:val="center"/>
          </w:tcPr>
          <w:p>
            <w:pPr>
              <w:spacing w:line="280" w:lineRule="exact"/>
              <w:rPr>
                <w:rFonts w:cs="Calibri"/>
                <w:b/>
                <w:color w:val="000000"/>
                <w:sz w:val="18"/>
                <w:szCs w:val="18"/>
              </w:rPr>
            </w:pPr>
            <w:r>
              <w:rPr>
                <w:rFonts w:hint="eastAsia" w:cs="Calibri"/>
                <w:b/>
                <w:color w:val="000000"/>
                <w:sz w:val="18"/>
                <w:szCs w:val="18"/>
              </w:rPr>
              <w:t>2</w:t>
            </w:r>
          </w:p>
        </w:tc>
        <w:tc>
          <w:tcPr>
            <w:tcW w:w="682" w:type="dxa"/>
            <w:vAlign w:val="center"/>
          </w:tcPr>
          <w:p>
            <w:pPr>
              <w:spacing w:line="280" w:lineRule="exact"/>
              <w:rPr>
                <w:rFonts w:cs="Calibri"/>
                <w:b/>
                <w:color w:val="000000"/>
                <w:sz w:val="18"/>
                <w:szCs w:val="18"/>
              </w:rPr>
            </w:pPr>
            <w:r>
              <w:rPr>
                <w:rFonts w:hint="eastAsia" w:cs="Calibri"/>
                <w:b/>
                <w:color w:val="000000"/>
                <w:sz w:val="18"/>
                <w:szCs w:val="18"/>
              </w:rPr>
              <w:t>0</w:t>
            </w:r>
          </w:p>
        </w:tc>
        <w:tc>
          <w:tcPr>
            <w:tcW w:w="602" w:type="dxa"/>
            <w:vAlign w:val="center"/>
          </w:tcPr>
          <w:p>
            <w:pPr>
              <w:spacing w:line="280" w:lineRule="exact"/>
              <w:rPr>
                <w:rFonts w:cs="Calibri"/>
                <w:b/>
                <w:color w:val="000000"/>
                <w:sz w:val="18"/>
                <w:szCs w:val="18"/>
              </w:rPr>
            </w:pPr>
            <w:r>
              <w:rPr>
                <w:rFonts w:hint="eastAsia" w:cs="Calibri"/>
                <w:b/>
                <w:color w:val="000000"/>
                <w:sz w:val="18"/>
                <w:szCs w:val="18"/>
              </w:rPr>
              <w:t>2</w:t>
            </w:r>
          </w:p>
        </w:tc>
        <w:tc>
          <w:tcPr>
            <w:tcW w:w="955" w:type="dxa"/>
            <w:vAlign w:val="center"/>
          </w:tcPr>
          <w:p>
            <w:pPr>
              <w:spacing w:line="280" w:lineRule="exact"/>
              <w:rPr>
                <w:rFonts w:cs="Calibri"/>
                <w:b/>
                <w:color w:val="000000"/>
                <w:sz w:val="18"/>
                <w:szCs w:val="18"/>
              </w:rPr>
            </w:pPr>
            <w:r>
              <w:rPr>
                <w:rFonts w:hint="eastAsia" w:cs="Calibri"/>
                <w:b/>
                <w:color w:val="000000"/>
                <w:sz w:val="18"/>
                <w:szCs w:val="18"/>
              </w:rPr>
              <w:t>1</w:t>
            </w:r>
          </w:p>
        </w:tc>
        <w:tc>
          <w:tcPr>
            <w:tcW w:w="1259" w:type="dxa"/>
            <w:vAlign w:val="center"/>
          </w:tcPr>
          <w:p>
            <w:pPr>
              <w:spacing w:line="280" w:lineRule="exact"/>
              <w:rPr>
                <w:rFonts w:cs="Calibri"/>
                <w:b/>
                <w:color w:val="000000"/>
                <w:sz w:val="18"/>
                <w:szCs w:val="18"/>
              </w:rPr>
            </w:pPr>
            <w:r>
              <w:rPr>
                <w:rFonts w:hint="eastAsia" w:cs="Calibri"/>
                <w:b/>
                <w:color w:val="000000"/>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280" w:lineRule="exact"/>
              <w:jc w:val="center"/>
              <w:rPr>
                <w:sz w:val="18"/>
                <w:szCs w:val="18"/>
              </w:rPr>
            </w:pPr>
            <w:r>
              <w:rPr>
                <w:sz w:val="18"/>
                <w:szCs w:val="18"/>
              </w:rPr>
              <w:t>第2章</w:t>
            </w:r>
          </w:p>
        </w:tc>
        <w:tc>
          <w:tcPr>
            <w:tcW w:w="7756" w:type="dxa"/>
          </w:tcPr>
          <w:p>
            <w:pPr>
              <w:spacing w:line="280" w:lineRule="exact"/>
              <w:rPr>
                <w:rFonts w:hint="eastAsia"/>
                <w:b/>
                <w:bCs/>
                <w:color w:val="000000"/>
                <w:sz w:val="18"/>
                <w:szCs w:val="18"/>
              </w:rPr>
            </w:pPr>
            <w:r>
              <w:rPr>
                <w:rFonts w:hint="eastAsia"/>
                <w:b/>
                <w:bCs/>
                <w:color w:val="000000"/>
                <w:sz w:val="18"/>
                <w:szCs w:val="18"/>
              </w:rPr>
              <w:t>2  压电、铁电智能材料与传感器</w:t>
            </w:r>
          </w:p>
          <w:p>
            <w:pPr>
              <w:spacing w:line="280" w:lineRule="exact"/>
              <w:ind w:firstLine="180" w:firstLineChars="100"/>
              <w:rPr>
                <w:rFonts w:hint="eastAsia"/>
                <w:color w:val="000000"/>
                <w:sz w:val="18"/>
                <w:szCs w:val="18"/>
              </w:rPr>
            </w:pPr>
            <w:r>
              <w:rPr>
                <w:rFonts w:hint="eastAsia"/>
                <w:color w:val="000000"/>
                <w:sz w:val="18"/>
                <w:szCs w:val="18"/>
              </w:rPr>
              <w:t>2.1 压电效应基础；主要内容： 压电效应的理论及压电方程，材料晶体结构对称性与压电效应的关系</w:t>
            </w:r>
          </w:p>
          <w:p>
            <w:pPr>
              <w:spacing w:line="280" w:lineRule="exact"/>
              <w:ind w:firstLine="180" w:firstLineChars="100"/>
              <w:rPr>
                <w:rFonts w:hint="eastAsia"/>
                <w:color w:val="000000"/>
                <w:sz w:val="18"/>
                <w:szCs w:val="18"/>
              </w:rPr>
            </w:pPr>
            <w:r>
              <w:rPr>
                <w:rFonts w:hint="eastAsia"/>
                <w:color w:val="000000"/>
                <w:sz w:val="18"/>
                <w:szCs w:val="18"/>
              </w:rPr>
              <w:t>2.2压电、铁电材料的传感、驱动特性；主要内容：驱动、传感特性的表征，驱动、传感特性产生的机制，提高驱动、传感特性的途径</w:t>
            </w:r>
          </w:p>
          <w:p>
            <w:pPr>
              <w:spacing w:line="280" w:lineRule="exact"/>
              <w:ind w:firstLine="180" w:firstLineChars="100"/>
              <w:rPr>
                <w:rFonts w:hint="eastAsia"/>
                <w:color w:val="000000"/>
                <w:sz w:val="18"/>
                <w:szCs w:val="18"/>
              </w:rPr>
            </w:pPr>
            <w:r>
              <w:rPr>
                <w:rFonts w:hint="eastAsia"/>
                <w:color w:val="000000"/>
                <w:sz w:val="18"/>
                <w:szCs w:val="18"/>
              </w:rPr>
              <w:t>2.3压电、铁电材料；主要内容：常见的压电、铁电材料概述，电致伸缩陶瓷材料，压电、铁电薄膜材料，压电复合材料，高性能铁电陶瓷制备的先进工艺</w:t>
            </w:r>
          </w:p>
          <w:p>
            <w:pPr>
              <w:spacing w:line="280" w:lineRule="exact"/>
              <w:ind w:firstLine="180" w:firstLineChars="100"/>
              <w:rPr>
                <w:rFonts w:hint="eastAsia"/>
                <w:color w:val="000000"/>
                <w:sz w:val="18"/>
                <w:szCs w:val="18"/>
              </w:rPr>
            </w:pPr>
            <w:r>
              <w:rPr>
                <w:rFonts w:hint="eastAsia"/>
                <w:color w:val="000000"/>
                <w:sz w:val="18"/>
                <w:szCs w:val="18"/>
              </w:rPr>
              <w:t xml:space="preserve"> 2.4 压电、铁电材料在智能系统与结构中的应用：主要内容：驱动器应用、传感器应用举例、自适应结构、含机敏陶瓷的智能结构的未来</w:t>
            </w:r>
          </w:p>
          <w:p>
            <w:pPr>
              <w:spacing w:line="280" w:lineRule="exact"/>
              <w:ind w:firstLine="180" w:firstLineChars="100"/>
              <w:rPr>
                <w:color w:val="000000"/>
                <w:sz w:val="18"/>
                <w:szCs w:val="18"/>
              </w:rPr>
            </w:pPr>
            <w:r>
              <w:rPr>
                <w:rFonts w:hint="eastAsia"/>
                <w:color w:val="000000"/>
                <w:sz w:val="18"/>
                <w:szCs w:val="18"/>
              </w:rPr>
              <w:t>重点：压电材料的传感特性的表征</w:t>
            </w:r>
          </w:p>
          <w:p>
            <w:pPr>
              <w:spacing w:line="280" w:lineRule="exact"/>
              <w:ind w:firstLine="180" w:firstLineChars="100"/>
              <w:rPr>
                <w:rFonts w:hint="eastAsia"/>
                <w:color w:val="000000"/>
                <w:sz w:val="18"/>
                <w:szCs w:val="18"/>
              </w:rPr>
            </w:pPr>
            <w:r>
              <w:rPr>
                <w:rFonts w:hint="eastAsia"/>
                <w:color w:val="000000"/>
                <w:sz w:val="18"/>
                <w:szCs w:val="18"/>
              </w:rPr>
              <w:t>难点：提高压电、铁电材料传感特性的途径</w:t>
            </w:r>
          </w:p>
        </w:tc>
        <w:tc>
          <w:tcPr>
            <w:tcW w:w="682" w:type="dxa"/>
            <w:vAlign w:val="center"/>
          </w:tcPr>
          <w:p>
            <w:pPr>
              <w:spacing w:line="280" w:lineRule="exact"/>
              <w:rPr>
                <w:rFonts w:cs="Calibri"/>
                <w:b/>
                <w:color w:val="000000"/>
                <w:sz w:val="18"/>
                <w:szCs w:val="18"/>
              </w:rPr>
            </w:pPr>
            <w:r>
              <w:rPr>
                <w:rFonts w:hint="eastAsia" w:cs="Calibri"/>
                <w:b/>
                <w:color w:val="000000"/>
                <w:sz w:val="18"/>
                <w:szCs w:val="18"/>
              </w:rPr>
              <w:t>6</w:t>
            </w:r>
          </w:p>
        </w:tc>
        <w:tc>
          <w:tcPr>
            <w:tcW w:w="682" w:type="dxa"/>
            <w:vAlign w:val="center"/>
          </w:tcPr>
          <w:p>
            <w:pPr>
              <w:spacing w:line="280" w:lineRule="exact"/>
              <w:rPr>
                <w:rFonts w:cs="Calibri"/>
                <w:b/>
                <w:color w:val="000000"/>
                <w:sz w:val="18"/>
                <w:szCs w:val="18"/>
              </w:rPr>
            </w:pPr>
            <w:r>
              <w:rPr>
                <w:rFonts w:hint="eastAsia" w:cs="Calibri"/>
                <w:b/>
                <w:color w:val="000000"/>
                <w:sz w:val="18"/>
                <w:szCs w:val="18"/>
              </w:rPr>
              <w:t>2</w:t>
            </w:r>
          </w:p>
        </w:tc>
        <w:tc>
          <w:tcPr>
            <w:tcW w:w="602" w:type="dxa"/>
            <w:vAlign w:val="center"/>
          </w:tcPr>
          <w:p>
            <w:pPr>
              <w:spacing w:line="280" w:lineRule="exact"/>
              <w:rPr>
                <w:rFonts w:cs="Calibri"/>
                <w:b/>
                <w:color w:val="000000"/>
                <w:sz w:val="18"/>
                <w:szCs w:val="18"/>
              </w:rPr>
            </w:pPr>
            <w:r>
              <w:rPr>
                <w:rFonts w:hint="eastAsia" w:cs="Calibri"/>
                <w:b/>
                <w:color w:val="000000"/>
                <w:sz w:val="18"/>
                <w:szCs w:val="18"/>
              </w:rPr>
              <w:t>8</w:t>
            </w:r>
          </w:p>
        </w:tc>
        <w:tc>
          <w:tcPr>
            <w:tcW w:w="955" w:type="dxa"/>
            <w:vAlign w:val="center"/>
          </w:tcPr>
          <w:p>
            <w:pPr>
              <w:spacing w:line="280" w:lineRule="exact"/>
              <w:rPr>
                <w:rFonts w:hint="eastAsia" w:cs="Calibri"/>
                <w:b/>
                <w:color w:val="000000"/>
                <w:sz w:val="18"/>
                <w:szCs w:val="18"/>
              </w:rPr>
            </w:pPr>
            <w:r>
              <w:rPr>
                <w:rFonts w:hint="eastAsia" w:cs="Calibri"/>
                <w:b/>
                <w:color w:val="000000"/>
                <w:sz w:val="18"/>
                <w:szCs w:val="18"/>
              </w:rPr>
              <w:t>1，2，4</w:t>
            </w:r>
          </w:p>
        </w:tc>
        <w:tc>
          <w:tcPr>
            <w:tcW w:w="1259" w:type="dxa"/>
            <w:vAlign w:val="center"/>
          </w:tcPr>
          <w:p>
            <w:pPr>
              <w:spacing w:line="280" w:lineRule="exact"/>
              <w:rPr>
                <w:rFonts w:hint="eastAsia" w:eastAsia="宋体" w:cs="Calibri"/>
                <w:b/>
                <w:color w:val="000000"/>
                <w:sz w:val="18"/>
                <w:szCs w:val="18"/>
                <w:lang w:eastAsia="zh-CN"/>
              </w:rPr>
            </w:pPr>
            <w:r>
              <w:rPr>
                <w:rFonts w:hint="eastAsia" w:cs="Calibri"/>
                <w:b/>
                <w:color w:val="000000"/>
                <w:sz w:val="18"/>
                <w:szCs w:val="18"/>
              </w:rPr>
              <w:t>2-</w:t>
            </w:r>
            <w:r>
              <w:rPr>
                <w:rFonts w:hint="eastAsia" w:cs="Calibri"/>
                <w:b/>
                <w:color w:val="00000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280" w:lineRule="exact"/>
              <w:jc w:val="center"/>
              <w:rPr>
                <w:sz w:val="18"/>
                <w:szCs w:val="18"/>
              </w:rPr>
            </w:pPr>
            <w:r>
              <w:rPr>
                <w:sz w:val="18"/>
                <w:szCs w:val="18"/>
              </w:rPr>
              <w:t>第</w:t>
            </w:r>
            <w:r>
              <w:rPr>
                <w:rFonts w:hint="eastAsia"/>
                <w:sz w:val="18"/>
                <w:szCs w:val="18"/>
              </w:rPr>
              <w:t>3</w:t>
            </w:r>
            <w:r>
              <w:rPr>
                <w:sz w:val="18"/>
                <w:szCs w:val="18"/>
              </w:rPr>
              <w:t>章</w:t>
            </w:r>
          </w:p>
        </w:tc>
        <w:tc>
          <w:tcPr>
            <w:tcW w:w="7756" w:type="dxa"/>
          </w:tcPr>
          <w:p>
            <w:pPr>
              <w:spacing w:line="280" w:lineRule="exact"/>
              <w:rPr>
                <w:rFonts w:hint="eastAsia"/>
                <w:b/>
                <w:bCs/>
                <w:color w:val="000000"/>
                <w:sz w:val="18"/>
                <w:szCs w:val="18"/>
              </w:rPr>
            </w:pPr>
            <w:r>
              <w:rPr>
                <w:rFonts w:hint="eastAsia"/>
                <w:b/>
                <w:bCs/>
                <w:color w:val="000000"/>
                <w:sz w:val="18"/>
                <w:szCs w:val="18"/>
              </w:rPr>
              <w:t>3 磁性材料及其智能化应用</w:t>
            </w:r>
          </w:p>
          <w:p>
            <w:pPr>
              <w:spacing w:line="280" w:lineRule="exact"/>
              <w:ind w:firstLine="180" w:firstLineChars="100"/>
              <w:rPr>
                <w:rFonts w:hint="eastAsia"/>
                <w:color w:val="000000"/>
                <w:sz w:val="18"/>
                <w:szCs w:val="18"/>
              </w:rPr>
            </w:pPr>
            <w:r>
              <w:rPr>
                <w:rFonts w:hint="eastAsia"/>
                <w:color w:val="000000"/>
                <w:sz w:val="18"/>
                <w:szCs w:val="18"/>
              </w:rPr>
              <w:t>3.1 磁性材料概述；主要内容： 磁性材料及传感器的发展及在电机，电力电子技术等方面的应用</w:t>
            </w:r>
          </w:p>
          <w:p>
            <w:pPr>
              <w:spacing w:line="280" w:lineRule="exact"/>
              <w:ind w:firstLine="180" w:firstLineChars="100"/>
              <w:rPr>
                <w:rFonts w:hint="eastAsia"/>
                <w:color w:val="000000"/>
                <w:sz w:val="18"/>
                <w:szCs w:val="18"/>
              </w:rPr>
            </w:pPr>
            <w:r>
              <w:rPr>
                <w:rFonts w:hint="eastAsia"/>
                <w:color w:val="000000"/>
                <w:sz w:val="18"/>
                <w:szCs w:val="18"/>
              </w:rPr>
              <w:t>3.2磁致伸缩效应、表征及传感器应用： 主要内容：磁性伸缩效应，磁性伸缩系数，磁性伸缩的唯象理论，磁体产生磁致伸缩现象的机理，表征磁致伸缩材料的性能参数</w:t>
            </w:r>
          </w:p>
          <w:p>
            <w:pPr>
              <w:spacing w:line="280" w:lineRule="exact"/>
              <w:ind w:firstLine="180" w:firstLineChars="100"/>
              <w:rPr>
                <w:rFonts w:hint="eastAsia"/>
                <w:color w:val="000000"/>
                <w:sz w:val="18"/>
                <w:szCs w:val="18"/>
              </w:rPr>
            </w:pPr>
            <w:r>
              <w:rPr>
                <w:rFonts w:hint="eastAsia"/>
                <w:color w:val="000000"/>
                <w:sz w:val="18"/>
                <w:szCs w:val="18"/>
              </w:rPr>
              <w:t>3.3 超磁致伸缩材料：主要内容：稀土超磁致伸缩材料的发展历史，性能，材料制备及组织结构</w:t>
            </w:r>
          </w:p>
          <w:p>
            <w:pPr>
              <w:spacing w:line="280" w:lineRule="exact"/>
              <w:ind w:firstLine="180" w:firstLineChars="100"/>
              <w:rPr>
                <w:rFonts w:hint="eastAsia"/>
                <w:color w:val="000000"/>
                <w:sz w:val="18"/>
                <w:szCs w:val="18"/>
              </w:rPr>
            </w:pPr>
            <w:r>
              <w:rPr>
                <w:rFonts w:hint="eastAsia"/>
                <w:color w:val="000000"/>
                <w:sz w:val="18"/>
                <w:szCs w:val="18"/>
              </w:rPr>
              <w:t>3.4 超磁致伸缩材料的智能化应用： 主要内容：超磁致伸缩材料及器件的性能优势，器件设计考虑的问题，超磁致伸缩材料的智能化应用，超磁致伸缩材料的智能复合膜及智能复合材料的研制</w:t>
            </w:r>
          </w:p>
          <w:p>
            <w:pPr>
              <w:spacing w:line="280" w:lineRule="exact"/>
              <w:ind w:firstLine="180" w:firstLineChars="100"/>
              <w:rPr>
                <w:rFonts w:hint="eastAsia"/>
                <w:color w:val="000000"/>
                <w:sz w:val="18"/>
                <w:szCs w:val="18"/>
              </w:rPr>
            </w:pPr>
            <w:r>
              <w:rPr>
                <w:rFonts w:hint="eastAsia"/>
                <w:color w:val="000000"/>
                <w:sz w:val="18"/>
                <w:szCs w:val="18"/>
              </w:rPr>
              <w:t>3.5磁阻材料与传感器；主要内容：磁电阻效应，非磁体的磁电阻效应，各向异性磁电阻效应及传感器，</w:t>
            </w:r>
          </w:p>
          <w:p>
            <w:pPr>
              <w:spacing w:line="280" w:lineRule="exact"/>
              <w:ind w:firstLine="180" w:firstLineChars="100"/>
              <w:rPr>
                <w:rFonts w:hint="eastAsia"/>
                <w:color w:val="000000"/>
                <w:sz w:val="18"/>
                <w:szCs w:val="18"/>
              </w:rPr>
            </w:pPr>
            <w:r>
              <w:rPr>
                <w:rFonts w:hint="eastAsia"/>
                <w:color w:val="000000"/>
                <w:sz w:val="18"/>
                <w:szCs w:val="18"/>
              </w:rPr>
              <w:t>3.6巨磁电阻效应及传感器：主要内容：人工纳米结构磁性技术膜的巨磁电阻效应，隧道型巨磁电阻效应，巨磁电阻传感器</w:t>
            </w:r>
          </w:p>
          <w:p>
            <w:pPr>
              <w:spacing w:line="280" w:lineRule="exact"/>
              <w:ind w:firstLine="180" w:firstLineChars="100"/>
              <w:rPr>
                <w:rFonts w:hint="eastAsia"/>
                <w:color w:val="000000"/>
                <w:sz w:val="18"/>
                <w:szCs w:val="18"/>
              </w:rPr>
            </w:pPr>
            <w:r>
              <w:rPr>
                <w:rFonts w:hint="eastAsia"/>
                <w:color w:val="000000"/>
                <w:sz w:val="18"/>
                <w:szCs w:val="18"/>
              </w:rPr>
              <w:t>3.7 巨磁阻抗效应与传感器；主要内容：巨磁阻抗效应，巨磁阻抗材料与性能，巨磁阻抗效应的应用</w:t>
            </w:r>
          </w:p>
          <w:p>
            <w:pPr>
              <w:spacing w:line="280" w:lineRule="exact"/>
              <w:ind w:firstLine="180" w:firstLineChars="100"/>
              <w:rPr>
                <w:color w:val="000000"/>
                <w:sz w:val="18"/>
                <w:szCs w:val="18"/>
              </w:rPr>
            </w:pPr>
            <w:r>
              <w:rPr>
                <w:rFonts w:hint="eastAsia"/>
                <w:color w:val="000000"/>
                <w:sz w:val="18"/>
                <w:szCs w:val="18"/>
              </w:rPr>
              <w:t>重点：</w:t>
            </w:r>
            <w:r>
              <w:rPr>
                <w:color w:val="000000"/>
                <w:sz w:val="18"/>
                <w:szCs w:val="18"/>
              </w:rPr>
              <w:t xml:space="preserve"> 磁性材料的性能指标</w:t>
            </w:r>
          </w:p>
          <w:p>
            <w:pPr>
              <w:spacing w:line="280" w:lineRule="exact"/>
              <w:ind w:firstLine="180" w:firstLineChars="100"/>
              <w:rPr>
                <w:rFonts w:hint="eastAsia"/>
                <w:b/>
                <w:bCs/>
                <w:color w:val="000000"/>
                <w:sz w:val="18"/>
                <w:szCs w:val="18"/>
              </w:rPr>
            </w:pPr>
            <w:r>
              <w:rPr>
                <w:rFonts w:hint="eastAsia"/>
                <w:color w:val="000000"/>
                <w:sz w:val="18"/>
                <w:szCs w:val="18"/>
              </w:rPr>
              <w:t>难点：磁致伸缩材料的智能化应用</w:t>
            </w:r>
          </w:p>
        </w:tc>
        <w:tc>
          <w:tcPr>
            <w:tcW w:w="682" w:type="dxa"/>
            <w:vAlign w:val="center"/>
          </w:tcPr>
          <w:p>
            <w:pPr>
              <w:spacing w:line="280" w:lineRule="exact"/>
              <w:rPr>
                <w:rFonts w:hint="eastAsia" w:cs="Calibri"/>
                <w:b/>
                <w:color w:val="000000"/>
                <w:sz w:val="18"/>
                <w:szCs w:val="18"/>
              </w:rPr>
            </w:pPr>
            <w:r>
              <w:rPr>
                <w:rFonts w:hint="eastAsia" w:cs="Calibri"/>
                <w:b/>
                <w:color w:val="000000"/>
                <w:sz w:val="18"/>
                <w:szCs w:val="18"/>
              </w:rPr>
              <w:t>6</w:t>
            </w:r>
          </w:p>
        </w:tc>
        <w:tc>
          <w:tcPr>
            <w:tcW w:w="682" w:type="dxa"/>
            <w:vAlign w:val="center"/>
          </w:tcPr>
          <w:p>
            <w:pPr>
              <w:spacing w:line="280" w:lineRule="exact"/>
              <w:rPr>
                <w:rFonts w:hint="eastAsia" w:cs="Calibri"/>
                <w:b/>
                <w:color w:val="000000"/>
                <w:sz w:val="18"/>
                <w:szCs w:val="18"/>
              </w:rPr>
            </w:pPr>
            <w:r>
              <w:rPr>
                <w:rFonts w:hint="eastAsia" w:cs="Calibri"/>
                <w:b/>
                <w:color w:val="000000"/>
                <w:sz w:val="18"/>
                <w:szCs w:val="18"/>
              </w:rPr>
              <w:t>2</w:t>
            </w:r>
          </w:p>
        </w:tc>
        <w:tc>
          <w:tcPr>
            <w:tcW w:w="602" w:type="dxa"/>
            <w:vAlign w:val="center"/>
          </w:tcPr>
          <w:p>
            <w:pPr>
              <w:spacing w:line="280" w:lineRule="exact"/>
              <w:rPr>
                <w:rFonts w:cs="Calibri"/>
                <w:b/>
                <w:color w:val="000000"/>
                <w:sz w:val="18"/>
                <w:szCs w:val="18"/>
              </w:rPr>
            </w:pPr>
            <w:r>
              <w:rPr>
                <w:rFonts w:hint="eastAsia" w:cs="Calibri"/>
                <w:b/>
                <w:color w:val="000000"/>
                <w:sz w:val="18"/>
                <w:szCs w:val="18"/>
              </w:rPr>
              <w:t>8</w:t>
            </w:r>
          </w:p>
        </w:tc>
        <w:tc>
          <w:tcPr>
            <w:tcW w:w="955" w:type="dxa"/>
            <w:vAlign w:val="center"/>
          </w:tcPr>
          <w:p>
            <w:pPr>
              <w:spacing w:line="280" w:lineRule="exact"/>
              <w:rPr>
                <w:rFonts w:hint="eastAsia" w:cs="Calibri"/>
                <w:b/>
                <w:color w:val="000000"/>
                <w:sz w:val="18"/>
                <w:szCs w:val="18"/>
              </w:rPr>
            </w:pPr>
            <w:r>
              <w:rPr>
                <w:rFonts w:hint="eastAsia" w:cs="Calibri"/>
                <w:b/>
                <w:color w:val="000000"/>
                <w:sz w:val="18"/>
                <w:szCs w:val="18"/>
              </w:rPr>
              <w:t>1，3</w:t>
            </w:r>
          </w:p>
        </w:tc>
        <w:tc>
          <w:tcPr>
            <w:tcW w:w="1259" w:type="dxa"/>
            <w:vAlign w:val="center"/>
          </w:tcPr>
          <w:p>
            <w:pPr>
              <w:spacing w:line="280" w:lineRule="exact"/>
              <w:rPr>
                <w:rFonts w:cs="Calibri"/>
                <w:b/>
                <w:color w:val="000000"/>
                <w:sz w:val="18"/>
                <w:szCs w:val="18"/>
              </w:rPr>
            </w:pPr>
            <w:r>
              <w:rPr>
                <w:rFonts w:hint="eastAsia" w:cs="Calibri"/>
                <w:b/>
                <w:color w:val="000000"/>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280" w:lineRule="exact"/>
              <w:jc w:val="center"/>
              <w:rPr>
                <w:sz w:val="18"/>
                <w:szCs w:val="18"/>
              </w:rPr>
            </w:pPr>
            <w:r>
              <w:rPr>
                <w:sz w:val="18"/>
                <w:szCs w:val="18"/>
              </w:rPr>
              <w:t>第</w:t>
            </w:r>
            <w:r>
              <w:rPr>
                <w:rFonts w:hint="eastAsia"/>
                <w:sz w:val="18"/>
                <w:szCs w:val="18"/>
              </w:rPr>
              <w:t>4</w:t>
            </w:r>
            <w:r>
              <w:rPr>
                <w:sz w:val="18"/>
                <w:szCs w:val="18"/>
              </w:rPr>
              <w:t>章</w:t>
            </w:r>
          </w:p>
        </w:tc>
        <w:tc>
          <w:tcPr>
            <w:tcW w:w="7756" w:type="dxa"/>
          </w:tcPr>
          <w:p>
            <w:pPr>
              <w:spacing w:line="280" w:lineRule="exact"/>
              <w:rPr>
                <w:rFonts w:hint="eastAsia"/>
                <w:b/>
                <w:bCs/>
                <w:color w:val="000000"/>
                <w:sz w:val="18"/>
                <w:szCs w:val="18"/>
              </w:rPr>
            </w:pPr>
            <w:r>
              <w:rPr>
                <w:rFonts w:hint="eastAsia"/>
                <w:b/>
                <w:bCs/>
                <w:color w:val="000000"/>
                <w:sz w:val="18"/>
                <w:szCs w:val="18"/>
              </w:rPr>
              <w:t>4形状记忆材料及其在智能结构中的应用</w:t>
            </w:r>
          </w:p>
          <w:p>
            <w:pPr>
              <w:spacing w:line="280" w:lineRule="exact"/>
              <w:ind w:firstLine="180" w:firstLineChars="100"/>
              <w:rPr>
                <w:rFonts w:hint="eastAsia"/>
                <w:color w:val="000000"/>
                <w:sz w:val="18"/>
                <w:szCs w:val="18"/>
              </w:rPr>
            </w:pPr>
            <w:r>
              <w:rPr>
                <w:rFonts w:hint="eastAsia"/>
                <w:color w:val="000000"/>
                <w:sz w:val="18"/>
                <w:szCs w:val="18"/>
              </w:rPr>
              <w:t>4.1形状记忆合金的概念；主要内容：形状记忆效应的微观机理，形状记忆合金伪弹性，</w:t>
            </w:r>
          </w:p>
          <w:p>
            <w:pPr>
              <w:spacing w:line="280" w:lineRule="exact"/>
              <w:ind w:firstLine="180" w:firstLineChars="100"/>
              <w:rPr>
                <w:rFonts w:hint="eastAsia"/>
                <w:color w:val="000000"/>
                <w:sz w:val="18"/>
                <w:szCs w:val="18"/>
              </w:rPr>
            </w:pPr>
            <w:r>
              <w:rPr>
                <w:rFonts w:hint="eastAsia"/>
                <w:color w:val="000000"/>
                <w:sz w:val="18"/>
                <w:szCs w:val="18"/>
              </w:rPr>
              <w:t>4.2形状记忆合金特性及本构关系模型：主要内容：形状记忆合金的热滞回线，形状记忆合金相变的本构关系，包含塑性方法基本特点的本构关系简介</w:t>
            </w:r>
          </w:p>
          <w:p>
            <w:pPr>
              <w:spacing w:line="280" w:lineRule="exact"/>
              <w:ind w:firstLine="180" w:firstLineChars="100"/>
              <w:rPr>
                <w:rFonts w:hint="eastAsia"/>
                <w:color w:val="000000"/>
                <w:sz w:val="18"/>
                <w:szCs w:val="18"/>
              </w:rPr>
            </w:pPr>
            <w:r>
              <w:rPr>
                <w:rFonts w:hint="eastAsia"/>
                <w:color w:val="000000"/>
                <w:sz w:val="18"/>
                <w:szCs w:val="18"/>
              </w:rPr>
              <w:t>4.3 NiTi形状记忆合金的驱动特性研究：主要内容：预应变NiTi合金丝在加热冷却过程中的回复力-温度曲线，NiTi合金记忆合金储能、耗能、输出功与温度和预应变关系，NiTi合金热机循环过程中应力-应变-温度关系，形状记忆合金的阻尼特性</w:t>
            </w:r>
          </w:p>
          <w:p>
            <w:pPr>
              <w:spacing w:line="280" w:lineRule="exact"/>
              <w:ind w:firstLine="180" w:firstLineChars="100"/>
              <w:rPr>
                <w:rFonts w:hint="eastAsia"/>
                <w:color w:val="000000"/>
                <w:sz w:val="18"/>
                <w:szCs w:val="18"/>
              </w:rPr>
            </w:pPr>
            <w:r>
              <w:rPr>
                <w:rFonts w:hint="eastAsia"/>
                <w:color w:val="000000"/>
                <w:sz w:val="18"/>
                <w:szCs w:val="18"/>
              </w:rPr>
              <w:t>4.4形状记忆合金复合材料及其智能属性：主要内容：NiTi合金丝复合材料， NiTi形状记忆合金颗粒复合材料</w:t>
            </w:r>
          </w:p>
          <w:p>
            <w:pPr>
              <w:spacing w:line="280" w:lineRule="exact"/>
              <w:ind w:firstLine="180" w:firstLineChars="100"/>
              <w:rPr>
                <w:rFonts w:hint="eastAsia"/>
                <w:color w:val="000000"/>
                <w:sz w:val="18"/>
                <w:szCs w:val="18"/>
              </w:rPr>
            </w:pPr>
            <w:r>
              <w:rPr>
                <w:rFonts w:hint="eastAsia"/>
                <w:color w:val="000000"/>
                <w:sz w:val="18"/>
                <w:szCs w:val="18"/>
              </w:rPr>
              <w:t>4.5 形状记忆合金的应用： 主要内容：NiTi记忆合金复合材料提高冲击韧性，NiTi记忆合金主动控制裂纹产生和扩展，NiTi合金主动控制振动，形状记忆合金的良好自适应耐疲劳磨损，热敏控制器，形状记忆合金在医学方面的应用</w:t>
            </w:r>
          </w:p>
          <w:p>
            <w:pPr>
              <w:spacing w:line="280" w:lineRule="exact"/>
              <w:rPr>
                <w:color w:val="000000"/>
                <w:sz w:val="18"/>
                <w:szCs w:val="18"/>
              </w:rPr>
            </w:pPr>
            <w:r>
              <w:rPr>
                <w:rFonts w:hint="eastAsia"/>
                <w:color w:val="000000"/>
                <w:sz w:val="18"/>
                <w:szCs w:val="18"/>
              </w:rPr>
              <w:t>重点：形状记忆效应的微观机制</w:t>
            </w:r>
          </w:p>
          <w:p>
            <w:pPr>
              <w:spacing w:line="280" w:lineRule="exact"/>
              <w:rPr>
                <w:rFonts w:cs="Calibri"/>
                <w:b/>
                <w:color w:val="000000"/>
                <w:sz w:val="18"/>
                <w:szCs w:val="18"/>
              </w:rPr>
            </w:pPr>
            <w:r>
              <w:rPr>
                <w:rFonts w:hint="eastAsia"/>
                <w:color w:val="000000"/>
                <w:sz w:val="18"/>
                <w:szCs w:val="18"/>
              </w:rPr>
              <w:t>难点：形状记忆的实现方式</w:t>
            </w:r>
          </w:p>
        </w:tc>
        <w:tc>
          <w:tcPr>
            <w:tcW w:w="682" w:type="dxa"/>
            <w:vAlign w:val="center"/>
          </w:tcPr>
          <w:p>
            <w:pPr>
              <w:spacing w:line="280" w:lineRule="exact"/>
              <w:rPr>
                <w:rFonts w:cs="Calibri"/>
                <w:b/>
                <w:color w:val="000000"/>
                <w:sz w:val="18"/>
                <w:szCs w:val="18"/>
              </w:rPr>
            </w:pPr>
            <w:r>
              <w:rPr>
                <w:rFonts w:hint="eastAsia" w:cs="Calibri"/>
                <w:b/>
                <w:color w:val="000000"/>
                <w:sz w:val="18"/>
                <w:szCs w:val="18"/>
              </w:rPr>
              <w:t>6</w:t>
            </w:r>
          </w:p>
        </w:tc>
        <w:tc>
          <w:tcPr>
            <w:tcW w:w="682" w:type="dxa"/>
            <w:vAlign w:val="center"/>
          </w:tcPr>
          <w:p>
            <w:pPr>
              <w:spacing w:line="280" w:lineRule="exact"/>
              <w:rPr>
                <w:rFonts w:hint="eastAsia" w:cs="Calibri"/>
                <w:b/>
                <w:color w:val="000000"/>
                <w:sz w:val="18"/>
                <w:szCs w:val="18"/>
              </w:rPr>
            </w:pPr>
            <w:r>
              <w:rPr>
                <w:rFonts w:hint="eastAsia" w:cs="Calibri"/>
                <w:b/>
                <w:color w:val="000000"/>
                <w:sz w:val="18"/>
                <w:szCs w:val="18"/>
              </w:rPr>
              <w:t>2</w:t>
            </w:r>
          </w:p>
        </w:tc>
        <w:tc>
          <w:tcPr>
            <w:tcW w:w="602" w:type="dxa"/>
            <w:vAlign w:val="center"/>
          </w:tcPr>
          <w:p>
            <w:pPr>
              <w:spacing w:line="280" w:lineRule="exact"/>
              <w:rPr>
                <w:rFonts w:cs="Calibri"/>
                <w:b/>
                <w:color w:val="000000"/>
                <w:sz w:val="18"/>
                <w:szCs w:val="18"/>
              </w:rPr>
            </w:pPr>
            <w:r>
              <w:rPr>
                <w:rFonts w:hint="eastAsia" w:cs="Calibri"/>
                <w:b/>
                <w:color w:val="000000"/>
                <w:sz w:val="18"/>
                <w:szCs w:val="18"/>
              </w:rPr>
              <w:t>8</w:t>
            </w:r>
          </w:p>
        </w:tc>
        <w:tc>
          <w:tcPr>
            <w:tcW w:w="955" w:type="dxa"/>
            <w:vAlign w:val="center"/>
          </w:tcPr>
          <w:p>
            <w:pPr>
              <w:spacing w:line="280" w:lineRule="exact"/>
              <w:rPr>
                <w:rFonts w:cs="Calibri"/>
                <w:b/>
                <w:color w:val="000000"/>
                <w:sz w:val="18"/>
                <w:szCs w:val="18"/>
              </w:rPr>
            </w:pPr>
            <w:r>
              <w:rPr>
                <w:rFonts w:hint="eastAsia" w:cs="Calibri"/>
                <w:b/>
                <w:color w:val="000000"/>
                <w:sz w:val="18"/>
                <w:szCs w:val="18"/>
              </w:rPr>
              <w:t>1，2，3</w:t>
            </w:r>
          </w:p>
        </w:tc>
        <w:tc>
          <w:tcPr>
            <w:tcW w:w="1259" w:type="dxa"/>
            <w:vAlign w:val="center"/>
          </w:tcPr>
          <w:p>
            <w:pPr>
              <w:spacing w:line="280" w:lineRule="exact"/>
              <w:rPr>
                <w:rFonts w:hint="eastAsia" w:eastAsia="宋体" w:cs="Calibri"/>
                <w:b/>
                <w:color w:val="000000"/>
                <w:sz w:val="18"/>
                <w:szCs w:val="18"/>
                <w:lang w:eastAsia="zh-CN"/>
              </w:rPr>
            </w:pPr>
            <w:r>
              <w:rPr>
                <w:rFonts w:hint="eastAsia" w:cs="Calibri"/>
                <w:b/>
                <w:color w:val="000000"/>
                <w:sz w:val="18"/>
                <w:szCs w:val="18"/>
              </w:rPr>
              <w:t>1-</w:t>
            </w:r>
            <w:r>
              <w:rPr>
                <w:rFonts w:hint="eastAsia" w:cs="Calibri"/>
                <w:b/>
                <w:color w:val="00000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280" w:lineRule="exact"/>
              <w:jc w:val="center"/>
              <w:rPr>
                <w:sz w:val="18"/>
                <w:szCs w:val="18"/>
              </w:rPr>
            </w:pPr>
            <w:r>
              <w:rPr>
                <w:rFonts w:hint="eastAsia"/>
                <w:sz w:val="18"/>
                <w:szCs w:val="18"/>
              </w:rPr>
              <w:t>第五章</w:t>
            </w:r>
          </w:p>
        </w:tc>
        <w:tc>
          <w:tcPr>
            <w:tcW w:w="7756" w:type="dxa"/>
          </w:tcPr>
          <w:p>
            <w:pPr>
              <w:spacing w:line="280" w:lineRule="exact"/>
              <w:rPr>
                <w:rFonts w:hint="eastAsia"/>
                <w:b/>
                <w:bCs/>
                <w:color w:val="000000"/>
                <w:sz w:val="18"/>
                <w:szCs w:val="18"/>
              </w:rPr>
            </w:pPr>
            <w:r>
              <w:rPr>
                <w:rFonts w:hint="eastAsia"/>
                <w:b/>
                <w:bCs/>
                <w:color w:val="000000"/>
                <w:sz w:val="18"/>
                <w:szCs w:val="18"/>
              </w:rPr>
              <w:t>5电（磁）流变体材料及智能控制机构</w:t>
            </w:r>
          </w:p>
          <w:p>
            <w:pPr>
              <w:spacing w:line="280" w:lineRule="exact"/>
              <w:ind w:firstLine="180" w:firstLineChars="100"/>
              <w:rPr>
                <w:rFonts w:hint="eastAsia"/>
                <w:color w:val="000000"/>
                <w:sz w:val="18"/>
                <w:szCs w:val="18"/>
              </w:rPr>
            </w:pPr>
            <w:r>
              <w:rPr>
                <w:rFonts w:hint="eastAsia"/>
                <w:color w:val="000000"/>
                <w:sz w:val="18"/>
                <w:szCs w:val="18"/>
              </w:rPr>
              <w:t>5.1 电流变液研究概况</w:t>
            </w:r>
          </w:p>
          <w:p>
            <w:pPr>
              <w:spacing w:line="280" w:lineRule="exact"/>
              <w:ind w:firstLine="180" w:firstLineChars="100"/>
              <w:rPr>
                <w:rFonts w:hint="eastAsia"/>
                <w:color w:val="000000"/>
                <w:sz w:val="18"/>
                <w:szCs w:val="18"/>
              </w:rPr>
            </w:pPr>
            <w:r>
              <w:rPr>
                <w:rFonts w:hint="eastAsia"/>
                <w:color w:val="000000"/>
                <w:sz w:val="18"/>
                <w:szCs w:val="18"/>
              </w:rPr>
              <w:t xml:space="preserve">5.2电流变液的性能；主要内容：流变性能，电学性能 </w:t>
            </w:r>
          </w:p>
          <w:p>
            <w:pPr>
              <w:spacing w:line="280" w:lineRule="exact"/>
              <w:ind w:firstLine="180" w:firstLineChars="100"/>
              <w:rPr>
                <w:rFonts w:hint="eastAsia"/>
                <w:color w:val="000000"/>
                <w:sz w:val="18"/>
                <w:szCs w:val="18"/>
              </w:rPr>
            </w:pPr>
            <w:r>
              <w:rPr>
                <w:rFonts w:hint="eastAsia"/>
                <w:color w:val="000000"/>
                <w:sz w:val="18"/>
                <w:szCs w:val="18"/>
              </w:rPr>
              <w:t>5.3电流变效应的机理：主要内容：作用在ER流体颗粒上的力，电流变效应的物理模型</w:t>
            </w:r>
          </w:p>
          <w:p>
            <w:pPr>
              <w:spacing w:line="280" w:lineRule="exact"/>
              <w:ind w:firstLine="180" w:firstLineChars="100"/>
              <w:rPr>
                <w:rFonts w:hint="eastAsia"/>
                <w:color w:val="000000"/>
                <w:sz w:val="18"/>
                <w:szCs w:val="18"/>
              </w:rPr>
            </w:pPr>
            <w:r>
              <w:rPr>
                <w:rFonts w:hint="eastAsia"/>
                <w:color w:val="000000"/>
                <w:sz w:val="18"/>
                <w:szCs w:val="18"/>
              </w:rPr>
              <w:t>5.4 电流液材料的设计与制备：主要内容：无机电流变材料设计与制备，聚合物基电流变材料的设计与制备，电流变材料的多层结构设计及表面改性</w:t>
            </w:r>
          </w:p>
          <w:p>
            <w:pPr>
              <w:spacing w:line="280" w:lineRule="exact"/>
              <w:ind w:firstLine="180" w:firstLineChars="100"/>
              <w:rPr>
                <w:rFonts w:hint="eastAsia"/>
                <w:color w:val="000000"/>
                <w:sz w:val="18"/>
                <w:szCs w:val="18"/>
              </w:rPr>
            </w:pPr>
            <w:r>
              <w:rPr>
                <w:rFonts w:hint="eastAsia"/>
                <w:color w:val="000000"/>
                <w:sz w:val="18"/>
                <w:szCs w:val="18"/>
              </w:rPr>
              <w:t>5.5 影响电流变效应的因素：主要内容：颗粒介电性，悬浮颗粒电导率，添加剂等</w:t>
            </w:r>
          </w:p>
          <w:p>
            <w:pPr>
              <w:spacing w:line="280" w:lineRule="exact"/>
              <w:ind w:firstLine="180" w:firstLineChars="100"/>
              <w:rPr>
                <w:rFonts w:hint="eastAsia"/>
                <w:color w:val="000000"/>
                <w:sz w:val="18"/>
                <w:szCs w:val="18"/>
              </w:rPr>
            </w:pPr>
            <w:r>
              <w:rPr>
                <w:rFonts w:hint="eastAsia"/>
                <w:color w:val="000000"/>
                <w:sz w:val="18"/>
                <w:szCs w:val="18"/>
              </w:rPr>
              <w:t>5.6 电流变液在智能控制中的应用：主要内容：电流变减振器，电流变液与压电材料复合式阻尼器，电流变液离合器，电流变液的光学可调节性</w:t>
            </w:r>
          </w:p>
          <w:p>
            <w:pPr>
              <w:spacing w:line="280" w:lineRule="exact"/>
              <w:ind w:firstLine="180" w:firstLineChars="100"/>
              <w:rPr>
                <w:rFonts w:hint="eastAsia"/>
                <w:color w:val="000000"/>
                <w:sz w:val="18"/>
                <w:szCs w:val="18"/>
              </w:rPr>
            </w:pPr>
            <w:r>
              <w:rPr>
                <w:rFonts w:hint="eastAsia"/>
                <w:color w:val="000000"/>
                <w:sz w:val="18"/>
                <w:szCs w:val="18"/>
              </w:rPr>
              <w:t>5.7 磁流变液及其应用：主要内容：磁流变液研究概况，磁流变液的转变机理，磁流变液材料，MR流体器件，ER与MR性能与元器件行为比较</w:t>
            </w:r>
          </w:p>
          <w:p>
            <w:pPr>
              <w:spacing w:line="280" w:lineRule="exact"/>
              <w:ind w:firstLine="180" w:firstLineChars="100"/>
              <w:rPr>
                <w:color w:val="000000"/>
                <w:sz w:val="18"/>
                <w:szCs w:val="18"/>
              </w:rPr>
            </w:pPr>
            <w:r>
              <w:rPr>
                <w:rFonts w:hint="eastAsia"/>
                <w:color w:val="000000"/>
                <w:sz w:val="18"/>
                <w:szCs w:val="18"/>
              </w:rPr>
              <w:t>重点：影响流变体性能的因素</w:t>
            </w:r>
          </w:p>
          <w:p>
            <w:pPr>
              <w:spacing w:line="280" w:lineRule="exact"/>
              <w:ind w:firstLine="180" w:firstLineChars="100"/>
              <w:rPr>
                <w:rFonts w:cs="Calibri"/>
                <w:b/>
                <w:color w:val="000000"/>
                <w:sz w:val="18"/>
                <w:szCs w:val="18"/>
              </w:rPr>
            </w:pPr>
            <w:r>
              <w:rPr>
                <w:rFonts w:hint="eastAsia"/>
                <w:color w:val="000000"/>
                <w:sz w:val="18"/>
                <w:szCs w:val="18"/>
              </w:rPr>
              <w:t>难点：流变体材料的设计与制备及表面改性</w:t>
            </w:r>
          </w:p>
        </w:tc>
        <w:tc>
          <w:tcPr>
            <w:tcW w:w="682" w:type="dxa"/>
            <w:vAlign w:val="center"/>
          </w:tcPr>
          <w:p>
            <w:pPr>
              <w:spacing w:line="280" w:lineRule="exact"/>
              <w:rPr>
                <w:rFonts w:cs="Calibri"/>
                <w:b/>
                <w:color w:val="000000"/>
                <w:sz w:val="18"/>
                <w:szCs w:val="18"/>
              </w:rPr>
            </w:pPr>
            <w:r>
              <w:rPr>
                <w:rFonts w:hint="eastAsia" w:cs="Calibri"/>
                <w:b/>
                <w:color w:val="000000"/>
                <w:sz w:val="18"/>
                <w:szCs w:val="18"/>
              </w:rPr>
              <w:t>6</w:t>
            </w:r>
          </w:p>
        </w:tc>
        <w:tc>
          <w:tcPr>
            <w:tcW w:w="682" w:type="dxa"/>
            <w:vAlign w:val="center"/>
          </w:tcPr>
          <w:p>
            <w:pPr>
              <w:spacing w:line="280" w:lineRule="exact"/>
              <w:rPr>
                <w:rFonts w:hint="eastAsia" w:cs="Calibri"/>
                <w:b/>
                <w:color w:val="000000"/>
                <w:sz w:val="18"/>
                <w:szCs w:val="18"/>
              </w:rPr>
            </w:pPr>
            <w:r>
              <w:rPr>
                <w:rFonts w:hint="eastAsia" w:cs="Calibri"/>
                <w:b/>
                <w:color w:val="000000"/>
                <w:sz w:val="18"/>
                <w:szCs w:val="18"/>
              </w:rPr>
              <w:t>2</w:t>
            </w:r>
          </w:p>
        </w:tc>
        <w:tc>
          <w:tcPr>
            <w:tcW w:w="602" w:type="dxa"/>
            <w:vAlign w:val="center"/>
          </w:tcPr>
          <w:p>
            <w:pPr>
              <w:spacing w:line="280" w:lineRule="exact"/>
              <w:rPr>
                <w:rFonts w:cs="Calibri"/>
                <w:b/>
                <w:color w:val="000000"/>
                <w:sz w:val="18"/>
                <w:szCs w:val="18"/>
              </w:rPr>
            </w:pPr>
            <w:r>
              <w:rPr>
                <w:rFonts w:hint="eastAsia" w:cs="Calibri"/>
                <w:b/>
                <w:color w:val="000000"/>
                <w:sz w:val="18"/>
                <w:szCs w:val="18"/>
              </w:rPr>
              <w:t>8</w:t>
            </w:r>
          </w:p>
        </w:tc>
        <w:tc>
          <w:tcPr>
            <w:tcW w:w="955" w:type="dxa"/>
            <w:vAlign w:val="center"/>
          </w:tcPr>
          <w:p>
            <w:pPr>
              <w:spacing w:line="280" w:lineRule="exact"/>
              <w:rPr>
                <w:rFonts w:cs="Calibri"/>
                <w:b/>
                <w:color w:val="000000"/>
                <w:sz w:val="18"/>
                <w:szCs w:val="18"/>
              </w:rPr>
            </w:pPr>
            <w:r>
              <w:rPr>
                <w:rFonts w:hint="eastAsia" w:cs="Calibri"/>
                <w:b/>
                <w:color w:val="000000"/>
                <w:sz w:val="18"/>
                <w:szCs w:val="18"/>
              </w:rPr>
              <w:t>1，3</w:t>
            </w:r>
          </w:p>
        </w:tc>
        <w:tc>
          <w:tcPr>
            <w:tcW w:w="1259" w:type="dxa"/>
            <w:vAlign w:val="center"/>
          </w:tcPr>
          <w:p>
            <w:pPr>
              <w:spacing w:line="280" w:lineRule="exact"/>
              <w:rPr>
                <w:rFonts w:cs="Calibri"/>
                <w:b/>
                <w:color w:val="000000"/>
                <w:sz w:val="18"/>
                <w:szCs w:val="18"/>
              </w:rPr>
            </w:pPr>
            <w:r>
              <w:rPr>
                <w:rFonts w:hint="eastAsia" w:cs="Calibri"/>
                <w:b/>
                <w:color w:val="000000"/>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280" w:lineRule="exact"/>
              <w:jc w:val="center"/>
              <w:rPr>
                <w:rFonts w:hint="eastAsia"/>
                <w:sz w:val="18"/>
                <w:szCs w:val="18"/>
              </w:rPr>
            </w:pPr>
            <w:r>
              <w:rPr>
                <w:rFonts w:hint="eastAsia"/>
                <w:sz w:val="18"/>
                <w:szCs w:val="18"/>
              </w:rPr>
              <w:t>第六章</w:t>
            </w:r>
          </w:p>
        </w:tc>
        <w:tc>
          <w:tcPr>
            <w:tcW w:w="7756" w:type="dxa"/>
          </w:tcPr>
          <w:p>
            <w:pPr>
              <w:spacing w:line="280" w:lineRule="exact"/>
              <w:rPr>
                <w:rFonts w:hint="eastAsia"/>
                <w:b/>
                <w:bCs/>
                <w:color w:val="000000"/>
                <w:sz w:val="18"/>
                <w:szCs w:val="18"/>
              </w:rPr>
            </w:pPr>
            <w:r>
              <w:rPr>
                <w:rFonts w:hint="eastAsia"/>
                <w:b/>
                <w:bCs/>
                <w:color w:val="000000"/>
                <w:sz w:val="18"/>
                <w:szCs w:val="18"/>
              </w:rPr>
              <w:t>6 光智能材料与传感器</w:t>
            </w:r>
          </w:p>
          <w:p>
            <w:pPr>
              <w:spacing w:line="280" w:lineRule="exact"/>
              <w:ind w:firstLine="180" w:firstLineChars="100"/>
              <w:rPr>
                <w:rFonts w:hint="eastAsia"/>
                <w:color w:val="000000"/>
                <w:sz w:val="18"/>
                <w:szCs w:val="18"/>
              </w:rPr>
            </w:pPr>
            <w:r>
              <w:rPr>
                <w:rFonts w:hint="eastAsia"/>
                <w:color w:val="000000"/>
                <w:sz w:val="18"/>
                <w:szCs w:val="18"/>
              </w:rPr>
              <w:t xml:space="preserve">6.1 光电导效应；主要内容：光电导效应，光电导材料，光电探测器类型和结构 </w:t>
            </w:r>
          </w:p>
          <w:p>
            <w:pPr>
              <w:spacing w:line="280" w:lineRule="exact"/>
              <w:ind w:firstLine="180" w:firstLineChars="100"/>
              <w:rPr>
                <w:rFonts w:hint="eastAsia"/>
                <w:color w:val="000000"/>
                <w:sz w:val="18"/>
                <w:szCs w:val="18"/>
              </w:rPr>
            </w:pPr>
            <w:r>
              <w:rPr>
                <w:rFonts w:hint="eastAsia"/>
                <w:color w:val="000000"/>
                <w:sz w:val="18"/>
                <w:szCs w:val="18"/>
              </w:rPr>
              <w:t>6.2光生伏特效应；主要内容：光生伏特效应，光伏型光敏传感器</w:t>
            </w:r>
          </w:p>
          <w:p>
            <w:pPr>
              <w:spacing w:line="280" w:lineRule="exact"/>
              <w:ind w:firstLine="180" w:firstLineChars="100"/>
              <w:rPr>
                <w:rFonts w:hint="eastAsia"/>
                <w:color w:val="000000"/>
                <w:sz w:val="18"/>
                <w:szCs w:val="18"/>
              </w:rPr>
            </w:pPr>
            <w:r>
              <w:rPr>
                <w:rFonts w:hint="eastAsia"/>
                <w:color w:val="000000"/>
                <w:sz w:val="18"/>
                <w:szCs w:val="18"/>
              </w:rPr>
              <w:t>6.3光纤材料与传感器：主要内容：光纤基本结构，光纤传输特性，光纤传感器</w:t>
            </w:r>
          </w:p>
          <w:p>
            <w:pPr>
              <w:spacing w:line="280" w:lineRule="exact"/>
              <w:ind w:firstLine="180" w:firstLineChars="100"/>
              <w:rPr>
                <w:color w:val="000000"/>
                <w:sz w:val="18"/>
                <w:szCs w:val="18"/>
              </w:rPr>
            </w:pPr>
            <w:r>
              <w:rPr>
                <w:rFonts w:hint="eastAsia"/>
                <w:color w:val="000000"/>
                <w:sz w:val="18"/>
                <w:szCs w:val="18"/>
              </w:rPr>
              <w:t>重点：</w:t>
            </w:r>
            <w:r>
              <w:rPr>
                <w:color w:val="000000"/>
                <w:sz w:val="18"/>
                <w:szCs w:val="18"/>
              </w:rPr>
              <w:t>光</w:t>
            </w:r>
            <w:r>
              <w:rPr>
                <w:rFonts w:hint="eastAsia"/>
                <w:color w:val="000000"/>
                <w:sz w:val="18"/>
                <w:szCs w:val="18"/>
              </w:rPr>
              <w:t>智能材料</w:t>
            </w:r>
            <w:r>
              <w:rPr>
                <w:color w:val="000000"/>
                <w:sz w:val="18"/>
                <w:szCs w:val="18"/>
              </w:rPr>
              <w:t>的性能参数</w:t>
            </w:r>
          </w:p>
          <w:p>
            <w:pPr>
              <w:spacing w:line="280" w:lineRule="exact"/>
              <w:ind w:firstLine="180" w:firstLineChars="100"/>
              <w:rPr>
                <w:rFonts w:hint="eastAsia"/>
                <w:b/>
                <w:bCs/>
                <w:color w:val="000000"/>
                <w:sz w:val="18"/>
                <w:szCs w:val="18"/>
              </w:rPr>
            </w:pPr>
            <w:r>
              <w:rPr>
                <w:rFonts w:hint="eastAsia"/>
                <w:color w:val="000000"/>
                <w:sz w:val="18"/>
                <w:szCs w:val="18"/>
              </w:rPr>
              <w:t>难点：</w:t>
            </w:r>
            <w:r>
              <w:rPr>
                <w:rFonts w:hint="eastAsia"/>
                <w:bCs/>
                <w:color w:val="000000"/>
                <w:sz w:val="18"/>
                <w:szCs w:val="18"/>
              </w:rPr>
              <w:t>光智能材料性能提高途径</w:t>
            </w:r>
          </w:p>
        </w:tc>
        <w:tc>
          <w:tcPr>
            <w:tcW w:w="682" w:type="dxa"/>
            <w:vAlign w:val="center"/>
          </w:tcPr>
          <w:p>
            <w:pPr>
              <w:spacing w:line="280" w:lineRule="exact"/>
              <w:rPr>
                <w:rFonts w:cs="Calibri"/>
                <w:b/>
                <w:color w:val="000000"/>
                <w:sz w:val="18"/>
                <w:szCs w:val="18"/>
              </w:rPr>
            </w:pPr>
            <w:r>
              <w:rPr>
                <w:rFonts w:hint="eastAsia" w:cs="Calibri"/>
                <w:b/>
                <w:color w:val="000000"/>
                <w:sz w:val="18"/>
                <w:szCs w:val="18"/>
              </w:rPr>
              <w:t>4</w:t>
            </w:r>
          </w:p>
        </w:tc>
        <w:tc>
          <w:tcPr>
            <w:tcW w:w="682" w:type="dxa"/>
            <w:vAlign w:val="center"/>
          </w:tcPr>
          <w:p>
            <w:pPr>
              <w:spacing w:line="280" w:lineRule="exact"/>
              <w:rPr>
                <w:rFonts w:hint="eastAsia" w:cs="Calibri"/>
                <w:b/>
                <w:color w:val="000000"/>
                <w:sz w:val="18"/>
                <w:szCs w:val="18"/>
              </w:rPr>
            </w:pPr>
            <w:r>
              <w:rPr>
                <w:rFonts w:hint="eastAsia" w:cs="Calibri"/>
                <w:b/>
                <w:color w:val="000000"/>
                <w:sz w:val="18"/>
                <w:szCs w:val="18"/>
              </w:rPr>
              <w:t>2</w:t>
            </w:r>
          </w:p>
        </w:tc>
        <w:tc>
          <w:tcPr>
            <w:tcW w:w="602" w:type="dxa"/>
            <w:vAlign w:val="center"/>
          </w:tcPr>
          <w:p>
            <w:pPr>
              <w:spacing w:line="280" w:lineRule="exact"/>
              <w:rPr>
                <w:rFonts w:cs="Calibri"/>
                <w:b/>
                <w:color w:val="000000"/>
                <w:sz w:val="18"/>
                <w:szCs w:val="18"/>
              </w:rPr>
            </w:pPr>
            <w:r>
              <w:rPr>
                <w:rFonts w:hint="eastAsia" w:cs="Calibri"/>
                <w:b/>
                <w:color w:val="000000"/>
                <w:sz w:val="18"/>
                <w:szCs w:val="18"/>
              </w:rPr>
              <w:t>6</w:t>
            </w:r>
          </w:p>
        </w:tc>
        <w:tc>
          <w:tcPr>
            <w:tcW w:w="955" w:type="dxa"/>
            <w:vAlign w:val="center"/>
          </w:tcPr>
          <w:p>
            <w:pPr>
              <w:spacing w:line="280" w:lineRule="exact"/>
              <w:rPr>
                <w:rFonts w:cs="Calibri"/>
                <w:b/>
                <w:color w:val="000000"/>
                <w:sz w:val="18"/>
                <w:szCs w:val="18"/>
              </w:rPr>
            </w:pPr>
            <w:r>
              <w:rPr>
                <w:rFonts w:hint="eastAsia" w:cs="Calibri"/>
                <w:b/>
                <w:color w:val="000000"/>
                <w:sz w:val="18"/>
                <w:szCs w:val="18"/>
              </w:rPr>
              <w:t>1，4</w:t>
            </w:r>
          </w:p>
        </w:tc>
        <w:tc>
          <w:tcPr>
            <w:tcW w:w="1259" w:type="dxa"/>
            <w:vAlign w:val="center"/>
          </w:tcPr>
          <w:p>
            <w:pPr>
              <w:spacing w:line="280" w:lineRule="exact"/>
              <w:rPr>
                <w:rFonts w:cs="Calibri"/>
                <w:b/>
                <w:color w:val="000000"/>
                <w:sz w:val="18"/>
                <w:szCs w:val="18"/>
              </w:rPr>
            </w:pPr>
            <w:r>
              <w:rPr>
                <w:rFonts w:hint="eastAsia" w:cs="Calibri"/>
                <w:b/>
                <w:color w:val="000000"/>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59" w:type="dxa"/>
            <w:vAlign w:val="center"/>
          </w:tcPr>
          <w:p>
            <w:pPr>
              <w:spacing w:line="280" w:lineRule="exact"/>
              <w:jc w:val="center"/>
              <w:rPr>
                <w:b/>
                <w:sz w:val="18"/>
                <w:szCs w:val="18"/>
              </w:rPr>
            </w:pPr>
            <w:r>
              <w:rPr>
                <w:b/>
                <w:sz w:val="18"/>
                <w:szCs w:val="18"/>
              </w:rPr>
              <w:t>合 计</w:t>
            </w:r>
          </w:p>
        </w:tc>
        <w:tc>
          <w:tcPr>
            <w:tcW w:w="7756" w:type="dxa"/>
          </w:tcPr>
          <w:p>
            <w:pPr>
              <w:spacing w:line="280" w:lineRule="exact"/>
              <w:jc w:val="center"/>
              <w:rPr>
                <w:color w:val="000000"/>
                <w:sz w:val="18"/>
                <w:szCs w:val="18"/>
              </w:rPr>
            </w:pPr>
          </w:p>
        </w:tc>
        <w:tc>
          <w:tcPr>
            <w:tcW w:w="682" w:type="dxa"/>
            <w:vAlign w:val="center"/>
          </w:tcPr>
          <w:p>
            <w:pPr>
              <w:spacing w:line="280" w:lineRule="exact"/>
              <w:rPr>
                <w:rFonts w:cs="Calibri"/>
                <w:b/>
                <w:color w:val="000000"/>
                <w:sz w:val="18"/>
                <w:szCs w:val="18"/>
              </w:rPr>
            </w:pPr>
            <w:r>
              <w:rPr>
                <w:rFonts w:hint="eastAsia" w:cs="Calibri"/>
                <w:b/>
                <w:color w:val="000000"/>
                <w:sz w:val="18"/>
                <w:szCs w:val="18"/>
              </w:rPr>
              <w:t>30</w:t>
            </w:r>
          </w:p>
        </w:tc>
        <w:tc>
          <w:tcPr>
            <w:tcW w:w="682" w:type="dxa"/>
            <w:vAlign w:val="center"/>
          </w:tcPr>
          <w:p>
            <w:pPr>
              <w:spacing w:line="280" w:lineRule="exact"/>
              <w:rPr>
                <w:rFonts w:cs="Calibri"/>
                <w:b/>
                <w:color w:val="000000"/>
                <w:sz w:val="18"/>
                <w:szCs w:val="18"/>
              </w:rPr>
            </w:pPr>
            <w:r>
              <w:rPr>
                <w:rFonts w:hint="eastAsia" w:cs="Calibri"/>
                <w:b/>
                <w:color w:val="000000"/>
                <w:sz w:val="18"/>
                <w:szCs w:val="18"/>
              </w:rPr>
              <w:t>10</w:t>
            </w:r>
          </w:p>
        </w:tc>
        <w:tc>
          <w:tcPr>
            <w:tcW w:w="602" w:type="dxa"/>
            <w:vAlign w:val="center"/>
          </w:tcPr>
          <w:p>
            <w:pPr>
              <w:spacing w:line="280" w:lineRule="exact"/>
              <w:rPr>
                <w:rFonts w:cs="Calibri"/>
                <w:b/>
                <w:color w:val="000000"/>
                <w:sz w:val="18"/>
                <w:szCs w:val="18"/>
              </w:rPr>
            </w:pPr>
            <w:r>
              <w:rPr>
                <w:rFonts w:hint="eastAsia" w:cs="Calibri"/>
                <w:b/>
                <w:color w:val="000000"/>
                <w:sz w:val="18"/>
                <w:szCs w:val="18"/>
              </w:rPr>
              <w:t>40</w:t>
            </w:r>
          </w:p>
        </w:tc>
        <w:tc>
          <w:tcPr>
            <w:tcW w:w="955" w:type="dxa"/>
            <w:vAlign w:val="center"/>
          </w:tcPr>
          <w:p>
            <w:pPr>
              <w:spacing w:line="280" w:lineRule="exact"/>
              <w:rPr>
                <w:rFonts w:cs="Calibri"/>
                <w:b/>
                <w:color w:val="000000"/>
                <w:sz w:val="18"/>
                <w:szCs w:val="18"/>
              </w:rPr>
            </w:pPr>
          </w:p>
        </w:tc>
        <w:tc>
          <w:tcPr>
            <w:tcW w:w="1259" w:type="dxa"/>
            <w:vAlign w:val="center"/>
          </w:tcPr>
          <w:p>
            <w:pPr>
              <w:spacing w:line="280" w:lineRule="exact"/>
              <w:rPr>
                <w:rFonts w:cs="Calibri"/>
                <w:b/>
                <w:color w:val="000000"/>
                <w:sz w:val="18"/>
                <w:szCs w:val="18"/>
              </w:rPr>
            </w:pPr>
          </w:p>
        </w:tc>
      </w:tr>
    </w:tbl>
    <w:p>
      <w:pPr>
        <w:spacing w:before="156" w:beforeLines="50" w:after="156" w:afterLines="50" w:line="360" w:lineRule="auto"/>
        <w:jc w:val="center"/>
        <w:rPr>
          <w:rFonts w:hint="eastAsia" w:ascii="宋体" w:hAnsi="宋体" w:cs="宋体"/>
          <w:b/>
          <w:szCs w:val="21"/>
        </w:rPr>
      </w:pPr>
    </w:p>
    <w:p>
      <w:pPr>
        <w:spacing w:before="156" w:beforeLines="50" w:after="156" w:afterLines="50" w:line="360" w:lineRule="auto"/>
        <w:jc w:val="center"/>
        <w:rPr>
          <w:rFonts w:hint="eastAsia" w:ascii="宋体" w:hAnsi="宋体" w:cs="宋体"/>
          <w:b/>
          <w:szCs w:val="21"/>
        </w:rPr>
      </w:pPr>
      <w:r>
        <w:rPr>
          <w:rFonts w:hint="eastAsia" w:ascii="宋体" w:hAnsi="宋体" w:cs="宋体"/>
          <w:b/>
          <w:szCs w:val="21"/>
        </w:rPr>
        <w:t>表2.2 课程内容与思政融入点对应关系</w:t>
      </w:r>
    </w:p>
    <w:tbl>
      <w:tblPr>
        <w:tblStyle w:val="19"/>
        <w:tblW w:w="0" w:type="auto"/>
        <w:tblInd w:w="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5121"/>
        <w:gridCol w:w="6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vAlign w:val="center"/>
          </w:tcPr>
          <w:p>
            <w:pPr>
              <w:spacing w:line="360" w:lineRule="auto"/>
              <w:jc w:val="center"/>
              <w:rPr>
                <w:rFonts w:hint="eastAsia" w:ascii="宋体" w:hAnsi="宋体" w:cs="宋体"/>
                <w:b/>
                <w:kern w:val="0"/>
                <w:sz w:val="18"/>
                <w:szCs w:val="18"/>
              </w:rPr>
            </w:pPr>
            <w:r>
              <w:rPr>
                <w:rFonts w:hint="eastAsia" w:ascii="宋体" w:hAnsi="宋体" w:cs="宋体"/>
                <w:b/>
                <w:kern w:val="0"/>
                <w:sz w:val="18"/>
                <w:szCs w:val="18"/>
              </w:rPr>
              <w:t>序号</w:t>
            </w:r>
          </w:p>
        </w:tc>
        <w:tc>
          <w:tcPr>
            <w:tcW w:w="5121" w:type="dxa"/>
            <w:vAlign w:val="center"/>
          </w:tcPr>
          <w:p>
            <w:pPr>
              <w:spacing w:line="360" w:lineRule="auto"/>
              <w:jc w:val="center"/>
              <w:rPr>
                <w:rFonts w:hint="eastAsia" w:ascii="宋体" w:hAnsi="宋体" w:cs="宋体"/>
                <w:b/>
                <w:kern w:val="0"/>
                <w:sz w:val="18"/>
                <w:szCs w:val="18"/>
              </w:rPr>
            </w:pPr>
            <w:r>
              <w:rPr>
                <w:rFonts w:hint="eastAsia" w:ascii="宋体" w:hAnsi="宋体" w:cs="宋体"/>
                <w:b/>
                <w:kern w:val="0"/>
                <w:sz w:val="18"/>
                <w:szCs w:val="18"/>
              </w:rPr>
              <w:t>知识点</w:t>
            </w:r>
          </w:p>
        </w:tc>
        <w:tc>
          <w:tcPr>
            <w:tcW w:w="6857" w:type="dxa"/>
            <w:vAlign w:val="center"/>
          </w:tcPr>
          <w:p>
            <w:pPr>
              <w:spacing w:line="360" w:lineRule="auto"/>
              <w:jc w:val="left"/>
              <w:rPr>
                <w:rFonts w:hint="eastAsia" w:ascii="宋体" w:hAnsi="宋体" w:cs="宋体"/>
                <w:b/>
                <w:kern w:val="0"/>
                <w:sz w:val="18"/>
                <w:szCs w:val="18"/>
              </w:rPr>
            </w:pPr>
            <w:r>
              <w:rPr>
                <w:rFonts w:hint="eastAsia" w:ascii="宋体" w:hAnsi="宋体" w:cs="宋体"/>
                <w:b/>
                <w:color w:val="000000"/>
                <w:kern w:val="0"/>
                <w:sz w:val="18"/>
                <w:szCs w:val="18"/>
              </w:rPr>
              <w:t>思政融入点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vAlign w:val="center"/>
          </w:tcPr>
          <w:p>
            <w:pPr>
              <w:spacing w:before="156" w:beforeLines="50" w:after="156" w:afterLines="50" w:line="360" w:lineRule="auto"/>
              <w:jc w:val="center"/>
              <w:rPr>
                <w:rFonts w:eastAsia="黑体"/>
                <w:b/>
                <w:kern w:val="0"/>
                <w:sz w:val="20"/>
                <w:szCs w:val="21"/>
              </w:rPr>
            </w:pPr>
            <w:r>
              <w:rPr>
                <w:rFonts w:hint="eastAsia" w:eastAsia="黑体"/>
                <w:b/>
                <w:kern w:val="0"/>
                <w:sz w:val="20"/>
                <w:szCs w:val="21"/>
              </w:rPr>
              <w:t>1</w:t>
            </w:r>
          </w:p>
        </w:tc>
        <w:tc>
          <w:tcPr>
            <w:tcW w:w="5121" w:type="dxa"/>
            <w:vAlign w:val="center"/>
          </w:tcPr>
          <w:p>
            <w:pPr>
              <w:ind w:left="105" w:leftChars="50"/>
              <w:jc w:val="center"/>
              <w:rPr>
                <w:rFonts w:ascii="宋体" w:hAnsi="宋体"/>
                <w:kern w:val="0"/>
                <w:sz w:val="18"/>
                <w:szCs w:val="18"/>
              </w:rPr>
            </w:pPr>
            <w:r>
              <w:rPr>
                <w:rFonts w:hint="eastAsia" w:ascii="宋体" w:hAnsi="宋体"/>
                <w:color w:val="000000"/>
                <w:sz w:val="18"/>
                <w:szCs w:val="18"/>
              </w:rPr>
              <w:t>智能传感器的结构与系统的应用及发展前景</w:t>
            </w:r>
          </w:p>
        </w:tc>
        <w:tc>
          <w:tcPr>
            <w:tcW w:w="6857" w:type="dxa"/>
            <w:vAlign w:val="center"/>
          </w:tcPr>
          <w:p>
            <w:pPr>
              <w:spacing w:before="156" w:beforeLines="50" w:after="156" w:afterLines="50" w:line="360" w:lineRule="auto"/>
              <w:jc w:val="left"/>
              <w:rPr>
                <w:rFonts w:ascii="宋体" w:hAnsi="宋体"/>
                <w:kern w:val="0"/>
                <w:sz w:val="18"/>
                <w:szCs w:val="18"/>
              </w:rPr>
            </w:pPr>
            <w:r>
              <w:rPr>
                <w:rFonts w:ascii="宋体" w:hAnsi="宋体"/>
                <w:kern w:val="0"/>
                <w:sz w:val="18"/>
                <w:szCs w:val="18"/>
              </w:rPr>
              <w:t>家国情怀：开发智能传感材料与结构，无论对于科学进步，还是促进国民经济发展，都具有重大的战略意义</w:t>
            </w:r>
            <w:r>
              <w:rPr>
                <w:rFonts w:hint="eastAsia" w:ascii="宋体" w:hAnsi="宋体"/>
                <w:kern w:val="0"/>
                <w:sz w:val="18"/>
                <w:szCs w:val="18"/>
              </w:rPr>
              <w:t>，</w:t>
            </w:r>
            <w:r>
              <w:rPr>
                <w:rFonts w:ascii="宋体" w:hAnsi="宋体"/>
                <w:kern w:val="0"/>
                <w:sz w:val="18"/>
                <w:szCs w:val="18"/>
              </w:rPr>
              <w:t>在航空航天领域对于智能材料</w:t>
            </w:r>
            <w:r>
              <w:rPr>
                <w:rFonts w:hint="eastAsia" w:ascii="宋体" w:hAnsi="宋体"/>
                <w:kern w:val="0"/>
                <w:sz w:val="18"/>
                <w:szCs w:val="18"/>
              </w:rPr>
              <w:t>的需求与开发更为迫切，让学生学生更加切身地体会到科技是国家强盛之基，创新是民族进步之魂的真正含义。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vAlign w:val="center"/>
          </w:tcPr>
          <w:p>
            <w:pPr>
              <w:spacing w:before="156" w:beforeLines="50" w:after="156" w:afterLines="50" w:line="360" w:lineRule="auto"/>
              <w:jc w:val="center"/>
              <w:rPr>
                <w:rFonts w:eastAsia="黑体"/>
                <w:b/>
                <w:kern w:val="0"/>
                <w:sz w:val="20"/>
                <w:szCs w:val="21"/>
              </w:rPr>
            </w:pPr>
            <w:r>
              <w:rPr>
                <w:rFonts w:hint="eastAsia" w:eastAsia="黑体"/>
                <w:b/>
                <w:kern w:val="0"/>
                <w:sz w:val="20"/>
                <w:szCs w:val="21"/>
              </w:rPr>
              <w:t>2</w:t>
            </w:r>
          </w:p>
        </w:tc>
        <w:tc>
          <w:tcPr>
            <w:tcW w:w="5121" w:type="dxa"/>
            <w:vAlign w:val="center"/>
          </w:tcPr>
          <w:p>
            <w:pPr>
              <w:ind w:left="105" w:leftChars="50"/>
              <w:jc w:val="center"/>
              <w:rPr>
                <w:rFonts w:eastAsia="黑体"/>
                <w:b/>
                <w:kern w:val="0"/>
                <w:sz w:val="20"/>
                <w:szCs w:val="21"/>
              </w:rPr>
            </w:pPr>
            <w:r>
              <w:rPr>
                <w:rFonts w:hint="eastAsia"/>
                <w:color w:val="000000"/>
                <w:sz w:val="18"/>
                <w:szCs w:val="18"/>
              </w:rPr>
              <w:t>压电、铁电材料的传感、驱动特性</w:t>
            </w:r>
          </w:p>
        </w:tc>
        <w:tc>
          <w:tcPr>
            <w:tcW w:w="6857" w:type="dxa"/>
            <w:vAlign w:val="center"/>
          </w:tcPr>
          <w:p>
            <w:pPr>
              <w:spacing w:before="156" w:beforeLines="50" w:after="156" w:afterLines="50" w:line="360" w:lineRule="auto"/>
              <w:jc w:val="left"/>
              <w:rPr>
                <w:rFonts w:eastAsia="黑体"/>
                <w:b/>
                <w:kern w:val="0"/>
                <w:sz w:val="20"/>
                <w:szCs w:val="21"/>
              </w:rPr>
            </w:pPr>
            <w:r>
              <w:rPr>
                <w:color w:val="000000"/>
                <w:sz w:val="18"/>
                <w:szCs w:val="18"/>
              </w:rPr>
              <w:t xml:space="preserve"> 科学精神：</w:t>
            </w:r>
            <w:r>
              <w:rPr>
                <w:sz w:val="18"/>
                <w:szCs w:val="18"/>
              </w:rPr>
              <w:t>含有压电、铁电材料的智能系统与结构有着广大的发展前景，但每一步都面临着诸多挑战，围绕当前智能系统与结构的需要，引导学生思考如何将新型智能材料器件结构微型化，集成化。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vAlign w:val="center"/>
          </w:tcPr>
          <w:p>
            <w:pPr>
              <w:spacing w:before="156" w:beforeLines="50" w:after="156" w:afterLines="50" w:line="360" w:lineRule="auto"/>
              <w:jc w:val="center"/>
              <w:rPr>
                <w:rFonts w:hint="eastAsia" w:eastAsia="黑体"/>
                <w:b/>
                <w:kern w:val="0"/>
                <w:sz w:val="20"/>
                <w:szCs w:val="21"/>
              </w:rPr>
            </w:pPr>
            <w:r>
              <w:rPr>
                <w:rFonts w:hint="eastAsia" w:eastAsia="黑体"/>
                <w:b/>
                <w:kern w:val="0"/>
                <w:sz w:val="20"/>
                <w:szCs w:val="21"/>
              </w:rPr>
              <w:t>3</w:t>
            </w:r>
          </w:p>
        </w:tc>
        <w:tc>
          <w:tcPr>
            <w:tcW w:w="5121" w:type="dxa"/>
            <w:vAlign w:val="center"/>
          </w:tcPr>
          <w:p>
            <w:pPr>
              <w:ind w:left="105" w:leftChars="50"/>
              <w:jc w:val="center"/>
              <w:rPr>
                <w:rFonts w:hint="eastAsia" w:eastAsia="黑体"/>
                <w:b/>
                <w:kern w:val="0"/>
                <w:sz w:val="20"/>
                <w:szCs w:val="21"/>
              </w:rPr>
            </w:pPr>
            <w:bookmarkStart w:id="49" w:name="OLE_LINK9"/>
            <w:r>
              <w:rPr>
                <w:rFonts w:hint="eastAsia"/>
                <w:color w:val="000000"/>
                <w:sz w:val="18"/>
                <w:szCs w:val="18"/>
              </w:rPr>
              <w:t>巨磁电阻效应及传感器</w:t>
            </w:r>
            <w:bookmarkEnd w:id="49"/>
          </w:p>
        </w:tc>
        <w:tc>
          <w:tcPr>
            <w:tcW w:w="6857" w:type="dxa"/>
            <w:vAlign w:val="center"/>
          </w:tcPr>
          <w:p>
            <w:pPr>
              <w:spacing w:before="156" w:beforeLines="50" w:after="156" w:afterLines="50" w:line="360" w:lineRule="auto"/>
              <w:jc w:val="left"/>
              <w:rPr>
                <w:rFonts w:hint="eastAsia" w:ascii="宋体" w:hAnsi="宋体"/>
                <w:kern w:val="0"/>
                <w:sz w:val="18"/>
                <w:szCs w:val="18"/>
              </w:rPr>
            </w:pPr>
            <w:r>
              <w:rPr>
                <w:rFonts w:hint="eastAsia" w:ascii="宋体" w:hAnsi="宋体"/>
                <w:kern w:val="0"/>
                <w:sz w:val="18"/>
                <w:szCs w:val="18"/>
              </w:rPr>
              <w:t>科学精神：2007年物理诺贝尔奖得奖题目为“巨磁阻效应”，此效应的发现不但开启了自旋电子学的大门,而且使磁性记录的技术有了重大的跃进，通过讲述让学生了解前沿研究方向自旋电子学。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vAlign w:val="center"/>
          </w:tcPr>
          <w:p>
            <w:pPr>
              <w:spacing w:before="156" w:beforeLines="50" w:after="156" w:afterLines="50" w:line="360" w:lineRule="auto"/>
              <w:jc w:val="center"/>
              <w:rPr>
                <w:rFonts w:hint="eastAsia" w:eastAsia="黑体"/>
                <w:b/>
                <w:kern w:val="0"/>
                <w:sz w:val="20"/>
                <w:szCs w:val="21"/>
              </w:rPr>
            </w:pPr>
            <w:r>
              <w:rPr>
                <w:rFonts w:hint="eastAsia" w:eastAsia="黑体"/>
                <w:b/>
                <w:kern w:val="0"/>
                <w:sz w:val="20"/>
                <w:szCs w:val="21"/>
              </w:rPr>
              <w:t>4</w:t>
            </w:r>
          </w:p>
        </w:tc>
        <w:tc>
          <w:tcPr>
            <w:tcW w:w="5121" w:type="dxa"/>
            <w:vAlign w:val="center"/>
          </w:tcPr>
          <w:p>
            <w:pPr>
              <w:ind w:left="105" w:leftChars="50"/>
              <w:jc w:val="center"/>
              <w:rPr>
                <w:rFonts w:hint="eastAsia"/>
                <w:color w:val="000000"/>
                <w:sz w:val="18"/>
                <w:szCs w:val="18"/>
              </w:rPr>
            </w:pPr>
            <w:bookmarkStart w:id="50" w:name="OLE_LINK18"/>
            <w:r>
              <w:rPr>
                <w:rFonts w:hint="eastAsia"/>
                <w:color w:val="000000"/>
                <w:sz w:val="18"/>
                <w:szCs w:val="18"/>
              </w:rPr>
              <w:t>形状记忆合金</w:t>
            </w:r>
            <w:bookmarkEnd w:id="50"/>
            <w:r>
              <w:rPr>
                <w:rFonts w:hint="eastAsia"/>
                <w:color w:val="000000"/>
                <w:sz w:val="18"/>
                <w:szCs w:val="18"/>
              </w:rPr>
              <w:t>在医学方面的应用</w:t>
            </w:r>
          </w:p>
        </w:tc>
        <w:tc>
          <w:tcPr>
            <w:tcW w:w="6857" w:type="dxa"/>
            <w:vAlign w:val="center"/>
          </w:tcPr>
          <w:p>
            <w:pPr>
              <w:spacing w:before="156" w:beforeLines="50" w:after="156" w:afterLines="50" w:line="360" w:lineRule="auto"/>
              <w:jc w:val="left"/>
              <w:rPr>
                <w:rFonts w:hint="eastAsia" w:ascii="宋体" w:hAnsi="宋体"/>
                <w:kern w:val="0"/>
                <w:sz w:val="18"/>
                <w:szCs w:val="18"/>
              </w:rPr>
            </w:pPr>
            <w:r>
              <w:rPr>
                <w:rFonts w:hint="eastAsia" w:ascii="宋体" w:hAnsi="宋体"/>
                <w:kern w:val="0"/>
                <w:sz w:val="18"/>
                <w:szCs w:val="18"/>
              </w:rPr>
              <w:t>社会责任：形状记忆材料作为集传感与驱动于一体的材料在当今医学方面的应用广泛，通过应用举例让学生了解智能材料在实际生活中的有效应用，并鼓励学生探索发现新型优异性能的智能传感材料。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vAlign w:val="center"/>
          </w:tcPr>
          <w:p>
            <w:pPr>
              <w:spacing w:before="156" w:beforeLines="50" w:after="156" w:afterLines="50" w:line="360" w:lineRule="auto"/>
              <w:jc w:val="center"/>
              <w:rPr>
                <w:rFonts w:hint="eastAsia" w:eastAsia="黑体"/>
                <w:b/>
                <w:kern w:val="0"/>
                <w:sz w:val="20"/>
                <w:szCs w:val="21"/>
              </w:rPr>
            </w:pPr>
            <w:r>
              <w:rPr>
                <w:rFonts w:hint="eastAsia" w:eastAsia="黑体"/>
                <w:b/>
                <w:kern w:val="0"/>
                <w:sz w:val="20"/>
                <w:szCs w:val="21"/>
              </w:rPr>
              <w:t>5</w:t>
            </w:r>
          </w:p>
        </w:tc>
        <w:tc>
          <w:tcPr>
            <w:tcW w:w="5121" w:type="dxa"/>
            <w:vAlign w:val="center"/>
          </w:tcPr>
          <w:p>
            <w:pPr>
              <w:ind w:left="105" w:leftChars="50"/>
              <w:jc w:val="center"/>
              <w:rPr>
                <w:rFonts w:hint="eastAsia"/>
                <w:color w:val="000000"/>
                <w:sz w:val="18"/>
                <w:szCs w:val="18"/>
              </w:rPr>
            </w:pPr>
            <w:r>
              <w:rPr>
                <w:rFonts w:hint="eastAsia"/>
                <w:color w:val="000000"/>
                <w:sz w:val="18"/>
                <w:szCs w:val="18"/>
              </w:rPr>
              <w:t>电流液材料的设计与制备</w:t>
            </w:r>
          </w:p>
        </w:tc>
        <w:tc>
          <w:tcPr>
            <w:tcW w:w="6857" w:type="dxa"/>
            <w:vAlign w:val="center"/>
          </w:tcPr>
          <w:p>
            <w:pPr>
              <w:spacing w:before="156" w:beforeLines="50" w:after="156" w:afterLines="50" w:line="360" w:lineRule="auto"/>
              <w:jc w:val="left"/>
              <w:rPr>
                <w:rFonts w:hint="eastAsia" w:ascii="宋体" w:hAnsi="宋体"/>
                <w:kern w:val="0"/>
                <w:sz w:val="18"/>
                <w:szCs w:val="18"/>
              </w:rPr>
            </w:pPr>
            <w:r>
              <w:rPr>
                <w:rFonts w:hint="eastAsia" w:ascii="宋体" w:hAnsi="宋体"/>
                <w:kern w:val="0"/>
                <w:sz w:val="18"/>
                <w:szCs w:val="18"/>
              </w:rPr>
              <w:t>工匠精神：</w:t>
            </w:r>
            <w:r>
              <w:rPr>
                <w:rFonts w:hint="eastAsia"/>
                <w:color w:val="000000"/>
                <w:sz w:val="18"/>
                <w:szCs w:val="18"/>
              </w:rPr>
              <w:t>对流变体智能材料设计的精益求精、对制造的一丝不苟、对完美的孜孜追求。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vAlign w:val="center"/>
          </w:tcPr>
          <w:p>
            <w:pPr>
              <w:spacing w:before="156" w:beforeLines="50" w:after="156" w:afterLines="50" w:line="360" w:lineRule="auto"/>
              <w:jc w:val="center"/>
              <w:rPr>
                <w:rFonts w:hint="eastAsia" w:eastAsia="黑体"/>
                <w:b/>
                <w:kern w:val="0"/>
                <w:sz w:val="20"/>
                <w:szCs w:val="21"/>
              </w:rPr>
            </w:pPr>
            <w:r>
              <w:rPr>
                <w:rFonts w:hint="eastAsia" w:eastAsia="黑体"/>
                <w:b/>
                <w:kern w:val="0"/>
                <w:sz w:val="20"/>
                <w:szCs w:val="21"/>
              </w:rPr>
              <w:t>6</w:t>
            </w:r>
          </w:p>
        </w:tc>
        <w:tc>
          <w:tcPr>
            <w:tcW w:w="5121" w:type="dxa"/>
            <w:vAlign w:val="center"/>
          </w:tcPr>
          <w:p>
            <w:pPr>
              <w:ind w:left="105" w:leftChars="50"/>
              <w:jc w:val="center"/>
              <w:rPr>
                <w:rFonts w:hint="eastAsia"/>
                <w:color w:val="000000"/>
                <w:sz w:val="18"/>
                <w:szCs w:val="18"/>
              </w:rPr>
            </w:pPr>
            <w:bookmarkStart w:id="51" w:name="OLE_LINK11"/>
            <w:bookmarkStart w:id="52" w:name="OLE_LINK10"/>
            <w:r>
              <w:rPr>
                <w:rFonts w:hint="eastAsia"/>
                <w:color w:val="000000"/>
                <w:sz w:val="18"/>
                <w:szCs w:val="18"/>
              </w:rPr>
              <w:t>光纤材料与传感器</w:t>
            </w:r>
            <w:bookmarkEnd w:id="51"/>
            <w:bookmarkEnd w:id="52"/>
          </w:p>
        </w:tc>
        <w:tc>
          <w:tcPr>
            <w:tcW w:w="6857" w:type="dxa"/>
            <w:vAlign w:val="center"/>
          </w:tcPr>
          <w:p>
            <w:pPr>
              <w:spacing w:before="156" w:beforeLines="50" w:after="156" w:afterLines="50" w:line="360" w:lineRule="auto"/>
              <w:jc w:val="left"/>
              <w:rPr>
                <w:rFonts w:hint="eastAsia" w:ascii="宋体" w:hAnsi="宋体"/>
                <w:kern w:val="0"/>
                <w:sz w:val="18"/>
                <w:szCs w:val="18"/>
              </w:rPr>
            </w:pPr>
            <w:r>
              <w:rPr>
                <w:rFonts w:hint="eastAsia" w:ascii="宋体" w:hAnsi="宋体"/>
                <w:kern w:val="0"/>
                <w:sz w:val="18"/>
                <w:szCs w:val="18"/>
              </w:rPr>
              <w:t>家国情怀：在课程讲解过程中，为学生穿插时事政治的讲解，尤其是中国的高科技公司联想、中兴、华为在对待科技的认知和态度。鼓励学生在祖国扬帆起航的大海上，要做知识和技术创新的弄潮儿，更要做有使命担当、有国之骄傲的社会栋梁。</w:t>
            </w:r>
          </w:p>
        </w:tc>
      </w:tr>
    </w:tbl>
    <w:p>
      <w:pPr>
        <w:rPr>
          <w:rFonts w:ascii="宋体" w:hAnsi="宋体" w:cs="宋体"/>
          <w:b/>
          <w:bCs/>
          <w:color w:val="0000FF"/>
          <w:sz w:val="18"/>
          <w:szCs w:val="18"/>
        </w:rPr>
        <w:sectPr>
          <w:pgSz w:w="16838" w:h="11906" w:orient="landscape"/>
          <w:pgMar w:top="1418" w:right="1440" w:bottom="1418" w:left="1440" w:header="851" w:footer="992" w:gutter="0"/>
          <w:pgNumType w:fmt="decimal"/>
          <w:cols w:space="720" w:num="1"/>
          <w:docGrid w:type="linesAndChars" w:linePitch="312" w:charSpace="0"/>
        </w:sectPr>
      </w:pPr>
    </w:p>
    <w:p>
      <w:pPr>
        <w:spacing w:before="156" w:beforeLines="50" w:after="156" w:afterLines="50" w:line="420" w:lineRule="exact"/>
        <w:rPr>
          <w:rFonts w:ascii="黑体" w:eastAsia="黑体"/>
          <w:bCs/>
          <w:szCs w:val="21"/>
        </w:rPr>
      </w:pPr>
      <w:r>
        <w:rPr>
          <w:rFonts w:hint="eastAsia" w:ascii="黑体" w:eastAsia="黑体"/>
          <w:bCs/>
          <w:szCs w:val="21"/>
        </w:rPr>
        <w:t>三、本课程开设的实验项目</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3202"/>
        <w:gridCol w:w="709"/>
        <w:gridCol w:w="851"/>
        <w:gridCol w:w="850"/>
        <w:gridCol w:w="1418"/>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91" w:type="dxa"/>
            <w:shd w:val="clear" w:color="auto" w:fill="F2F2F2"/>
            <w:vAlign w:val="center"/>
          </w:tcPr>
          <w:p>
            <w:pPr>
              <w:spacing w:line="420" w:lineRule="exact"/>
              <w:jc w:val="center"/>
              <w:rPr>
                <w:b/>
                <w:color w:val="000000"/>
                <w:sz w:val="18"/>
                <w:szCs w:val="18"/>
              </w:rPr>
            </w:pPr>
            <w:r>
              <w:rPr>
                <w:rFonts w:hint="eastAsia"/>
                <w:b/>
                <w:color w:val="000000"/>
                <w:sz w:val="18"/>
                <w:szCs w:val="18"/>
              </w:rPr>
              <w:t>编号</w:t>
            </w:r>
          </w:p>
        </w:tc>
        <w:tc>
          <w:tcPr>
            <w:tcW w:w="3202" w:type="dxa"/>
            <w:shd w:val="clear" w:color="auto" w:fill="F2F2F2"/>
            <w:vAlign w:val="center"/>
          </w:tcPr>
          <w:p>
            <w:pPr>
              <w:spacing w:line="420" w:lineRule="exact"/>
              <w:jc w:val="center"/>
              <w:rPr>
                <w:b/>
                <w:color w:val="000000"/>
                <w:sz w:val="18"/>
                <w:szCs w:val="18"/>
              </w:rPr>
            </w:pPr>
            <w:r>
              <w:rPr>
                <w:rFonts w:hint="eastAsia"/>
                <w:b/>
                <w:color w:val="000000"/>
                <w:sz w:val="18"/>
                <w:szCs w:val="18"/>
              </w:rPr>
              <w:t>实验项目名称</w:t>
            </w:r>
          </w:p>
        </w:tc>
        <w:tc>
          <w:tcPr>
            <w:tcW w:w="709" w:type="dxa"/>
            <w:shd w:val="clear" w:color="auto" w:fill="F2F2F2"/>
            <w:vAlign w:val="center"/>
          </w:tcPr>
          <w:p>
            <w:pPr>
              <w:spacing w:line="420" w:lineRule="exact"/>
              <w:jc w:val="center"/>
              <w:rPr>
                <w:b/>
                <w:color w:val="000000"/>
                <w:sz w:val="18"/>
                <w:szCs w:val="18"/>
              </w:rPr>
            </w:pPr>
            <w:r>
              <w:rPr>
                <w:rFonts w:hint="eastAsia"/>
                <w:b/>
                <w:color w:val="000000"/>
                <w:sz w:val="18"/>
                <w:szCs w:val="18"/>
              </w:rPr>
              <w:t>学时</w:t>
            </w:r>
          </w:p>
        </w:tc>
        <w:tc>
          <w:tcPr>
            <w:tcW w:w="851" w:type="dxa"/>
            <w:shd w:val="clear" w:color="auto" w:fill="F2F2F2"/>
            <w:vAlign w:val="center"/>
          </w:tcPr>
          <w:p>
            <w:pPr>
              <w:spacing w:line="420" w:lineRule="exact"/>
              <w:jc w:val="center"/>
              <w:rPr>
                <w:b/>
                <w:color w:val="000000"/>
                <w:sz w:val="18"/>
                <w:szCs w:val="18"/>
              </w:rPr>
            </w:pPr>
            <w:r>
              <w:rPr>
                <w:rFonts w:hint="eastAsia"/>
                <w:b/>
                <w:color w:val="000000"/>
                <w:sz w:val="18"/>
                <w:szCs w:val="18"/>
              </w:rPr>
              <w:t>类型</w:t>
            </w:r>
          </w:p>
        </w:tc>
        <w:tc>
          <w:tcPr>
            <w:tcW w:w="850" w:type="dxa"/>
            <w:shd w:val="clear" w:color="auto" w:fill="F2F2F2"/>
            <w:vAlign w:val="center"/>
          </w:tcPr>
          <w:p>
            <w:pPr>
              <w:spacing w:line="420" w:lineRule="exact"/>
              <w:jc w:val="center"/>
              <w:rPr>
                <w:b/>
                <w:color w:val="000000"/>
                <w:sz w:val="18"/>
                <w:szCs w:val="18"/>
              </w:rPr>
            </w:pPr>
            <w:r>
              <w:rPr>
                <w:rFonts w:hint="eastAsia"/>
                <w:b/>
                <w:color w:val="000000"/>
                <w:sz w:val="18"/>
                <w:szCs w:val="18"/>
              </w:rPr>
              <w:t>要求</w:t>
            </w:r>
          </w:p>
        </w:tc>
        <w:tc>
          <w:tcPr>
            <w:tcW w:w="1418" w:type="dxa"/>
            <w:shd w:val="clear" w:color="auto" w:fill="F2F2F2"/>
            <w:vAlign w:val="center"/>
          </w:tcPr>
          <w:p>
            <w:pPr>
              <w:spacing w:line="420" w:lineRule="exact"/>
              <w:jc w:val="center"/>
              <w:rPr>
                <w:b/>
                <w:color w:val="000000"/>
                <w:sz w:val="18"/>
                <w:szCs w:val="18"/>
              </w:rPr>
            </w:pPr>
            <w:r>
              <w:rPr>
                <w:rFonts w:hint="eastAsia"/>
                <w:b/>
                <w:color w:val="000000"/>
                <w:sz w:val="18"/>
                <w:szCs w:val="18"/>
              </w:rPr>
              <w:t>支撑课程目标</w:t>
            </w:r>
          </w:p>
        </w:tc>
        <w:tc>
          <w:tcPr>
            <w:tcW w:w="1197" w:type="dxa"/>
            <w:shd w:val="clear" w:color="auto" w:fill="F2F2F2"/>
            <w:vAlign w:val="center"/>
          </w:tcPr>
          <w:p>
            <w:pPr>
              <w:spacing w:line="420" w:lineRule="exact"/>
              <w:jc w:val="center"/>
              <w:rPr>
                <w:rFonts w:hint="eastAsia"/>
                <w:b/>
                <w:color w:val="000000"/>
                <w:sz w:val="18"/>
                <w:szCs w:val="18"/>
              </w:rPr>
            </w:pPr>
            <w:r>
              <w:rPr>
                <w:rFonts w:hint="eastAsia"/>
                <w:b/>
                <w:color w:val="000000"/>
                <w:sz w:val="18"/>
                <w:szCs w:val="18"/>
              </w:rPr>
              <w:t>支撑的毕业要求指标点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91" w:type="dxa"/>
          </w:tcPr>
          <w:p>
            <w:pPr>
              <w:spacing w:line="420" w:lineRule="exact"/>
              <w:jc w:val="center"/>
              <w:rPr>
                <w:bCs/>
                <w:sz w:val="18"/>
                <w:szCs w:val="18"/>
              </w:rPr>
            </w:pPr>
            <w:r>
              <w:rPr>
                <w:rFonts w:hint="eastAsia"/>
                <w:bCs/>
                <w:sz w:val="18"/>
                <w:szCs w:val="18"/>
              </w:rPr>
              <w:t>1</w:t>
            </w:r>
          </w:p>
        </w:tc>
        <w:tc>
          <w:tcPr>
            <w:tcW w:w="3202" w:type="dxa"/>
          </w:tcPr>
          <w:p>
            <w:pPr>
              <w:spacing w:line="420" w:lineRule="exact"/>
              <w:rPr>
                <w:bCs/>
                <w:sz w:val="18"/>
                <w:szCs w:val="18"/>
              </w:rPr>
            </w:pPr>
            <w:bookmarkStart w:id="53" w:name="OLE_LINK13"/>
            <w:bookmarkStart w:id="54" w:name="OLE_LINK12"/>
            <w:r>
              <w:rPr>
                <w:rFonts w:hint="eastAsia" w:hAnsi="宋体"/>
                <w:bCs/>
                <w:sz w:val="18"/>
                <w:szCs w:val="18"/>
              </w:rPr>
              <w:t>压电材料的压电常数d33测试</w:t>
            </w:r>
            <w:bookmarkEnd w:id="53"/>
            <w:bookmarkEnd w:id="54"/>
          </w:p>
        </w:tc>
        <w:tc>
          <w:tcPr>
            <w:tcW w:w="709" w:type="dxa"/>
          </w:tcPr>
          <w:p>
            <w:pPr>
              <w:spacing w:line="420" w:lineRule="exact"/>
              <w:jc w:val="center"/>
              <w:rPr>
                <w:bCs/>
                <w:sz w:val="18"/>
                <w:szCs w:val="18"/>
              </w:rPr>
            </w:pPr>
            <w:r>
              <w:rPr>
                <w:rFonts w:hint="eastAsia"/>
                <w:bCs/>
                <w:sz w:val="18"/>
                <w:szCs w:val="18"/>
              </w:rPr>
              <w:t>2</w:t>
            </w:r>
          </w:p>
        </w:tc>
        <w:tc>
          <w:tcPr>
            <w:tcW w:w="851" w:type="dxa"/>
          </w:tcPr>
          <w:p>
            <w:pPr>
              <w:spacing w:line="420" w:lineRule="exact"/>
              <w:jc w:val="center"/>
              <w:rPr>
                <w:bCs/>
                <w:sz w:val="18"/>
                <w:szCs w:val="18"/>
              </w:rPr>
            </w:pPr>
            <w:r>
              <w:rPr>
                <w:rFonts w:hint="eastAsia" w:hAnsi="宋体"/>
                <w:bCs/>
                <w:sz w:val="18"/>
                <w:szCs w:val="18"/>
              </w:rPr>
              <w:t>综合性</w:t>
            </w:r>
          </w:p>
        </w:tc>
        <w:tc>
          <w:tcPr>
            <w:tcW w:w="850" w:type="dxa"/>
          </w:tcPr>
          <w:p>
            <w:pPr>
              <w:spacing w:line="420" w:lineRule="exact"/>
              <w:jc w:val="center"/>
              <w:rPr>
                <w:bCs/>
                <w:sz w:val="18"/>
                <w:szCs w:val="18"/>
              </w:rPr>
            </w:pPr>
            <w:r>
              <w:rPr>
                <w:rFonts w:hint="eastAsia" w:hAnsi="宋体"/>
                <w:bCs/>
                <w:sz w:val="18"/>
                <w:szCs w:val="18"/>
              </w:rPr>
              <w:t>必做</w:t>
            </w:r>
          </w:p>
        </w:tc>
        <w:tc>
          <w:tcPr>
            <w:tcW w:w="1418" w:type="dxa"/>
          </w:tcPr>
          <w:p>
            <w:pPr>
              <w:spacing w:line="420" w:lineRule="exact"/>
              <w:jc w:val="center"/>
              <w:rPr>
                <w:bCs/>
                <w:sz w:val="18"/>
                <w:szCs w:val="18"/>
              </w:rPr>
            </w:pPr>
            <w:r>
              <w:rPr>
                <w:rFonts w:hint="eastAsia"/>
                <w:bCs/>
                <w:sz w:val="18"/>
                <w:szCs w:val="18"/>
              </w:rPr>
              <w:t>3</w:t>
            </w:r>
          </w:p>
        </w:tc>
        <w:tc>
          <w:tcPr>
            <w:tcW w:w="1197" w:type="dxa"/>
          </w:tcPr>
          <w:p>
            <w:pPr>
              <w:spacing w:line="420" w:lineRule="exact"/>
              <w:jc w:val="center"/>
              <w:rPr>
                <w:rFonts w:hint="eastAsia"/>
                <w:b/>
                <w:color w:val="000000"/>
                <w:sz w:val="18"/>
                <w:szCs w:val="18"/>
              </w:rPr>
            </w:pPr>
            <w:r>
              <w:rPr>
                <w:rFonts w:hint="eastAsia"/>
                <w:bCs/>
                <w:color w:val="000000"/>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91" w:type="dxa"/>
          </w:tcPr>
          <w:p>
            <w:pPr>
              <w:spacing w:line="420" w:lineRule="exact"/>
              <w:jc w:val="center"/>
              <w:rPr>
                <w:bCs/>
                <w:sz w:val="18"/>
                <w:szCs w:val="18"/>
              </w:rPr>
            </w:pPr>
            <w:r>
              <w:rPr>
                <w:rFonts w:hint="eastAsia"/>
                <w:bCs/>
                <w:sz w:val="18"/>
                <w:szCs w:val="18"/>
              </w:rPr>
              <w:t>2</w:t>
            </w:r>
          </w:p>
        </w:tc>
        <w:tc>
          <w:tcPr>
            <w:tcW w:w="3202" w:type="dxa"/>
          </w:tcPr>
          <w:p>
            <w:pPr>
              <w:spacing w:line="420" w:lineRule="exact"/>
              <w:rPr>
                <w:bCs/>
                <w:sz w:val="18"/>
                <w:szCs w:val="18"/>
              </w:rPr>
            </w:pPr>
            <w:r>
              <w:rPr>
                <w:bCs/>
                <w:sz w:val="18"/>
                <w:szCs w:val="18"/>
              </w:rPr>
              <w:t>铁电体电滞回线测量</w:t>
            </w:r>
          </w:p>
        </w:tc>
        <w:tc>
          <w:tcPr>
            <w:tcW w:w="709" w:type="dxa"/>
          </w:tcPr>
          <w:p>
            <w:pPr>
              <w:spacing w:line="420" w:lineRule="exact"/>
              <w:jc w:val="center"/>
              <w:rPr>
                <w:bCs/>
                <w:sz w:val="18"/>
                <w:szCs w:val="18"/>
              </w:rPr>
            </w:pPr>
            <w:r>
              <w:rPr>
                <w:rFonts w:hint="eastAsia"/>
                <w:bCs/>
                <w:sz w:val="18"/>
                <w:szCs w:val="18"/>
              </w:rPr>
              <w:t>2</w:t>
            </w:r>
          </w:p>
        </w:tc>
        <w:tc>
          <w:tcPr>
            <w:tcW w:w="851" w:type="dxa"/>
          </w:tcPr>
          <w:p>
            <w:pPr>
              <w:spacing w:line="420" w:lineRule="exact"/>
              <w:jc w:val="center"/>
              <w:rPr>
                <w:bCs/>
                <w:sz w:val="18"/>
                <w:szCs w:val="18"/>
              </w:rPr>
            </w:pPr>
            <w:r>
              <w:rPr>
                <w:rFonts w:hint="eastAsia" w:hAnsi="宋体"/>
                <w:bCs/>
                <w:sz w:val="18"/>
                <w:szCs w:val="18"/>
              </w:rPr>
              <w:t>综合性</w:t>
            </w:r>
          </w:p>
        </w:tc>
        <w:tc>
          <w:tcPr>
            <w:tcW w:w="850" w:type="dxa"/>
          </w:tcPr>
          <w:p>
            <w:pPr>
              <w:spacing w:line="420" w:lineRule="exact"/>
              <w:jc w:val="center"/>
              <w:rPr>
                <w:bCs/>
                <w:sz w:val="18"/>
                <w:szCs w:val="18"/>
              </w:rPr>
            </w:pPr>
            <w:r>
              <w:rPr>
                <w:rFonts w:hint="eastAsia" w:hAnsi="宋体"/>
                <w:bCs/>
                <w:sz w:val="18"/>
                <w:szCs w:val="18"/>
              </w:rPr>
              <w:t>必做</w:t>
            </w:r>
          </w:p>
        </w:tc>
        <w:tc>
          <w:tcPr>
            <w:tcW w:w="1418" w:type="dxa"/>
          </w:tcPr>
          <w:p>
            <w:pPr>
              <w:spacing w:line="420" w:lineRule="exact"/>
              <w:jc w:val="center"/>
              <w:rPr>
                <w:rFonts w:eastAsia="黑体"/>
                <w:bCs/>
                <w:sz w:val="18"/>
                <w:szCs w:val="18"/>
              </w:rPr>
            </w:pPr>
            <w:r>
              <w:rPr>
                <w:rFonts w:hint="eastAsia"/>
                <w:bCs/>
                <w:sz w:val="18"/>
                <w:szCs w:val="18"/>
              </w:rPr>
              <w:t>3，4</w:t>
            </w:r>
          </w:p>
        </w:tc>
        <w:tc>
          <w:tcPr>
            <w:tcW w:w="1197" w:type="dxa"/>
          </w:tcPr>
          <w:p>
            <w:pPr>
              <w:spacing w:line="420" w:lineRule="exact"/>
              <w:jc w:val="center"/>
              <w:rPr>
                <w:rFonts w:hint="eastAsia"/>
                <w:bCs/>
                <w:sz w:val="18"/>
                <w:szCs w:val="18"/>
              </w:rPr>
            </w:pPr>
            <w:r>
              <w:rPr>
                <w:rFonts w:hint="eastAsia"/>
                <w:bCs/>
                <w:sz w:val="18"/>
                <w:szCs w:val="18"/>
                <w:lang w:val="en-US" w:eastAsia="zh-CN"/>
              </w:rPr>
              <w:t>1</w:t>
            </w:r>
            <w:r>
              <w:rPr>
                <w:rFonts w:hint="eastAsia"/>
                <w:bCs/>
                <w:sz w:val="18"/>
                <w:szCs w:val="18"/>
              </w:rPr>
              <w:t>-1</w:t>
            </w:r>
          </w:p>
          <w:p>
            <w:pPr>
              <w:spacing w:line="420" w:lineRule="exact"/>
              <w:jc w:val="center"/>
              <w:rPr>
                <w:rFonts w:hint="eastAsia" w:eastAsia="宋体"/>
                <w:bCs/>
                <w:sz w:val="18"/>
                <w:szCs w:val="18"/>
                <w:lang w:eastAsia="zh-CN"/>
              </w:rPr>
            </w:pPr>
            <w:r>
              <w:rPr>
                <w:rFonts w:hint="eastAsia"/>
                <w:bCs/>
                <w:sz w:val="18"/>
                <w:szCs w:val="18"/>
              </w:rPr>
              <w:t>2-</w:t>
            </w:r>
            <w:r>
              <w:rPr>
                <w:rFonts w:hint="eastAsia"/>
                <w:bCs/>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91" w:type="dxa"/>
          </w:tcPr>
          <w:p>
            <w:pPr>
              <w:spacing w:line="420" w:lineRule="exact"/>
              <w:jc w:val="center"/>
              <w:rPr>
                <w:rFonts w:hint="eastAsia"/>
                <w:bCs/>
                <w:sz w:val="18"/>
                <w:szCs w:val="18"/>
              </w:rPr>
            </w:pPr>
            <w:r>
              <w:rPr>
                <w:rFonts w:hint="eastAsia"/>
                <w:bCs/>
                <w:sz w:val="18"/>
                <w:szCs w:val="18"/>
              </w:rPr>
              <w:t>3</w:t>
            </w:r>
          </w:p>
        </w:tc>
        <w:tc>
          <w:tcPr>
            <w:tcW w:w="3202" w:type="dxa"/>
          </w:tcPr>
          <w:p>
            <w:pPr>
              <w:spacing w:line="420" w:lineRule="exact"/>
              <w:rPr>
                <w:rFonts w:hAnsi="宋体"/>
                <w:bCs/>
                <w:sz w:val="18"/>
                <w:szCs w:val="18"/>
              </w:rPr>
            </w:pPr>
            <w:r>
              <w:rPr>
                <w:rFonts w:hAnsi="宋体"/>
                <w:bCs/>
                <w:sz w:val="18"/>
                <w:szCs w:val="18"/>
              </w:rPr>
              <w:t>巨磁电阻效应及其应用</w:t>
            </w:r>
          </w:p>
        </w:tc>
        <w:tc>
          <w:tcPr>
            <w:tcW w:w="709" w:type="dxa"/>
          </w:tcPr>
          <w:p>
            <w:pPr>
              <w:spacing w:line="420" w:lineRule="exact"/>
              <w:jc w:val="center"/>
              <w:rPr>
                <w:rFonts w:hint="eastAsia"/>
                <w:bCs/>
                <w:sz w:val="18"/>
                <w:szCs w:val="18"/>
              </w:rPr>
            </w:pPr>
            <w:r>
              <w:rPr>
                <w:rFonts w:hint="eastAsia"/>
                <w:bCs/>
                <w:sz w:val="18"/>
                <w:szCs w:val="18"/>
              </w:rPr>
              <w:t>2</w:t>
            </w:r>
          </w:p>
        </w:tc>
        <w:tc>
          <w:tcPr>
            <w:tcW w:w="851" w:type="dxa"/>
          </w:tcPr>
          <w:p>
            <w:pPr>
              <w:spacing w:line="420" w:lineRule="exact"/>
              <w:jc w:val="center"/>
              <w:rPr>
                <w:rFonts w:hint="eastAsia" w:hAnsi="宋体"/>
                <w:bCs/>
                <w:sz w:val="18"/>
                <w:szCs w:val="18"/>
              </w:rPr>
            </w:pPr>
            <w:r>
              <w:rPr>
                <w:rFonts w:hint="eastAsia" w:hAnsi="宋体"/>
                <w:bCs/>
                <w:sz w:val="18"/>
                <w:szCs w:val="18"/>
              </w:rPr>
              <w:t>综合性</w:t>
            </w:r>
          </w:p>
        </w:tc>
        <w:tc>
          <w:tcPr>
            <w:tcW w:w="850" w:type="dxa"/>
          </w:tcPr>
          <w:p>
            <w:pPr>
              <w:spacing w:line="420" w:lineRule="exact"/>
              <w:jc w:val="center"/>
              <w:rPr>
                <w:rFonts w:hint="eastAsia" w:hAnsi="宋体"/>
                <w:bCs/>
                <w:sz w:val="18"/>
                <w:szCs w:val="18"/>
              </w:rPr>
            </w:pPr>
            <w:r>
              <w:rPr>
                <w:rFonts w:hint="eastAsia" w:hAnsi="宋体"/>
                <w:bCs/>
                <w:sz w:val="18"/>
                <w:szCs w:val="18"/>
              </w:rPr>
              <w:t>必做</w:t>
            </w:r>
          </w:p>
        </w:tc>
        <w:tc>
          <w:tcPr>
            <w:tcW w:w="1418" w:type="dxa"/>
          </w:tcPr>
          <w:p>
            <w:pPr>
              <w:spacing w:line="420" w:lineRule="exact"/>
              <w:jc w:val="center"/>
              <w:rPr>
                <w:rFonts w:hint="eastAsia"/>
                <w:bCs/>
                <w:sz w:val="18"/>
                <w:szCs w:val="18"/>
              </w:rPr>
            </w:pPr>
            <w:r>
              <w:rPr>
                <w:rFonts w:hint="eastAsia"/>
                <w:bCs/>
                <w:sz w:val="18"/>
                <w:szCs w:val="18"/>
              </w:rPr>
              <w:t>3，4</w:t>
            </w:r>
          </w:p>
        </w:tc>
        <w:tc>
          <w:tcPr>
            <w:tcW w:w="1197" w:type="dxa"/>
          </w:tcPr>
          <w:p>
            <w:pPr>
              <w:spacing w:line="420" w:lineRule="exact"/>
              <w:ind w:firstLine="360" w:firstLineChars="200"/>
              <w:rPr>
                <w:rFonts w:hint="eastAsia"/>
                <w:bCs/>
                <w:sz w:val="18"/>
                <w:szCs w:val="18"/>
              </w:rPr>
            </w:pPr>
            <w:r>
              <w:rPr>
                <w:rFonts w:hint="eastAsia"/>
                <w:bCs/>
                <w:sz w:val="18"/>
                <w:szCs w:val="18"/>
                <w:lang w:val="en-US" w:eastAsia="zh-CN"/>
              </w:rPr>
              <w:t>1</w:t>
            </w:r>
            <w:r>
              <w:rPr>
                <w:rFonts w:hint="eastAsia"/>
                <w:bCs/>
                <w:sz w:val="18"/>
                <w:szCs w:val="18"/>
              </w:rPr>
              <w:t>-1</w:t>
            </w:r>
          </w:p>
          <w:p>
            <w:pPr>
              <w:spacing w:line="420" w:lineRule="exact"/>
              <w:ind w:firstLine="360" w:firstLineChars="200"/>
              <w:rPr>
                <w:rFonts w:hint="eastAsia" w:eastAsia="宋体"/>
                <w:bCs/>
                <w:sz w:val="18"/>
                <w:szCs w:val="18"/>
                <w:lang w:eastAsia="zh-CN"/>
              </w:rPr>
            </w:pPr>
            <w:r>
              <w:rPr>
                <w:rFonts w:hint="eastAsia"/>
                <w:bCs/>
                <w:sz w:val="18"/>
                <w:szCs w:val="18"/>
              </w:rPr>
              <w:t>2-</w:t>
            </w:r>
            <w:r>
              <w:rPr>
                <w:rFonts w:hint="eastAsia"/>
                <w:bCs/>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91" w:type="dxa"/>
          </w:tcPr>
          <w:p>
            <w:pPr>
              <w:spacing w:line="420" w:lineRule="exact"/>
              <w:jc w:val="center"/>
              <w:rPr>
                <w:rFonts w:hint="eastAsia"/>
                <w:bCs/>
                <w:sz w:val="18"/>
                <w:szCs w:val="18"/>
              </w:rPr>
            </w:pPr>
            <w:r>
              <w:rPr>
                <w:rFonts w:hint="eastAsia"/>
                <w:bCs/>
                <w:sz w:val="18"/>
                <w:szCs w:val="18"/>
              </w:rPr>
              <w:t>4</w:t>
            </w:r>
          </w:p>
        </w:tc>
        <w:tc>
          <w:tcPr>
            <w:tcW w:w="3202" w:type="dxa"/>
          </w:tcPr>
          <w:p>
            <w:pPr>
              <w:spacing w:line="420" w:lineRule="exact"/>
              <w:rPr>
                <w:rFonts w:hAnsi="宋体"/>
                <w:bCs/>
                <w:sz w:val="18"/>
                <w:szCs w:val="18"/>
              </w:rPr>
            </w:pPr>
            <w:r>
              <w:rPr>
                <w:rFonts w:hAnsi="宋体"/>
                <w:bCs/>
                <w:sz w:val="18"/>
                <w:szCs w:val="18"/>
              </w:rPr>
              <w:t>形状记忆合金模型的动作实验</w:t>
            </w:r>
          </w:p>
        </w:tc>
        <w:tc>
          <w:tcPr>
            <w:tcW w:w="709" w:type="dxa"/>
          </w:tcPr>
          <w:p>
            <w:pPr>
              <w:spacing w:line="420" w:lineRule="exact"/>
              <w:jc w:val="center"/>
              <w:rPr>
                <w:rFonts w:hint="eastAsia"/>
                <w:bCs/>
                <w:sz w:val="18"/>
                <w:szCs w:val="18"/>
              </w:rPr>
            </w:pPr>
            <w:r>
              <w:rPr>
                <w:rFonts w:hint="eastAsia"/>
                <w:bCs/>
                <w:sz w:val="18"/>
                <w:szCs w:val="18"/>
              </w:rPr>
              <w:t>2</w:t>
            </w:r>
          </w:p>
        </w:tc>
        <w:tc>
          <w:tcPr>
            <w:tcW w:w="851" w:type="dxa"/>
          </w:tcPr>
          <w:p>
            <w:pPr>
              <w:spacing w:line="420" w:lineRule="exact"/>
              <w:jc w:val="center"/>
              <w:rPr>
                <w:rFonts w:hint="eastAsia" w:hAnsi="宋体"/>
                <w:bCs/>
                <w:sz w:val="18"/>
                <w:szCs w:val="18"/>
              </w:rPr>
            </w:pPr>
            <w:r>
              <w:rPr>
                <w:rFonts w:hint="eastAsia" w:hAnsi="宋体"/>
                <w:bCs/>
                <w:sz w:val="18"/>
                <w:szCs w:val="18"/>
              </w:rPr>
              <w:t>验证性</w:t>
            </w:r>
          </w:p>
        </w:tc>
        <w:tc>
          <w:tcPr>
            <w:tcW w:w="850" w:type="dxa"/>
          </w:tcPr>
          <w:p>
            <w:pPr>
              <w:spacing w:line="420" w:lineRule="exact"/>
              <w:jc w:val="center"/>
              <w:rPr>
                <w:rFonts w:hint="eastAsia" w:hAnsi="宋体"/>
                <w:bCs/>
                <w:sz w:val="18"/>
                <w:szCs w:val="18"/>
              </w:rPr>
            </w:pPr>
            <w:r>
              <w:rPr>
                <w:rFonts w:hint="eastAsia" w:hAnsi="宋体"/>
                <w:bCs/>
                <w:sz w:val="18"/>
                <w:szCs w:val="18"/>
              </w:rPr>
              <w:t>必做</w:t>
            </w:r>
          </w:p>
        </w:tc>
        <w:tc>
          <w:tcPr>
            <w:tcW w:w="1418" w:type="dxa"/>
          </w:tcPr>
          <w:p>
            <w:pPr>
              <w:spacing w:line="420" w:lineRule="exact"/>
              <w:jc w:val="center"/>
              <w:rPr>
                <w:rFonts w:hint="eastAsia"/>
                <w:bCs/>
                <w:sz w:val="18"/>
                <w:szCs w:val="18"/>
              </w:rPr>
            </w:pPr>
            <w:r>
              <w:rPr>
                <w:rFonts w:hint="eastAsia"/>
                <w:bCs/>
                <w:sz w:val="18"/>
                <w:szCs w:val="18"/>
              </w:rPr>
              <w:t>4</w:t>
            </w:r>
          </w:p>
        </w:tc>
        <w:tc>
          <w:tcPr>
            <w:tcW w:w="1197" w:type="dxa"/>
          </w:tcPr>
          <w:p>
            <w:pPr>
              <w:spacing w:line="420" w:lineRule="exact"/>
              <w:ind w:firstLine="360" w:firstLineChars="200"/>
              <w:rPr>
                <w:rFonts w:hint="eastAsia" w:eastAsia="宋体"/>
                <w:bCs/>
                <w:sz w:val="18"/>
                <w:szCs w:val="18"/>
                <w:lang w:eastAsia="zh-CN"/>
              </w:rPr>
            </w:pPr>
            <w:r>
              <w:rPr>
                <w:rFonts w:hint="eastAsia"/>
                <w:bCs/>
                <w:sz w:val="18"/>
                <w:szCs w:val="18"/>
              </w:rPr>
              <w:t>2-</w:t>
            </w:r>
            <w:r>
              <w:rPr>
                <w:rFonts w:hint="eastAsia"/>
                <w:bCs/>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91" w:type="dxa"/>
          </w:tcPr>
          <w:p>
            <w:pPr>
              <w:spacing w:line="420" w:lineRule="exact"/>
              <w:jc w:val="center"/>
              <w:rPr>
                <w:rFonts w:hint="eastAsia"/>
                <w:bCs/>
                <w:sz w:val="18"/>
                <w:szCs w:val="18"/>
              </w:rPr>
            </w:pPr>
            <w:r>
              <w:rPr>
                <w:rFonts w:hint="eastAsia"/>
                <w:bCs/>
                <w:sz w:val="18"/>
                <w:szCs w:val="18"/>
              </w:rPr>
              <w:t>5</w:t>
            </w:r>
          </w:p>
        </w:tc>
        <w:tc>
          <w:tcPr>
            <w:tcW w:w="3202" w:type="dxa"/>
          </w:tcPr>
          <w:p>
            <w:pPr>
              <w:spacing w:line="420" w:lineRule="exact"/>
              <w:rPr>
                <w:rFonts w:hAnsi="宋体"/>
                <w:bCs/>
                <w:sz w:val="18"/>
                <w:szCs w:val="18"/>
              </w:rPr>
            </w:pPr>
            <w:r>
              <w:rPr>
                <w:rFonts w:hAnsi="宋体"/>
                <w:bCs/>
                <w:sz w:val="18"/>
                <w:szCs w:val="18"/>
              </w:rPr>
              <w:t>光敏电阻特性研究</w:t>
            </w:r>
          </w:p>
        </w:tc>
        <w:tc>
          <w:tcPr>
            <w:tcW w:w="709" w:type="dxa"/>
          </w:tcPr>
          <w:p>
            <w:pPr>
              <w:spacing w:line="420" w:lineRule="exact"/>
              <w:jc w:val="center"/>
              <w:rPr>
                <w:rFonts w:hint="eastAsia"/>
                <w:bCs/>
                <w:sz w:val="18"/>
                <w:szCs w:val="18"/>
              </w:rPr>
            </w:pPr>
            <w:r>
              <w:rPr>
                <w:rFonts w:hint="eastAsia"/>
                <w:bCs/>
                <w:sz w:val="18"/>
                <w:szCs w:val="18"/>
              </w:rPr>
              <w:t>2</w:t>
            </w:r>
          </w:p>
        </w:tc>
        <w:tc>
          <w:tcPr>
            <w:tcW w:w="851" w:type="dxa"/>
          </w:tcPr>
          <w:p>
            <w:pPr>
              <w:spacing w:line="420" w:lineRule="exact"/>
              <w:jc w:val="center"/>
              <w:rPr>
                <w:rFonts w:hAnsi="宋体"/>
                <w:bCs/>
                <w:sz w:val="18"/>
                <w:szCs w:val="18"/>
              </w:rPr>
            </w:pPr>
            <w:r>
              <w:rPr>
                <w:rFonts w:hAnsi="宋体"/>
                <w:bCs/>
                <w:sz w:val="18"/>
                <w:szCs w:val="18"/>
              </w:rPr>
              <w:t>验证性</w:t>
            </w:r>
          </w:p>
        </w:tc>
        <w:tc>
          <w:tcPr>
            <w:tcW w:w="850" w:type="dxa"/>
          </w:tcPr>
          <w:p>
            <w:pPr>
              <w:spacing w:line="420" w:lineRule="exact"/>
              <w:jc w:val="center"/>
              <w:rPr>
                <w:rFonts w:hint="eastAsia" w:hAnsi="宋体"/>
                <w:bCs/>
                <w:sz w:val="18"/>
                <w:szCs w:val="18"/>
              </w:rPr>
            </w:pPr>
            <w:r>
              <w:rPr>
                <w:rFonts w:hint="eastAsia" w:hAnsi="宋体"/>
                <w:bCs/>
                <w:sz w:val="18"/>
                <w:szCs w:val="18"/>
              </w:rPr>
              <w:t>必做</w:t>
            </w:r>
          </w:p>
        </w:tc>
        <w:tc>
          <w:tcPr>
            <w:tcW w:w="1418" w:type="dxa"/>
          </w:tcPr>
          <w:p>
            <w:pPr>
              <w:spacing w:line="420" w:lineRule="exact"/>
              <w:jc w:val="center"/>
              <w:rPr>
                <w:rFonts w:hint="eastAsia"/>
                <w:bCs/>
                <w:sz w:val="18"/>
                <w:szCs w:val="18"/>
              </w:rPr>
            </w:pPr>
            <w:r>
              <w:rPr>
                <w:rFonts w:hint="eastAsia"/>
                <w:bCs/>
                <w:sz w:val="18"/>
                <w:szCs w:val="18"/>
              </w:rPr>
              <w:t>3</w:t>
            </w:r>
          </w:p>
        </w:tc>
        <w:tc>
          <w:tcPr>
            <w:tcW w:w="1197" w:type="dxa"/>
          </w:tcPr>
          <w:p>
            <w:pPr>
              <w:spacing w:line="420" w:lineRule="exact"/>
              <w:jc w:val="center"/>
              <w:rPr>
                <w:rFonts w:hint="eastAsia"/>
                <w:bCs/>
                <w:sz w:val="18"/>
                <w:szCs w:val="18"/>
              </w:rPr>
            </w:pPr>
            <w:r>
              <w:rPr>
                <w:rFonts w:hint="eastAsia"/>
                <w:bCs/>
                <w:sz w:val="18"/>
                <w:szCs w:val="18"/>
              </w:rPr>
              <w:t>2-1</w:t>
            </w:r>
          </w:p>
        </w:tc>
      </w:tr>
    </w:tbl>
    <w:p>
      <w:pPr>
        <w:spacing w:line="360" w:lineRule="auto"/>
        <w:rPr>
          <w:rFonts w:hint="eastAsia"/>
          <w:color w:val="0000FF"/>
          <w:sz w:val="18"/>
          <w:szCs w:val="18"/>
        </w:rPr>
      </w:pPr>
    </w:p>
    <w:p>
      <w:pPr>
        <w:spacing w:line="360" w:lineRule="auto"/>
        <w:ind w:firstLine="422" w:firstLineChars="200"/>
        <w:rPr>
          <w:rFonts w:ascii="宋体" w:hAnsi="宋体"/>
          <w:color w:val="000000"/>
          <w:szCs w:val="21"/>
        </w:rPr>
      </w:pPr>
      <w:r>
        <w:rPr>
          <w:rFonts w:ascii="宋体" w:hAnsi="宋体"/>
          <w:b/>
          <w:color w:val="000000"/>
          <w:szCs w:val="21"/>
        </w:rPr>
        <w:t>实验一</w:t>
      </w:r>
      <w:r>
        <w:rPr>
          <w:rFonts w:hint="eastAsia" w:ascii="宋体" w:hAnsi="宋体"/>
          <w:b/>
          <w:color w:val="000000"/>
          <w:szCs w:val="21"/>
        </w:rPr>
        <w:t xml:space="preserve"> ：</w:t>
      </w:r>
      <w:r>
        <w:rPr>
          <w:rFonts w:hint="eastAsia" w:hAnsi="宋体"/>
          <w:b/>
          <w:bCs/>
          <w:szCs w:val="21"/>
        </w:rPr>
        <w:t>压电材料的压电常数</w:t>
      </w:r>
      <w:r>
        <w:rPr>
          <w:rFonts w:hint="eastAsia"/>
          <w:b/>
          <w:szCs w:val="21"/>
        </w:rPr>
        <w:t>d33</w:t>
      </w:r>
      <w:r>
        <w:rPr>
          <w:rFonts w:hint="eastAsia" w:hAnsi="宋体"/>
          <w:b/>
          <w:bCs/>
          <w:szCs w:val="21"/>
        </w:rPr>
        <w:t>测试</w:t>
      </w:r>
    </w:p>
    <w:p>
      <w:pPr>
        <w:spacing w:line="360" w:lineRule="auto"/>
        <w:ind w:firstLine="420" w:firstLineChars="200"/>
        <w:rPr>
          <w:rFonts w:hint="eastAsia"/>
        </w:rPr>
      </w:pPr>
      <w:r>
        <w:rPr>
          <w:color w:val="000000"/>
          <w:szCs w:val="21"/>
        </w:rPr>
        <w:t>实验目的：（</w:t>
      </w:r>
      <w:r>
        <w:rPr>
          <w:rFonts w:hint="eastAsia"/>
          <w:color w:val="000000"/>
          <w:szCs w:val="21"/>
        </w:rPr>
        <w:t>1</w:t>
      </w:r>
      <w:r>
        <w:rPr>
          <w:color w:val="000000"/>
          <w:szCs w:val="21"/>
        </w:rPr>
        <w:t>）</w:t>
      </w:r>
      <w:r>
        <w:t>掌握准静态d3</w:t>
      </w:r>
      <w:r>
        <w:rPr>
          <w:rFonts w:hint="eastAsia"/>
        </w:rPr>
        <w:t>3</w:t>
      </w:r>
      <w:r>
        <w:t>测试仪的使用方法以及测量压电常数</w:t>
      </w:r>
      <w:r>
        <w:rPr>
          <w:rFonts w:hint="eastAsia"/>
        </w:rPr>
        <w:t>d33</w:t>
      </w:r>
    </w:p>
    <w:p>
      <w:pPr>
        <w:spacing w:line="360" w:lineRule="auto"/>
        <w:ind w:firstLine="420" w:firstLineChars="200"/>
        <w:rPr>
          <w:rFonts w:hint="eastAsia"/>
        </w:rPr>
      </w:pPr>
      <w:r>
        <w:rPr>
          <w:rFonts w:hint="eastAsia"/>
        </w:rPr>
        <w:t xml:space="preserve">         （2）熟悉压电材料压电效应的基本原理</w:t>
      </w:r>
    </w:p>
    <w:p>
      <w:pPr>
        <w:spacing w:line="360" w:lineRule="auto"/>
        <w:ind w:firstLine="420" w:firstLineChars="200"/>
        <w:rPr>
          <w:color w:val="000000"/>
          <w:sz w:val="18"/>
          <w:szCs w:val="18"/>
        </w:rPr>
      </w:pPr>
      <w:bookmarkStart w:id="55" w:name="OLE_LINK16"/>
      <w:r>
        <w:rPr>
          <w:color w:val="000000"/>
          <w:szCs w:val="21"/>
        </w:rPr>
        <w:t>实验原理：</w:t>
      </w:r>
      <w:r>
        <w:rPr>
          <w:rFonts w:hint="eastAsia"/>
          <w:color w:val="000000"/>
          <w:szCs w:val="21"/>
        </w:rPr>
        <w:t>压电陶瓷，一种能够将机械能和电能互相转换的功能陶瓷材料，是一种具有压电效应的材料。当在某一特定方向对晶体施加应力时，在与应力垂直方向两端表面能出现数量相等、符号相反的束缚电荷，这一现象被称为“正压电效应”。逆压电效应（电致伸缩）：当一块具有压电效应的晶体置于外电场中，由于晶体的电极化造成的正负电荷中心位移，导致晶体形变，形变量与电场强度成正比。压电常数是反映力学量（应力或应变）与电学量（电位移或电场）间相互耦合的线性响应系数。通常用</w:t>
      </w:r>
      <w:r>
        <w:rPr>
          <w:color w:val="000000"/>
          <w:szCs w:val="21"/>
        </w:rPr>
        <w:t xml:space="preserve">dij </w:t>
      </w:r>
      <w:r>
        <w:rPr>
          <w:rFonts w:hint="eastAsia"/>
          <w:color w:val="000000"/>
          <w:szCs w:val="21"/>
        </w:rPr>
        <w:t>表示，下标中第一个数字代表电场方向或电极面的垂直方向，第二个数字代表应力或应变方向。</w:t>
      </w:r>
    </w:p>
    <w:p>
      <w:pPr>
        <w:spacing w:line="360" w:lineRule="auto"/>
        <w:ind w:firstLine="420" w:firstLineChars="200"/>
        <w:rPr>
          <w:color w:val="000000"/>
          <w:szCs w:val="21"/>
        </w:rPr>
      </w:pPr>
      <w:r>
        <w:rPr>
          <w:color w:val="000000"/>
          <w:szCs w:val="21"/>
        </w:rPr>
        <w:t>实验</w:t>
      </w:r>
      <w:r>
        <w:rPr>
          <w:rFonts w:hint="eastAsia"/>
          <w:color w:val="000000"/>
          <w:szCs w:val="21"/>
        </w:rPr>
        <w:t>设备</w:t>
      </w:r>
      <w:r>
        <w:rPr>
          <w:color w:val="000000"/>
          <w:szCs w:val="21"/>
        </w:rPr>
        <w:t>：准静态d</w:t>
      </w:r>
      <w:r>
        <w:rPr>
          <w:rFonts w:hint="eastAsia"/>
          <w:color w:val="000000"/>
          <w:szCs w:val="21"/>
        </w:rPr>
        <w:t>33测量仪，压电陶瓷等</w:t>
      </w:r>
    </w:p>
    <w:p>
      <w:pPr>
        <w:spacing w:line="360" w:lineRule="auto"/>
        <w:ind w:firstLine="420" w:firstLineChars="200"/>
        <w:rPr>
          <w:rFonts w:hint="eastAsia"/>
          <w:color w:val="000000"/>
          <w:szCs w:val="21"/>
        </w:rPr>
      </w:pPr>
      <w:r>
        <w:rPr>
          <w:color w:val="000000"/>
          <w:szCs w:val="21"/>
        </w:rPr>
        <w:t>实验安排：（</w:t>
      </w:r>
      <w:r>
        <w:rPr>
          <w:rFonts w:hint="eastAsia"/>
          <w:color w:val="000000"/>
          <w:szCs w:val="21"/>
        </w:rPr>
        <w:t>1</w:t>
      </w:r>
      <w:r>
        <w:rPr>
          <w:color w:val="000000"/>
          <w:szCs w:val="21"/>
        </w:rPr>
        <w:t>）</w:t>
      </w:r>
      <w:r>
        <w:rPr>
          <w:rFonts w:hint="eastAsia"/>
          <w:color w:val="000000"/>
          <w:szCs w:val="21"/>
        </w:rPr>
        <w:t>实验老师介绍使用压电常数测量仪测试</w:t>
      </w:r>
      <w:r>
        <w:rPr>
          <w:color w:val="000000"/>
          <w:szCs w:val="21"/>
        </w:rPr>
        <w:t xml:space="preserve">d33 </w:t>
      </w:r>
      <w:r>
        <w:rPr>
          <w:rFonts w:hint="eastAsia"/>
          <w:color w:val="000000"/>
          <w:szCs w:val="21"/>
        </w:rPr>
        <w:t>的原理与步骤；</w:t>
      </w:r>
    </w:p>
    <w:p>
      <w:pPr>
        <w:spacing w:line="360" w:lineRule="auto"/>
        <w:ind w:firstLine="1470" w:firstLineChars="700"/>
        <w:rPr>
          <w:color w:val="000000"/>
          <w:szCs w:val="21"/>
        </w:rPr>
      </w:pPr>
      <w:r>
        <w:rPr>
          <w:rFonts w:hint="eastAsia"/>
          <w:color w:val="000000"/>
          <w:szCs w:val="21"/>
        </w:rPr>
        <w:t>（2）测试压电陶瓷的压电常数。</w:t>
      </w:r>
    </w:p>
    <w:p>
      <w:pPr>
        <w:spacing w:line="360" w:lineRule="auto"/>
        <w:ind w:firstLine="420" w:firstLineChars="200"/>
        <w:rPr>
          <w:rFonts w:hint="eastAsia"/>
          <w:color w:val="000000"/>
          <w:szCs w:val="21"/>
        </w:rPr>
      </w:pPr>
      <w:r>
        <w:rPr>
          <w:color w:val="000000"/>
          <w:szCs w:val="21"/>
        </w:rPr>
        <w:t>实验报告要求：</w:t>
      </w:r>
      <w:r>
        <w:rPr>
          <w:rFonts w:hint="eastAsia"/>
          <w:color w:val="000000"/>
          <w:szCs w:val="21"/>
        </w:rPr>
        <w:t>简述压电材料压电常数测试的原理；记录测试过程及条件，将实验数据及结果以表格列出；写出实验的体会与疑问。</w:t>
      </w:r>
    </w:p>
    <w:p>
      <w:pPr>
        <w:spacing w:line="360" w:lineRule="auto"/>
        <w:ind w:firstLine="422" w:firstLineChars="200"/>
        <w:rPr>
          <w:b/>
          <w:color w:val="000000"/>
          <w:szCs w:val="21"/>
        </w:rPr>
      </w:pPr>
      <w:r>
        <w:rPr>
          <w:rFonts w:hint="eastAsia"/>
          <w:b/>
          <w:color w:val="000000"/>
          <w:szCs w:val="21"/>
        </w:rPr>
        <w:t>实验二： 铁电体电滞回线测量</w:t>
      </w:r>
    </w:p>
    <w:p>
      <w:pPr>
        <w:spacing w:line="360" w:lineRule="auto"/>
        <w:ind w:firstLine="420" w:firstLineChars="200"/>
        <w:rPr>
          <w:color w:val="000000"/>
          <w:szCs w:val="21"/>
        </w:rPr>
      </w:pPr>
      <w:r>
        <w:rPr>
          <w:rFonts w:hint="eastAsia"/>
          <w:color w:val="000000"/>
          <w:szCs w:val="21"/>
        </w:rPr>
        <w:t>实验目的： （1）了解什么是铁电体</w:t>
      </w:r>
    </w:p>
    <w:p>
      <w:pPr>
        <w:spacing w:line="360" w:lineRule="auto"/>
        <w:ind w:firstLine="1470" w:firstLineChars="700"/>
        <w:rPr>
          <w:rFonts w:hint="eastAsia"/>
          <w:color w:val="000000"/>
          <w:szCs w:val="21"/>
        </w:rPr>
      </w:pPr>
      <w:r>
        <w:rPr>
          <w:rFonts w:hint="eastAsia"/>
          <w:color w:val="000000"/>
          <w:szCs w:val="21"/>
        </w:rPr>
        <w:t>（2）了解电滞回线及其测量原理和方法</w:t>
      </w:r>
    </w:p>
    <w:p>
      <w:pPr>
        <w:spacing w:line="360" w:lineRule="auto"/>
        <w:ind w:firstLine="420" w:firstLineChars="200"/>
        <w:rPr>
          <w:color w:val="000000"/>
          <w:szCs w:val="21"/>
        </w:rPr>
      </w:pPr>
      <w:r>
        <w:rPr>
          <w:color w:val="000000"/>
          <w:szCs w:val="21"/>
        </w:rPr>
        <w:t>实验原理：</w:t>
      </w:r>
      <w:r>
        <w:rPr>
          <w:rFonts w:hint="eastAsia"/>
          <w:color w:val="000000"/>
          <w:szCs w:val="21"/>
        </w:rPr>
        <w:t xml:space="preserve"> 铁电体的极化随外电场的变化而变化，但电场较强时，极化与电场之间呈非线性关系。在电场作用下新畴成核长，畴壁移动，导致极化转向，在电场很弱时，极化线性地依赖于电场，此时可逆的畴壁移动成为不可逆的，极化随电场的增加比线性段快。当电场达到相应于B 点值时，晶体成为单畴，极化趋于饱和。电场进一步增强时，由于感应极化的增加，总极化仍然有所增大(BC)段 。如果趋于饱和后电场减小，极化将循 CBD 段曲线减小，以致当电场达到零时，晶体仍保留在宏观极化状态，线段OD 表示的极化称为剩余极化Pr 。将线段CB 外推到与极化轴相交于E ，则线段OE 为饱和自发极化Ps 。如果电场反向，极化将随之降低并改变方向，直到电场等于某一值时，极化又将趋于饱和。这一过程如曲线DFG 所示，OF 所代表的电场是使极化等于零的电场，称为矫顽场Ec 。电场在正负饱和度之间循环一周时，极化与电场的关系如曲线CBDFGHC 所示此曲线称为电滞回线。</w:t>
      </w:r>
    </w:p>
    <w:p>
      <w:pPr>
        <w:spacing w:line="360" w:lineRule="auto"/>
        <w:ind w:firstLine="420" w:firstLineChars="200"/>
        <w:rPr>
          <w:rFonts w:hint="eastAsia"/>
          <w:color w:val="000000"/>
          <w:szCs w:val="21"/>
        </w:rPr>
      </w:pPr>
    </w:p>
    <w:p>
      <w:pPr>
        <w:spacing w:line="360" w:lineRule="auto"/>
        <w:ind w:firstLine="420" w:firstLineChars="200"/>
        <w:jc w:val="center"/>
        <w:rPr>
          <w:rFonts w:hint="eastAsia"/>
          <w:color w:val="000000"/>
          <w:szCs w:val="21"/>
        </w:rPr>
      </w:pPr>
      <w:r>
        <w:rPr>
          <w:rFonts w:hint="eastAsia"/>
          <w:color w:val="000000"/>
          <w:szCs w:val="21"/>
        </w:rPr>
        <w:drawing>
          <wp:inline distT="0" distB="0" distL="0" distR="0">
            <wp:extent cx="2527300" cy="2089150"/>
            <wp:effectExtent l="0" t="0" r="635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a:xfrm>
                      <a:off x="0" y="0"/>
                      <a:ext cx="2527300" cy="2089150"/>
                    </a:xfrm>
                    <a:prstGeom prst="rect">
                      <a:avLst/>
                    </a:prstGeom>
                    <a:noFill/>
                    <a:ln>
                      <a:noFill/>
                    </a:ln>
                  </pic:spPr>
                </pic:pic>
              </a:graphicData>
            </a:graphic>
          </wp:inline>
        </w:drawing>
      </w:r>
    </w:p>
    <w:p>
      <w:pPr>
        <w:spacing w:line="360" w:lineRule="auto"/>
        <w:ind w:firstLine="420" w:firstLineChars="200"/>
        <w:rPr>
          <w:rFonts w:hint="eastAsia"/>
          <w:color w:val="000000"/>
          <w:szCs w:val="21"/>
        </w:rPr>
      </w:pPr>
      <w:r>
        <w:rPr>
          <w:color w:val="000000"/>
          <w:szCs w:val="21"/>
        </w:rPr>
        <w:t>实验</w:t>
      </w:r>
      <w:r>
        <w:rPr>
          <w:rFonts w:hint="eastAsia"/>
          <w:color w:val="000000"/>
          <w:szCs w:val="21"/>
        </w:rPr>
        <w:t>设备</w:t>
      </w:r>
      <w:r>
        <w:rPr>
          <w:color w:val="000000"/>
          <w:szCs w:val="21"/>
        </w:rPr>
        <w:t>：台式微机，专用高速采集控制卡，铁电性能综合测试仪、专用软件等</w:t>
      </w:r>
    </w:p>
    <w:p>
      <w:pPr>
        <w:spacing w:line="360" w:lineRule="auto"/>
        <w:ind w:firstLine="420" w:firstLineChars="200"/>
        <w:rPr>
          <w:rFonts w:hint="eastAsia"/>
          <w:color w:val="000000"/>
          <w:szCs w:val="21"/>
        </w:rPr>
      </w:pPr>
      <w:r>
        <w:rPr>
          <w:color w:val="000000"/>
          <w:szCs w:val="21"/>
        </w:rPr>
        <w:t>实验安排：</w:t>
      </w:r>
      <w:r>
        <w:rPr>
          <w:rFonts w:hint="eastAsia"/>
          <w:szCs w:val="21"/>
        </w:rPr>
        <w:t>教师讲述</w:t>
      </w:r>
      <w:bookmarkStart w:id="56" w:name="OLE_LINK21"/>
      <w:r>
        <w:rPr>
          <w:rFonts w:hint="eastAsia"/>
          <w:color w:val="000000"/>
          <w:szCs w:val="21"/>
        </w:rPr>
        <w:t>电滞回线及其测量原理和方法</w:t>
      </w:r>
      <w:bookmarkEnd w:id="56"/>
      <w:r>
        <w:rPr>
          <w:rFonts w:hint="eastAsia"/>
          <w:bCs/>
          <w:szCs w:val="21"/>
        </w:rPr>
        <w:t>以及系统每一部分的功能</w:t>
      </w:r>
      <w:r>
        <w:rPr>
          <w:rFonts w:hint="eastAsia"/>
          <w:szCs w:val="21"/>
        </w:rPr>
        <w:t>，并进行操作演示。学生以6人一组，对每个过程中执行的操作进行分析并记录实验结果。</w:t>
      </w:r>
    </w:p>
    <w:p>
      <w:pPr>
        <w:spacing w:line="360" w:lineRule="auto"/>
        <w:ind w:firstLine="420" w:firstLineChars="200"/>
        <w:rPr>
          <w:color w:val="000000"/>
          <w:szCs w:val="21"/>
        </w:rPr>
      </w:pPr>
      <w:r>
        <w:rPr>
          <w:color w:val="000000"/>
          <w:szCs w:val="21"/>
        </w:rPr>
        <w:t>实验报告要求：</w:t>
      </w:r>
      <w:r>
        <w:rPr>
          <w:rFonts w:hint="eastAsia"/>
          <w:color w:val="000000"/>
          <w:szCs w:val="21"/>
        </w:rPr>
        <w:t>简述铁电材料电滞回线及其测量原理；记录测试过程及条件，将实验数据及结果以表格列出；写出实验的体会与疑问。</w:t>
      </w:r>
    </w:p>
    <w:bookmarkEnd w:id="55"/>
    <w:p>
      <w:pPr>
        <w:spacing w:line="360" w:lineRule="auto"/>
        <w:ind w:firstLine="422" w:firstLineChars="200"/>
        <w:rPr>
          <w:b/>
          <w:color w:val="000000"/>
          <w:szCs w:val="21"/>
        </w:rPr>
      </w:pPr>
      <w:r>
        <w:rPr>
          <w:rFonts w:hint="eastAsia"/>
          <w:b/>
          <w:color w:val="000000"/>
          <w:szCs w:val="21"/>
        </w:rPr>
        <w:t>实验三：</w:t>
      </w:r>
      <w:r>
        <w:rPr>
          <w:rFonts w:hint="eastAsia"/>
          <w:color w:val="000000"/>
          <w:szCs w:val="21"/>
        </w:rPr>
        <w:t xml:space="preserve"> </w:t>
      </w:r>
      <w:r>
        <w:rPr>
          <w:rFonts w:hint="eastAsia"/>
          <w:b/>
          <w:color w:val="000000"/>
          <w:szCs w:val="21"/>
        </w:rPr>
        <w:t>巨磁</w:t>
      </w:r>
      <w:r>
        <w:rPr>
          <w:b/>
          <w:color w:val="000000"/>
          <w:szCs w:val="21"/>
        </w:rPr>
        <w:t>电阻效应及其应用</w:t>
      </w:r>
    </w:p>
    <w:p>
      <w:pPr>
        <w:spacing w:line="360" w:lineRule="auto"/>
        <w:ind w:firstLine="420" w:firstLineChars="200"/>
        <w:rPr>
          <w:color w:val="000000"/>
          <w:szCs w:val="21"/>
        </w:rPr>
      </w:pPr>
      <w:r>
        <w:rPr>
          <w:rFonts w:hint="eastAsia"/>
          <w:color w:val="000000"/>
          <w:szCs w:val="21"/>
        </w:rPr>
        <w:t>实验目的：（1）了解</w:t>
      </w:r>
      <w:r>
        <w:rPr>
          <w:color w:val="000000"/>
          <w:szCs w:val="21"/>
        </w:rPr>
        <w:t>GMR</w:t>
      </w:r>
      <w:r>
        <w:rPr>
          <w:rFonts w:hint="eastAsia"/>
          <w:color w:val="000000"/>
          <w:szCs w:val="21"/>
        </w:rPr>
        <w:t>效应的原理</w:t>
      </w:r>
    </w:p>
    <w:p>
      <w:pPr>
        <w:spacing w:line="360" w:lineRule="auto"/>
        <w:ind w:firstLine="1470" w:firstLineChars="700"/>
        <w:rPr>
          <w:rFonts w:hint="eastAsia"/>
          <w:color w:val="000000"/>
          <w:szCs w:val="21"/>
        </w:rPr>
      </w:pPr>
      <w:r>
        <w:rPr>
          <w:rFonts w:hint="eastAsia"/>
          <w:color w:val="000000"/>
          <w:szCs w:val="21"/>
        </w:rPr>
        <w:t>（2）测量</w:t>
      </w:r>
      <w:r>
        <w:rPr>
          <w:color w:val="000000"/>
          <w:szCs w:val="21"/>
        </w:rPr>
        <w:t>GMR</w:t>
      </w:r>
      <w:r>
        <w:rPr>
          <w:rFonts w:hint="eastAsia"/>
          <w:color w:val="000000"/>
          <w:szCs w:val="21"/>
        </w:rPr>
        <w:t>模拟传感器的磁电转换特性曲线</w:t>
      </w:r>
    </w:p>
    <w:p>
      <w:pPr>
        <w:spacing w:line="360" w:lineRule="auto"/>
        <w:ind w:firstLine="1470" w:firstLineChars="700"/>
        <w:rPr>
          <w:color w:val="000000"/>
          <w:szCs w:val="21"/>
        </w:rPr>
      </w:pPr>
      <w:r>
        <w:rPr>
          <w:rFonts w:hint="eastAsia"/>
          <w:color w:val="000000"/>
          <w:szCs w:val="21"/>
        </w:rPr>
        <w:t>（3）测量</w:t>
      </w:r>
      <w:r>
        <w:rPr>
          <w:color w:val="000000"/>
          <w:szCs w:val="21"/>
        </w:rPr>
        <w:t>GMR</w:t>
      </w:r>
      <w:r>
        <w:rPr>
          <w:rFonts w:hint="eastAsia"/>
          <w:color w:val="000000"/>
          <w:szCs w:val="21"/>
        </w:rPr>
        <w:t>的磁阻特性曲线</w:t>
      </w:r>
    </w:p>
    <w:p>
      <w:pPr>
        <w:spacing w:line="360" w:lineRule="auto"/>
        <w:ind w:firstLine="1470" w:firstLineChars="700"/>
        <w:rPr>
          <w:color w:val="000000"/>
          <w:szCs w:val="21"/>
        </w:rPr>
      </w:pPr>
      <w:r>
        <w:rPr>
          <w:rFonts w:hint="eastAsia"/>
          <w:color w:val="000000"/>
          <w:szCs w:val="21"/>
        </w:rPr>
        <w:t>（4）用</w:t>
      </w:r>
      <w:r>
        <w:rPr>
          <w:color w:val="000000"/>
          <w:szCs w:val="21"/>
        </w:rPr>
        <w:t>GMR</w:t>
      </w:r>
      <w:r>
        <w:rPr>
          <w:rFonts w:hint="eastAsia"/>
          <w:color w:val="000000"/>
          <w:szCs w:val="21"/>
        </w:rPr>
        <w:t>传感器测量电流</w:t>
      </w:r>
    </w:p>
    <w:p>
      <w:pPr>
        <w:spacing w:line="360" w:lineRule="auto"/>
        <w:ind w:firstLine="420" w:firstLineChars="200"/>
        <w:rPr>
          <w:rFonts w:hint="eastAsia"/>
          <w:color w:val="000000"/>
          <w:szCs w:val="21"/>
        </w:rPr>
      </w:pPr>
      <w:r>
        <w:rPr>
          <w:color w:val="000000"/>
          <w:szCs w:val="21"/>
        </w:rPr>
        <w:t>实验原理：</w:t>
      </w:r>
      <w:r>
        <w:rPr>
          <w:rFonts w:hint="eastAsia"/>
          <w:color w:val="000000"/>
          <w:szCs w:val="21"/>
        </w:rPr>
        <w:t>根据导电的微观机理，电子在导电时并不是沿电场直线前进，而是不断和晶格中的原子产生碰撞（又称散射），每次散射后电子都会改变运动方向，总的运动是电场对电子的定向加速与这种无规散射运动的叠加。称电子在两次散射之间走过的平均路程为平均自由程，电子散射几率小，则平均自由程长，电阻率低。电阻定律</w:t>
      </w:r>
      <w:r>
        <w:rPr>
          <w:color w:val="000000"/>
          <w:szCs w:val="21"/>
        </w:rPr>
        <w:t>R=l/S</w:t>
      </w:r>
      <w:r>
        <w:rPr>
          <w:rFonts w:hint="eastAsia"/>
          <w:color w:val="000000"/>
          <w:szCs w:val="21"/>
        </w:rPr>
        <w:t>中，把电阻率视为常数，与材料的几何尺度无关，</w:t>
      </w:r>
    </w:p>
    <w:p>
      <w:pPr>
        <w:spacing w:line="360" w:lineRule="auto"/>
        <w:rPr>
          <w:rFonts w:hint="eastAsia"/>
          <w:color w:val="000000"/>
          <w:szCs w:val="21"/>
        </w:rPr>
      </w:pPr>
      <w:r>
        <w:rPr>
          <w:rFonts w:hint="eastAsia"/>
          <w:color w:val="000000"/>
          <w:szCs w:val="21"/>
        </w:rPr>
        <w:t>这是因为通常材料的几何尺度远大于电子的平均自由程（例如铜中电子的平均自由程约</w:t>
      </w:r>
      <w:r>
        <w:rPr>
          <w:color w:val="000000"/>
          <w:szCs w:val="21"/>
        </w:rPr>
        <w:t>34</w:t>
      </w:r>
      <w:r>
        <w:rPr>
          <w:rFonts w:hint="eastAsia"/>
          <w:color w:val="000000"/>
          <w:szCs w:val="21"/>
        </w:rPr>
        <w:t xml:space="preserve"> </w:t>
      </w:r>
      <w:r>
        <w:rPr>
          <w:color w:val="000000"/>
          <w:szCs w:val="21"/>
        </w:rPr>
        <w:t>nm</w:t>
      </w:r>
      <w:r>
        <w:rPr>
          <w:rFonts w:hint="eastAsia"/>
          <w:color w:val="000000"/>
          <w:szCs w:val="21"/>
        </w:rPr>
        <w:t>），可以忽略边界效应。当材料的几何尺度小到纳米量级，只有几个原子的厚度时（例如，铜原子的直径约为</w:t>
      </w:r>
      <w:r>
        <w:rPr>
          <w:color w:val="000000"/>
          <w:szCs w:val="21"/>
        </w:rPr>
        <w:t>0.3</w:t>
      </w:r>
      <w:r>
        <w:rPr>
          <w:rFonts w:hint="eastAsia"/>
          <w:color w:val="000000"/>
          <w:szCs w:val="21"/>
        </w:rPr>
        <w:t xml:space="preserve"> </w:t>
      </w:r>
      <w:r>
        <w:rPr>
          <w:color w:val="000000"/>
          <w:szCs w:val="21"/>
        </w:rPr>
        <w:t>nm</w:t>
      </w:r>
      <w:r>
        <w:rPr>
          <w:rFonts w:hint="eastAsia"/>
          <w:color w:val="000000"/>
          <w:szCs w:val="21"/>
        </w:rPr>
        <w:t>），电子在边界上的散射几率大大增加，可以明显观察到厚度减小，电阻率增加的现象。</w:t>
      </w:r>
    </w:p>
    <w:p>
      <w:pPr>
        <w:spacing w:line="360" w:lineRule="auto"/>
        <w:rPr>
          <w:color w:val="000000"/>
          <w:szCs w:val="21"/>
        </w:rPr>
      </w:pPr>
      <w:r>
        <w:rPr>
          <w:rFonts w:hint="eastAsia"/>
          <w:color w:val="000000"/>
          <w:szCs w:val="21"/>
        </w:rPr>
        <w:t>电子除携带电荷外，还具有自旋特性，自旋磁矩有平行或反平行于外磁场两种可能取向。早在</w:t>
      </w:r>
      <w:r>
        <w:rPr>
          <w:color w:val="000000"/>
          <w:szCs w:val="21"/>
        </w:rPr>
        <w:t>1936</w:t>
      </w:r>
    </w:p>
    <w:p>
      <w:pPr>
        <w:spacing w:line="360" w:lineRule="auto"/>
        <w:rPr>
          <w:rFonts w:hint="eastAsia"/>
          <w:color w:val="000000"/>
          <w:szCs w:val="21"/>
        </w:rPr>
      </w:pPr>
      <w:r>
        <w:rPr>
          <w:rFonts w:hint="eastAsia"/>
          <w:color w:val="000000"/>
          <w:szCs w:val="21"/>
        </w:rPr>
        <w:t>年，英国物理学家，诺贝尔奖获得者</w:t>
      </w:r>
      <w:r>
        <w:rPr>
          <w:color w:val="000000"/>
          <w:szCs w:val="21"/>
        </w:rPr>
        <w:t>N.F.Mott</w:t>
      </w:r>
      <w:r>
        <w:rPr>
          <w:rFonts w:hint="eastAsia"/>
          <w:color w:val="000000"/>
          <w:szCs w:val="21"/>
        </w:rPr>
        <w:t>指出，在过渡金属中，自旋磁矩与材料的磁场方向平行的电子，所受散射几率远小于自旋磁矩与材料的磁场方向反平行的电子。总电流是两类自旋电流之和总电阻是两类自旋电流的并联电阻，这就是所谓的两电流模型。</w:t>
      </w:r>
    </w:p>
    <w:p>
      <w:pPr>
        <w:spacing w:line="360" w:lineRule="auto"/>
        <w:ind w:firstLine="420" w:firstLineChars="200"/>
        <w:rPr>
          <w:rFonts w:hint="eastAsia"/>
          <w:color w:val="000000"/>
          <w:szCs w:val="21"/>
        </w:rPr>
      </w:pPr>
      <w:r>
        <w:rPr>
          <w:color w:val="000000"/>
          <w:szCs w:val="21"/>
        </w:rPr>
        <w:t>实验</w:t>
      </w:r>
      <w:r>
        <w:rPr>
          <w:rFonts w:hint="eastAsia"/>
          <w:color w:val="000000"/>
          <w:szCs w:val="21"/>
        </w:rPr>
        <w:t>设备</w:t>
      </w:r>
      <w:r>
        <w:rPr>
          <w:color w:val="000000"/>
          <w:szCs w:val="21"/>
        </w:rPr>
        <w:t>：</w:t>
      </w:r>
      <w:r>
        <w:t>巨磁电阻实验仪、基本特性组件、电流测量组件、磁读写组件</w:t>
      </w:r>
    </w:p>
    <w:p>
      <w:pPr>
        <w:spacing w:line="360" w:lineRule="auto"/>
        <w:ind w:firstLine="420" w:firstLineChars="200"/>
        <w:rPr>
          <w:rFonts w:hint="eastAsia"/>
          <w:color w:val="000000"/>
          <w:szCs w:val="21"/>
        </w:rPr>
      </w:pPr>
      <w:r>
        <w:rPr>
          <w:color w:val="000000"/>
          <w:szCs w:val="21"/>
        </w:rPr>
        <w:t>实验安排：</w:t>
      </w:r>
      <w:r>
        <w:rPr>
          <w:rFonts w:hint="eastAsia"/>
          <w:color w:val="000000"/>
          <w:szCs w:val="21"/>
        </w:rPr>
        <w:t>基本特性组件由</w:t>
      </w:r>
      <w:r>
        <w:rPr>
          <w:color w:val="000000"/>
          <w:szCs w:val="21"/>
        </w:rPr>
        <w:t>GMR</w:t>
      </w:r>
      <w:r>
        <w:rPr>
          <w:rFonts w:hint="eastAsia"/>
          <w:color w:val="000000"/>
          <w:szCs w:val="21"/>
        </w:rPr>
        <w:t>模拟传感器，螺线管线圈及比较电路，输入输出插孔组成。用以对</w:t>
      </w:r>
      <w:r>
        <w:rPr>
          <w:color w:val="000000"/>
          <w:szCs w:val="21"/>
        </w:rPr>
        <w:t>GMR</w:t>
      </w:r>
      <w:r>
        <w:rPr>
          <w:rFonts w:hint="eastAsia"/>
          <w:color w:val="000000"/>
          <w:szCs w:val="21"/>
        </w:rPr>
        <w:t>的磁电转换特性的测量。</w:t>
      </w:r>
    </w:p>
    <w:p>
      <w:pPr>
        <w:spacing w:line="360" w:lineRule="auto"/>
        <w:ind w:firstLine="420" w:firstLineChars="200"/>
        <w:rPr>
          <w:rFonts w:hint="eastAsia"/>
          <w:color w:val="000000"/>
          <w:szCs w:val="21"/>
        </w:rPr>
      </w:pPr>
      <w:r>
        <w:rPr>
          <w:color w:val="000000"/>
          <w:szCs w:val="21"/>
        </w:rPr>
        <w:t>实验报告要求：</w:t>
      </w:r>
      <w:r>
        <w:rPr>
          <w:rFonts w:hint="eastAsia"/>
          <w:color w:val="000000"/>
          <w:szCs w:val="21"/>
        </w:rPr>
        <w:t>简述巨磁阻</w:t>
      </w:r>
      <w:r>
        <w:rPr>
          <w:rFonts w:hint="eastAsia"/>
          <w:bCs/>
          <w:szCs w:val="21"/>
        </w:rPr>
        <w:t>传感器的原理和实现方法</w:t>
      </w:r>
      <w:r>
        <w:rPr>
          <w:rFonts w:hint="eastAsia"/>
          <w:color w:val="000000"/>
          <w:szCs w:val="21"/>
        </w:rPr>
        <w:t>，将实验数据及结果以表格列出；分析不同的参数对于实验结果的影响，总结实验中存在的问题和解决方法。</w:t>
      </w:r>
    </w:p>
    <w:p>
      <w:pPr>
        <w:spacing w:line="360" w:lineRule="auto"/>
        <w:ind w:firstLine="422" w:firstLineChars="200"/>
        <w:rPr>
          <w:b/>
          <w:color w:val="000000"/>
          <w:szCs w:val="21"/>
        </w:rPr>
      </w:pPr>
      <w:r>
        <w:rPr>
          <w:rFonts w:hint="eastAsia"/>
          <w:b/>
          <w:color w:val="000000"/>
          <w:szCs w:val="21"/>
        </w:rPr>
        <w:t>实验四：形状记忆合金</w:t>
      </w:r>
      <w:r>
        <w:rPr>
          <w:b/>
          <w:color w:val="000000"/>
          <w:szCs w:val="21"/>
        </w:rPr>
        <w:t>模型的动作实验</w:t>
      </w:r>
    </w:p>
    <w:p>
      <w:pPr>
        <w:spacing w:line="360" w:lineRule="auto"/>
        <w:ind w:left="1680" w:hanging="1680" w:hangingChars="800"/>
        <w:rPr>
          <w:color w:val="000000"/>
          <w:szCs w:val="21"/>
        </w:rPr>
      </w:pPr>
      <w:r>
        <w:rPr>
          <w:rFonts w:hint="eastAsia"/>
          <w:color w:val="000000"/>
          <w:szCs w:val="21"/>
        </w:rPr>
        <w:t>实验目的： （1）掌握形状记忆合金基本性质，加深对基本概念的理解。</w:t>
      </w:r>
    </w:p>
    <w:p>
      <w:pPr>
        <w:spacing w:line="360" w:lineRule="auto"/>
        <w:ind w:left="1575" w:leftChars="550" w:hanging="420" w:hangingChars="200"/>
        <w:rPr>
          <w:rFonts w:hint="eastAsia"/>
          <w:color w:val="000000"/>
          <w:szCs w:val="21"/>
        </w:rPr>
      </w:pPr>
      <w:r>
        <w:rPr>
          <w:rFonts w:hint="eastAsia"/>
          <w:color w:val="000000"/>
          <w:szCs w:val="21"/>
        </w:rPr>
        <w:t>（2）掌握形状记忆合金的动作。动作温度与记忆性能与吸放热量、亚结构和马氏体类型等的关系。</w:t>
      </w:r>
    </w:p>
    <w:p>
      <w:pPr>
        <w:spacing w:line="360" w:lineRule="auto"/>
        <w:ind w:firstLine="420" w:firstLineChars="200"/>
        <w:rPr>
          <w:color w:val="000000"/>
          <w:szCs w:val="21"/>
        </w:rPr>
      </w:pPr>
      <w:r>
        <w:rPr>
          <w:color w:val="000000"/>
          <w:szCs w:val="21"/>
        </w:rPr>
        <w:t>实验原理：</w:t>
      </w:r>
      <w:r>
        <w:rPr>
          <w:rFonts w:hint="eastAsia"/>
          <w:color w:val="000000"/>
          <w:szCs w:val="21"/>
        </w:rPr>
        <w:t>形状记忆效应是指发生马氏体相变的合金形变后，被加热到最终温度以上，使低温的马氏体逆变为高温母相而回复到形变前固有形状，或在随后的冷却过程中通过内部弹性能的释放又返回到马氏体形状的现象。它是具有一定形状的固体材料，在某种条件下经过一定的塑性变形后,加热到一定温度时，材料又完全恢复到变形前原来形状的现象。即它能记忆母相的形状。</w:t>
      </w:r>
    </w:p>
    <w:p>
      <w:pPr>
        <w:spacing w:line="360" w:lineRule="auto"/>
        <w:ind w:firstLine="420" w:firstLineChars="200"/>
        <w:rPr>
          <w:rFonts w:hint="eastAsia"/>
          <w:color w:val="000000"/>
          <w:szCs w:val="21"/>
        </w:rPr>
      </w:pPr>
      <w:r>
        <w:rPr>
          <w:color w:val="000000"/>
          <w:szCs w:val="21"/>
        </w:rPr>
        <w:t>实验</w:t>
      </w:r>
      <w:r>
        <w:rPr>
          <w:rFonts w:hint="eastAsia"/>
          <w:color w:val="000000"/>
          <w:szCs w:val="21"/>
        </w:rPr>
        <w:t>设备</w:t>
      </w:r>
      <w:r>
        <w:rPr>
          <w:color w:val="000000"/>
          <w:szCs w:val="21"/>
        </w:rPr>
        <w:t>：</w:t>
      </w:r>
      <w:r>
        <w:rPr>
          <w:rFonts w:hint="eastAsia"/>
        </w:rPr>
        <w:t>划水型</w:t>
      </w:r>
      <w:r>
        <w:t>热机、记忆合金等</w:t>
      </w:r>
    </w:p>
    <w:p>
      <w:pPr>
        <w:spacing w:line="360" w:lineRule="auto"/>
        <w:ind w:firstLine="420" w:firstLineChars="200"/>
        <w:rPr>
          <w:rFonts w:hint="eastAsia"/>
          <w:color w:val="000000"/>
          <w:szCs w:val="21"/>
        </w:rPr>
      </w:pPr>
      <w:r>
        <w:rPr>
          <w:color w:val="000000"/>
          <w:szCs w:val="21"/>
        </w:rPr>
        <w:t>实验安排：</w:t>
      </w:r>
      <w:r>
        <w:rPr>
          <w:rFonts w:hint="eastAsia"/>
          <w:szCs w:val="21"/>
        </w:rPr>
        <w:t>教师讲述</w:t>
      </w:r>
      <w:r>
        <w:rPr>
          <w:rFonts w:hint="eastAsia"/>
          <w:bCs/>
          <w:szCs w:val="21"/>
        </w:rPr>
        <w:t>记忆合金材料动作的原理和方法以及系统每一部分的功能</w:t>
      </w:r>
      <w:r>
        <w:rPr>
          <w:rFonts w:hint="eastAsia"/>
          <w:szCs w:val="21"/>
        </w:rPr>
        <w:t>，并进行操作演示。学生以6人一组，对每个过程中执行的操作进行分析并记录实验结果。</w:t>
      </w:r>
      <w:r>
        <w:rPr>
          <w:color w:val="000000"/>
          <w:szCs w:val="21"/>
        </w:rPr>
        <w:t>实验报告要求：</w:t>
      </w:r>
      <w:r>
        <w:rPr>
          <w:rFonts w:hint="eastAsia"/>
          <w:color w:val="000000"/>
          <w:szCs w:val="21"/>
        </w:rPr>
        <w:t>简述记忆合金材料形状记忆的微观机理，将实验数据及结果以表格列出；分析不同的参数对于实验结果的影响，总结实验中存在的问题和解决方法。</w:t>
      </w:r>
    </w:p>
    <w:p>
      <w:pPr>
        <w:spacing w:line="360" w:lineRule="auto"/>
        <w:ind w:firstLine="422" w:firstLineChars="200"/>
        <w:rPr>
          <w:color w:val="000000"/>
          <w:szCs w:val="21"/>
        </w:rPr>
      </w:pPr>
      <w:r>
        <w:rPr>
          <w:rFonts w:hint="eastAsia"/>
          <w:b/>
          <w:color w:val="000000"/>
          <w:szCs w:val="21"/>
        </w:rPr>
        <w:t>实验五： 光敏电阻特性研究</w:t>
      </w:r>
    </w:p>
    <w:p>
      <w:pPr>
        <w:spacing w:line="360" w:lineRule="auto"/>
        <w:ind w:firstLine="420" w:firstLineChars="200"/>
        <w:rPr>
          <w:rFonts w:hint="eastAsia"/>
          <w:color w:val="000000"/>
          <w:szCs w:val="21"/>
        </w:rPr>
      </w:pPr>
      <w:r>
        <w:rPr>
          <w:rFonts w:hint="eastAsia"/>
          <w:color w:val="000000"/>
          <w:szCs w:val="21"/>
        </w:rPr>
        <w:t>实验目的：</w:t>
      </w:r>
      <w:r>
        <w:t>了解光敏电阻的光照特性、光谱特性和伏安特性等基本特性。</w:t>
      </w:r>
    </w:p>
    <w:p>
      <w:pPr>
        <w:pStyle w:val="17"/>
        <w:spacing w:line="360" w:lineRule="auto"/>
        <w:ind w:firstLine="420" w:firstLineChars="200"/>
        <w:rPr>
          <w:rFonts w:hint="eastAsia" w:ascii="Times New Roman" w:hAnsi="Times New Roman" w:eastAsia="宋体" w:cs="Times New Roman"/>
          <w:bCs/>
          <w:kern w:val="2"/>
          <w:sz w:val="21"/>
          <w:szCs w:val="21"/>
          <w:lang w:val="en-US" w:eastAsia="zh-CN" w:bidi="ar-SA"/>
        </w:rPr>
      </w:pPr>
      <w:r>
        <w:rPr>
          <w:rFonts w:hint="eastAsia" w:ascii="Times New Roman" w:hAnsi="Times New Roman" w:eastAsia="宋体" w:cs="Times New Roman"/>
          <w:bCs/>
          <w:kern w:val="2"/>
          <w:sz w:val="21"/>
          <w:szCs w:val="21"/>
          <w:lang w:val="en-US" w:eastAsia="zh-CN" w:bidi="ar-SA"/>
        </w:rPr>
        <w:t>实验原理：光线的作用下，电子吸收光子的能量从键合状态过渡到自由状态，引起电导率的变化，这种现象称为光电导效应。光电导效应是半导体材料的一种体效应。光照愈强，器件自身的电阻愈小。基于这种效应的光电器件称光敏电阻。光敏电阻无极性，其工作特性与入射光光强、波长和外加电压有关。</w:t>
      </w:r>
    </w:p>
    <w:p>
      <w:pPr>
        <w:pStyle w:val="17"/>
        <w:spacing w:line="360" w:lineRule="auto"/>
        <w:ind w:firstLine="420" w:firstLineChars="200"/>
        <w:rPr>
          <w:rFonts w:hint="eastAsia" w:ascii="Times New Roman" w:hAnsi="Times New Roman" w:eastAsia="宋体" w:cs="Times New Roman"/>
          <w:bCs/>
          <w:kern w:val="2"/>
          <w:sz w:val="21"/>
          <w:szCs w:val="21"/>
          <w:lang w:val="en-US" w:eastAsia="zh-CN" w:bidi="ar-SA"/>
        </w:rPr>
      </w:pPr>
      <w:r>
        <w:rPr>
          <w:rFonts w:hint="eastAsia" w:ascii="Times New Roman" w:hAnsi="Times New Roman" w:eastAsia="宋体" w:cs="Times New Roman"/>
          <w:bCs/>
          <w:kern w:val="2"/>
          <w:sz w:val="21"/>
          <w:szCs w:val="21"/>
          <w:lang w:val="en-US" w:eastAsia="zh-CN" w:bidi="ar-SA"/>
        </w:rPr>
        <w:t>实验设备：主机箱、安装架、普通光源、各种滤光镜、光电器件实验模板、光敏电阻探头、照度计模板、光照度探头。</w:t>
      </w:r>
    </w:p>
    <w:p>
      <w:pPr>
        <w:spacing w:line="360" w:lineRule="auto"/>
        <w:ind w:firstLine="420" w:firstLineChars="200"/>
        <w:rPr>
          <w:rFonts w:hint="eastAsia"/>
          <w:color w:val="0000FF"/>
          <w:szCs w:val="21"/>
        </w:rPr>
      </w:pPr>
      <w:r>
        <w:rPr>
          <w:color w:val="000000"/>
          <w:szCs w:val="21"/>
        </w:rPr>
        <w:t>实验安排：</w:t>
      </w:r>
      <w:r>
        <w:rPr>
          <w:rFonts w:hint="eastAsia"/>
          <w:szCs w:val="21"/>
        </w:rPr>
        <w:t>教师讲述</w:t>
      </w:r>
      <w:r>
        <w:rPr>
          <w:rFonts w:hint="eastAsia"/>
          <w:bCs/>
          <w:szCs w:val="21"/>
        </w:rPr>
        <w:t>光敏电阻测量的原理和方法以及系统每一部分的功能</w:t>
      </w:r>
      <w:r>
        <w:rPr>
          <w:rFonts w:hint="eastAsia"/>
          <w:szCs w:val="21"/>
        </w:rPr>
        <w:t>，并进行操作演示。学生以6人一组，对每个过程中执行的操作进行分析并记录实验结果。</w:t>
      </w:r>
    </w:p>
    <w:p>
      <w:pPr>
        <w:spacing w:line="360" w:lineRule="auto"/>
        <w:ind w:firstLine="420" w:firstLineChars="200"/>
        <w:rPr>
          <w:rFonts w:hint="eastAsia"/>
          <w:color w:val="000000"/>
          <w:szCs w:val="21"/>
        </w:rPr>
      </w:pPr>
      <w:r>
        <w:rPr>
          <w:color w:val="000000"/>
          <w:szCs w:val="21"/>
        </w:rPr>
        <w:t>实验报告要求：</w:t>
      </w:r>
      <w:r>
        <w:rPr>
          <w:rFonts w:hint="eastAsia"/>
          <w:color w:val="000000"/>
          <w:szCs w:val="21"/>
        </w:rPr>
        <w:t>简述光敏传感器</w:t>
      </w:r>
      <w:r>
        <w:rPr>
          <w:rFonts w:hint="eastAsia"/>
          <w:bCs/>
          <w:szCs w:val="21"/>
        </w:rPr>
        <w:t>的原理和实现方法</w:t>
      </w:r>
      <w:r>
        <w:rPr>
          <w:rFonts w:hint="eastAsia"/>
          <w:color w:val="000000"/>
          <w:szCs w:val="21"/>
        </w:rPr>
        <w:t>，将实验数据及结果以表格列出；分析不同的参数对于实验结果的影响，总结实验中存在的问题和解决方法。</w:t>
      </w:r>
    </w:p>
    <w:p>
      <w:pPr>
        <w:spacing w:before="156" w:beforeLines="50" w:after="156" w:afterLines="50" w:line="360" w:lineRule="auto"/>
        <w:ind w:firstLine="210" w:firstLineChars="100"/>
        <w:rPr>
          <w:rFonts w:hint="eastAsia" w:eastAsia="黑体"/>
          <w:szCs w:val="21"/>
        </w:rPr>
      </w:pPr>
      <w:r>
        <w:rPr>
          <w:rFonts w:hint="eastAsia" w:eastAsia="黑体"/>
          <w:szCs w:val="21"/>
        </w:rPr>
        <w:t>四、</w:t>
      </w:r>
      <w:r>
        <w:rPr>
          <w:rFonts w:eastAsia="黑体"/>
          <w:szCs w:val="21"/>
        </w:rPr>
        <w:t>达成课程目标的途径和措施</w:t>
      </w:r>
    </w:p>
    <w:p>
      <w:pPr>
        <w:spacing w:line="360" w:lineRule="auto"/>
        <w:ind w:firstLine="420" w:firstLineChars="200"/>
        <w:rPr>
          <w:szCs w:val="21"/>
        </w:rPr>
      </w:pPr>
      <w:r>
        <w:rPr>
          <w:szCs w:val="21"/>
        </w:rPr>
        <w:t>1</w:t>
      </w:r>
      <w:r>
        <w:rPr>
          <w:rFonts w:hint="eastAsia"/>
          <w:szCs w:val="21"/>
        </w:rPr>
        <w:t xml:space="preserve">. </w:t>
      </w:r>
      <w:r>
        <w:rPr>
          <w:szCs w:val="21"/>
        </w:rPr>
        <w:t>把握主线，引导学生掌握</w:t>
      </w:r>
      <w:r>
        <w:rPr>
          <w:rFonts w:hint="eastAsia"/>
          <w:szCs w:val="21"/>
        </w:rPr>
        <w:t>智能材料及相关性能参数</w:t>
      </w:r>
      <w:r>
        <w:rPr>
          <w:szCs w:val="21"/>
        </w:rPr>
        <w:t>的相关概念、</w:t>
      </w:r>
      <w:r>
        <w:rPr>
          <w:rFonts w:hint="eastAsia"/>
          <w:szCs w:val="21"/>
        </w:rPr>
        <w:t>基本特征</w:t>
      </w:r>
      <w:r>
        <w:rPr>
          <w:szCs w:val="21"/>
        </w:rPr>
        <w:t>与设计方法的实际意义，利用</w:t>
      </w:r>
      <w:r>
        <w:rPr>
          <w:rFonts w:hint="eastAsia"/>
          <w:szCs w:val="21"/>
        </w:rPr>
        <w:t>智能材料的传感器的</w:t>
      </w:r>
      <w:r>
        <w:rPr>
          <w:szCs w:val="21"/>
        </w:rPr>
        <w:t>实际应用案例，帮助学生理解和掌握基于不同特性智能材料的</w:t>
      </w:r>
      <w:r>
        <w:rPr>
          <w:rFonts w:hint="eastAsia"/>
          <w:szCs w:val="21"/>
        </w:rPr>
        <w:t>传感器件的设计方法及模型</w:t>
      </w:r>
      <w:r>
        <w:rPr>
          <w:szCs w:val="21"/>
        </w:rPr>
        <w:t>，具备</w:t>
      </w:r>
      <w:r>
        <w:rPr>
          <w:rFonts w:hint="eastAsia"/>
          <w:szCs w:val="21"/>
        </w:rPr>
        <w:t>选择合适的智能材料对智能结构系统进行初步设计与表征的</w:t>
      </w:r>
      <w:r>
        <w:rPr>
          <w:szCs w:val="21"/>
        </w:rPr>
        <w:t>能力。</w:t>
      </w:r>
    </w:p>
    <w:p>
      <w:pPr>
        <w:spacing w:line="360" w:lineRule="auto"/>
        <w:ind w:firstLine="420" w:firstLineChars="200"/>
        <w:rPr>
          <w:szCs w:val="21"/>
        </w:rPr>
      </w:pPr>
      <w:r>
        <w:rPr>
          <w:szCs w:val="21"/>
        </w:rPr>
        <w:t>2</w:t>
      </w:r>
      <w:r>
        <w:rPr>
          <w:rFonts w:hint="eastAsia"/>
          <w:szCs w:val="21"/>
        </w:rPr>
        <w:t xml:space="preserve">. </w:t>
      </w:r>
      <w:r>
        <w:rPr>
          <w:szCs w:val="21"/>
        </w:rPr>
        <w:t>采用多媒体教学手段，配合</w:t>
      </w:r>
      <w:r>
        <w:rPr>
          <w:rFonts w:hint="eastAsia"/>
          <w:szCs w:val="21"/>
        </w:rPr>
        <w:t>智能材料结构</w:t>
      </w:r>
      <w:r>
        <w:rPr>
          <w:szCs w:val="21"/>
        </w:rPr>
        <w:t>的讲解及适当的思考题，保证讲课进度的同时，注意学生的掌握程度和课堂的气氛；</w:t>
      </w:r>
    </w:p>
    <w:p>
      <w:pPr>
        <w:spacing w:line="360" w:lineRule="auto"/>
        <w:ind w:firstLine="420" w:firstLineChars="200"/>
        <w:rPr>
          <w:szCs w:val="21"/>
        </w:rPr>
      </w:pPr>
      <w:r>
        <w:rPr>
          <w:szCs w:val="21"/>
        </w:rPr>
        <w:t>3</w:t>
      </w:r>
      <w:r>
        <w:rPr>
          <w:rFonts w:hint="eastAsia"/>
          <w:szCs w:val="21"/>
        </w:rPr>
        <w:t xml:space="preserve">. </w:t>
      </w:r>
      <w:r>
        <w:rPr>
          <w:szCs w:val="21"/>
        </w:rPr>
        <w:t>采用案例式教学，结合工程实际，进行</w:t>
      </w:r>
      <w:r>
        <w:rPr>
          <w:rFonts w:hint="eastAsia"/>
          <w:szCs w:val="21"/>
        </w:rPr>
        <w:t>材料智能化性能分析</w:t>
      </w:r>
      <w:r>
        <w:rPr>
          <w:szCs w:val="21"/>
        </w:rPr>
        <w:t>，从而具备相关知识和方法的实际应用能力。</w:t>
      </w:r>
    </w:p>
    <w:p>
      <w:pPr>
        <w:spacing w:line="360" w:lineRule="auto"/>
        <w:ind w:firstLine="420" w:firstLineChars="200"/>
        <w:rPr>
          <w:szCs w:val="21"/>
          <w:highlight w:val="red"/>
        </w:rPr>
      </w:pPr>
      <w:r>
        <w:rPr>
          <w:szCs w:val="21"/>
        </w:rPr>
        <w:t>4</w:t>
      </w:r>
      <w:r>
        <w:rPr>
          <w:rFonts w:hint="eastAsia"/>
          <w:szCs w:val="21"/>
        </w:rPr>
        <w:t xml:space="preserve">. </w:t>
      </w:r>
      <w:r>
        <w:rPr>
          <w:szCs w:val="21"/>
        </w:rPr>
        <w:t>本课程有</w:t>
      </w:r>
      <w:r>
        <w:rPr>
          <w:rFonts w:hint="eastAsia"/>
          <w:szCs w:val="21"/>
        </w:rPr>
        <w:t>10</w:t>
      </w:r>
      <w:r>
        <w:rPr>
          <w:szCs w:val="21"/>
        </w:rPr>
        <w:t>个学时的实验，具体实验内容见</w:t>
      </w:r>
      <w:r>
        <w:rPr>
          <w:rFonts w:hint="eastAsia"/>
          <w:szCs w:val="21"/>
        </w:rPr>
        <w:t>“三、本课程开设的实验项目”</w:t>
      </w:r>
      <w:r>
        <w:rPr>
          <w:szCs w:val="21"/>
        </w:rPr>
        <w:t>。</w:t>
      </w:r>
    </w:p>
    <w:p>
      <w:pPr>
        <w:spacing w:before="156" w:beforeLines="50" w:after="156" w:afterLines="50" w:line="360" w:lineRule="auto"/>
        <w:ind w:firstLine="210" w:firstLineChars="100"/>
        <w:rPr>
          <w:rFonts w:eastAsia="黑体"/>
          <w:szCs w:val="21"/>
        </w:rPr>
      </w:pPr>
      <w:r>
        <w:rPr>
          <w:rFonts w:hint="eastAsia" w:eastAsia="黑体"/>
          <w:szCs w:val="21"/>
        </w:rPr>
        <w:t>五</w:t>
      </w:r>
      <w:r>
        <w:rPr>
          <w:rFonts w:eastAsia="黑体"/>
          <w:szCs w:val="21"/>
        </w:rPr>
        <w:t>、考核方式</w:t>
      </w:r>
    </w:p>
    <w:p>
      <w:pPr>
        <w:spacing w:line="360" w:lineRule="auto"/>
        <w:ind w:left="420" w:leftChars="200"/>
        <w:rPr>
          <w:szCs w:val="21"/>
        </w:rPr>
      </w:pPr>
      <w:r>
        <w:rPr>
          <w:szCs w:val="21"/>
        </w:rPr>
        <w:t>1. 课程考核方式包括</w:t>
      </w:r>
      <w:r>
        <w:rPr>
          <w:rFonts w:hint="eastAsia"/>
          <w:szCs w:val="21"/>
        </w:rPr>
        <w:t>随堂测验</w:t>
      </w:r>
      <w:r>
        <w:rPr>
          <w:szCs w:val="21"/>
        </w:rPr>
        <w:t>、</w:t>
      </w:r>
      <w:r>
        <w:rPr>
          <w:rFonts w:hint="eastAsia"/>
          <w:szCs w:val="21"/>
        </w:rPr>
        <w:t>课后</w:t>
      </w:r>
      <w:r>
        <w:rPr>
          <w:szCs w:val="21"/>
        </w:rPr>
        <w:t>作业情况</w:t>
      </w:r>
      <w:r>
        <w:rPr>
          <w:rFonts w:hint="eastAsia"/>
          <w:szCs w:val="21"/>
        </w:rPr>
        <w:t>、</w:t>
      </w:r>
      <w:r>
        <w:rPr>
          <w:szCs w:val="21"/>
        </w:rPr>
        <w:t>实验情况</w:t>
      </w:r>
      <w:r>
        <w:rPr>
          <w:rFonts w:hint="eastAsia"/>
          <w:szCs w:val="21"/>
        </w:rPr>
        <w:t>和</w:t>
      </w:r>
      <w:r>
        <w:rPr>
          <w:szCs w:val="21"/>
        </w:rPr>
        <w:t>期末考试。</w:t>
      </w:r>
    </w:p>
    <w:p>
      <w:pPr>
        <w:numPr>
          <w:ilvl w:val="0"/>
          <w:numId w:val="14"/>
        </w:numPr>
        <w:spacing w:line="360" w:lineRule="auto"/>
        <w:ind w:left="420" w:leftChars="200"/>
        <w:rPr>
          <w:rFonts w:hint="eastAsia"/>
          <w:szCs w:val="21"/>
        </w:rPr>
      </w:pPr>
      <w:r>
        <w:rPr>
          <w:rFonts w:hint="eastAsia"/>
          <w:szCs w:val="21"/>
        </w:rPr>
        <w:t>定量评价</w:t>
      </w:r>
    </w:p>
    <w:p>
      <w:pPr>
        <w:spacing w:line="360" w:lineRule="auto"/>
        <w:ind w:firstLine="420" w:firstLineChars="200"/>
        <w:rPr>
          <w:rFonts w:hint="eastAsia"/>
          <w:szCs w:val="21"/>
        </w:rPr>
      </w:pPr>
      <w:r>
        <w:rPr>
          <w:rFonts w:hint="eastAsia"/>
          <w:szCs w:val="21"/>
        </w:rPr>
        <w:t>本课程</w:t>
      </w:r>
      <w:r>
        <w:rPr>
          <w:szCs w:val="21"/>
        </w:rPr>
        <w:t>包含</w:t>
      </w:r>
      <w:r>
        <w:rPr>
          <w:rFonts w:hint="eastAsia"/>
          <w:szCs w:val="21"/>
          <w:lang w:val="en-US" w:eastAsia="zh-CN"/>
        </w:rPr>
        <w:t>2</w:t>
      </w:r>
      <w:r>
        <w:rPr>
          <w:szCs w:val="21"/>
        </w:rPr>
        <w:t>个分课程目标</w:t>
      </w:r>
      <w:r>
        <w:rPr>
          <w:rFonts w:hint="eastAsia"/>
          <w:szCs w:val="21"/>
        </w:rPr>
        <w:t>，有</w:t>
      </w:r>
      <w:r>
        <w:rPr>
          <w:rFonts w:hint="eastAsia"/>
          <w:szCs w:val="21"/>
          <w:lang w:val="en-US" w:eastAsia="zh-CN"/>
        </w:rPr>
        <w:t>4</w:t>
      </w:r>
      <w:r>
        <w:rPr>
          <w:rFonts w:hint="eastAsia"/>
          <w:szCs w:val="21"/>
        </w:rPr>
        <w:t>个考核方式，各考核方式对课程目标达成评价的权重占比分配如下：</w:t>
      </w:r>
    </w:p>
    <w:p>
      <w:pPr>
        <w:spacing w:line="360" w:lineRule="auto"/>
        <w:jc w:val="center"/>
        <w:rPr>
          <w:sz w:val="18"/>
          <w:szCs w:val="18"/>
        </w:rPr>
      </w:pPr>
      <w:r>
        <w:rPr>
          <w:color w:val="000000"/>
          <w:sz w:val="18"/>
          <w:szCs w:val="18"/>
        </w:rPr>
        <w:t>表</w:t>
      </w:r>
      <w:r>
        <w:rPr>
          <w:rFonts w:hint="eastAsia"/>
          <w:color w:val="000000"/>
          <w:sz w:val="18"/>
          <w:szCs w:val="18"/>
        </w:rPr>
        <w:t xml:space="preserve">5.1   </w:t>
      </w:r>
      <w:r>
        <w:rPr>
          <w:sz w:val="18"/>
          <w:szCs w:val="18"/>
        </w:rPr>
        <w:t>各考核方式对课程目标达成评价的</w:t>
      </w:r>
      <w:r>
        <w:rPr>
          <w:rFonts w:hint="eastAsia"/>
          <w:sz w:val="18"/>
          <w:szCs w:val="18"/>
        </w:rPr>
        <w:t>权重</w:t>
      </w:r>
      <w:r>
        <w:rPr>
          <w:sz w:val="18"/>
          <w:szCs w:val="18"/>
        </w:rPr>
        <w:t>占比分配</w:t>
      </w:r>
    </w:p>
    <w:tbl>
      <w:tblPr>
        <w:tblStyle w:val="19"/>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1436"/>
        <w:gridCol w:w="1436"/>
        <w:gridCol w:w="1436"/>
        <w:gridCol w:w="1439"/>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600" w:type="dxa"/>
            <w:vMerge w:val="restart"/>
            <w:vAlign w:val="center"/>
          </w:tcPr>
          <w:p>
            <w:pPr>
              <w:spacing w:line="360" w:lineRule="auto"/>
              <w:jc w:val="center"/>
              <w:rPr>
                <w:b/>
              </w:rPr>
            </w:pPr>
            <w:r>
              <w:rPr>
                <w:b/>
                <w:kern w:val="0"/>
                <w:sz w:val="18"/>
                <w:szCs w:val="18"/>
              </w:rPr>
              <w:t>课程目标</w:t>
            </w:r>
          </w:p>
        </w:tc>
        <w:tc>
          <w:tcPr>
            <w:tcW w:w="5747" w:type="dxa"/>
            <w:gridSpan w:val="4"/>
            <w:vAlign w:val="center"/>
          </w:tcPr>
          <w:p>
            <w:pPr>
              <w:spacing w:line="360" w:lineRule="auto"/>
              <w:jc w:val="center"/>
              <w:rPr>
                <w:b/>
              </w:rPr>
            </w:pPr>
            <w:r>
              <w:rPr>
                <w:rFonts w:hint="eastAsia"/>
                <w:b/>
                <w:sz w:val="18"/>
                <w:szCs w:val="18"/>
              </w:rPr>
              <w:t>考核方式以及成绩占比（%）</w:t>
            </w:r>
          </w:p>
        </w:tc>
        <w:tc>
          <w:tcPr>
            <w:tcW w:w="1939" w:type="dxa"/>
            <w:vMerge w:val="restart"/>
            <w:vAlign w:val="center"/>
          </w:tcPr>
          <w:p>
            <w:pPr>
              <w:spacing w:line="360" w:lineRule="auto"/>
              <w:jc w:val="center"/>
              <w:rPr>
                <w:b/>
                <w:kern w:val="0"/>
                <w:sz w:val="18"/>
                <w:szCs w:val="18"/>
              </w:rPr>
            </w:pPr>
            <w:r>
              <w:rPr>
                <w:b/>
                <w:kern w:val="0"/>
                <w:sz w:val="18"/>
                <w:szCs w:val="18"/>
              </w:rPr>
              <w:t>分课程目标权重P</w:t>
            </w:r>
            <w:r>
              <w:rPr>
                <w:b/>
                <w:kern w:val="0"/>
                <w:sz w:val="18"/>
                <w:szCs w:val="18"/>
                <w:vertAlign w:val="subscript"/>
              </w:rPr>
              <w:t>i</w:t>
            </w:r>
          </w:p>
          <w:p>
            <w:pPr>
              <w:spacing w:line="360" w:lineRule="auto"/>
              <w:jc w:val="center"/>
              <w:rPr>
                <w:kern w:val="0"/>
                <w:sz w:val="18"/>
                <w:szCs w:val="18"/>
              </w:rPr>
            </w:pPr>
            <w:r>
              <w:rPr>
                <w:rFonts w:hint="eastAsia"/>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0" w:type="dxa"/>
            <w:vMerge w:val="continue"/>
            <w:vAlign w:val="center"/>
          </w:tcPr>
          <w:p>
            <w:pPr>
              <w:widowControl/>
              <w:jc w:val="center"/>
              <w:rPr>
                <w:b/>
                <w:kern w:val="0"/>
                <w:sz w:val="18"/>
                <w:szCs w:val="18"/>
              </w:rPr>
            </w:pPr>
          </w:p>
        </w:tc>
        <w:tc>
          <w:tcPr>
            <w:tcW w:w="1436" w:type="dxa"/>
            <w:vAlign w:val="center"/>
          </w:tcPr>
          <w:p>
            <w:pPr>
              <w:widowControl/>
              <w:jc w:val="center"/>
              <w:rPr>
                <w:b/>
                <w:kern w:val="0"/>
                <w:sz w:val="18"/>
                <w:szCs w:val="18"/>
              </w:rPr>
            </w:pPr>
            <w:r>
              <w:rPr>
                <w:rFonts w:hint="eastAsia"/>
                <w:b/>
                <w:kern w:val="0"/>
                <w:sz w:val="18"/>
                <w:szCs w:val="18"/>
              </w:rPr>
              <w:t>作业</w:t>
            </w:r>
          </w:p>
          <w:p>
            <w:pPr>
              <w:widowControl/>
              <w:jc w:val="center"/>
              <w:rPr>
                <w:b/>
                <w:kern w:val="0"/>
                <w:sz w:val="18"/>
                <w:szCs w:val="18"/>
              </w:rPr>
            </w:pPr>
          </w:p>
        </w:tc>
        <w:tc>
          <w:tcPr>
            <w:tcW w:w="1436" w:type="dxa"/>
            <w:vAlign w:val="center"/>
          </w:tcPr>
          <w:p>
            <w:pPr>
              <w:widowControl/>
              <w:jc w:val="center"/>
              <w:rPr>
                <w:b/>
                <w:kern w:val="0"/>
                <w:sz w:val="18"/>
                <w:szCs w:val="18"/>
              </w:rPr>
            </w:pPr>
            <w:r>
              <w:rPr>
                <w:rFonts w:hint="eastAsia"/>
                <w:b/>
                <w:kern w:val="0"/>
                <w:sz w:val="18"/>
                <w:szCs w:val="18"/>
              </w:rPr>
              <w:t>随堂测试</w:t>
            </w:r>
          </w:p>
          <w:p>
            <w:pPr>
              <w:widowControl/>
              <w:jc w:val="center"/>
              <w:rPr>
                <w:b/>
                <w:kern w:val="0"/>
                <w:sz w:val="18"/>
                <w:szCs w:val="18"/>
              </w:rPr>
            </w:pPr>
          </w:p>
        </w:tc>
        <w:tc>
          <w:tcPr>
            <w:tcW w:w="1436" w:type="dxa"/>
            <w:vAlign w:val="center"/>
          </w:tcPr>
          <w:p>
            <w:pPr>
              <w:widowControl/>
              <w:jc w:val="center"/>
              <w:rPr>
                <w:b/>
                <w:kern w:val="0"/>
                <w:sz w:val="18"/>
                <w:szCs w:val="18"/>
              </w:rPr>
            </w:pPr>
            <w:r>
              <w:rPr>
                <w:rFonts w:hint="eastAsia"/>
                <w:b/>
                <w:kern w:val="0"/>
                <w:sz w:val="18"/>
                <w:szCs w:val="18"/>
              </w:rPr>
              <w:t>实验</w:t>
            </w:r>
          </w:p>
          <w:p>
            <w:pPr>
              <w:widowControl/>
              <w:jc w:val="center"/>
              <w:rPr>
                <w:b/>
                <w:kern w:val="0"/>
                <w:sz w:val="18"/>
                <w:szCs w:val="18"/>
              </w:rPr>
            </w:pPr>
          </w:p>
        </w:tc>
        <w:tc>
          <w:tcPr>
            <w:tcW w:w="1439" w:type="dxa"/>
            <w:vAlign w:val="center"/>
          </w:tcPr>
          <w:p>
            <w:pPr>
              <w:widowControl/>
              <w:jc w:val="center"/>
              <w:rPr>
                <w:b/>
                <w:kern w:val="0"/>
                <w:sz w:val="18"/>
                <w:szCs w:val="18"/>
              </w:rPr>
            </w:pPr>
            <w:r>
              <w:rPr>
                <w:b/>
                <w:kern w:val="0"/>
                <w:sz w:val="18"/>
                <w:szCs w:val="18"/>
              </w:rPr>
              <w:t>期末考试</w:t>
            </w:r>
          </w:p>
          <w:p>
            <w:pPr>
              <w:widowControl/>
              <w:jc w:val="center"/>
              <w:rPr>
                <w:b/>
                <w:kern w:val="0"/>
                <w:sz w:val="18"/>
                <w:szCs w:val="18"/>
              </w:rPr>
            </w:pPr>
          </w:p>
        </w:tc>
        <w:tc>
          <w:tcPr>
            <w:tcW w:w="1939" w:type="dxa"/>
            <w:vMerge w:val="continue"/>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0" w:type="dxa"/>
            <w:vAlign w:val="center"/>
          </w:tcPr>
          <w:p>
            <w:pPr>
              <w:widowControl/>
              <w:jc w:val="center"/>
              <w:rPr>
                <w:kern w:val="0"/>
                <w:sz w:val="18"/>
                <w:szCs w:val="18"/>
              </w:rPr>
            </w:pPr>
            <w:r>
              <w:rPr>
                <w:kern w:val="0"/>
                <w:sz w:val="18"/>
                <w:szCs w:val="18"/>
              </w:rPr>
              <w:t>1</w:t>
            </w:r>
          </w:p>
        </w:tc>
        <w:tc>
          <w:tcPr>
            <w:tcW w:w="1436" w:type="dxa"/>
            <w:vAlign w:val="center"/>
          </w:tcPr>
          <w:p>
            <w:pPr>
              <w:spacing w:line="360" w:lineRule="auto"/>
              <w:jc w:val="center"/>
            </w:pPr>
            <w:r>
              <w:t>10</w:t>
            </w:r>
          </w:p>
        </w:tc>
        <w:tc>
          <w:tcPr>
            <w:tcW w:w="1436" w:type="dxa"/>
            <w:vAlign w:val="center"/>
          </w:tcPr>
          <w:p>
            <w:pPr>
              <w:spacing w:line="360" w:lineRule="auto"/>
              <w:jc w:val="center"/>
            </w:pPr>
            <w:r>
              <w:t>10</w:t>
            </w:r>
          </w:p>
        </w:tc>
        <w:tc>
          <w:tcPr>
            <w:tcW w:w="1436" w:type="dxa"/>
            <w:vAlign w:val="center"/>
          </w:tcPr>
          <w:p>
            <w:pPr>
              <w:widowControl/>
              <w:jc w:val="center"/>
              <w:rPr>
                <w:kern w:val="0"/>
                <w:sz w:val="18"/>
                <w:szCs w:val="18"/>
              </w:rPr>
            </w:pPr>
            <w:r>
              <w:rPr>
                <w:rFonts w:hint="eastAsia"/>
              </w:rPr>
              <w:t>0</w:t>
            </w:r>
          </w:p>
        </w:tc>
        <w:tc>
          <w:tcPr>
            <w:tcW w:w="1439" w:type="dxa"/>
            <w:vAlign w:val="center"/>
          </w:tcPr>
          <w:p>
            <w:pPr>
              <w:spacing w:line="360" w:lineRule="auto"/>
              <w:jc w:val="center"/>
            </w:pPr>
            <w:r>
              <w:t>35</w:t>
            </w:r>
          </w:p>
        </w:tc>
        <w:tc>
          <w:tcPr>
            <w:tcW w:w="1939" w:type="dxa"/>
            <w:vAlign w:val="center"/>
          </w:tcPr>
          <w:p>
            <w:pPr>
              <w:spacing w:line="360" w:lineRule="auto"/>
              <w:jc w:val="center"/>
              <w:rPr>
                <w:szCs w:val="21"/>
              </w:rPr>
            </w:pPr>
            <w:r>
              <w:rPr>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0" w:type="dxa"/>
            <w:vAlign w:val="center"/>
          </w:tcPr>
          <w:p>
            <w:pPr>
              <w:widowControl/>
              <w:jc w:val="center"/>
              <w:rPr>
                <w:rFonts w:hint="eastAsia" w:eastAsia="宋体"/>
                <w:kern w:val="0"/>
                <w:sz w:val="18"/>
                <w:szCs w:val="18"/>
                <w:lang w:eastAsia="zh-CN"/>
              </w:rPr>
            </w:pPr>
            <w:r>
              <w:rPr>
                <w:rFonts w:hint="eastAsia"/>
                <w:kern w:val="0"/>
                <w:sz w:val="18"/>
                <w:szCs w:val="18"/>
                <w:lang w:val="en-US" w:eastAsia="zh-CN"/>
              </w:rPr>
              <w:t>2</w:t>
            </w:r>
          </w:p>
        </w:tc>
        <w:tc>
          <w:tcPr>
            <w:tcW w:w="1436" w:type="dxa"/>
            <w:vAlign w:val="center"/>
          </w:tcPr>
          <w:p>
            <w:pPr>
              <w:spacing w:line="360" w:lineRule="auto"/>
              <w:jc w:val="center"/>
            </w:pPr>
            <w:r>
              <w:t>10</w:t>
            </w:r>
          </w:p>
        </w:tc>
        <w:tc>
          <w:tcPr>
            <w:tcW w:w="1436" w:type="dxa"/>
            <w:vAlign w:val="center"/>
          </w:tcPr>
          <w:p>
            <w:pPr>
              <w:spacing w:line="360" w:lineRule="auto"/>
              <w:jc w:val="center"/>
            </w:pPr>
            <w:r>
              <w:t>0</w:t>
            </w:r>
          </w:p>
        </w:tc>
        <w:tc>
          <w:tcPr>
            <w:tcW w:w="1436" w:type="dxa"/>
            <w:vAlign w:val="center"/>
          </w:tcPr>
          <w:p>
            <w:pPr>
              <w:spacing w:line="360" w:lineRule="auto"/>
              <w:jc w:val="center"/>
            </w:pPr>
            <w:r>
              <w:t>10</w:t>
            </w:r>
          </w:p>
        </w:tc>
        <w:tc>
          <w:tcPr>
            <w:tcW w:w="1439" w:type="dxa"/>
            <w:vAlign w:val="center"/>
          </w:tcPr>
          <w:p>
            <w:pPr>
              <w:spacing w:line="360" w:lineRule="auto"/>
              <w:jc w:val="center"/>
            </w:pPr>
            <w:r>
              <w:t>25</w:t>
            </w:r>
          </w:p>
        </w:tc>
        <w:tc>
          <w:tcPr>
            <w:tcW w:w="1939" w:type="dxa"/>
            <w:vAlign w:val="center"/>
          </w:tcPr>
          <w:p>
            <w:pPr>
              <w:spacing w:line="360" w:lineRule="auto"/>
              <w:jc w:val="center"/>
              <w:rPr>
                <w:szCs w:val="21"/>
              </w:rPr>
            </w:pPr>
            <w:r>
              <w:rPr>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0" w:type="dxa"/>
            <w:vAlign w:val="center"/>
          </w:tcPr>
          <w:p>
            <w:pPr>
              <w:widowControl/>
              <w:jc w:val="center"/>
              <w:rPr>
                <w:kern w:val="0"/>
                <w:sz w:val="18"/>
                <w:szCs w:val="18"/>
              </w:rPr>
            </w:pPr>
            <w:r>
              <w:rPr>
                <w:rFonts w:hint="eastAsia"/>
                <w:kern w:val="0"/>
                <w:sz w:val="18"/>
                <w:szCs w:val="18"/>
              </w:rPr>
              <w:t>考核环节成绩比例合计（%）</w:t>
            </w:r>
          </w:p>
        </w:tc>
        <w:tc>
          <w:tcPr>
            <w:tcW w:w="1436" w:type="dxa"/>
            <w:vAlign w:val="center"/>
          </w:tcPr>
          <w:p>
            <w:pPr>
              <w:spacing w:line="360" w:lineRule="auto"/>
              <w:jc w:val="center"/>
            </w:pPr>
            <w:r>
              <w:rPr>
                <w:sz w:val="20"/>
              </w:rPr>
              <w:t>20</w:t>
            </w:r>
          </w:p>
        </w:tc>
        <w:tc>
          <w:tcPr>
            <w:tcW w:w="1436" w:type="dxa"/>
            <w:vAlign w:val="center"/>
          </w:tcPr>
          <w:p>
            <w:pPr>
              <w:spacing w:line="360" w:lineRule="auto"/>
              <w:jc w:val="center"/>
              <w:rPr>
                <w:sz w:val="20"/>
              </w:rPr>
            </w:pPr>
            <w:r>
              <w:rPr>
                <w:sz w:val="20"/>
              </w:rPr>
              <w:t>10</w:t>
            </w:r>
          </w:p>
        </w:tc>
        <w:tc>
          <w:tcPr>
            <w:tcW w:w="1436" w:type="dxa"/>
            <w:vAlign w:val="center"/>
          </w:tcPr>
          <w:p>
            <w:pPr>
              <w:spacing w:line="360" w:lineRule="auto"/>
              <w:jc w:val="center"/>
              <w:rPr>
                <w:sz w:val="20"/>
              </w:rPr>
            </w:pPr>
            <w:r>
              <w:rPr>
                <w:sz w:val="20"/>
              </w:rPr>
              <w:t>10</w:t>
            </w:r>
          </w:p>
        </w:tc>
        <w:tc>
          <w:tcPr>
            <w:tcW w:w="1439" w:type="dxa"/>
            <w:vAlign w:val="center"/>
          </w:tcPr>
          <w:p>
            <w:pPr>
              <w:spacing w:line="360" w:lineRule="auto"/>
              <w:jc w:val="center"/>
              <w:rPr>
                <w:sz w:val="20"/>
              </w:rPr>
            </w:pPr>
            <w:r>
              <w:rPr>
                <w:sz w:val="20"/>
              </w:rPr>
              <w:t>60</w:t>
            </w:r>
          </w:p>
        </w:tc>
        <w:tc>
          <w:tcPr>
            <w:tcW w:w="1939" w:type="dxa"/>
            <w:vAlign w:val="center"/>
          </w:tcPr>
          <w:p>
            <w:pPr>
              <w:spacing w:line="360" w:lineRule="auto"/>
              <w:jc w:val="center"/>
            </w:pPr>
            <w:r>
              <w:rPr>
                <w:rFonts w:hint="eastAsia"/>
              </w:rPr>
              <w:t>1</w:t>
            </w:r>
            <w:r>
              <w:t>00</w:t>
            </w:r>
          </w:p>
        </w:tc>
      </w:tr>
    </w:tbl>
    <w:p>
      <w:pPr>
        <w:numPr>
          <w:ilvl w:val="0"/>
          <w:numId w:val="15"/>
        </w:numPr>
        <w:spacing w:line="360" w:lineRule="auto"/>
        <w:ind w:firstLine="420" w:firstLineChars="200"/>
        <w:rPr>
          <w:rFonts w:hint="eastAsia"/>
          <w:szCs w:val="21"/>
        </w:rPr>
      </w:pPr>
      <w:r>
        <w:rPr>
          <w:rFonts w:hint="eastAsia"/>
          <w:szCs w:val="21"/>
        </w:rPr>
        <w:t>定性评价</w:t>
      </w:r>
    </w:p>
    <w:p>
      <w:pPr>
        <w:spacing w:line="360" w:lineRule="auto"/>
        <w:ind w:firstLine="420" w:firstLineChars="200"/>
        <w:rPr>
          <w:rFonts w:hint="eastAsia"/>
          <w:color w:val="000000"/>
          <w:szCs w:val="21"/>
        </w:rPr>
      </w:pPr>
      <w:r>
        <w:rPr>
          <w:color w:val="000000"/>
        </w:rPr>
        <w:t>定性评价指利用学生的调查问卷进行课程目标达成情况评价</w:t>
      </w:r>
      <w:r>
        <w:rPr>
          <w:rFonts w:hint="eastAsia"/>
          <w:color w:val="000000"/>
        </w:rPr>
        <w:t>，</w:t>
      </w:r>
      <w:r>
        <w:rPr>
          <w:color w:val="000000"/>
          <w:szCs w:val="21"/>
        </w:rPr>
        <w:t>按照各课程目标分项设计合适的问卷，调查学生掌握知识及获得能力等课程目标达成情况</w:t>
      </w:r>
      <w:r>
        <w:rPr>
          <w:rFonts w:hint="eastAsia"/>
          <w:color w:val="000000"/>
          <w:szCs w:val="21"/>
        </w:rPr>
        <w:t>。</w:t>
      </w:r>
      <w:r>
        <w:rPr>
          <w:color w:val="000000"/>
          <w:szCs w:val="21"/>
        </w:rPr>
        <w:t>其中成绩均采用百分制统计，五级分制转换为百分制时，优对应9</w:t>
      </w:r>
      <w:r>
        <w:rPr>
          <w:rFonts w:hint="eastAsia"/>
          <w:color w:val="000000"/>
          <w:szCs w:val="21"/>
        </w:rPr>
        <w:t>0</w:t>
      </w:r>
      <w:r>
        <w:rPr>
          <w:color w:val="000000"/>
          <w:szCs w:val="21"/>
        </w:rPr>
        <w:t>分，良对应8</w:t>
      </w:r>
      <w:r>
        <w:rPr>
          <w:rFonts w:hint="eastAsia"/>
          <w:color w:val="000000"/>
          <w:szCs w:val="21"/>
        </w:rPr>
        <w:t>0</w:t>
      </w:r>
      <w:r>
        <w:rPr>
          <w:color w:val="000000"/>
          <w:szCs w:val="21"/>
        </w:rPr>
        <w:t>分，中对应7</w:t>
      </w:r>
      <w:r>
        <w:rPr>
          <w:rFonts w:hint="eastAsia"/>
          <w:color w:val="000000"/>
          <w:szCs w:val="21"/>
        </w:rPr>
        <w:t>0</w:t>
      </w:r>
      <w:r>
        <w:rPr>
          <w:color w:val="000000"/>
          <w:szCs w:val="21"/>
        </w:rPr>
        <w:t>分，及格对应6</w:t>
      </w:r>
      <w:r>
        <w:rPr>
          <w:rFonts w:hint="eastAsia"/>
          <w:color w:val="000000"/>
          <w:szCs w:val="21"/>
        </w:rPr>
        <w:t>0</w:t>
      </w:r>
      <w:r>
        <w:rPr>
          <w:color w:val="000000"/>
          <w:szCs w:val="21"/>
        </w:rPr>
        <w:t>分，不及格对应5</w:t>
      </w:r>
      <w:r>
        <w:rPr>
          <w:rFonts w:hint="eastAsia"/>
          <w:color w:val="000000"/>
          <w:szCs w:val="21"/>
        </w:rPr>
        <w:t>0</w:t>
      </w:r>
      <w:r>
        <w:rPr>
          <w:color w:val="000000"/>
          <w:szCs w:val="21"/>
        </w:rPr>
        <w:t>分。</w:t>
      </w:r>
    </w:p>
    <w:p>
      <w:pPr>
        <w:spacing w:line="360" w:lineRule="auto"/>
        <w:ind w:firstLine="420" w:firstLineChars="200"/>
        <w:rPr>
          <w:rFonts w:hint="eastAsia"/>
          <w:color w:val="FF0000"/>
          <w:szCs w:val="21"/>
        </w:rPr>
      </w:pPr>
      <w:r>
        <w:rPr>
          <w:rFonts w:hint="eastAsia"/>
          <w:color w:val="000000"/>
        </w:rPr>
        <w:t>综合定性与定量评价结果，取最小量为最终评价结果。</w:t>
      </w:r>
    </w:p>
    <w:p>
      <w:pPr>
        <w:spacing w:before="156" w:beforeLines="50" w:after="156" w:afterLines="50" w:line="360" w:lineRule="auto"/>
        <w:ind w:firstLine="210" w:firstLineChars="100"/>
        <w:rPr>
          <w:rFonts w:eastAsia="黑体"/>
          <w:szCs w:val="21"/>
        </w:rPr>
      </w:pPr>
      <w:r>
        <w:rPr>
          <w:rFonts w:hint="eastAsia" w:eastAsia="黑体"/>
          <w:szCs w:val="21"/>
        </w:rPr>
        <w:t>六</w:t>
      </w:r>
      <w:r>
        <w:rPr>
          <w:rFonts w:eastAsia="黑体"/>
          <w:szCs w:val="21"/>
        </w:rPr>
        <w:t>、</w:t>
      </w:r>
      <w:r>
        <w:rPr>
          <w:rFonts w:hint="eastAsia" w:eastAsia="黑体"/>
          <w:szCs w:val="21"/>
        </w:rPr>
        <w:t>评价标准：</w:t>
      </w:r>
    </w:p>
    <w:p>
      <w:pPr>
        <w:spacing w:line="360" w:lineRule="auto"/>
        <w:ind w:firstLine="207" w:firstLineChars="98"/>
        <w:rPr>
          <w:rFonts w:hint="eastAsia" w:ascii="宋体" w:hAnsi="宋体"/>
          <w:b/>
          <w:szCs w:val="21"/>
        </w:rPr>
      </w:pPr>
      <w:r>
        <w:rPr>
          <w:rFonts w:hint="eastAsia" w:ascii="宋体" w:hAnsi="宋体"/>
          <w:b/>
          <w:szCs w:val="21"/>
        </w:rPr>
        <w:t>1、</w:t>
      </w:r>
      <w:r>
        <w:rPr>
          <w:rFonts w:hint="eastAsia"/>
          <w:b/>
        </w:rPr>
        <w:t>随堂测试</w:t>
      </w:r>
      <w:r>
        <w:rPr>
          <w:rFonts w:hint="eastAsia" w:ascii="宋体" w:hAnsi="宋体"/>
          <w:b/>
          <w:szCs w:val="21"/>
        </w:rPr>
        <w:t>评价标准</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1560"/>
        <w:gridCol w:w="1559"/>
        <w:gridCol w:w="1559"/>
        <w:gridCol w:w="1381"/>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310" w:type="dxa"/>
            <w:vMerge w:val="restart"/>
            <w:shd w:val="clear" w:color="auto" w:fill="F2F2F2"/>
            <w:vAlign w:val="center"/>
          </w:tcPr>
          <w:p>
            <w:pPr>
              <w:jc w:val="center"/>
              <w:rPr>
                <w:rFonts w:hint="eastAsia"/>
                <w:b/>
                <w:bCs/>
                <w:sz w:val="18"/>
                <w:szCs w:val="18"/>
              </w:rPr>
            </w:pPr>
            <w:r>
              <w:rPr>
                <w:rFonts w:hint="eastAsia"/>
                <w:b/>
                <w:bCs/>
                <w:sz w:val="18"/>
                <w:szCs w:val="18"/>
              </w:rPr>
              <w:t>基本要求</w:t>
            </w:r>
          </w:p>
        </w:tc>
        <w:tc>
          <w:tcPr>
            <w:tcW w:w="6059" w:type="dxa"/>
            <w:gridSpan w:val="4"/>
            <w:shd w:val="clear" w:color="auto" w:fill="F2F2F2"/>
            <w:vAlign w:val="center"/>
          </w:tcPr>
          <w:p>
            <w:pPr>
              <w:jc w:val="center"/>
              <w:rPr>
                <w:rFonts w:hint="eastAsia"/>
                <w:b/>
                <w:bCs/>
                <w:sz w:val="18"/>
                <w:szCs w:val="18"/>
              </w:rPr>
            </w:pPr>
            <w:r>
              <w:rPr>
                <w:rFonts w:hint="eastAsia"/>
                <w:b/>
                <w:bCs/>
                <w:sz w:val="18"/>
                <w:szCs w:val="18"/>
              </w:rPr>
              <w:t>评价标准</w:t>
            </w:r>
          </w:p>
        </w:tc>
        <w:tc>
          <w:tcPr>
            <w:tcW w:w="785" w:type="dxa"/>
            <w:vMerge w:val="restart"/>
            <w:shd w:val="clear" w:color="auto" w:fill="F2F2F2"/>
            <w:vAlign w:val="center"/>
          </w:tcPr>
          <w:p>
            <w:pPr>
              <w:jc w:val="center"/>
              <w:rPr>
                <w:rFonts w:hint="eastAsia"/>
                <w:b/>
                <w:bCs/>
                <w:sz w:val="18"/>
                <w:szCs w:val="18"/>
              </w:rPr>
            </w:pPr>
            <w:r>
              <w:rPr>
                <w:rFonts w:hint="eastAsia"/>
                <w:b/>
                <w:bCs/>
                <w:sz w:val="18"/>
                <w:szCs w:val="1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310" w:type="dxa"/>
            <w:vMerge w:val="continue"/>
            <w:shd w:val="clear" w:color="auto" w:fill="F2F2F2"/>
          </w:tcPr>
          <w:p>
            <w:pPr>
              <w:jc w:val="center"/>
              <w:rPr>
                <w:rFonts w:hint="eastAsia"/>
                <w:b/>
                <w:bCs/>
                <w:sz w:val="18"/>
                <w:szCs w:val="18"/>
              </w:rPr>
            </w:pPr>
          </w:p>
        </w:tc>
        <w:tc>
          <w:tcPr>
            <w:tcW w:w="1560" w:type="dxa"/>
            <w:shd w:val="clear" w:color="auto" w:fill="F2F2F2"/>
          </w:tcPr>
          <w:p>
            <w:pPr>
              <w:jc w:val="center"/>
              <w:rPr>
                <w:rFonts w:hint="eastAsia"/>
                <w:b/>
                <w:bCs/>
                <w:sz w:val="18"/>
                <w:szCs w:val="18"/>
              </w:rPr>
            </w:pPr>
            <w:r>
              <w:rPr>
                <w:rFonts w:hint="eastAsia"/>
                <w:b/>
                <w:bCs/>
                <w:sz w:val="18"/>
                <w:szCs w:val="18"/>
              </w:rPr>
              <w:t>90-100分</w:t>
            </w:r>
          </w:p>
        </w:tc>
        <w:tc>
          <w:tcPr>
            <w:tcW w:w="1559" w:type="dxa"/>
            <w:shd w:val="clear" w:color="auto" w:fill="F2F2F2"/>
          </w:tcPr>
          <w:p>
            <w:pPr>
              <w:jc w:val="center"/>
              <w:rPr>
                <w:rFonts w:hint="eastAsia"/>
                <w:b/>
                <w:bCs/>
                <w:sz w:val="18"/>
                <w:szCs w:val="18"/>
              </w:rPr>
            </w:pPr>
            <w:r>
              <w:rPr>
                <w:rFonts w:hint="eastAsia"/>
                <w:b/>
                <w:bCs/>
                <w:sz w:val="18"/>
                <w:szCs w:val="18"/>
              </w:rPr>
              <w:t>75-89分</w:t>
            </w:r>
          </w:p>
        </w:tc>
        <w:tc>
          <w:tcPr>
            <w:tcW w:w="1559" w:type="dxa"/>
            <w:shd w:val="clear" w:color="auto" w:fill="F2F2F2"/>
          </w:tcPr>
          <w:p>
            <w:pPr>
              <w:jc w:val="center"/>
              <w:rPr>
                <w:rFonts w:hint="eastAsia"/>
                <w:b/>
                <w:bCs/>
                <w:sz w:val="18"/>
                <w:szCs w:val="18"/>
              </w:rPr>
            </w:pPr>
            <w:r>
              <w:rPr>
                <w:rFonts w:hint="eastAsia"/>
                <w:b/>
                <w:bCs/>
                <w:sz w:val="18"/>
                <w:szCs w:val="18"/>
              </w:rPr>
              <w:t>60-74分</w:t>
            </w:r>
          </w:p>
        </w:tc>
        <w:tc>
          <w:tcPr>
            <w:tcW w:w="1381" w:type="dxa"/>
            <w:shd w:val="clear" w:color="auto" w:fill="F2F2F2"/>
          </w:tcPr>
          <w:p>
            <w:pPr>
              <w:jc w:val="center"/>
              <w:rPr>
                <w:rFonts w:hint="eastAsia"/>
                <w:b/>
                <w:bCs/>
                <w:sz w:val="18"/>
                <w:szCs w:val="18"/>
              </w:rPr>
            </w:pPr>
            <w:r>
              <w:rPr>
                <w:rFonts w:hint="eastAsia"/>
                <w:b/>
                <w:bCs/>
                <w:sz w:val="18"/>
                <w:szCs w:val="18"/>
              </w:rPr>
              <w:t>0-59分</w:t>
            </w:r>
          </w:p>
        </w:tc>
        <w:tc>
          <w:tcPr>
            <w:tcW w:w="785" w:type="dxa"/>
            <w:vMerge w:val="continue"/>
            <w:shd w:val="clear" w:color="auto" w:fill="F2F2F2"/>
          </w:tcPr>
          <w:p>
            <w:pPr>
              <w:jc w:val="center"/>
              <w:rPr>
                <w:rFonts w:hint="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tcPr>
          <w:p>
            <w:pPr>
              <w:rPr>
                <w:rFonts w:hint="eastAsia"/>
                <w:bCs/>
                <w:sz w:val="18"/>
                <w:szCs w:val="18"/>
              </w:rPr>
            </w:pPr>
          </w:p>
          <w:p>
            <w:pPr>
              <w:rPr>
                <w:bCs/>
                <w:sz w:val="18"/>
                <w:szCs w:val="18"/>
              </w:rPr>
            </w:pPr>
            <w:r>
              <w:rPr>
                <w:rFonts w:hint="eastAsia"/>
                <w:sz w:val="18"/>
                <w:szCs w:val="18"/>
              </w:rPr>
              <w:t>掌握智能材料的基本概念与分类方法，材料智能化的概念，掌握材料智能化的处理方法和原则，对实际器件设计与智能材料的联系有深刻的认识。</w:t>
            </w:r>
          </w:p>
          <w:p>
            <w:pPr>
              <w:rPr>
                <w:bCs/>
                <w:sz w:val="18"/>
                <w:szCs w:val="18"/>
              </w:rPr>
            </w:pPr>
            <w:r>
              <w:rPr>
                <w:bCs/>
                <w:sz w:val="18"/>
                <w:szCs w:val="18"/>
              </w:rPr>
              <w:t>(支撑课程目标1毕业要求指标点</w:t>
            </w:r>
            <w:r>
              <w:rPr>
                <w:rFonts w:hint="eastAsia"/>
                <w:bCs/>
                <w:sz w:val="18"/>
                <w:szCs w:val="18"/>
              </w:rPr>
              <w:t>1</w:t>
            </w:r>
            <w:r>
              <w:rPr>
                <w:bCs/>
                <w:sz w:val="18"/>
                <w:szCs w:val="18"/>
              </w:rPr>
              <w:t>-1)</w:t>
            </w:r>
          </w:p>
        </w:tc>
        <w:tc>
          <w:tcPr>
            <w:tcW w:w="1560" w:type="dxa"/>
            <w:vAlign w:val="center"/>
          </w:tcPr>
          <w:p>
            <w:pPr>
              <w:rPr>
                <w:bCs/>
                <w:sz w:val="18"/>
                <w:szCs w:val="18"/>
              </w:rPr>
            </w:pPr>
            <w:r>
              <w:rPr>
                <w:bCs/>
                <w:sz w:val="18"/>
                <w:szCs w:val="18"/>
              </w:rPr>
              <w:t>规定时间内完成；能够熟练掌握</w:t>
            </w:r>
            <w:r>
              <w:rPr>
                <w:rFonts w:hint="eastAsia"/>
                <w:bCs/>
                <w:sz w:val="18"/>
                <w:szCs w:val="18"/>
              </w:rPr>
              <w:t>智能</w:t>
            </w:r>
            <w:r>
              <w:rPr>
                <w:bCs/>
                <w:sz w:val="18"/>
                <w:szCs w:val="18"/>
              </w:rPr>
              <w:t>材料基本概念；能够正确识别</w:t>
            </w:r>
            <w:r>
              <w:rPr>
                <w:rFonts w:hint="eastAsia"/>
                <w:bCs/>
                <w:sz w:val="18"/>
                <w:szCs w:val="18"/>
              </w:rPr>
              <w:t>不同</w:t>
            </w:r>
            <w:r>
              <w:rPr>
                <w:bCs/>
                <w:sz w:val="18"/>
                <w:szCs w:val="18"/>
              </w:rPr>
              <w:t>类别</w:t>
            </w:r>
            <w:r>
              <w:rPr>
                <w:rFonts w:hint="eastAsia"/>
                <w:bCs/>
                <w:sz w:val="18"/>
                <w:szCs w:val="18"/>
              </w:rPr>
              <w:t>的智能材料</w:t>
            </w:r>
            <w:r>
              <w:rPr>
                <w:bCs/>
                <w:sz w:val="18"/>
                <w:szCs w:val="18"/>
              </w:rPr>
              <w:t>，熟练掌握材料智能化的处理方法与原则；答题规范，准确性高。</w:t>
            </w:r>
          </w:p>
        </w:tc>
        <w:tc>
          <w:tcPr>
            <w:tcW w:w="1559" w:type="dxa"/>
            <w:vAlign w:val="center"/>
          </w:tcPr>
          <w:p>
            <w:pPr>
              <w:rPr>
                <w:bCs/>
                <w:sz w:val="18"/>
                <w:szCs w:val="18"/>
              </w:rPr>
            </w:pPr>
            <w:r>
              <w:rPr>
                <w:bCs/>
                <w:sz w:val="18"/>
                <w:szCs w:val="18"/>
              </w:rPr>
              <w:t>规定时间内完成；能够熟练掌握</w:t>
            </w:r>
            <w:r>
              <w:rPr>
                <w:rFonts w:hint="eastAsia"/>
                <w:bCs/>
                <w:sz w:val="18"/>
                <w:szCs w:val="18"/>
              </w:rPr>
              <w:t>智能</w:t>
            </w:r>
            <w:r>
              <w:rPr>
                <w:bCs/>
                <w:sz w:val="18"/>
                <w:szCs w:val="18"/>
              </w:rPr>
              <w:t>材料基本概念；能够正确识别</w:t>
            </w:r>
            <w:r>
              <w:rPr>
                <w:rFonts w:hint="eastAsia"/>
                <w:bCs/>
                <w:sz w:val="18"/>
                <w:szCs w:val="18"/>
              </w:rPr>
              <w:t>不同</w:t>
            </w:r>
            <w:r>
              <w:rPr>
                <w:bCs/>
                <w:sz w:val="18"/>
                <w:szCs w:val="18"/>
              </w:rPr>
              <w:t>类别</w:t>
            </w:r>
            <w:r>
              <w:rPr>
                <w:rFonts w:hint="eastAsia"/>
                <w:bCs/>
                <w:sz w:val="18"/>
                <w:szCs w:val="18"/>
              </w:rPr>
              <w:t>的智能材料</w:t>
            </w:r>
            <w:r>
              <w:rPr>
                <w:bCs/>
                <w:sz w:val="18"/>
                <w:szCs w:val="18"/>
              </w:rPr>
              <w:t>，能够正确掌握材料智能化的处理方法与原则；答题较规范，准确性较高。</w:t>
            </w:r>
          </w:p>
        </w:tc>
        <w:tc>
          <w:tcPr>
            <w:tcW w:w="1559" w:type="dxa"/>
            <w:vAlign w:val="center"/>
          </w:tcPr>
          <w:p>
            <w:pPr>
              <w:rPr>
                <w:bCs/>
                <w:sz w:val="18"/>
                <w:szCs w:val="18"/>
              </w:rPr>
            </w:pPr>
            <w:r>
              <w:rPr>
                <w:bCs/>
                <w:sz w:val="18"/>
                <w:szCs w:val="18"/>
              </w:rPr>
              <w:t>规定时间内完成；能够掌握</w:t>
            </w:r>
            <w:r>
              <w:rPr>
                <w:rFonts w:hint="eastAsia"/>
                <w:bCs/>
                <w:sz w:val="18"/>
                <w:szCs w:val="18"/>
              </w:rPr>
              <w:t>智能</w:t>
            </w:r>
            <w:r>
              <w:rPr>
                <w:bCs/>
                <w:sz w:val="18"/>
                <w:szCs w:val="18"/>
              </w:rPr>
              <w:t>材料基本概念；能够识别不同</w:t>
            </w:r>
            <w:r>
              <w:rPr>
                <w:rFonts w:hint="eastAsia"/>
                <w:bCs/>
                <w:sz w:val="18"/>
                <w:szCs w:val="18"/>
              </w:rPr>
              <w:t>类别的智能材料</w:t>
            </w:r>
            <w:r>
              <w:rPr>
                <w:bCs/>
                <w:sz w:val="18"/>
                <w:szCs w:val="18"/>
              </w:rPr>
              <w:t>，掌握材料智能化的处理方法与原则；答题基本规范，基本准确。</w:t>
            </w:r>
          </w:p>
        </w:tc>
        <w:tc>
          <w:tcPr>
            <w:tcW w:w="1381" w:type="dxa"/>
            <w:vAlign w:val="center"/>
          </w:tcPr>
          <w:p>
            <w:pPr>
              <w:rPr>
                <w:bCs/>
                <w:sz w:val="18"/>
                <w:szCs w:val="18"/>
              </w:rPr>
            </w:pPr>
            <w:r>
              <w:rPr>
                <w:bCs/>
                <w:sz w:val="18"/>
                <w:szCs w:val="18"/>
              </w:rPr>
              <w:t>未完成或未提交测验；不能掌握</w:t>
            </w:r>
            <w:r>
              <w:rPr>
                <w:rFonts w:hint="eastAsia"/>
                <w:bCs/>
                <w:sz w:val="18"/>
                <w:szCs w:val="18"/>
              </w:rPr>
              <w:t>智能</w:t>
            </w:r>
            <w:r>
              <w:rPr>
                <w:bCs/>
                <w:sz w:val="18"/>
                <w:szCs w:val="18"/>
              </w:rPr>
              <w:t>材料基本概念；不能够识别不同</w:t>
            </w:r>
            <w:r>
              <w:rPr>
                <w:rFonts w:hint="eastAsia"/>
                <w:bCs/>
                <w:sz w:val="18"/>
                <w:szCs w:val="18"/>
              </w:rPr>
              <w:t>类别的智能材料</w:t>
            </w:r>
            <w:r>
              <w:rPr>
                <w:bCs/>
                <w:sz w:val="18"/>
                <w:szCs w:val="18"/>
              </w:rPr>
              <w:t>，不能掌握材料智能化的处理方法与原则；基本概念不清楚甚至错误，准确率低。</w:t>
            </w:r>
          </w:p>
        </w:tc>
        <w:tc>
          <w:tcPr>
            <w:tcW w:w="785" w:type="dxa"/>
            <w:vAlign w:val="center"/>
          </w:tcPr>
          <w:p>
            <w:pPr>
              <w:jc w:val="left"/>
              <w:rPr>
                <w:rFonts w:hint="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bCs/>
                <w:sz w:val="18"/>
                <w:szCs w:val="18"/>
              </w:rPr>
            </w:pPr>
            <w:r>
              <w:rPr>
                <w:rFonts w:hint="eastAsia"/>
                <w:sz w:val="18"/>
                <w:szCs w:val="18"/>
              </w:rPr>
              <w:t>能够熟练掌握智能材料的基本分析方法，对不同智能材料的应用背景和发展前景有充分的认识，对智能材料系统问题所需的智能材料具有较强的建立材料智能化的能力，且能正确将智能材料应用于实际器件中。</w:t>
            </w:r>
          </w:p>
          <w:p>
            <w:pPr>
              <w:rPr>
                <w:rFonts w:hint="eastAsia"/>
                <w:bCs/>
                <w:sz w:val="18"/>
                <w:szCs w:val="18"/>
              </w:rPr>
            </w:pPr>
            <w:r>
              <w:rPr>
                <w:bCs/>
                <w:sz w:val="18"/>
                <w:szCs w:val="18"/>
              </w:rPr>
              <w:t>(支撑课程目标</w:t>
            </w:r>
            <w:r>
              <w:rPr>
                <w:rFonts w:hint="eastAsia"/>
                <w:bCs/>
                <w:sz w:val="18"/>
                <w:szCs w:val="18"/>
              </w:rPr>
              <w:t>2</w:t>
            </w:r>
            <w:r>
              <w:rPr>
                <w:bCs/>
                <w:sz w:val="18"/>
                <w:szCs w:val="18"/>
              </w:rPr>
              <w:t>毕业要求指标点</w:t>
            </w:r>
            <w:r>
              <w:rPr>
                <w:rFonts w:hint="eastAsia"/>
                <w:bCs/>
                <w:sz w:val="18"/>
                <w:szCs w:val="18"/>
              </w:rPr>
              <w:t>1-2</w:t>
            </w:r>
            <w:r>
              <w:rPr>
                <w:bCs/>
                <w:sz w:val="18"/>
                <w:szCs w:val="18"/>
              </w:rPr>
              <w:t>)</w:t>
            </w:r>
          </w:p>
        </w:tc>
        <w:tc>
          <w:tcPr>
            <w:tcW w:w="1560" w:type="dxa"/>
            <w:vAlign w:val="center"/>
          </w:tcPr>
          <w:p>
            <w:pPr>
              <w:rPr>
                <w:rFonts w:hint="eastAsia"/>
                <w:bCs/>
                <w:sz w:val="18"/>
                <w:szCs w:val="18"/>
              </w:rPr>
            </w:pPr>
            <w:r>
              <w:rPr>
                <w:bCs/>
                <w:sz w:val="18"/>
                <w:szCs w:val="18"/>
              </w:rPr>
              <w:t>规定时间内完成；</w:t>
            </w:r>
            <w:r>
              <w:rPr>
                <w:rFonts w:hint="eastAsia"/>
                <w:sz w:val="18"/>
                <w:szCs w:val="18"/>
              </w:rPr>
              <w:t>能够熟练掌握智能材料的基本分析方法，对不同智能材料的应用背景和发展前景有充分的认识，对智能材料系统问题所需的智能材料具有较强的建立材料智能化的能力，且能正确将智能材料应用于实际器件中。</w:t>
            </w:r>
            <w:r>
              <w:rPr>
                <w:bCs/>
                <w:sz w:val="18"/>
                <w:szCs w:val="18"/>
              </w:rPr>
              <w:t>答题规范，准确性高。</w:t>
            </w:r>
          </w:p>
        </w:tc>
        <w:tc>
          <w:tcPr>
            <w:tcW w:w="1559" w:type="dxa"/>
            <w:vAlign w:val="center"/>
          </w:tcPr>
          <w:p>
            <w:pPr>
              <w:rPr>
                <w:rFonts w:hint="eastAsia"/>
                <w:bCs/>
                <w:sz w:val="18"/>
                <w:szCs w:val="18"/>
              </w:rPr>
            </w:pPr>
            <w:r>
              <w:rPr>
                <w:bCs/>
                <w:sz w:val="18"/>
                <w:szCs w:val="18"/>
              </w:rPr>
              <w:t>规定时间内完成；</w:t>
            </w:r>
            <w:r>
              <w:rPr>
                <w:rFonts w:hint="eastAsia"/>
                <w:sz w:val="18"/>
                <w:szCs w:val="18"/>
              </w:rPr>
              <w:t>能够熟练掌握智能材料的基本分析方法，对不同智能材料的应用背景和发展前景有充分的认识，对智能材料系统问题所需的智能材料具有较强的建立材料智能化的能力，且能正确将智能材料应用于实际器件中。</w:t>
            </w:r>
            <w:r>
              <w:rPr>
                <w:bCs/>
                <w:sz w:val="18"/>
                <w:szCs w:val="18"/>
              </w:rPr>
              <w:t>答题较规范，准确性较高。</w:t>
            </w:r>
          </w:p>
        </w:tc>
        <w:tc>
          <w:tcPr>
            <w:tcW w:w="1559" w:type="dxa"/>
            <w:vAlign w:val="center"/>
          </w:tcPr>
          <w:p>
            <w:pPr>
              <w:rPr>
                <w:rFonts w:hint="eastAsia"/>
                <w:bCs/>
                <w:sz w:val="18"/>
                <w:szCs w:val="18"/>
              </w:rPr>
            </w:pPr>
            <w:r>
              <w:rPr>
                <w:bCs/>
                <w:sz w:val="18"/>
                <w:szCs w:val="18"/>
              </w:rPr>
              <w:t>规定时间内完成；</w:t>
            </w:r>
            <w:r>
              <w:rPr>
                <w:rFonts w:hint="eastAsia"/>
                <w:sz w:val="18"/>
                <w:szCs w:val="18"/>
              </w:rPr>
              <w:t>能够掌握智能材料的基本分析方法，对不同智能材料的应用背景和发展前景有一定的认识，对智能材料系统问题所需的智能材料具有建立材料智能化的能力，且能将智能材料应用于实际器件中。</w:t>
            </w:r>
            <w:r>
              <w:rPr>
                <w:bCs/>
                <w:sz w:val="18"/>
                <w:szCs w:val="18"/>
              </w:rPr>
              <w:t>答题基本规范，基本准确。</w:t>
            </w:r>
          </w:p>
        </w:tc>
        <w:tc>
          <w:tcPr>
            <w:tcW w:w="1381" w:type="dxa"/>
            <w:vAlign w:val="center"/>
          </w:tcPr>
          <w:p>
            <w:pPr>
              <w:rPr>
                <w:rFonts w:hint="eastAsia"/>
                <w:bCs/>
                <w:sz w:val="18"/>
                <w:szCs w:val="18"/>
              </w:rPr>
            </w:pPr>
            <w:r>
              <w:rPr>
                <w:bCs/>
                <w:sz w:val="18"/>
                <w:szCs w:val="18"/>
              </w:rPr>
              <w:t>未完成或未提交测验；不</w:t>
            </w:r>
            <w:r>
              <w:rPr>
                <w:rFonts w:hint="eastAsia"/>
                <w:sz w:val="18"/>
                <w:szCs w:val="18"/>
              </w:rPr>
              <w:t>能掌握智能材料的基本分析方法，对不同智能材料的应用背景和发展前景不具有相应的认识，对智能材料系统问题所需的智能材料不具有建立材料智能化的能力，不能将智能材料应用于实际器件中。</w:t>
            </w:r>
            <w:r>
              <w:rPr>
                <w:bCs/>
                <w:sz w:val="18"/>
                <w:szCs w:val="18"/>
              </w:rPr>
              <w:t>基本概念不清楚甚至错误，准确率低。</w:t>
            </w:r>
          </w:p>
        </w:tc>
        <w:tc>
          <w:tcPr>
            <w:tcW w:w="785" w:type="dxa"/>
            <w:vAlign w:val="center"/>
          </w:tcPr>
          <w:p>
            <w:pPr>
              <w:jc w:val="center"/>
              <w:rPr>
                <w:rFonts w:hint="eastAsia"/>
                <w:bCs/>
                <w:sz w:val="18"/>
                <w:szCs w:val="18"/>
              </w:rPr>
            </w:pPr>
          </w:p>
        </w:tc>
      </w:tr>
    </w:tbl>
    <w:p>
      <w:pPr>
        <w:spacing w:line="360" w:lineRule="auto"/>
        <w:rPr>
          <w:color w:val="0000FF"/>
          <w:highlight w:val="yellow"/>
        </w:rPr>
      </w:pPr>
    </w:p>
    <w:p>
      <w:pPr>
        <w:pStyle w:val="26"/>
        <w:spacing w:line="360" w:lineRule="auto"/>
        <w:ind w:firstLine="207" w:firstLineChars="98"/>
        <w:rPr>
          <w:rFonts w:hint="eastAsia" w:ascii="宋体" w:hAnsi="宋体"/>
          <w:b/>
          <w:color w:val="C00000"/>
          <w:szCs w:val="21"/>
          <w:highlight w:val="yellow"/>
        </w:rPr>
      </w:pPr>
      <w:r>
        <w:rPr>
          <w:rFonts w:hint="eastAsia" w:ascii="宋体" w:hAnsi="宋体"/>
          <w:b/>
          <w:szCs w:val="21"/>
        </w:rPr>
        <w:t>2、作业评价标准</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1560"/>
        <w:gridCol w:w="1559"/>
        <w:gridCol w:w="1559"/>
        <w:gridCol w:w="1381"/>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310" w:type="dxa"/>
            <w:vMerge w:val="restart"/>
            <w:shd w:val="clear" w:color="auto" w:fill="F2F2F2"/>
            <w:vAlign w:val="center"/>
          </w:tcPr>
          <w:p>
            <w:pPr>
              <w:jc w:val="center"/>
              <w:rPr>
                <w:b/>
                <w:sz w:val="18"/>
                <w:szCs w:val="18"/>
              </w:rPr>
            </w:pPr>
            <w:r>
              <w:rPr>
                <w:rFonts w:hint="eastAsia"/>
                <w:b/>
                <w:sz w:val="18"/>
                <w:szCs w:val="18"/>
              </w:rPr>
              <w:t>基本要求</w:t>
            </w:r>
          </w:p>
        </w:tc>
        <w:tc>
          <w:tcPr>
            <w:tcW w:w="6059" w:type="dxa"/>
            <w:gridSpan w:val="4"/>
            <w:shd w:val="clear" w:color="auto" w:fill="F2F2F2"/>
            <w:vAlign w:val="center"/>
          </w:tcPr>
          <w:p>
            <w:pPr>
              <w:jc w:val="center"/>
              <w:rPr>
                <w:b/>
                <w:sz w:val="18"/>
                <w:szCs w:val="18"/>
              </w:rPr>
            </w:pPr>
            <w:r>
              <w:rPr>
                <w:rFonts w:hint="eastAsia"/>
                <w:b/>
                <w:sz w:val="18"/>
                <w:szCs w:val="18"/>
              </w:rPr>
              <w:t>评价标准</w:t>
            </w:r>
          </w:p>
        </w:tc>
        <w:tc>
          <w:tcPr>
            <w:tcW w:w="785" w:type="dxa"/>
            <w:vMerge w:val="restart"/>
            <w:shd w:val="clear" w:color="auto" w:fill="F2F2F2"/>
            <w:vAlign w:val="center"/>
          </w:tcPr>
          <w:p>
            <w:pPr>
              <w:jc w:val="center"/>
              <w:rPr>
                <w:rFonts w:hint="eastAsia"/>
                <w:b/>
                <w:sz w:val="18"/>
                <w:szCs w:val="18"/>
              </w:rPr>
            </w:pPr>
            <w:r>
              <w:rPr>
                <w:rFonts w:hint="eastAsia"/>
                <w:b/>
                <w:sz w:val="18"/>
                <w:szCs w:val="1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310" w:type="dxa"/>
            <w:vMerge w:val="continue"/>
            <w:shd w:val="clear" w:color="auto" w:fill="F2F2F2"/>
          </w:tcPr>
          <w:p>
            <w:pPr>
              <w:spacing w:line="420" w:lineRule="exact"/>
              <w:jc w:val="center"/>
              <w:rPr>
                <w:rFonts w:hint="eastAsia"/>
                <w:b/>
                <w:sz w:val="18"/>
                <w:szCs w:val="18"/>
              </w:rPr>
            </w:pPr>
          </w:p>
        </w:tc>
        <w:tc>
          <w:tcPr>
            <w:tcW w:w="1560" w:type="dxa"/>
            <w:shd w:val="clear" w:color="auto" w:fill="F2F2F2"/>
          </w:tcPr>
          <w:p>
            <w:pPr>
              <w:spacing w:line="420" w:lineRule="exact"/>
              <w:jc w:val="center"/>
              <w:rPr>
                <w:rFonts w:hint="eastAsia"/>
                <w:b/>
                <w:sz w:val="18"/>
                <w:szCs w:val="18"/>
              </w:rPr>
            </w:pPr>
            <w:r>
              <w:rPr>
                <w:rFonts w:hint="eastAsia"/>
                <w:b/>
                <w:sz w:val="18"/>
                <w:szCs w:val="18"/>
              </w:rPr>
              <w:t>90-100分</w:t>
            </w:r>
          </w:p>
        </w:tc>
        <w:tc>
          <w:tcPr>
            <w:tcW w:w="1559" w:type="dxa"/>
            <w:shd w:val="clear" w:color="auto" w:fill="F2F2F2"/>
          </w:tcPr>
          <w:p>
            <w:pPr>
              <w:spacing w:line="420" w:lineRule="exact"/>
              <w:jc w:val="center"/>
              <w:rPr>
                <w:rFonts w:hint="eastAsia"/>
                <w:b/>
                <w:sz w:val="18"/>
                <w:szCs w:val="18"/>
              </w:rPr>
            </w:pPr>
            <w:r>
              <w:rPr>
                <w:rFonts w:hint="eastAsia"/>
                <w:b/>
                <w:sz w:val="18"/>
                <w:szCs w:val="18"/>
              </w:rPr>
              <w:t>75-89分</w:t>
            </w:r>
          </w:p>
        </w:tc>
        <w:tc>
          <w:tcPr>
            <w:tcW w:w="1559" w:type="dxa"/>
            <w:shd w:val="clear" w:color="auto" w:fill="F2F2F2"/>
          </w:tcPr>
          <w:p>
            <w:pPr>
              <w:spacing w:line="420" w:lineRule="exact"/>
              <w:jc w:val="center"/>
              <w:rPr>
                <w:rFonts w:hint="eastAsia"/>
                <w:b/>
                <w:sz w:val="18"/>
                <w:szCs w:val="18"/>
              </w:rPr>
            </w:pPr>
            <w:r>
              <w:rPr>
                <w:rFonts w:hint="eastAsia"/>
                <w:b/>
                <w:sz w:val="18"/>
                <w:szCs w:val="18"/>
              </w:rPr>
              <w:t>60-74分</w:t>
            </w:r>
          </w:p>
        </w:tc>
        <w:tc>
          <w:tcPr>
            <w:tcW w:w="1381" w:type="dxa"/>
            <w:shd w:val="clear" w:color="auto" w:fill="F2F2F2"/>
          </w:tcPr>
          <w:p>
            <w:pPr>
              <w:spacing w:line="420" w:lineRule="exact"/>
              <w:jc w:val="center"/>
              <w:rPr>
                <w:rFonts w:hint="eastAsia"/>
                <w:b/>
                <w:sz w:val="18"/>
                <w:szCs w:val="18"/>
              </w:rPr>
            </w:pPr>
            <w:r>
              <w:rPr>
                <w:rFonts w:hint="eastAsia"/>
                <w:b/>
                <w:sz w:val="18"/>
                <w:szCs w:val="18"/>
              </w:rPr>
              <w:t>0-59分</w:t>
            </w:r>
          </w:p>
        </w:tc>
        <w:tc>
          <w:tcPr>
            <w:tcW w:w="785" w:type="dxa"/>
            <w:vMerge w:val="continue"/>
            <w:shd w:val="clear" w:color="auto" w:fill="F2F2F2"/>
          </w:tcPr>
          <w:p>
            <w:pPr>
              <w:spacing w:line="420" w:lineRule="exact"/>
              <w:jc w:val="center"/>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hint="eastAsia"/>
                <w:bCs/>
                <w:sz w:val="18"/>
                <w:szCs w:val="18"/>
              </w:rPr>
            </w:pPr>
            <w:r>
              <w:rPr>
                <w:rFonts w:hint="eastAsia"/>
                <w:bCs/>
                <w:sz w:val="18"/>
                <w:szCs w:val="18"/>
              </w:rPr>
              <w:t>材料和结构的智能化的评定及智能材料的主要发展前景</w:t>
            </w:r>
            <w:r>
              <w:rPr>
                <w:bCs/>
                <w:sz w:val="18"/>
                <w:szCs w:val="18"/>
              </w:rPr>
              <w:t>。</w:t>
            </w:r>
          </w:p>
          <w:p>
            <w:pPr>
              <w:rPr>
                <w:rFonts w:ascii="宋体" w:hAnsi="宋体"/>
                <w:bCs/>
                <w:sz w:val="18"/>
                <w:szCs w:val="18"/>
              </w:rPr>
            </w:pPr>
            <w:r>
              <w:rPr>
                <w:bCs/>
                <w:sz w:val="18"/>
                <w:szCs w:val="18"/>
              </w:rPr>
              <w:t>（支撑课程目标1、毕业要求指标点</w:t>
            </w:r>
            <w:r>
              <w:rPr>
                <w:rFonts w:hint="eastAsia"/>
                <w:bCs/>
                <w:sz w:val="18"/>
                <w:szCs w:val="18"/>
              </w:rPr>
              <w:t>1</w:t>
            </w:r>
            <w:r>
              <w:rPr>
                <w:bCs/>
                <w:sz w:val="18"/>
                <w:szCs w:val="18"/>
              </w:rPr>
              <w:t>-1）</w:t>
            </w:r>
          </w:p>
        </w:tc>
        <w:tc>
          <w:tcPr>
            <w:tcW w:w="1560" w:type="dxa"/>
            <w:vAlign w:val="center"/>
          </w:tcPr>
          <w:p>
            <w:pPr>
              <w:rPr>
                <w:rFonts w:ascii="宋体" w:hAnsi="宋体"/>
                <w:bCs/>
                <w:sz w:val="18"/>
                <w:szCs w:val="18"/>
              </w:rPr>
            </w:pPr>
            <w:r>
              <w:rPr>
                <w:bCs/>
                <w:sz w:val="18"/>
                <w:szCs w:val="18"/>
              </w:rPr>
              <w:t>按时交作业；能够</w:t>
            </w:r>
            <w:r>
              <w:rPr>
                <w:rFonts w:hint="eastAsia"/>
                <w:bCs/>
                <w:sz w:val="18"/>
                <w:szCs w:val="18"/>
              </w:rPr>
              <w:t>准确</w:t>
            </w:r>
            <w:r>
              <w:rPr>
                <w:bCs/>
                <w:sz w:val="18"/>
                <w:szCs w:val="18"/>
              </w:rPr>
              <w:t>评定</w:t>
            </w:r>
            <w:r>
              <w:rPr>
                <w:rFonts w:hint="eastAsia"/>
                <w:bCs/>
                <w:sz w:val="18"/>
                <w:szCs w:val="18"/>
              </w:rPr>
              <w:t>材料和结构智能化</w:t>
            </w:r>
            <w:r>
              <w:rPr>
                <w:bCs/>
                <w:sz w:val="18"/>
                <w:szCs w:val="18"/>
              </w:rPr>
              <w:t>，能够充分阐述智能材料的发展前景；完成作业认真，语言规范，表述清楚。</w:t>
            </w:r>
          </w:p>
        </w:tc>
        <w:tc>
          <w:tcPr>
            <w:tcW w:w="1559" w:type="dxa"/>
            <w:vAlign w:val="center"/>
          </w:tcPr>
          <w:p>
            <w:pPr>
              <w:rPr>
                <w:rFonts w:ascii="宋体" w:hAnsi="宋体"/>
                <w:bCs/>
                <w:sz w:val="18"/>
                <w:szCs w:val="18"/>
              </w:rPr>
            </w:pPr>
            <w:r>
              <w:rPr>
                <w:bCs/>
                <w:sz w:val="18"/>
                <w:szCs w:val="18"/>
              </w:rPr>
              <w:t>按时交作业；能够</w:t>
            </w:r>
            <w:r>
              <w:rPr>
                <w:rFonts w:hint="eastAsia"/>
                <w:bCs/>
                <w:sz w:val="18"/>
                <w:szCs w:val="18"/>
              </w:rPr>
              <w:t>准确</w:t>
            </w:r>
            <w:r>
              <w:rPr>
                <w:bCs/>
                <w:sz w:val="18"/>
                <w:szCs w:val="18"/>
              </w:rPr>
              <w:t>评定</w:t>
            </w:r>
            <w:r>
              <w:rPr>
                <w:rFonts w:hint="eastAsia"/>
                <w:bCs/>
                <w:sz w:val="18"/>
                <w:szCs w:val="18"/>
              </w:rPr>
              <w:t>材料和结构智能化</w:t>
            </w:r>
            <w:r>
              <w:rPr>
                <w:bCs/>
                <w:sz w:val="18"/>
                <w:szCs w:val="18"/>
              </w:rPr>
              <w:t>，能够充分阐述智能材料的发展前景；完成作业认较真，语言较规范，表述较清楚。</w:t>
            </w:r>
          </w:p>
        </w:tc>
        <w:tc>
          <w:tcPr>
            <w:tcW w:w="1559" w:type="dxa"/>
            <w:vAlign w:val="center"/>
          </w:tcPr>
          <w:p>
            <w:pPr>
              <w:rPr>
                <w:rFonts w:ascii="宋体" w:hAnsi="宋体"/>
                <w:bCs/>
                <w:sz w:val="18"/>
                <w:szCs w:val="18"/>
              </w:rPr>
            </w:pPr>
            <w:r>
              <w:rPr>
                <w:bCs/>
                <w:sz w:val="18"/>
                <w:szCs w:val="18"/>
              </w:rPr>
              <w:t>按时交作业；能够评定</w:t>
            </w:r>
            <w:r>
              <w:rPr>
                <w:rFonts w:hint="eastAsia"/>
                <w:bCs/>
                <w:sz w:val="18"/>
                <w:szCs w:val="18"/>
              </w:rPr>
              <w:t>材料和结构智能化</w:t>
            </w:r>
            <w:r>
              <w:rPr>
                <w:bCs/>
                <w:sz w:val="18"/>
                <w:szCs w:val="18"/>
              </w:rPr>
              <w:t>，能够阐述智能材料的发展前景；语言基本规范，表述基本清楚。</w:t>
            </w:r>
          </w:p>
        </w:tc>
        <w:tc>
          <w:tcPr>
            <w:tcW w:w="1381" w:type="dxa"/>
            <w:vAlign w:val="center"/>
          </w:tcPr>
          <w:p>
            <w:pPr>
              <w:rPr>
                <w:rFonts w:ascii="宋体" w:hAnsi="宋体"/>
                <w:bCs/>
                <w:sz w:val="18"/>
                <w:szCs w:val="18"/>
              </w:rPr>
            </w:pPr>
            <w:r>
              <w:rPr>
                <w:bCs/>
                <w:sz w:val="18"/>
                <w:szCs w:val="18"/>
              </w:rPr>
              <w:t>不能按时交作业，有抄袭现象；或者</w:t>
            </w:r>
            <w:r>
              <w:rPr>
                <w:rFonts w:hint="eastAsia"/>
                <w:bCs/>
                <w:sz w:val="18"/>
                <w:szCs w:val="18"/>
              </w:rPr>
              <w:t>表述</w:t>
            </w:r>
            <w:r>
              <w:rPr>
                <w:bCs/>
                <w:sz w:val="18"/>
                <w:szCs w:val="18"/>
              </w:rPr>
              <w:t>不正确。</w:t>
            </w:r>
          </w:p>
        </w:tc>
        <w:tc>
          <w:tcPr>
            <w:tcW w:w="785"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hint="eastAsia"/>
                <w:sz w:val="18"/>
                <w:szCs w:val="18"/>
              </w:rPr>
            </w:pPr>
            <w:r>
              <w:rPr>
                <w:rFonts w:hint="eastAsia"/>
                <w:sz w:val="18"/>
                <w:szCs w:val="18"/>
              </w:rPr>
              <w:t>能够熟练掌握压电效应的理论及压电方程，正确判断材料晶体结构对称性与压电效应的关系，能够准确提出提高材料压电性能的途径 。</w:t>
            </w:r>
          </w:p>
          <w:p>
            <w:pPr>
              <w:rPr>
                <w:rFonts w:ascii="宋体" w:hAnsi="宋体"/>
                <w:bCs/>
                <w:sz w:val="18"/>
                <w:szCs w:val="18"/>
              </w:rPr>
            </w:pPr>
            <w:r>
              <w:rPr>
                <w:bCs/>
                <w:sz w:val="18"/>
                <w:szCs w:val="18"/>
              </w:rPr>
              <w:t>（支撑课程目标</w:t>
            </w:r>
            <w:r>
              <w:rPr>
                <w:rFonts w:hint="eastAsia"/>
                <w:bCs/>
                <w:sz w:val="18"/>
                <w:szCs w:val="18"/>
              </w:rPr>
              <w:t>2</w:t>
            </w:r>
            <w:r>
              <w:rPr>
                <w:bCs/>
                <w:sz w:val="18"/>
                <w:szCs w:val="18"/>
              </w:rPr>
              <w:t>、</w:t>
            </w:r>
            <w:r>
              <w:rPr>
                <w:rFonts w:hint="eastAsia"/>
                <w:bCs/>
                <w:sz w:val="18"/>
                <w:szCs w:val="18"/>
              </w:rPr>
              <w:t>3</w:t>
            </w:r>
            <w:r>
              <w:rPr>
                <w:bCs/>
                <w:sz w:val="18"/>
                <w:szCs w:val="18"/>
              </w:rPr>
              <w:t>毕业要求指标点</w:t>
            </w:r>
            <w:r>
              <w:rPr>
                <w:rFonts w:hint="eastAsia"/>
                <w:bCs/>
                <w:sz w:val="18"/>
                <w:szCs w:val="18"/>
              </w:rPr>
              <w:t>2</w:t>
            </w:r>
            <w:r>
              <w:rPr>
                <w:bCs/>
                <w:sz w:val="18"/>
                <w:szCs w:val="18"/>
              </w:rPr>
              <w:t>）</w:t>
            </w:r>
          </w:p>
        </w:tc>
        <w:tc>
          <w:tcPr>
            <w:tcW w:w="1560" w:type="dxa"/>
            <w:vAlign w:val="center"/>
          </w:tcPr>
          <w:p>
            <w:pPr>
              <w:rPr>
                <w:rFonts w:hint="eastAsia"/>
                <w:sz w:val="18"/>
                <w:szCs w:val="18"/>
              </w:rPr>
            </w:pPr>
            <w:r>
              <w:rPr>
                <w:bCs/>
                <w:sz w:val="18"/>
                <w:szCs w:val="18"/>
              </w:rPr>
              <w:t>按时交作业；</w:t>
            </w:r>
            <w:r>
              <w:rPr>
                <w:rFonts w:hint="eastAsia"/>
                <w:sz w:val="18"/>
                <w:szCs w:val="18"/>
              </w:rPr>
              <w:t>能够熟练掌握压电效应的理论及压电方程，正确判断材料晶体结构对称性与压电效应的关系，能够准确提出提高材料压电性能的途径 。</w:t>
            </w:r>
            <w:r>
              <w:rPr>
                <w:bCs/>
                <w:sz w:val="18"/>
                <w:szCs w:val="18"/>
              </w:rPr>
              <w:t>完成作业认真，语言规范，表述清楚。</w:t>
            </w:r>
          </w:p>
          <w:p>
            <w:pPr>
              <w:rPr>
                <w:rFonts w:ascii="宋体" w:hAnsi="宋体"/>
                <w:bCs/>
                <w:sz w:val="18"/>
                <w:szCs w:val="18"/>
              </w:rPr>
            </w:pPr>
          </w:p>
        </w:tc>
        <w:tc>
          <w:tcPr>
            <w:tcW w:w="1559" w:type="dxa"/>
            <w:vAlign w:val="center"/>
          </w:tcPr>
          <w:p>
            <w:pPr>
              <w:rPr>
                <w:rFonts w:ascii="宋体" w:hAnsi="宋体"/>
                <w:bCs/>
                <w:sz w:val="18"/>
                <w:szCs w:val="18"/>
              </w:rPr>
            </w:pPr>
            <w:r>
              <w:rPr>
                <w:bCs/>
                <w:sz w:val="18"/>
                <w:szCs w:val="18"/>
              </w:rPr>
              <w:t>按时交作业；</w:t>
            </w:r>
            <w:r>
              <w:rPr>
                <w:rFonts w:hint="eastAsia"/>
                <w:sz w:val="18"/>
                <w:szCs w:val="18"/>
              </w:rPr>
              <w:t>能够熟练掌握压电效应的理论及压电方程，正确判断材料晶体结构对称性与压电效应的关系，能够准确提出提高材料压电性能的途径 。</w:t>
            </w:r>
            <w:r>
              <w:rPr>
                <w:bCs/>
                <w:sz w:val="18"/>
                <w:szCs w:val="18"/>
              </w:rPr>
              <w:t>完成作业认较真，语言较规范，表述较清楚。</w:t>
            </w:r>
          </w:p>
        </w:tc>
        <w:tc>
          <w:tcPr>
            <w:tcW w:w="1559" w:type="dxa"/>
            <w:vAlign w:val="center"/>
          </w:tcPr>
          <w:p>
            <w:pPr>
              <w:rPr>
                <w:rFonts w:ascii="宋体" w:hAnsi="宋体"/>
                <w:bCs/>
                <w:sz w:val="18"/>
                <w:szCs w:val="18"/>
              </w:rPr>
            </w:pPr>
            <w:r>
              <w:rPr>
                <w:bCs/>
                <w:sz w:val="18"/>
                <w:szCs w:val="18"/>
              </w:rPr>
              <w:t>按时交作业；</w:t>
            </w:r>
            <w:r>
              <w:rPr>
                <w:rFonts w:hint="eastAsia"/>
                <w:sz w:val="18"/>
                <w:szCs w:val="18"/>
              </w:rPr>
              <w:t>能够掌握压电效应的理论及压电方程，能判断材料晶体结构对称性与压电效应的关系，能够提出提高材料压电性能的途径 。</w:t>
            </w:r>
            <w:r>
              <w:rPr>
                <w:bCs/>
                <w:sz w:val="18"/>
                <w:szCs w:val="18"/>
              </w:rPr>
              <w:t>语言基本规范，表述基本清楚。</w:t>
            </w:r>
          </w:p>
        </w:tc>
        <w:tc>
          <w:tcPr>
            <w:tcW w:w="1381" w:type="dxa"/>
            <w:vAlign w:val="center"/>
          </w:tcPr>
          <w:p>
            <w:pPr>
              <w:rPr>
                <w:rFonts w:ascii="宋体" w:hAnsi="宋体"/>
                <w:bCs/>
                <w:sz w:val="18"/>
                <w:szCs w:val="18"/>
              </w:rPr>
            </w:pPr>
            <w:bookmarkStart w:id="57" w:name="OLE_LINK15"/>
            <w:bookmarkStart w:id="58" w:name="OLE_LINK14"/>
            <w:r>
              <w:rPr>
                <w:bCs/>
                <w:sz w:val="18"/>
                <w:szCs w:val="18"/>
              </w:rPr>
              <w:t>不能按时交作业，有抄袭现象；或者不能正确理解压电效应理论。</w:t>
            </w:r>
            <w:bookmarkEnd w:id="57"/>
            <w:bookmarkEnd w:id="58"/>
          </w:p>
        </w:tc>
        <w:tc>
          <w:tcPr>
            <w:tcW w:w="785"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hint="eastAsia"/>
                <w:sz w:val="18"/>
                <w:szCs w:val="18"/>
              </w:rPr>
            </w:pPr>
            <w:r>
              <w:rPr>
                <w:rFonts w:hint="eastAsia"/>
                <w:sz w:val="18"/>
                <w:szCs w:val="18"/>
              </w:rPr>
              <w:t>能够熟练掌握磁性材料的性能指标，能够充分掌握磁性材料的智能化应用。</w:t>
            </w:r>
          </w:p>
          <w:p>
            <w:pPr>
              <w:rPr>
                <w:rFonts w:hint="eastAsia" w:ascii="宋体" w:hAnsi="宋体"/>
                <w:bCs/>
                <w:sz w:val="18"/>
                <w:szCs w:val="18"/>
              </w:rPr>
            </w:pPr>
            <w:r>
              <w:rPr>
                <w:bCs/>
                <w:sz w:val="18"/>
                <w:szCs w:val="18"/>
              </w:rPr>
              <w:t>（支撑课程目标</w:t>
            </w:r>
            <w:r>
              <w:rPr>
                <w:rFonts w:hint="eastAsia"/>
                <w:bCs/>
                <w:sz w:val="18"/>
                <w:szCs w:val="18"/>
              </w:rPr>
              <w:t>3</w:t>
            </w:r>
            <w:r>
              <w:rPr>
                <w:bCs/>
                <w:sz w:val="18"/>
                <w:szCs w:val="18"/>
              </w:rPr>
              <w:t>、</w:t>
            </w:r>
            <w:r>
              <w:rPr>
                <w:rFonts w:hint="eastAsia"/>
                <w:bCs/>
                <w:sz w:val="18"/>
                <w:szCs w:val="18"/>
              </w:rPr>
              <w:t>4</w:t>
            </w:r>
            <w:r>
              <w:rPr>
                <w:bCs/>
                <w:sz w:val="18"/>
                <w:szCs w:val="18"/>
              </w:rPr>
              <w:t>毕业要求指标点</w:t>
            </w:r>
            <w:r>
              <w:rPr>
                <w:rFonts w:hint="eastAsia"/>
                <w:bCs/>
                <w:sz w:val="18"/>
                <w:szCs w:val="18"/>
              </w:rPr>
              <w:t>2</w:t>
            </w:r>
            <w:r>
              <w:rPr>
                <w:bCs/>
                <w:sz w:val="18"/>
                <w:szCs w:val="18"/>
              </w:rPr>
              <w:t>）</w:t>
            </w:r>
          </w:p>
        </w:tc>
        <w:tc>
          <w:tcPr>
            <w:tcW w:w="1560" w:type="dxa"/>
            <w:vAlign w:val="center"/>
          </w:tcPr>
          <w:p>
            <w:pPr>
              <w:rPr>
                <w:rFonts w:hint="eastAsia"/>
                <w:sz w:val="18"/>
                <w:szCs w:val="18"/>
              </w:rPr>
            </w:pPr>
            <w:r>
              <w:rPr>
                <w:bCs/>
                <w:sz w:val="18"/>
                <w:szCs w:val="18"/>
              </w:rPr>
              <w:t>按时交作业；</w:t>
            </w:r>
            <w:r>
              <w:rPr>
                <w:rFonts w:hint="eastAsia"/>
                <w:sz w:val="18"/>
                <w:szCs w:val="18"/>
              </w:rPr>
              <w:t>能够熟练掌握磁性材料的性能指标，能够充分掌握磁性材料的智能化应用。</w:t>
            </w:r>
            <w:r>
              <w:rPr>
                <w:bCs/>
                <w:sz w:val="18"/>
                <w:szCs w:val="18"/>
              </w:rPr>
              <w:t>完成作业认真，语言规范，表述清楚。</w:t>
            </w:r>
          </w:p>
          <w:p>
            <w:pPr>
              <w:rPr>
                <w:rFonts w:hint="eastAsia" w:ascii="宋体" w:hAnsi="宋体"/>
                <w:bCs/>
                <w:sz w:val="18"/>
                <w:szCs w:val="18"/>
              </w:rPr>
            </w:pPr>
          </w:p>
        </w:tc>
        <w:tc>
          <w:tcPr>
            <w:tcW w:w="1559" w:type="dxa"/>
            <w:vAlign w:val="center"/>
          </w:tcPr>
          <w:p>
            <w:pPr>
              <w:rPr>
                <w:rFonts w:hint="eastAsia"/>
                <w:sz w:val="18"/>
                <w:szCs w:val="18"/>
              </w:rPr>
            </w:pPr>
            <w:r>
              <w:rPr>
                <w:bCs/>
                <w:sz w:val="18"/>
                <w:szCs w:val="18"/>
              </w:rPr>
              <w:t>按时交作业；</w:t>
            </w:r>
            <w:r>
              <w:rPr>
                <w:rFonts w:hint="eastAsia"/>
                <w:sz w:val="18"/>
                <w:szCs w:val="18"/>
              </w:rPr>
              <w:t>能够熟练掌握磁性材料的性能指标，能够充分掌握磁性材料的智能化应用。</w:t>
            </w:r>
            <w:r>
              <w:rPr>
                <w:bCs/>
                <w:sz w:val="18"/>
                <w:szCs w:val="18"/>
              </w:rPr>
              <w:t>完成作业较认真，语言较规范，表述较清楚。</w:t>
            </w:r>
          </w:p>
          <w:p>
            <w:pPr>
              <w:rPr>
                <w:rFonts w:hint="eastAsia" w:ascii="宋体" w:hAnsi="宋体"/>
                <w:bCs/>
                <w:sz w:val="18"/>
                <w:szCs w:val="18"/>
              </w:rPr>
            </w:pPr>
          </w:p>
        </w:tc>
        <w:tc>
          <w:tcPr>
            <w:tcW w:w="1559" w:type="dxa"/>
            <w:vAlign w:val="center"/>
          </w:tcPr>
          <w:p>
            <w:pPr>
              <w:rPr>
                <w:rFonts w:hint="eastAsia"/>
                <w:sz w:val="18"/>
                <w:szCs w:val="18"/>
              </w:rPr>
            </w:pPr>
            <w:r>
              <w:rPr>
                <w:bCs/>
                <w:sz w:val="18"/>
                <w:szCs w:val="18"/>
              </w:rPr>
              <w:t>按时交作业；</w:t>
            </w:r>
            <w:r>
              <w:rPr>
                <w:rFonts w:hint="eastAsia"/>
                <w:sz w:val="18"/>
                <w:szCs w:val="18"/>
              </w:rPr>
              <w:t>能够掌握磁性材料的性能指标，能够掌握磁性材料的智能化应用。</w:t>
            </w:r>
            <w:r>
              <w:rPr>
                <w:bCs/>
                <w:sz w:val="18"/>
                <w:szCs w:val="18"/>
              </w:rPr>
              <w:t>完成作业</w:t>
            </w:r>
            <w:r>
              <w:rPr>
                <w:rFonts w:hint="eastAsia"/>
                <w:bCs/>
                <w:sz w:val="18"/>
                <w:szCs w:val="18"/>
              </w:rPr>
              <w:t>基本</w:t>
            </w:r>
            <w:r>
              <w:rPr>
                <w:bCs/>
                <w:sz w:val="18"/>
                <w:szCs w:val="18"/>
              </w:rPr>
              <w:t>认真，语言</w:t>
            </w:r>
            <w:r>
              <w:rPr>
                <w:rFonts w:hint="eastAsia"/>
                <w:bCs/>
                <w:sz w:val="18"/>
                <w:szCs w:val="18"/>
              </w:rPr>
              <w:t>基本</w:t>
            </w:r>
            <w:r>
              <w:rPr>
                <w:bCs/>
                <w:sz w:val="18"/>
                <w:szCs w:val="18"/>
              </w:rPr>
              <w:t>规范，表述</w:t>
            </w:r>
            <w:r>
              <w:rPr>
                <w:rFonts w:hint="eastAsia"/>
                <w:bCs/>
                <w:sz w:val="18"/>
                <w:szCs w:val="18"/>
              </w:rPr>
              <w:t>基本</w:t>
            </w:r>
            <w:r>
              <w:rPr>
                <w:bCs/>
                <w:sz w:val="18"/>
                <w:szCs w:val="18"/>
              </w:rPr>
              <w:t>清楚。</w:t>
            </w:r>
          </w:p>
          <w:p>
            <w:pPr>
              <w:rPr>
                <w:rFonts w:hint="eastAsia" w:ascii="宋体" w:hAnsi="宋体"/>
                <w:bCs/>
                <w:sz w:val="18"/>
                <w:szCs w:val="18"/>
              </w:rPr>
            </w:pPr>
          </w:p>
        </w:tc>
        <w:tc>
          <w:tcPr>
            <w:tcW w:w="1381" w:type="dxa"/>
            <w:vAlign w:val="center"/>
          </w:tcPr>
          <w:p>
            <w:pPr>
              <w:rPr>
                <w:rFonts w:hint="eastAsia" w:ascii="宋体" w:hAnsi="宋体"/>
                <w:bCs/>
                <w:sz w:val="18"/>
                <w:szCs w:val="18"/>
              </w:rPr>
            </w:pPr>
            <w:r>
              <w:rPr>
                <w:bCs/>
                <w:sz w:val="18"/>
                <w:szCs w:val="18"/>
              </w:rPr>
              <w:t>不能按时交作业，有抄袭现象；或者不能掌握磁性材料的性能指标。</w:t>
            </w:r>
          </w:p>
        </w:tc>
        <w:tc>
          <w:tcPr>
            <w:tcW w:w="785" w:type="dxa"/>
            <w:vAlign w:val="center"/>
          </w:tcPr>
          <w:p>
            <w:pPr>
              <w:jc w:val="center"/>
              <w:rPr>
                <w:rFonts w:hint="eastAsia"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hint="eastAsia"/>
                <w:sz w:val="18"/>
                <w:szCs w:val="18"/>
              </w:rPr>
            </w:pPr>
            <w:r>
              <w:rPr>
                <w:rFonts w:hint="eastAsia"/>
                <w:sz w:val="18"/>
                <w:szCs w:val="18"/>
              </w:rPr>
              <w:t>能够熟练掌握形状记忆效应的微观机理，能够熟练掌握形状记忆的实现方式。</w:t>
            </w:r>
          </w:p>
          <w:p>
            <w:pPr>
              <w:rPr>
                <w:rFonts w:hint="eastAsia"/>
                <w:sz w:val="18"/>
                <w:szCs w:val="18"/>
              </w:rPr>
            </w:pPr>
            <w:r>
              <w:rPr>
                <w:bCs/>
                <w:sz w:val="18"/>
                <w:szCs w:val="18"/>
              </w:rPr>
              <w:t>（支撑课程目标</w:t>
            </w:r>
            <w:r>
              <w:rPr>
                <w:rFonts w:hint="eastAsia"/>
                <w:bCs/>
                <w:sz w:val="18"/>
                <w:szCs w:val="18"/>
              </w:rPr>
              <w:t>2，3</w:t>
            </w:r>
            <w:r>
              <w:rPr>
                <w:bCs/>
                <w:sz w:val="18"/>
                <w:szCs w:val="18"/>
              </w:rPr>
              <w:t>毕业要求指标点</w:t>
            </w:r>
            <w:r>
              <w:rPr>
                <w:rFonts w:hint="eastAsia"/>
                <w:bCs/>
                <w:sz w:val="18"/>
                <w:szCs w:val="18"/>
              </w:rPr>
              <w:t>2-1</w:t>
            </w:r>
            <w:r>
              <w:rPr>
                <w:bCs/>
                <w:sz w:val="18"/>
                <w:szCs w:val="18"/>
              </w:rPr>
              <w:t>）</w:t>
            </w:r>
          </w:p>
        </w:tc>
        <w:tc>
          <w:tcPr>
            <w:tcW w:w="1560" w:type="dxa"/>
            <w:vAlign w:val="center"/>
          </w:tcPr>
          <w:p>
            <w:pPr>
              <w:rPr>
                <w:rFonts w:hint="eastAsia"/>
                <w:sz w:val="18"/>
                <w:szCs w:val="18"/>
              </w:rPr>
            </w:pPr>
            <w:r>
              <w:rPr>
                <w:bCs/>
                <w:sz w:val="18"/>
                <w:szCs w:val="18"/>
              </w:rPr>
              <w:t>按时交作业；</w:t>
            </w:r>
            <w:r>
              <w:rPr>
                <w:rFonts w:hint="eastAsia"/>
                <w:sz w:val="18"/>
                <w:szCs w:val="18"/>
              </w:rPr>
              <w:t>能够熟练掌握形状记忆效应的微观机理，能够熟练掌握形状记忆的实现方式。</w:t>
            </w:r>
            <w:r>
              <w:rPr>
                <w:bCs/>
                <w:sz w:val="18"/>
                <w:szCs w:val="18"/>
              </w:rPr>
              <w:t>完成作业认真，语言规范，表述清楚。</w:t>
            </w:r>
          </w:p>
          <w:p>
            <w:pPr>
              <w:rPr>
                <w:bCs/>
                <w:sz w:val="18"/>
                <w:szCs w:val="18"/>
              </w:rPr>
            </w:pPr>
          </w:p>
        </w:tc>
        <w:tc>
          <w:tcPr>
            <w:tcW w:w="1559" w:type="dxa"/>
            <w:vAlign w:val="center"/>
          </w:tcPr>
          <w:p>
            <w:pPr>
              <w:rPr>
                <w:rFonts w:hint="eastAsia"/>
                <w:sz w:val="18"/>
                <w:szCs w:val="18"/>
              </w:rPr>
            </w:pPr>
            <w:r>
              <w:rPr>
                <w:bCs/>
                <w:sz w:val="18"/>
                <w:szCs w:val="18"/>
              </w:rPr>
              <w:t>按时交作业；</w:t>
            </w:r>
            <w:r>
              <w:rPr>
                <w:rFonts w:hint="eastAsia"/>
                <w:sz w:val="18"/>
                <w:szCs w:val="18"/>
              </w:rPr>
              <w:t>能够熟练掌握形状记忆效应的微观机理，能够熟练掌握形状记忆的实现方式。</w:t>
            </w:r>
            <w:r>
              <w:rPr>
                <w:bCs/>
                <w:sz w:val="18"/>
                <w:szCs w:val="18"/>
              </w:rPr>
              <w:t>完成作业较认真，语言较规范，表述较清楚。</w:t>
            </w:r>
          </w:p>
          <w:p>
            <w:pPr>
              <w:rPr>
                <w:bCs/>
                <w:sz w:val="18"/>
                <w:szCs w:val="18"/>
              </w:rPr>
            </w:pPr>
          </w:p>
        </w:tc>
        <w:tc>
          <w:tcPr>
            <w:tcW w:w="1559" w:type="dxa"/>
            <w:vAlign w:val="center"/>
          </w:tcPr>
          <w:p>
            <w:pPr>
              <w:rPr>
                <w:rFonts w:hint="eastAsia"/>
                <w:sz w:val="18"/>
                <w:szCs w:val="18"/>
              </w:rPr>
            </w:pPr>
            <w:r>
              <w:rPr>
                <w:bCs/>
                <w:sz w:val="18"/>
                <w:szCs w:val="18"/>
              </w:rPr>
              <w:t>按时交作业；</w:t>
            </w:r>
            <w:r>
              <w:rPr>
                <w:rFonts w:hint="eastAsia"/>
                <w:sz w:val="18"/>
                <w:szCs w:val="18"/>
              </w:rPr>
              <w:t>能够掌握形状记忆效应的微观机理，能够掌握形状记忆的实现方式。</w:t>
            </w:r>
            <w:r>
              <w:rPr>
                <w:bCs/>
                <w:sz w:val="18"/>
                <w:szCs w:val="18"/>
              </w:rPr>
              <w:t>完成作业</w:t>
            </w:r>
            <w:r>
              <w:rPr>
                <w:rFonts w:hint="eastAsia"/>
                <w:bCs/>
                <w:sz w:val="18"/>
                <w:szCs w:val="18"/>
              </w:rPr>
              <w:t>基本</w:t>
            </w:r>
            <w:r>
              <w:rPr>
                <w:bCs/>
                <w:sz w:val="18"/>
                <w:szCs w:val="18"/>
              </w:rPr>
              <w:t>认真，语言</w:t>
            </w:r>
            <w:r>
              <w:rPr>
                <w:rFonts w:hint="eastAsia"/>
                <w:bCs/>
                <w:sz w:val="18"/>
                <w:szCs w:val="18"/>
              </w:rPr>
              <w:t>基本</w:t>
            </w:r>
            <w:r>
              <w:rPr>
                <w:bCs/>
                <w:sz w:val="18"/>
                <w:szCs w:val="18"/>
              </w:rPr>
              <w:t>规范，表述</w:t>
            </w:r>
            <w:r>
              <w:rPr>
                <w:rFonts w:hint="eastAsia"/>
                <w:bCs/>
                <w:sz w:val="18"/>
                <w:szCs w:val="18"/>
              </w:rPr>
              <w:t>基本</w:t>
            </w:r>
            <w:r>
              <w:rPr>
                <w:bCs/>
                <w:sz w:val="18"/>
                <w:szCs w:val="18"/>
              </w:rPr>
              <w:t>清楚。</w:t>
            </w:r>
          </w:p>
          <w:p>
            <w:pPr>
              <w:rPr>
                <w:bCs/>
                <w:sz w:val="18"/>
                <w:szCs w:val="18"/>
              </w:rPr>
            </w:pPr>
          </w:p>
        </w:tc>
        <w:tc>
          <w:tcPr>
            <w:tcW w:w="1381" w:type="dxa"/>
            <w:vAlign w:val="center"/>
          </w:tcPr>
          <w:p>
            <w:pPr>
              <w:rPr>
                <w:bCs/>
                <w:sz w:val="18"/>
                <w:szCs w:val="18"/>
              </w:rPr>
            </w:pPr>
            <w:r>
              <w:rPr>
                <w:bCs/>
                <w:sz w:val="18"/>
                <w:szCs w:val="18"/>
              </w:rPr>
              <w:t>不能按时交作业，有抄袭现象；或者不能正确掌握</w:t>
            </w:r>
            <w:r>
              <w:rPr>
                <w:rFonts w:hint="eastAsia"/>
                <w:bCs/>
                <w:sz w:val="18"/>
                <w:szCs w:val="18"/>
              </w:rPr>
              <w:t>形状</w:t>
            </w:r>
            <w:r>
              <w:rPr>
                <w:bCs/>
                <w:sz w:val="18"/>
                <w:szCs w:val="18"/>
              </w:rPr>
              <w:t>记忆效应的微观机理。</w:t>
            </w:r>
          </w:p>
        </w:tc>
        <w:tc>
          <w:tcPr>
            <w:tcW w:w="785" w:type="dxa"/>
            <w:vAlign w:val="center"/>
          </w:tcPr>
          <w:p>
            <w:pPr>
              <w:jc w:val="center"/>
              <w:rPr>
                <w:rFonts w:hint="eastAsia"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hint="eastAsia"/>
                <w:sz w:val="18"/>
                <w:szCs w:val="18"/>
              </w:rPr>
            </w:pPr>
            <w:r>
              <w:rPr>
                <w:rFonts w:hint="eastAsia"/>
                <w:sz w:val="18"/>
                <w:szCs w:val="18"/>
              </w:rPr>
              <w:t>能够熟练掌握影响流变体性能的因素，能够熟练正确的设计、制备流变体材料。</w:t>
            </w:r>
          </w:p>
          <w:p>
            <w:pPr>
              <w:rPr>
                <w:rFonts w:hint="eastAsia"/>
                <w:sz w:val="18"/>
                <w:szCs w:val="18"/>
              </w:rPr>
            </w:pPr>
            <w:r>
              <w:rPr>
                <w:bCs/>
                <w:sz w:val="18"/>
                <w:szCs w:val="18"/>
              </w:rPr>
              <w:t>（支撑课程目标</w:t>
            </w:r>
            <w:r>
              <w:rPr>
                <w:rFonts w:hint="eastAsia"/>
                <w:bCs/>
                <w:sz w:val="18"/>
                <w:szCs w:val="18"/>
              </w:rPr>
              <w:t>3</w:t>
            </w:r>
            <w:r>
              <w:rPr>
                <w:bCs/>
                <w:sz w:val="18"/>
                <w:szCs w:val="18"/>
              </w:rPr>
              <w:t>毕业要求指标点</w:t>
            </w:r>
            <w:r>
              <w:rPr>
                <w:rFonts w:hint="eastAsia"/>
                <w:bCs/>
                <w:sz w:val="18"/>
                <w:szCs w:val="18"/>
              </w:rPr>
              <w:t>2-2</w:t>
            </w:r>
            <w:r>
              <w:rPr>
                <w:bCs/>
                <w:sz w:val="18"/>
                <w:szCs w:val="18"/>
              </w:rPr>
              <w:t>）</w:t>
            </w:r>
          </w:p>
        </w:tc>
        <w:tc>
          <w:tcPr>
            <w:tcW w:w="1560" w:type="dxa"/>
            <w:vAlign w:val="center"/>
          </w:tcPr>
          <w:p>
            <w:pPr>
              <w:rPr>
                <w:rFonts w:hint="eastAsia"/>
                <w:sz w:val="18"/>
                <w:szCs w:val="18"/>
              </w:rPr>
            </w:pPr>
            <w:r>
              <w:rPr>
                <w:bCs/>
                <w:sz w:val="18"/>
                <w:szCs w:val="18"/>
              </w:rPr>
              <w:t>按时交作业；</w:t>
            </w:r>
            <w:r>
              <w:rPr>
                <w:rFonts w:hint="eastAsia"/>
                <w:sz w:val="18"/>
                <w:szCs w:val="18"/>
              </w:rPr>
              <w:t>能够熟练掌握影响流变体性能的因素，能够正确的设计、制备流变体材料。</w:t>
            </w:r>
            <w:r>
              <w:rPr>
                <w:bCs/>
                <w:sz w:val="18"/>
                <w:szCs w:val="18"/>
              </w:rPr>
              <w:t>完成作业认真，语言规范，表述清楚。</w:t>
            </w:r>
          </w:p>
          <w:p>
            <w:pPr>
              <w:rPr>
                <w:bCs/>
                <w:sz w:val="18"/>
                <w:szCs w:val="18"/>
              </w:rPr>
            </w:pPr>
          </w:p>
        </w:tc>
        <w:tc>
          <w:tcPr>
            <w:tcW w:w="1559" w:type="dxa"/>
            <w:vAlign w:val="center"/>
          </w:tcPr>
          <w:p>
            <w:pPr>
              <w:rPr>
                <w:rFonts w:hint="eastAsia"/>
                <w:sz w:val="18"/>
                <w:szCs w:val="18"/>
              </w:rPr>
            </w:pPr>
            <w:r>
              <w:rPr>
                <w:bCs/>
                <w:sz w:val="18"/>
                <w:szCs w:val="18"/>
              </w:rPr>
              <w:t>按时交作业；</w:t>
            </w:r>
            <w:r>
              <w:rPr>
                <w:rFonts w:hint="eastAsia"/>
                <w:sz w:val="18"/>
                <w:szCs w:val="18"/>
              </w:rPr>
              <w:t>能够熟练掌握影响流变体性能的因素，能够正确的设计、制备流变体材料。</w:t>
            </w:r>
            <w:r>
              <w:rPr>
                <w:bCs/>
                <w:sz w:val="18"/>
                <w:szCs w:val="18"/>
              </w:rPr>
              <w:t>完成作业较认真，语言较规范，表述较清楚。</w:t>
            </w:r>
          </w:p>
          <w:p>
            <w:pPr>
              <w:rPr>
                <w:bCs/>
                <w:sz w:val="18"/>
                <w:szCs w:val="18"/>
              </w:rPr>
            </w:pPr>
          </w:p>
        </w:tc>
        <w:tc>
          <w:tcPr>
            <w:tcW w:w="1559" w:type="dxa"/>
            <w:vAlign w:val="center"/>
          </w:tcPr>
          <w:p>
            <w:pPr>
              <w:rPr>
                <w:rFonts w:hint="eastAsia"/>
                <w:sz w:val="18"/>
                <w:szCs w:val="18"/>
              </w:rPr>
            </w:pPr>
            <w:r>
              <w:rPr>
                <w:bCs/>
                <w:sz w:val="18"/>
                <w:szCs w:val="18"/>
              </w:rPr>
              <w:t>按时交作业；</w:t>
            </w:r>
            <w:r>
              <w:rPr>
                <w:rFonts w:hint="eastAsia"/>
                <w:sz w:val="18"/>
                <w:szCs w:val="18"/>
              </w:rPr>
              <w:t>能够熟练掌握影响流变体性能的因素，能够正确的设计、制备流变体材料。</w:t>
            </w:r>
            <w:r>
              <w:rPr>
                <w:bCs/>
                <w:sz w:val="18"/>
                <w:szCs w:val="18"/>
              </w:rPr>
              <w:t>完成作业</w:t>
            </w:r>
            <w:r>
              <w:rPr>
                <w:rFonts w:hint="eastAsia"/>
                <w:bCs/>
                <w:sz w:val="18"/>
                <w:szCs w:val="18"/>
              </w:rPr>
              <w:t>基本</w:t>
            </w:r>
            <w:r>
              <w:rPr>
                <w:bCs/>
                <w:sz w:val="18"/>
                <w:szCs w:val="18"/>
              </w:rPr>
              <w:t>认真，语言</w:t>
            </w:r>
            <w:r>
              <w:rPr>
                <w:rFonts w:hint="eastAsia"/>
                <w:bCs/>
                <w:sz w:val="18"/>
                <w:szCs w:val="18"/>
              </w:rPr>
              <w:t>基本</w:t>
            </w:r>
            <w:r>
              <w:rPr>
                <w:bCs/>
                <w:sz w:val="18"/>
                <w:szCs w:val="18"/>
              </w:rPr>
              <w:t>规范，表述</w:t>
            </w:r>
            <w:r>
              <w:rPr>
                <w:rFonts w:hint="eastAsia"/>
                <w:bCs/>
                <w:sz w:val="18"/>
                <w:szCs w:val="18"/>
              </w:rPr>
              <w:t>基本</w:t>
            </w:r>
            <w:r>
              <w:rPr>
                <w:bCs/>
                <w:sz w:val="18"/>
                <w:szCs w:val="18"/>
              </w:rPr>
              <w:t>清楚。</w:t>
            </w:r>
          </w:p>
          <w:p>
            <w:pPr>
              <w:rPr>
                <w:bCs/>
                <w:sz w:val="18"/>
                <w:szCs w:val="18"/>
              </w:rPr>
            </w:pPr>
          </w:p>
        </w:tc>
        <w:tc>
          <w:tcPr>
            <w:tcW w:w="1381" w:type="dxa"/>
            <w:vAlign w:val="center"/>
          </w:tcPr>
          <w:p>
            <w:pPr>
              <w:rPr>
                <w:bCs/>
                <w:sz w:val="18"/>
                <w:szCs w:val="18"/>
              </w:rPr>
            </w:pPr>
            <w:r>
              <w:rPr>
                <w:bCs/>
                <w:sz w:val="18"/>
                <w:szCs w:val="18"/>
              </w:rPr>
              <w:t>不能按时交作业，有抄袭现象；或者不能正确掌握影响流变体性能的因素。</w:t>
            </w:r>
          </w:p>
        </w:tc>
        <w:tc>
          <w:tcPr>
            <w:tcW w:w="785" w:type="dxa"/>
            <w:vAlign w:val="center"/>
          </w:tcPr>
          <w:p>
            <w:pPr>
              <w:jc w:val="center"/>
              <w:rPr>
                <w:rFonts w:hint="eastAsia"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hint="eastAsia"/>
                <w:sz w:val="18"/>
                <w:szCs w:val="18"/>
              </w:rPr>
            </w:pPr>
            <w:r>
              <w:rPr>
                <w:rFonts w:hint="eastAsia"/>
                <w:sz w:val="18"/>
                <w:szCs w:val="18"/>
              </w:rPr>
              <w:t>能够熟练掌握影响光智能材料性能的因素，能够熟练掌握提高光智能材料性能的途径。</w:t>
            </w:r>
          </w:p>
          <w:p>
            <w:pPr>
              <w:rPr>
                <w:rFonts w:hint="eastAsia"/>
                <w:sz w:val="18"/>
                <w:szCs w:val="18"/>
              </w:rPr>
            </w:pPr>
            <w:r>
              <w:rPr>
                <w:bCs/>
                <w:sz w:val="18"/>
                <w:szCs w:val="18"/>
              </w:rPr>
              <w:t>（支撑课程目标</w:t>
            </w:r>
            <w:r>
              <w:rPr>
                <w:rFonts w:hint="eastAsia"/>
                <w:bCs/>
                <w:sz w:val="18"/>
                <w:szCs w:val="18"/>
              </w:rPr>
              <w:t>3</w:t>
            </w:r>
            <w:r>
              <w:rPr>
                <w:bCs/>
                <w:sz w:val="18"/>
                <w:szCs w:val="18"/>
              </w:rPr>
              <w:t>毕业要求指标点</w:t>
            </w:r>
            <w:r>
              <w:rPr>
                <w:rFonts w:hint="eastAsia"/>
                <w:bCs/>
                <w:sz w:val="18"/>
                <w:szCs w:val="18"/>
              </w:rPr>
              <w:t>2-1</w:t>
            </w:r>
            <w:r>
              <w:rPr>
                <w:bCs/>
                <w:sz w:val="18"/>
                <w:szCs w:val="18"/>
              </w:rPr>
              <w:t>）</w:t>
            </w:r>
          </w:p>
        </w:tc>
        <w:tc>
          <w:tcPr>
            <w:tcW w:w="1560" w:type="dxa"/>
            <w:vAlign w:val="center"/>
          </w:tcPr>
          <w:p>
            <w:pPr>
              <w:rPr>
                <w:rFonts w:hint="eastAsia"/>
                <w:sz w:val="18"/>
                <w:szCs w:val="18"/>
              </w:rPr>
            </w:pPr>
            <w:r>
              <w:rPr>
                <w:bCs/>
                <w:sz w:val="18"/>
                <w:szCs w:val="18"/>
              </w:rPr>
              <w:t>按时交作业；</w:t>
            </w:r>
            <w:r>
              <w:rPr>
                <w:rFonts w:hint="eastAsia"/>
                <w:sz w:val="18"/>
                <w:szCs w:val="18"/>
              </w:rPr>
              <w:t>能够熟练掌握影响光智能材料性能的因素，能够熟练掌握提高光智能材料性能的途径。</w:t>
            </w:r>
            <w:r>
              <w:rPr>
                <w:bCs/>
                <w:sz w:val="18"/>
                <w:szCs w:val="18"/>
              </w:rPr>
              <w:t>完成作业认真，语言规范，表述清楚。</w:t>
            </w:r>
          </w:p>
          <w:p>
            <w:pPr>
              <w:rPr>
                <w:bCs/>
                <w:sz w:val="18"/>
                <w:szCs w:val="18"/>
              </w:rPr>
            </w:pPr>
          </w:p>
        </w:tc>
        <w:tc>
          <w:tcPr>
            <w:tcW w:w="1559" w:type="dxa"/>
            <w:vAlign w:val="center"/>
          </w:tcPr>
          <w:p>
            <w:pPr>
              <w:rPr>
                <w:rFonts w:hint="eastAsia"/>
                <w:sz w:val="18"/>
                <w:szCs w:val="18"/>
              </w:rPr>
            </w:pPr>
            <w:r>
              <w:rPr>
                <w:bCs/>
                <w:sz w:val="18"/>
                <w:szCs w:val="18"/>
              </w:rPr>
              <w:t>按时交作业；</w:t>
            </w:r>
            <w:r>
              <w:rPr>
                <w:rFonts w:hint="eastAsia"/>
                <w:sz w:val="18"/>
                <w:szCs w:val="18"/>
              </w:rPr>
              <w:t>能够熟练掌握影响光智能材料性能的因素，能够熟练掌握提高光智能材料性能的途径。</w:t>
            </w:r>
            <w:r>
              <w:rPr>
                <w:bCs/>
                <w:sz w:val="18"/>
                <w:szCs w:val="18"/>
              </w:rPr>
              <w:t>完成作业较认真，语言较规范，表述较清楚。</w:t>
            </w:r>
          </w:p>
          <w:p>
            <w:pPr>
              <w:rPr>
                <w:bCs/>
                <w:sz w:val="18"/>
                <w:szCs w:val="18"/>
              </w:rPr>
            </w:pPr>
          </w:p>
        </w:tc>
        <w:tc>
          <w:tcPr>
            <w:tcW w:w="1559" w:type="dxa"/>
            <w:vAlign w:val="center"/>
          </w:tcPr>
          <w:p>
            <w:pPr>
              <w:rPr>
                <w:rFonts w:hint="eastAsia"/>
                <w:sz w:val="18"/>
                <w:szCs w:val="18"/>
              </w:rPr>
            </w:pPr>
            <w:r>
              <w:rPr>
                <w:bCs/>
                <w:sz w:val="18"/>
                <w:szCs w:val="18"/>
              </w:rPr>
              <w:t>按时交作业；</w:t>
            </w:r>
            <w:r>
              <w:rPr>
                <w:rFonts w:hint="eastAsia"/>
                <w:sz w:val="18"/>
                <w:szCs w:val="18"/>
              </w:rPr>
              <w:t>能够掌握影响光智能材料性能的因素，能够掌握提高光智能材料性能的途径。</w:t>
            </w:r>
            <w:r>
              <w:rPr>
                <w:bCs/>
                <w:sz w:val="18"/>
                <w:szCs w:val="18"/>
              </w:rPr>
              <w:t>完成作业</w:t>
            </w:r>
            <w:r>
              <w:rPr>
                <w:rFonts w:hint="eastAsia"/>
                <w:bCs/>
                <w:sz w:val="18"/>
                <w:szCs w:val="18"/>
              </w:rPr>
              <w:t>基本</w:t>
            </w:r>
            <w:r>
              <w:rPr>
                <w:bCs/>
                <w:sz w:val="18"/>
                <w:szCs w:val="18"/>
              </w:rPr>
              <w:t>认真，语言</w:t>
            </w:r>
            <w:r>
              <w:rPr>
                <w:rFonts w:hint="eastAsia"/>
                <w:bCs/>
                <w:sz w:val="18"/>
                <w:szCs w:val="18"/>
              </w:rPr>
              <w:t>基本</w:t>
            </w:r>
            <w:r>
              <w:rPr>
                <w:bCs/>
                <w:sz w:val="18"/>
                <w:szCs w:val="18"/>
              </w:rPr>
              <w:t>规范，表述</w:t>
            </w:r>
            <w:r>
              <w:rPr>
                <w:rFonts w:hint="eastAsia"/>
                <w:bCs/>
                <w:sz w:val="18"/>
                <w:szCs w:val="18"/>
              </w:rPr>
              <w:t>基本</w:t>
            </w:r>
            <w:r>
              <w:rPr>
                <w:bCs/>
                <w:sz w:val="18"/>
                <w:szCs w:val="18"/>
              </w:rPr>
              <w:t>清楚。</w:t>
            </w:r>
          </w:p>
          <w:p>
            <w:pPr>
              <w:rPr>
                <w:bCs/>
                <w:sz w:val="18"/>
                <w:szCs w:val="18"/>
              </w:rPr>
            </w:pPr>
          </w:p>
        </w:tc>
        <w:tc>
          <w:tcPr>
            <w:tcW w:w="1381" w:type="dxa"/>
            <w:vAlign w:val="center"/>
          </w:tcPr>
          <w:p>
            <w:pPr>
              <w:rPr>
                <w:bCs/>
                <w:sz w:val="18"/>
                <w:szCs w:val="18"/>
              </w:rPr>
            </w:pPr>
            <w:r>
              <w:rPr>
                <w:bCs/>
                <w:sz w:val="18"/>
                <w:szCs w:val="18"/>
              </w:rPr>
              <w:t>不能按时交作业，有抄袭现象；或者不能正确光智能材料性能提高途径。</w:t>
            </w:r>
          </w:p>
        </w:tc>
        <w:tc>
          <w:tcPr>
            <w:tcW w:w="785" w:type="dxa"/>
            <w:vAlign w:val="center"/>
          </w:tcPr>
          <w:p>
            <w:pPr>
              <w:jc w:val="center"/>
              <w:rPr>
                <w:rFonts w:hint="eastAsia" w:ascii="宋体" w:hAnsi="宋体"/>
                <w:bCs/>
                <w:sz w:val="18"/>
                <w:szCs w:val="18"/>
              </w:rPr>
            </w:pPr>
          </w:p>
        </w:tc>
      </w:tr>
    </w:tbl>
    <w:p>
      <w:pPr>
        <w:pStyle w:val="26"/>
        <w:spacing w:line="360" w:lineRule="auto"/>
        <w:ind w:firstLine="0" w:firstLineChars="0"/>
        <w:rPr>
          <w:rFonts w:ascii="宋体" w:hAnsi="宋体"/>
          <w:b/>
          <w:szCs w:val="21"/>
        </w:rPr>
      </w:pPr>
    </w:p>
    <w:p>
      <w:pPr>
        <w:pStyle w:val="26"/>
        <w:spacing w:line="360" w:lineRule="auto"/>
        <w:ind w:firstLine="207" w:firstLineChars="98"/>
        <w:rPr>
          <w:rFonts w:hint="eastAsia" w:ascii="宋体" w:hAnsi="宋体"/>
          <w:b/>
          <w:color w:val="C00000"/>
          <w:szCs w:val="21"/>
          <w:highlight w:val="yellow"/>
        </w:rPr>
      </w:pPr>
      <w:r>
        <w:rPr>
          <w:rFonts w:hint="eastAsia" w:ascii="宋体" w:hAnsi="宋体"/>
          <w:b/>
          <w:szCs w:val="21"/>
        </w:rPr>
        <w:t>3、实验教学评价标准</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1560"/>
        <w:gridCol w:w="1559"/>
        <w:gridCol w:w="1559"/>
        <w:gridCol w:w="1381"/>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310" w:type="dxa"/>
            <w:vMerge w:val="restart"/>
            <w:shd w:val="clear" w:color="auto" w:fill="F2F2F2"/>
            <w:vAlign w:val="center"/>
          </w:tcPr>
          <w:p>
            <w:pPr>
              <w:jc w:val="center"/>
              <w:rPr>
                <w:b/>
                <w:sz w:val="18"/>
                <w:szCs w:val="18"/>
              </w:rPr>
            </w:pPr>
            <w:r>
              <w:rPr>
                <w:rFonts w:hint="eastAsia"/>
                <w:b/>
                <w:sz w:val="18"/>
                <w:szCs w:val="18"/>
              </w:rPr>
              <w:t>基本要求</w:t>
            </w:r>
          </w:p>
        </w:tc>
        <w:tc>
          <w:tcPr>
            <w:tcW w:w="6059" w:type="dxa"/>
            <w:gridSpan w:val="4"/>
            <w:shd w:val="clear" w:color="auto" w:fill="F2F2F2"/>
            <w:vAlign w:val="center"/>
          </w:tcPr>
          <w:p>
            <w:pPr>
              <w:jc w:val="center"/>
              <w:rPr>
                <w:b/>
                <w:sz w:val="18"/>
                <w:szCs w:val="18"/>
              </w:rPr>
            </w:pPr>
            <w:r>
              <w:rPr>
                <w:rFonts w:hint="eastAsia"/>
                <w:b/>
                <w:sz w:val="18"/>
                <w:szCs w:val="18"/>
              </w:rPr>
              <w:t>评价标准</w:t>
            </w:r>
          </w:p>
        </w:tc>
        <w:tc>
          <w:tcPr>
            <w:tcW w:w="785" w:type="dxa"/>
            <w:vMerge w:val="restart"/>
            <w:shd w:val="clear" w:color="auto" w:fill="F2F2F2"/>
            <w:vAlign w:val="center"/>
          </w:tcPr>
          <w:p>
            <w:pPr>
              <w:jc w:val="center"/>
              <w:rPr>
                <w:rFonts w:hint="eastAsia"/>
                <w:b/>
                <w:sz w:val="18"/>
                <w:szCs w:val="18"/>
              </w:rPr>
            </w:pPr>
            <w:r>
              <w:rPr>
                <w:rFonts w:hint="eastAsia"/>
                <w:b/>
                <w:sz w:val="18"/>
                <w:szCs w:val="1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310" w:type="dxa"/>
            <w:vMerge w:val="continue"/>
            <w:shd w:val="clear" w:color="auto" w:fill="F2F2F2"/>
          </w:tcPr>
          <w:p>
            <w:pPr>
              <w:spacing w:line="420" w:lineRule="exact"/>
              <w:jc w:val="center"/>
              <w:rPr>
                <w:rFonts w:hint="eastAsia"/>
                <w:b/>
                <w:sz w:val="18"/>
                <w:szCs w:val="18"/>
              </w:rPr>
            </w:pPr>
          </w:p>
        </w:tc>
        <w:tc>
          <w:tcPr>
            <w:tcW w:w="1560" w:type="dxa"/>
            <w:shd w:val="clear" w:color="auto" w:fill="F2F2F2"/>
          </w:tcPr>
          <w:p>
            <w:pPr>
              <w:spacing w:line="420" w:lineRule="exact"/>
              <w:jc w:val="center"/>
              <w:rPr>
                <w:rFonts w:hint="eastAsia"/>
                <w:b/>
                <w:sz w:val="18"/>
                <w:szCs w:val="18"/>
              </w:rPr>
            </w:pPr>
            <w:r>
              <w:rPr>
                <w:rFonts w:hint="eastAsia"/>
                <w:b/>
                <w:sz w:val="18"/>
                <w:szCs w:val="18"/>
              </w:rPr>
              <w:t>90-100分</w:t>
            </w:r>
          </w:p>
        </w:tc>
        <w:tc>
          <w:tcPr>
            <w:tcW w:w="1559" w:type="dxa"/>
            <w:shd w:val="clear" w:color="auto" w:fill="F2F2F2"/>
          </w:tcPr>
          <w:p>
            <w:pPr>
              <w:spacing w:line="420" w:lineRule="exact"/>
              <w:jc w:val="center"/>
              <w:rPr>
                <w:rFonts w:hint="eastAsia"/>
                <w:b/>
                <w:sz w:val="18"/>
                <w:szCs w:val="18"/>
              </w:rPr>
            </w:pPr>
            <w:r>
              <w:rPr>
                <w:rFonts w:hint="eastAsia"/>
                <w:b/>
                <w:sz w:val="18"/>
                <w:szCs w:val="18"/>
              </w:rPr>
              <w:t>75-89分</w:t>
            </w:r>
          </w:p>
        </w:tc>
        <w:tc>
          <w:tcPr>
            <w:tcW w:w="1559" w:type="dxa"/>
            <w:shd w:val="clear" w:color="auto" w:fill="F2F2F2"/>
          </w:tcPr>
          <w:p>
            <w:pPr>
              <w:spacing w:line="420" w:lineRule="exact"/>
              <w:jc w:val="center"/>
              <w:rPr>
                <w:rFonts w:hint="eastAsia"/>
                <w:b/>
                <w:sz w:val="18"/>
                <w:szCs w:val="18"/>
              </w:rPr>
            </w:pPr>
            <w:r>
              <w:rPr>
                <w:rFonts w:hint="eastAsia"/>
                <w:b/>
                <w:sz w:val="18"/>
                <w:szCs w:val="18"/>
              </w:rPr>
              <w:t>60-74分</w:t>
            </w:r>
          </w:p>
        </w:tc>
        <w:tc>
          <w:tcPr>
            <w:tcW w:w="1381" w:type="dxa"/>
            <w:shd w:val="clear" w:color="auto" w:fill="F2F2F2"/>
          </w:tcPr>
          <w:p>
            <w:pPr>
              <w:spacing w:line="420" w:lineRule="exact"/>
              <w:jc w:val="center"/>
              <w:rPr>
                <w:rFonts w:hint="eastAsia"/>
                <w:b/>
                <w:sz w:val="18"/>
                <w:szCs w:val="18"/>
              </w:rPr>
            </w:pPr>
            <w:r>
              <w:rPr>
                <w:rFonts w:hint="eastAsia"/>
                <w:b/>
                <w:sz w:val="18"/>
                <w:szCs w:val="18"/>
              </w:rPr>
              <w:t>0-59分</w:t>
            </w:r>
          </w:p>
        </w:tc>
        <w:tc>
          <w:tcPr>
            <w:tcW w:w="785" w:type="dxa"/>
            <w:vMerge w:val="continue"/>
            <w:shd w:val="clear" w:color="auto" w:fill="F2F2F2"/>
          </w:tcPr>
          <w:p>
            <w:pPr>
              <w:spacing w:line="420" w:lineRule="exact"/>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hint="eastAsia" w:ascii="宋体" w:hAnsi="宋体"/>
                <w:sz w:val="18"/>
                <w:szCs w:val="18"/>
              </w:rPr>
            </w:pPr>
            <w:r>
              <w:rPr>
                <w:rFonts w:ascii="宋体" w:hAnsi="宋体"/>
                <w:sz w:val="18"/>
                <w:szCs w:val="18"/>
              </w:rPr>
              <w:t>能够熟练掌握准静态d3</w:t>
            </w:r>
            <w:r>
              <w:rPr>
                <w:rFonts w:hint="eastAsia" w:ascii="宋体" w:hAnsi="宋体"/>
                <w:sz w:val="18"/>
                <w:szCs w:val="18"/>
              </w:rPr>
              <w:t>3</w:t>
            </w:r>
            <w:r>
              <w:rPr>
                <w:rFonts w:ascii="宋体" w:hAnsi="宋体"/>
                <w:sz w:val="18"/>
                <w:szCs w:val="18"/>
              </w:rPr>
              <w:t>测试仪的使用方法并能准确进行压电常数</w:t>
            </w:r>
            <w:r>
              <w:rPr>
                <w:rFonts w:hint="eastAsia" w:ascii="宋体" w:hAnsi="宋体"/>
                <w:sz w:val="18"/>
                <w:szCs w:val="18"/>
              </w:rPr>
              <w:t>d33的</w:t>
            </w:r>
            <w:r>
              <w:rPr>
                <w:rFonts w:ascii="宋体" w:hAnsi="宋体"/>
                <w:sz w:val="18"/>
                <w:szCs w:val="18"/>
              </w:rPr>
              <w:t>测量的实验。</w:t>
            </w:r>
          </w:p>
          <w:p>
            <w:pPr>
              <w:rPr>
                <w:bCs/>
                <w:szCs w:val="21"/>
              </w:rPr>
            </w:pPr>
            <w:r>
              <w:rPr>
                <w:rFonts w:ascii="宋体" w:hAnsi="宋体"/>
                <w:sz w:val="18"/>
                <w:szCs w:val="18"/>
              </w:rPr>
              <w:t>（支撑课程目标3、毕业要求指标点</w:t>
            </w:r>
            <w:r>
              <w:rPr>
                <w:rFonts w:hint="eastAsia" w:ascii="宋体" w:hAnsi="宋体"/>
                <w:sz w:val="18"/>
                <w:szCs w:val="18"/>
              </w:rPr>
              <w:t>2</w:t>
            </w:r>
            <w:r>
              <w:rPr>
                <w:rFonts w:ascii="宋体" w:hAnsi="宋体"/>
                <w:sz w:val="18"/>
                <w:szCs w:val="18"/>
              </w:rPr>
              <w:t>-1）</w:t>
            </w:r>
          </w:p>
        </w:tc>
        <w:tc>
          <w:tcPr>
            <w:tcW w:w="1560" w:type="dxa"/>
            <w:vAlign w:val="center"/>
          </w:tcPr>
          <w:p>
            <w:pPr>
              <w:rPr>
                <w:bCs/>
                <w:sz w:val="18"/>
                <w:szCs w:val="18"/>
              </w:rPr>
            </w:pPr>
            <w:r>
              <w:rPr>
                <w:sz w:val="18"/>
                <w:szCs w:val="18"/>
              </w:rPr>
              <w:t>按照要求完成预习，按照实验安全操作规程进行正确操作</w:t>
            </w:r>
            <w:r>
              <w:rPr>
                <w:rFonts w:hint="eastAsia"/>
                <w:sz w:val="18"/>
                <w:szCs w:val="18"/>
              </w:rPr>
              <w:t>准静态d33测试仪</w:t>
            </w:r>
            <w:r>
              <w:rPr>
                <w:sz w:val="18"/>
                <w:szCs w:val="18"/>
              </w:rPr>
              <w:t>；实验步骤与结果正确；实验仪器设备完好。</w:t>
            </w:r>
          </w:p>
        </w:tc>
        <w:tc>
          <w:tcPr>
            <w:tcW w:w="1559" w:type="dxa"/>
            <w:vAlign w:val="center"/>
          </w:tcPr>
          <w:p>
            <w:pPr>
              <w:rPr>
                <w:bCs/>
                <w:sz w:val="18"/>
                <w:szCs w:val="18"/>
              </w:rPr>
            </w:pPr>
            <w:r>
              <w:rPr>
                <w:rFonts w:hint="eastAsia"/>
                <w:sz w:val="18"/>
                <w:szCs w:val="18"/>
              </w:rPr>
              <w:t>能够</w:t>
            </w:r>
            <w:r>
              <w:rPr>
                <w:sz w:val="18"/>
                <w:szCs w:val="18"/>
              </w:rPr>
              <w:t>预习，按照实验安全操作规程进行正确操作</w:t>
            </w:r>
            <w:r>
              <w:rPr>
                <w:rFonts w:hint="eastAsia"/>
                <w:sz w:val="18"/>
                <w:szCs w:val="18"/>
              </w:rPr>
              <w:t>准静态d33测试仪</w:t>
            </w:r>
            <w:r>
              <w:rPr>
                <w:sz w:val="18"/>
                <w:szCs w:val="18"/>
              </w:rPr>
              <w:t>；实验步骤与结果正确；实验仪器设备完好。</w:t>
            </w:r>
          </w:p>
        </w:tc>
        <w:tc>
          <w:tcPr>
            <w:tcW w:w="1559" w:type="dxa"/>
            <w:vAlign w:val="center"/>
          </w:tcPr>
          <w:p>
            <w:pPr>
              <w:rPr>
                <w:bCs/>
                <w:sz w:val="18"/>
                <w:szCs w:val="18"/>
              </w:rPr>
            </w:pPr>
            <w:r>
              <w:rPr>
                <w:sz w:val="18"/>
                <w:szCs w:val="18"/>
              </w:rPr>
              <w:t>按照实验安全操作规程进行正确操作</w:t>
            </w:r>
            <w:r>
              <w:rPr>
                <w:rFonts w:hint="eastAsia"/>
                <w:sz w:val="18"/>
                <w:szCs w:val="18"/>
              </w:rPr>
              <w:t>准静态d33测试仪</w:t>
            </w:r>
            <w:r>
              <w:rPr>
                <w:sz w:val="18"/>
                <w:szCs w:val="18"/>
              </w:rPr>
              <w:t>；实验步骤与结果正确；实验仪器设备完好。</w:t>
            </w:r>
          </w:p>
        </w:tc>
        <w:tc>
          <w:tcPr>
            <w:tcW w:w="1381" w:type="dxa"/>
            <w:vAlign w:val="center"/>
          </w:tcPr>
          <w:p>
            <w:pPr>
              <w:rPr>
                <w:bCs/>
                <w:sz w:val="18"/>
                <w:szCs w:val="18"/>
              </w:rPr>
            </w:pPr>
            <w:r>
              <w:rPr>
                <w:sz w:val="18"/>
                <w:szCs w:val="18"/>
              </w:rPr>
              <w:t>没有按照实验安全操作规程进行实验，不能正确使用</w:t>
            </w:r>
            <w:r>
              <w:rPr>
                <w:rFonts w:hint="eastAsia"/>
                <w:sz w:val="18"/>
                <w:szCs w:val="18"/>
              </w:rPr>
              <w:t>准静态d33测试仪</w:t>
            </w:r>
            <w:r>
              <w:rPr>
                <w:sz w:val="18"/>
                <w:szCs w:val="18"/>
              </w:rPr>
              <w:t>；实验步骤与结果不正确。</w:t>
            </w:r>
          </w:p>
        </w:tc>
        <w:tc>
          <w:tcPr>
            <w:tcW w:w="785" w:type="dxa"/>
            <w:vAlign w:val="center"/>
          </w:tcPr>
          <w:p>
            <w:pPr>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hint="eastAsia" w:ascii="宋体" w:hAnsi="宋体"/>
                <w:sz w:val="18"/>
                <w:szCs w:val="18"/>
              </w:rPr>
            </w:pPr>
            <w:r>
              <w:rPr>
                <w:rFonts w:hint="eastAsia" w:ascii="宋体" w:hAnsi="宋体"/>
                <w:sz w:val="18"/>
                <w:szCs w:val="18"/>
              </w:rPr>
              <w:t>能够熟练掌握什么是铁电体，电滞回线及其测量原理和方法。</w:t>
            </w:r>
          </w:p>
          <w:p>
            <w:pPr>
              <w:rPr>
                <w:rFonts w:ascii="宋体" w:hAnsi="宋体"/>
                <w:sz w:val="18"/>
                <w:szCs w:val="18"/>
              </w:rPr>
            </w:pPr>
            <w:r>
              <w:rPr>
                <w:rFonts w:ascii="宋体" w:hAnsi="宋体"/>
                <w:sz w:val="18"/>
                <w:szCs w:val="18"/>
              </w:rPr>
              <w:t>（支撑课程目标3、</w:t>
            </w:r>
            <w:r>
              <w:rPr>
                <w:rFonts w:hint="eastAsia" w:ascii="宋体" w:hAnsi="宋体"/>
                <w:sz w:val="18"/>
                <w:szCs w:val="18"/>
              </w:rPr>
              <w:t>4</w:t>
            </w:r>
            <w:r>
              <w:rPr>
                <w:rFonts w:ascii="宋体" w:hAnsi="宋体"/>
                <w:sz w:val="18"/>
                <w:szCs w:val="18"/>
              </w:rPr>
              <w:t>毕业要求指标点</w:t>
            </w:r>
            <w:r>
              <w:rPr>
                <w:rFonts w:hint="eastAsia" w:ascii="宋体" w:hAnsi="宋体"/>
                <w:sz w:val="18"/>
                <w:szCs w:val="18"/>
              </w:rPr>
              <w:t>2</w:t>
            </w:r>
            <w:r>
              <w:rPr>
                <w:rFonts w:ascii="宋体" w:hAnsi="宋体"/>
                <w:sz w:val="18"/>
                <w:szCs w:val="18"/>
              </w:rPr>
              <w:t>-1</w:t>
            </w:r>
            <w:r>
              <w:rPr>
                <w:rFonts w:hint="eastAsia" w:ascii="宋体" w:hAnsi="宋体"/>
                <w:sz w:val="18"/>
                <w:szCs w:val="18"/>
              </w:rPr>
              <w:t>,2-2</w:t>
            </w:r>
            <w:r>
              <w:rPr>
                <w:rFonts w:ascii="宋体" w:hAnsi="宋体"/>
                <w:sz w:val="18"/>
                <w:szCs w:val="18"/>
              </w:rPr>
              <w:t>）</w:t>
            </w:r>
          </w:p>
        </w:tc>
        <w:tc>
          <w:tcPr>
            <w:tcW w:w="1560" w:type="dxa"/>
            <w:vAlign w:val="center"/>
          </w:tcPr>
          <w:p>
            <w:pPr>
              <w:rPr>
                <w:sz w:val="18"/>
                <w:szCs w:val="18"/>
              </w:rPr>
            </w:pPr>
            <w:r>
              <w:rPr>
                <w:rFonts w:hint="eastAsia"/>
                <w:sz w:val="18"/>
                <w:szCs w:val="18"/>
              </w:rPr>
              <w:t>按照要求完成预习，按照实验安全操作规程进行实验，实验步骤与结果正确；实验仪器设备完好。</w:t>
            </w:r>
          </w:p>
        </w:tc>
        <w:tc>
          <w:tcPr>
            <w:tcW w:w="1559" w:type="dxa"/>
            <w:vAlign w:val="center"/>
          </w:tcPr>
          <w:p>
            <w:pPr>
              <w:rPr>
                <w:rFonts w:hint="eastAsia"/>
                <w:sz w:val="18"/>
                <w:szCs w:val="18"/>
              </w:rPr>
            </w:pPr>
            <w:r>
              <w:rPr>
                <w:rFonts w:hint="eastAsia"/>
                <w:sz w:val="18"/>
                <w:szCs w:val="18"/>
              </w:rPr>
              <w:t>能够预习，按照实验安全操作规程进行实验，实验步骤与结果正确；实验仪器设备完好。</w:t>
            </w:r>
          </w:p>
        </w:tc>
        <w:tc>
          <w:tcPr>
            <w:tcW w:w="1559" w:type="dxa"/>
            <w:vAlign w:val="center"/>
          </w:tcPr>
          <w:p>
            <w:pPr>
              <w:rPr>
                <w:sz w:val="18"/>
                <w:szCs w:val="18"/>
              </w:rPr>
            </w:pPr>
            <w:r>
              <w:rPr>
                <w:rFonts w:hint="eastAsia"/>
                <w:sz w:val="18"/>
                <w:szCs w:val="18"/>
              </w:rPr>
              <w:t>按照实验安全操作规程进行实验，实验步骤与结果正确；实验仪器设备完好。</w:t>
            </w:r>
          </w:p>
        </w:tc>
        <w:tc>
          <w:tcPr>
            <w:tcW w:w="1381" w:type="dxa"/>
            <w:vAlign w:val="center"/>
          </w:tcPr>
          <w:p>
            <w:pPr>
              <w:rPr>
                <w:sz w:val="18"/>
                <w:szCs w:val="18"/>
              </w:rPr>
            </w:pPr>
            <w:r>
              <w:rPr>
                <w:sz w:val="18"/>
                <w:szCs w:val="18"/>
              </w:rPr>
              <w:t>没有按照实验安全操作规程进行实验，不能正确使用</w:t>
            </w:r>
            <w:r>
              <w:rPr>
                <w:rFonts w:hint="eastAsia"/>
                <w:sz w:val="18"/>
                <w:szCs w:val="18"/>
              </w:rPr>
              <w:t>测试设备</w:t>
            </w:r>
            <w:r>
              <w:rPr>
                <w:sz w:val="18"/>
                <w:szCs w:val="18"/>
              </w:rPr>
              <w:t>；实验步骤与结果不正确。</w:t>
            </w:r>
          </w:p>
        </w:tc>
        <w:tc>
          <w:tcPr>
            <w:tcW w:w="785" w:type="dxa"/>
            <w:vAlign w:val="center"/>
          </w:tcPr>
          <w:p>
            <w:pPr>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tcPr>
          <w:p>
            <w:pPr>
              <w:rPr>
                <w:rFonts w:hint="eastAsia" w:ascii="宋体" w:hAnsi="宋体"/>
                <w:sz w:val="18"/>
                <w:szCs w:val="18"/>
              </w:rPr>
            </w:pPr>
            <w:r>
              <w:rPr>
                <w:rFonts w:hint="eastAsia" w:ascii="宋体" w:hAnsi="宋体"/>
                <w:sz w:val="18"/>
                <w:szCs w:val="18"/>
              </w:rPr>
              <w:t>掌握GMR效应的原理</w:t>
            </w:r>
          </w:p>
          <w:p>
            <w:pPr>
              <w:rPr>
                <w:rFonts w:hint="eastAsia" w:ascii="宋体" w:hAnsi="宋体"/>
                <w:sz w:val="18"/>
                <w:szCs w:val="18"/>
              </w:rPr>
            </w:pPr>
            <w:r>
              <w:rPr>
                <w:rFonts w:hint="eastAsia" w:ascii="宋体" w:hAnsi="宋体"/>
                <w:sz w:val="18"/>
                <w:szCs w:val="18"/>
              </w:rPr>
              <w:t>能够熟练测量GMR模拟传感器的磁电转换特性曲线、磁阻特性曲线。能够用GMR传感器测量电流。</w:t>
            </w:r>
          </w:p>
          <w:p>
            <w:pPr>
              <w:rPr>
                <w:rFonts w:ascii="宋体" w:hAnsi="宋体"/>
                <w:sz w:val="18"/>
                <w:szCs w:val="18"/>
              </w:rPr>
            </w:pPr>
            <w:r>
              <w:rPr>
                <w:rFonts w:ascii="宋体" w:hAnsi="宋体"/>
                <w:sz w:val="18"/>
                <w:szCs w:val="18"/>
              </w:rPr>
              <w:t>（支撑课程目标3、</w:t>
            </w:r>
            <w:r>
              <w:rPr>
                <w:rFonts w:hint="eastAsia" w:ascii="宋体" w:hAnsi="宋体"/>
                <w:sz w:val="18"/>
                <w:szCs w:val="18"/>
              </w:rPr>
              <w:t>4</w:t>
            </w:r>
            <w:r>
              <w:rPr>
                <w:rFonts w:ascii="宋体" w:hAnsi="宋体"/>
                <w:sz w:val="18"/>
                <w:szCs w:val="18"/>
              </w:rPr>
              <w:t>毕业要求指标点</w:t>
            </w:r>
            <w:r>
              <w:rPr>
                <w:rFonts w:hint="eastAsia" w:ascii="宋体" w:hAnsi="宋体"/>
                <w:sz w:val="18"/>
                <w:szCs w:val="18"/>
              </w:rPr>
              <w:t>2</w:t>
            </w:r>
            <w:r>
              <w:rPr>
                <w:rFonts w:ascii="宋体" w:hAnsi="宋体"/>
                <w:sz w:val="18"/>
                <w:szCs w:val="18"/>
              </w:rPr>
              <w:t>-1</w:t>
            </w:r>
            <w:r>
              <w:rPr>
                <w:rFonts w:hint="eastAsia" w:ascii="宋体" w:hAnsi="宋体"/>
                <w:sz w:val="18"/>
                <w:szCs w:val="18"/>
              </w:rPr>
              <w:t>,2-2</w:t>
            </w:r>
            <w:r>
              <w:rPr>
                <w:rFonts w:ascii="宋体" w:hAnsi="宋体"/>
                <w:sz w:val="18"/>
                <w:szCs w:val="18"/>
              </w:rPr>
              <w:t>）</w:t>
            </w:r>
          </w:p>
        </w:tc>
        <w:tc>
          <w:tcPr>
            <w:tcW w:w="1560" w:type="dxa"/>
            <w:vAlign w:val="center"/>
          </w:tcPr>
          <w:p>
            <w:pPr>
              <w:rPr>
                <w:bCs/>
                <w:sz w:val="18"/>
                <w:szCs w:val="18"/>
              </w:rPr>
            </w:pPr>
            <w:r>
              <w:rPr>
                <w:rFonts w:hint="eastAsia"/>
                <w:sz w:val="18"/>
                <w:szCs w:val="18"/>
              </w:rPr>
              <w:t>按照要求完成预习，按照实验安全操作规程进行实验，实验步骤与结果正确；实验仪器设备完好。</w:t>
            </w:r>
          </w:p>
        </w:tc>
        <w:tc>
          <w:tcPr>
            <w:tcW w:w="1559" w:type="dxa"/>
            <w:vAlign w:val="center"/>
          </w:tcPr>
          <w:p>
            <w:pPr>
              <w:rPr>
                <w:bCs/>
                <w:sz w:val="18"/>
                <w:szCs w:val="18"/>
              </w:rPr>
            </w:pPr>
            <w:r>
              <w:rPr>
                <w:rFonts w:hint="eastAsia"/>
                <w:sz w:val="18"/>
                <w:szCs w:val="18"/>
              </w:rPr>
              <w:t>能够预习，按照实验安全操作规程进行实验，实验步骤与结果正确；实验仪器设备完好。</w:t>
            </w:r>
          </w:p>
        </w:tc>
        <w:tc>
          <w:tcPr>
            <w:tcW w:w="1559" w:type="dxa"/>
            <w:vAlign w:val="center"/>
          </w:tcPr>
          <w:p>
            <w:pPr>
              <w:rPr>
                <w:bCs/>
                <w:sz w:val="18"/>
                <w:szCs w:val="18"/>
              </w:rPr>
            </w:pPr>
            <w:r>
              <w:rPr>
                <w:rFonts w:hint="eastAsia"/>
                <w:sz w:val="18"/>
                <w:szCs w:val="18"/>
              </w:rPr>
              <w:t>按照实验安全操作规程进行实验，实验步骤与结果正确；实验仪器设备完好。</w:t>
            </w:r>
          </w:p>
        </w:tc>
        <w:tc>
          <w:tcPr>
            <w:tcW w:w="1381" w:type="dxa"/>
            <w:vAlign w:val="center"/>
          </w:tcPr>
          <w:p>
            <w:pPr>
              <w:rPr>
                <w:bCs/>
                <w:sz w:val="18"/>
                <w:szCs w:val="18"/>
              </w:rPr>
            </w:pPr>
            <w:r>
              <w:rPr>
                <w:sz w:val="18"/>
                <w:szCs w:val="18"/>
              </w:rPr>
              <w:t>没有按照实验安全操作规程进行实验，不能正确使用</w:t>
            </w:r>
            <w:r>
              <w:rPr>
                <w:rFonts w:hint="eastAsia"/>
                <w:sz w:val="18"/>
                <w:szCs w:val="18"/>
              </w:rPr>
              <w:t>测试设备</w:t>
            </w:r>
            <w:r>
              <w:rPr>
                <w:sz w:val="18"/>
                <w:szCs w:val="18"/>
              </w:rPr>
              <w:t>；实验步骤与结果不正确。</w:t>
            </w:r>
          </w:p>
        </w:tc>
        <w:tc>
          <w:tcPr>
            <w:tcW w:w="785" w:type="dxa"/>
            <w:vAlign w:val="center"/>
          </w:tcPr>
          <w:p>
            <w:pPr>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hint="eastAsia" w:ascii="宋体" w:hAnsi="宋体"/>
                <w:sz w:val="18"/>
                <w:szCs w:val="18"/>
              </w:rPr>
            </w:pPr>
            <w:r>
              <w:rPr>
                <w:rFonts w:hint="eastAsia" w:ascii="宋体" w:hAnsi="宋体"/>
                <w:sz w:val="18"/>
                <w:szCs w:val="18"/>
              </w:rPr>
              <w:t>能够掌握形状记忆合金基本性质，加深对基本概念的理解。熟练掌握形状记忆合金的动作。动作温度与记忆性能与吸放热量、亚结构和马氏体类型等的关系。</w:t>
            </w:r>
          </w:p>
          <w:p>
            <w:pPr>
              <w:rPr>
                <w:rFonts w:hint="eastAsia" w:ascii="宋体" w:hAnsi="宋体"/>
                <w:sz w:val="18"/>
                <w:szCs w:val="18"/>
              </w:rPr>
            </w:pPr>
            <w:r>
              <w:rPr>
                <w:rFonts w:ascii="宋体" w:hAnsi="宋体"/>
                <w:sz w:val="18"/>
                <w:szCs w:val="18"/>
              </w:rPr>
              <w:t>（支撑课程目标</w:t>
            </w:r>
            <w:r>
              <w:rPr>
                <w:rFonts w:hint="eastAsia" w:ascii="宋体" w:hAnsi="宋体"/>
                <w:sz w:val="18"/>
                <w:szCs w:val="18"/>
              </w:rPr>
              <w:t>4</w:t>
            </w:r>
            <w:r>
              <w:rPr>
                <w:rFonts w:ascii="宋体" w:hAnsi="宋体"/>
                <w:sz w:val="18"/>
                <w:szCs w:val="18"/>
              </w:rPr>
              <w:t>毕业要求指标点</w:t>
            </w:r>
            <w:r>
              <w:rPr>
                <w:rFonts w:hint="eastAsia" w:ascii="宋体" w:hAnsi="宋体"/>
                <w:sz w:val="18"/>
                <w:szCs w:val="18"/>
              </w:rPr>
              <w:t>2-2</w:t>
            </w:r>
            <w:r>
              <w:rPr>
                <w:rFonts w:ascii="宋体" w:hAnsi="宋体"/>
                <w:sz w:val="18"/>
                <w:szCs w:val="18"/>
              </w:rPr>
              <w:t>）</w:t>
            </w:r>
          </w:p>
        </w:tc>
        <w:tc>
          <w:tcPr>
            <w:tcW w:w="1560" w:type="dxa"/>
            <w:vAlign w:val="center"/>
          </w:tcPr>
          <w:p>
            <w:pPr>
              <w:rPr>
                <w:rFonts w:hint="eastAsia"/>
                <w:bCs/>
                <w:sz w:val="18"/>
                <w:szCs w:val="18"/>
              </w:rPr>
            </w:pPr>
            <w:r>
              <w:rPr>
                <w:rFonts w:hint="eastAsia"/>
                <w:sz w:val="18"/>
                <w:szCs w:val="18"/>
              </w:rPr>
              <w:t>按照要求完成预习，按照实验安全操作规程进行实验，实验步骤与结果正确；实验仪器设备完好。</w:t>
            </w:r>
          </w:p>
        </w:tc>
        <w:tc>
          <w:tcPr>
            <w:tcW w:w="1559" w:type="dxa"/>
            <w:vAlign w:val="center"/>
          </w:tcPr>
          <w:p>
            <w:pPr>
              <w:rPr>
                <w:rFonts w:hint="eastAsia"/>
                <w:bCs/>
                <w:sz w:val="18"/>
                <w:szCs w:val="18"/>
              </w:rPr>
            </w:pPr>
            <w:r>
              <w:rPr>
                <w:rFonts w:hint="eastAsia"/>
                <w:sz w:val="18"/>
                <w:szCs w:val="18"/>
              </w:rPr>
              <w:t>能够预习，按照实验安全操作规程进行实验，实验步骤与结果正确；实验仪器设备完好。</w:t>
            </w:r>
          </w:p>
        </w:tc>
        <w:tc>
          <w:tcPr>
            <w:tcW w:w="1559" w:type="dxa"/>
            <w:vAlign w:val="center"/>
          </w:tcPr>
          <w:p>
            <w:pPr>
              <w:rPr>
                <w:rFonts w:hint="eastAsia"/>
                <w:bCs/>
                <w:sz w:val="18"/>
                <w:szCs w:val="18"/>
              </w:rPr>
            </w:pPr>
            <w:r>
              <w:rPr>
                <w:rFonts w:hint="eastAsia"/>
                <w:sz w:val="18"/>
                <w:szCs w:val="18"/>
              </w:rPr>
              <w:t>按照实验安全操作规程进行实验，实验步骤与结果正确；实验仪器设备完好。</w:t>
            </w:r>
          </w:p>
        </w:tc>
        <w:tc>
          <w:tcPr>
            <w:tcW w:w="1381" w:type="dxa"/>
            <w:vAlign w:val="center"/>
          </w:tcPr>
          <w:p>
            <w:pPr>
              <w:rPr>
                <w:rFonts w:hint="eastAsia"/>
                <w:bCs/>
                <w:sz w:val="18"/>
                <w:szCs w:val="18"/>
              </w:rPr>
            </w:pPr>
            <w:r>
              <w:rPr>
                <w:sz w:val="18"/>
                <w:szCs w:val="18"/>
              </w:rPr>
              <w:t>没有按照实验安全操作规程进行实验，不能正确使用</w:t>
            </w:r>
            <w:r>
              <w:rPr>
                <w:rFonts w:hint="eastAsia"/>
                <w:sz w:val="18"/>
                <w:szCs w:val="18"/>
              </w:rPr>
              <w:t>测试设备</w:t>
            </w:r>
            <w:r>
              <w:rPr>
                <w:sz w:val="18"/>
                <w:szCs w:val="18"/>
              </w:rPr>
              <w:t>；实验步骤与结果不正确。</w:t>
            </w:r>
          </w:p>
        </w:tc>
        <w:tc>
          <w:tcPr>
            <w:tcW w:w="785" w:type="dxa"/>
            <w:vAlign w:val="center"/>
          </w:tcPr>
          <w:p>
            <w:pPr>
              <w:jc w:val="center"/>
              <w:rPr>
                <w:rFonts w:hint="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hint="eastAsia"/>
                <w:sz w:val="18"/>
                <w:szCs w:val="18"/>
              </w:rPr>
            </w:pPr>
            <w:r>
              <w:rPr>
                <w:sz w:val="18"/>
                <w:szCs w:val="18"/>
              </w:rPr>
              <w:t>能够充分了解光敏电阻的光照特性、光谱特性和伏安特性等基本特性。</w:t>
            </w:r>
          </w:p>
          <w:p>
            <w:pPr>
              <w:rPr>
                <w:rFonts w:hint="eastAsia"/>
                <w:bCs/>
                <w:sz w:val="18"/>
                <w:szCs w:val="18"/>
              </w:rPr>
            </w:pPr>
            <w:r>
              <w:rPr>
                <w:sz w:val="18"/>
                <w:szCs w:val="18"/>
              </w:rPr>
              <w:t>（支撑课程目标3、毕业要求指标点</w:t>
            </w:r>
            <w:r>
              <w:rPr>
                <w:rFonts w:hint="eastAsia"/>
                <w:sz w:val="18"/>
                <w:szCs w:val="18"/>
              </w:rPr>
              <w:t>2</w:t>
            </w:r>
            <w:r>
              <w:rPr>
                <w:sz w:val="18"/>
                <w:szCs w:val="18"/>
              </w:rPr>
              <w:t>-1）</w:t>
            </w:r>
          </w:p>
        </w:tc>
        <w:tc>
          <w:tcPr>
            <w:tcW w:w="1560" w:type="dxa"/>
            <w:vAlign w:val="center"/>
          </w:tcPr>
          <w:p>
            <w:pPr>
              <w:rPr>
                <w:rFonts w:hint="eastAsia"/>
                <w:bCs/>
                <w:sz w:val="18"/>
                <w:szCs w:val="18"/>
              </w:rPr>
            </w:pPr>
            <w:r>
              <w:rPr>
                <w:sz w:val="18"/>
                <w:szCs w:val="18"/>
              </w:rPr>
              <w:t>按照要求完成预习，按照实验安全操作规程进行实验；实验步骤与结果正确；实验仪器设备完好。</w:t>
            </w:r>
          </w:p>
        </w:tc>
        <w:tc>
          <w:tcPr>
            <w:tcW w:w="1559" w:type="dxa"/>
            <w:vAlign w:val="center"/>
          </w:tcPr>
          <w:p>
            <w:pPr>
              <w:rPr>
                <w:rFonts w:hint="eastAsia"/>
                <w:bCs/>
                <w:sz w:val="18"/>
                <w:szCs w:val="18"/>
              </w:rPr>
            </w:pPr>
            <w:r>
              <w:rPr>
                <w:rFonts w:hint="eastAsia"/>
                <w:sz w:val="18"/>
                <w:szCs w:val="18"/>
              </w:rPr>
              <w:t>能够</w:t>
            </w:r>
            <w:r>
              <w:rPr>
                <w:sz w:val="18"/>
                <w:szCs w:val="18"/>
              </w:rPr>
              <w:t>预习，按照实验安全操作规程进行实验；实验步骤与结果正确；实验仪器设备完好。</w:t>
            </w:r>
          </w:p>
        </w:tc>
        <w:tc>
          <w:tcPr>
            <w:tcW w:w="1559" w:type="dxa"/>
            <w:vAlign w:val="center"/>
          </w:tcPr>
          <w:p>
            <w:pPr>
              <w:rPr>
                <w:rFonts w:hint="eastAsia"/>
                <w:bCs/>
                <w:sz w:val="18"/>
                <w:szCs w:val="18"/>
              </w:rPr>
            </w:pPr>
            <w:r>
              <w:rPr>
                <w:sz w:val="18"/>
                <w:szCs w:val="18"/>
              </w:rPr>
              <w:t>按照实验安全操作规程进行实验；实验步骤与结果正确；实验仪器设备完好。</w:t>
            </w:r>
          </w:p>
        </w:tc>
        <w:tc>
          <w:tcPr>
            <w:tcW w:w="1381" w:type="dxa"/>
            <w:vAlign w:val="center"/>
          </w:tcPr>
          <w:p>
            <w:pPr>
              <w:rPr>
                <w:rFonts w:hint="eastAsia"/>
                <w:bCs/>
                <w:sz w:val="18"/>
                <w:szCs w:val="18"/>
              </w:rPr>
            </w:pPr>
            <w:r>
              <w:rPr>
                <w:sz w:val="18"/>
                <w:szCs w:val="18"/>
              </w:rPr>
              <w:t>没有按照实验安全操作规程进行实验；实验步骤与结果不正确和出现重大实验失误。</w:t>
            </w:r>
            <w:r>
              <w:rPr>
                <w:rFonts w:hint="eastAsia"/>
                <w:bCs/>
                <w:sz w:val="18"/>
                <w:szCs w:val="18"/>
              </w:rPr>
              <w:t xml:space="preserve"> </w:t>
            </w:r>
          </w:p>
        </w:tc>
        <w:tc>
          <w:tcPr>
            <w:tcW w:w="785" w:type="dxa"/>
            <w:vAlign w:val="center"/>
          </w:tcPr>
          <w:p>
            <w:pPr>
              <w:jc w:val="center"/>
              <w:rPr>
                <w:rFonts w:hint="eastAsia"/>
                <w:bCs/>
                <w:sz w:val="18"/>
                <w:szCs w:val="18"/>
              </w:rPr>
            </w:pPr>
          </w:p>
        </w:tc>
      </w:tr>
    </w:tbl>
    <w:p>
      <w:pPr>
        <w:pStyle w:val="26"/>
        <w:spacing w:line="360" w:lineRule="auto"/>
        <w:ind w:firstLine="0" w:firstLineChars="0"/>
        <w:rPr>
          <w:rFonts w:ascii="宋体" w:hAnsi="宋体"/>
          <w:b/>
          <w:szCs w:val="21"/>
        </w:rPr>
      </w:pPr>
    </w:p>
    <w:p>
      <w:pPr>
        <w:pStyle w:val="26"/>
        <w:spacing w:line="360" w:lineRule="auto"/>
        <w:ind w:firstLine="207" w:firstLineChars="98"/>
        <w:rPr>
          <w:rFonts w:hint="eastAsia" w:ascii="宋体" w:hAnsi="宋体"/>
          <w:b/>
          <w:szCs w:val="21"/>
        </w:rPr>
      </w:pPr>
      <w:r>
        <w:rPr>
          <w:rFonts w:hint="eastAsia" w:ascii="宋体" w:hAnsi="宋体"/>
          <w:b/>
          <w:szCs w:val="21"/>
        </w:rPr>
        <w:t>4、课程设计评价标准</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1560"/>
        <w:gridCol w:w="1559"/>
        <w:gridCol w:w="1559"/>
        <w:gridCol w:w="1381"/>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jc w:val="center"/>
        </w:trPr>
        <w:tc>
          <w:tcPr>
            <w:tcW w:w="2310" w:type="dxa"/>
            <w:vMerge w:val="restart"/>
            <w:shd w:val="clear" w:color="auto" w:fill="F2F2F2"/>
            <w:vAlign w:val="center"/>
          </w:tcPr>
          <w:p>
            <w:pPr>
              <w:jc w:val="center"/>
              <w:rPr>
                <w:rFonts w:hint="eastAsia"/>
                <w:b/>
                <w:sz w:val="18"/>
                <w:szCs w:val="18"/>
              </w:rPr>
            </w:pPr>
            <w:r>
              <w:rPr>
                <w:rFonts w:hint="eastAsia" w:hAnsi="宋体"/>
                <w:b/>
                <w:sz w:val="18"/>
                <w:szCs w:val="18"/>
              </w:rPr>
              <w:t>基本要求</w:t>
            </w:r>
          </w:p>
        </w:tc>
        <w:tc>
          <w:tcPr>
            <w:tcW w:w="6059" w:type="dxa"/>
            <w:gridSpan w:val="4"/>
            <w:shd w:val="clear" w:color="auto" w:fill="F2F2F2"/>
            <w:vAlign w:val="center"/>
          </w:tcPr>
          <w:p>
            <w:pPr>
              <w:jc w:val="center"/>
              <w:rPr>
                <w:rFonts w:hint="eastAsia"/>
                <w:b/>
                <w:sz w:val="18"/>
                <w:szCs w:val="18"/>
              </w:rPr>
            </w:pPr>
            <w:r>
              <w:rPr>
                <w:rFonts w:hint="eastAsia" w:hAnsi="宋体"/>
                <w:b/>
                <w:sz w:val="18"/>
                <w:szCs w:val="18"/>
              </w:rPr>
              <w:t>评价标准</w:t>
            </w:r>
          </w:p>
        </w:tc>
        <w:tc>
          <w:tcPr>
            <w:tcW w:w="785" w:type="dxa"/>
            <w:vMerge w:val="restart"/>
            <w:shd w:val="clear" w:color="auto" w:fill="F2F2F2"/>
            <w:vAlign w:val="center"/>
          </w:tcPr>
          <w:p>
            <w:pPr>
              <w:jc w:val="center"/>
              <w:rPr>
                <w:rFonts w:hint="eastAsia"/>
                <w:b/>
                <w:sz w:val="18"/>
                <w:szCs w:val="18"/>
              </w:rPr>
            </w:pPr>
            <w:r>
              <w:rPr>
                <w:rFonts w:hint="eastAsia" w:hAnsi="宋体"/>
                <w:b/>
                <w:sz w:val="18"/>
                <w:szCs w:val="1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310" w:type="dxa"/>
            <w:vMerge w:val="continue"/>
            <w:shd w:val="clear" w:color="auto" w:fill="F2F2F2"/>
          </w:tcPr>
          <w:p>
            <w:pPr>
              <w:jc w:val="center"/>
              <w:rPr>
                <w:rFonts w:hint="eastAsia"/>
                <w:b/>
                <w:sz w:val="18"/>
                <w:szCs w:val="18"/>
              </w:rPr>
            </w:pPr>
          </w:p>
        </w:tc>
        <w:tc>
          <w:tcPr>
            <w:tcW w:w="1560" w:type="dxa"/>
            <w:shd w:val="clear" w:color="auto" w:fill="F2F2F2"/>
          </w:tcPr>
          <w:p>
            <w:pPr>
              <w:jc w:val="center"/>
              <w:rPr>
                <w:rFonts w:hint="eastAsia"/>
                <w:b/>
                <w:sz w:val="18"/>
                <w:szCs w:val="18"/>
              </w:rPr>
            </w:pPr>
            <w:r>
              <w:rPr>
                <w:rFonts w:hint="eastAsia"/>
                <w:b/>
                <w:sz w:val="18"/>
                <w:szCs w:val="18"/>
              </w:rPr>
              <w:t>90-100</w:t>
            </w:r>
            <w:r>
              <w:rPr>
                <w:rFonts w:hint="eastAsia" w:hAnsi="宋体"/>
                <w:b/>
                <w:sz w:val="18"/>
                <w:szCs w:val="18"/>
              </w:rPr>
              <w:t>分</w:t>
            </w:r>
          </w:p>
        </w:tc>
        <w:tc>
          <w:tcPr>
            <w:tcW w:w="1559" w:type="dxa"/>
            <w:shd w:val="clear" w:color="auto" w:fill="F2F2F2"/>
          </w:tcPr>
          <w:p>
            <w:pPr>
              <w:jc w:val="center"/>
              <w:rPr>
                <w:rFonts w:hint="eastAsia"/>
                <w:b/>
                <w:sz w:val="18"/>
                <w:szCs w:val="18"/>
              </w:rPr>
            </w:pPr>
            <w:r>
              <w:rPr>
                <w:rFonts w:hint="eastAsia"/>
                <w:b/>
                <w:sz w:val="18"/>
                <w:szCs w:val="18"/>
              </w:rPr>
              <w:t>75-89</w:t>
            </w:r>
            <w:r>
              <w:rPr>
                <w:rFonts w:hint="eastAsia" w:hAnsi="宋体"/>
                <w:b/>
                <w:sz w:val="18"/>
                <w:szCs w:val="18"/>
              </w:rPr>
              <w:t>分</w:t>
            </w:r>
          </w:p>
        </w:tc>
        <w:tc>
          <w:tcPr>
            <w:tcW w:w="1559" w:type="dxa"/>
            <w:shd w:val="clear" w:color="auto" w:fill="F2F2F2"/>
          </w:tcPr>
          <w:p>
            <w:pPr>
              <w:jc w:val="center"/>
              <w:rPr>
                <w:rFonts w:hint="eastAsia"/>
                <w:b/>
                <w:sz w:val="18"/>
                <w:szCs w:val="18"/>
              </w:rPr>
            </w:pPr>
            <w:r>
              <w:rPr>
                <w:rFonts w:hint="eastAsia"/>
                <w:b/>
                <w:sz w:val="18"/>
                <w:szCs w:val="18"/>
              </w:rPr>
              <w:t>60-74</w:t>
            </w:r>
            <w:r>
              <w:rPr>
                <w:rFonts w:hint="eastAsia" w:hAnsi="宋体"/>
                <w:b/>
                <w:sz w:val="18"/>
                <w:szCs w:val="18"/>
              </w:rPr>
              <w:t>分</w:t>
            </w:r>
          </w:p>
        </w:tc>
        <w:tc>
          <w:tcPr>
            <w:tcW w:w="1381" w:type="dxa"/>
            <w:shd w:val="clear" w:color="auto" w:fill="F2F2F2"/>
          </w:tcPr>
          <w:p>
            <w:pPr>
              <w:jc w:val="center"/>
              <w:rPr>
                <w:rFonts w:hint="eastAsia"/>
                <w:b/>
                <w:sz w:val="18"/>
                <w:szCs w:val="18"/>
              </w:rPr>
            </w:pPr>
            <w:r>
              <w:rPr>
                <w:rFonts w:hint="eastAsia"/>
                <w:b/>
                <w:sz w:val="18"/>
                <w:szCs w:val="18"/>
              </w:rPr>
              <w:t>0-59</w:t>
            </w:r>
            <w:r>
              <w:rPr>
                <w:rFonts w:hint="eastAsia" w:hAnsi="宋体"/>
                <w:b/>
                <w:sz w:val="18"/>
                <w:szCs w:val="18"/>
              </w:rPr>
              <w:t>分</w:t>
            </w:r>
          </w:p>
        </w:tc>
        <w:tc>
          <w:tcPr>
            <w:tcW w:w="785" w:type="dxa"/>
            <w:vMerge w:val="continue"/>
            <w:shd w:val="clear" w:color="auto" w:fill="F2F2F2"/>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sz w:val="18"/>
                <w:szCs w:val="18"/>
              </w:rPr>
            </w:pPr>
            <w:r>
              <w:rPr>
                <w:sz w:val="18"/>
                <w:szCs w:val="18"/>
              </w:rPr>
              <w:t>能够完成设计方案的撰写，能够清晰的进行陈述，表达自己的设计思想。</w:t>
            </w:r>
          </w:p>
          <w:p>
            <w:pPr>
              <w:rPr>
                <w:sz w:val="18"/>
                <w:szCs w:val="18"/>
              </w:rPr>
            </w:pPr>
            <w:r>
              <w:rPr>
                <w:sz w:val="18"/>
                <w:szCs w:val="18"/>
              </w:rPr>
              <w:t>（支撑课程目标</w:t>
            </w:r>
            <w:r>
              <w:rPr>
                <w:rFonts w:hint="eastAsia"/>
                <w:sz w:val="18"/>
                <w:szCs w:val="18"/>
              </w:rPr>
              <w:t>3</w:t>
            </w:r>
            <w:r>
              <w:rPr>
                <w:sz w:val="18"/>
                <w:szCs w:val="18"/>
              </w:rPr>
              <w:t>、毕业要求指标点</w:t>
            </w:r>
            <w:r>
              <w:rPr>
                <w:rFonts w:hint="eastAsia"/>
                <w:sz w:val="18"/>
                <w:szCs w:val="18"/>
              </w:rPr>
              <w:t>2</w:t>
            </w:r>
            <w:r>
              <w:rPr>
                <w:sz w:val="18"/>
                <w:szCs w:val="18"/>
              </w:rPr>
              <w:t>）</w:t>
            </w:r>
          </w:p>
        </w:tc>
        <w:tc>
          <w:tcPr>
            <w:tcW w:w="1560" w:type="dxa"/>
            <w:vAlign w:val="center"/>
          </w:tcPr>
          <w:p>
            <w:pPr>
              <w:rPr>
                <w:sz w:val="18"/>
                <w:szCs w:val="18"/>
              </w:rPr>
            </w:pPr>
            <w:r>
              <w:rPr>
                <w:sz w:val="18"/>
                <w:szCs w:val="18"/>
              </w:rPr>
              <w:t>设计方案撰写层次清晰，论述正确；方案陈述清晰，PPT制作质量高，回答问题正确。</w:t>
            </w:r>
          </w:p>
        </w:tc>
        <w:tc>
          <w:tcPr>
            <w:tcW w:w="1559" w:type="dxa"/>
            <w:vAlign w:val="center"/>
          </w:tcPr>
          <w:p>
            <w:pPr>
              <w:rPr>
                <w:sz w:val="18"/>
                <w:szCs w:val="18"/>
              </w:rPr>
            </w:pPr>
            <w:r>
              <w:rPr>
                <w:sz w:val="18"/>
                <w:szCs w:val="18"/>
              </w:rPr>
              <w:t>设计方案撰写论述正确；方案陈述清楚，PPT制作质量较高，回答问题正确。</w:t>
            </w:r>
          </w:p>
        </w:tc>
        <w:tc>
          <w:tcPr>
            <w:tcW w:w="1559" w:type="dxa"/>
            <w:vAlign w:val="center"/>
          </w:tcPr>
          <w:p>
            <w:pPr>
              <w:rPr>
                <w:sz w:val="18"/>
                <w:szCs w:val="18"/>
              </w:rPr>
            </w:pPr>
            <w:r>
              <w:rPr>
                <w:sz w:val="18"/>
                <w:szCs w:val="18"/>
              </w:rPr>
              <w:t>设计方案撰写论述基本正确；方案陈述基本清楚，PPT制作质量一般，回答问题基本正确。</w:t>
            </w:r>
          </w:p>
        </w:tc>
        <w:tc>
          <w:tcPr>
            <w:tcW w:w="1381" w:type="dxa"/>
            <w:vAlign w:val="center"/>
          </w:tcPr>
          <w:p>
            <w:pPr>
              <w:rPr>
                <w:sz w:val="18"/>
                <w:szCs w:val="18"/>
              </w:rPr>
            </w:pPr>
            <w:r>
              <w:rPr>
                <w:sz w:val="18"/>
                <w:szCs w:val="18"/>
              </w:rPr>
              <w:t>设计方案撰写有原则性错误；或者方案陈述有原则性错误，回答问题有原则性错误。</w:t>
            </w:r>
          </w:p>
        </w:tc>
        <w:tc>
          <w:tcPr>
            <w:tcW w:w="785" w:type="dxa"/>
            <w:vAlign w:val="center"/>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sz w:val="18"/>
                <w:szCs w:val="18"/>
              </w:rPr>
            </w:pPr>
            <w:r>
              <w:rPr>
                <w:sz w:val="18"/>
                <w:szCs w:val="18"/>
              </w:rPr>
              <w:t>根据方案设计中到的问题，能够进行文献检索、自主学习，通过阅读理解，解决问题，并完成文献检索报告的撰写。</w:t>
            </w:r>
          </w:p>
          <w:p>
            <w:pPr>
              <w:rPr>
                <w:sz w:val="18"/>
                <w:szCs w:val="18"/>
              </w:rPr>
            </w:pPr>
            <w:r>
              <w:rPr>
                <w:sz w:val="18"/>
                <w:szCs w:val="18"/>
              </w:rPr>
              <w:t>（支撑课程目标</w:t>
            </w:r>
            <w:r>
              <w:rPr>
                <w:rFonts w:hint="eastAsia"/>
                <w:sz w:val="18"/>
                <w:szCs w:val="18"/>
              </w:rPr>
              <w:t>4</w:t>
            </w:r>
            <w:r>
              <w:rPr>
                <w:sz w:val="18"/>
                <w:szCs w:val="18"/>
              </w:rPr>
              <w:t>、毕业要求指标点12）</w:t>
            </w:r>
          </w:p>
        </w:tc>
        <w:tc>
          <w:tcPr>
            <w:tcW w:w="1560" w:type="dxa"/>
            <w:vAlign w:val="center"/>
          </w:tcPr>
          <w:p>
            <w:pPr>
              <w:rPr>
                <w:sz w:val="18"/>
                <w:szCs w:val="18"/>
              </w:rPr>
            </w:pPr>
            <w:r>
              <w:rPr>
                <w:sz w:val="18"/>
                <w:szCs w:val="18"/>
              </w:rPr>
              <w:t>能够正确结合课题设计中的相关问题，通过广泛文献查阅等手段，综合考虑设计需求、方案及具体方法，很好掌握自主获取知识的途径。</w:t>
            </w:r>
          </w:p>
        </w:tc>
        <w:tc>
          <w:tcPr>
            <w:tcW w:w="1559" w:type="dxa"/>
            <w:vAlign w:val="center"/>
          </w:tcPr>
          <w:p>
            <w:pPr>
              <w:rPr>
                <w:sz w:val="18"/>
                <w:szCs w:val="18"/>
              </w:rPr>
            </w:pPr>
            <w:r>
              <w:rPr>
                <w:sz w:val="18"/>
                <w:szCs w:val="18"/>
              </w:rPr>
              <w:t>能够正确结合课题设计中的相关问题，通过一定的文献查阅等手段，综合考虑设计需求、方案及具体方法，较好掌握自主获取知识的途径。</w:t>
            </w:r>
          </w:p>
        </w:tc>
        <w:tc>
          <w:tcPr>
            <w:tcW w:w="1559" w:type="dxa"/>
            <w:vAlign w:val="center"/>
          </w:tcPr>
          <w:p>
            <w:pPr>
              <w:rPr>
                <w:sz w:val="18"/>
                <w:szCs w:val="18"/>
              </w:rPr>
            </w:pPr>
            <w:r>
              <w:rPr>
                <w:sz w:val="18"/>
                <w:szCs w:val="18"/>
              </w:rPr>
              <w:t>基本能够结合课题设计中的相关问题，通过初步文献查阅等手段，综合考虑设计需求、方案及具体方法，初步掌握自主获取知识的途径。</w:t>
            </w:r>
          </w:p>
        </w:tc>
        <w:tc>
          <w:tcPr>
            <w:tcW w:w="1381" w:type="dxa"/>
            <w:vAlign w:val="center"/>
          </w:tcPr>
          <w:p>
            <w:pPr>
              <w:rPr>
                <w:sz w:val="18"/>
                <w:szCs w:val="18"/>
              </w:rPr>
            </w:pPr>
            <w:r>
              <w:rPr>
                <w:sz w:val="18"/>
                <w:szCs w:val="18"/>
              </w:rPr>
              <w:t>未能够展开相关文献查阅等工作，未掌握自主获取知识的途径。</w:t>
            </w:r>
          </w:p>
        </w:tc>
        <w:tc>
          <w:tcPr>
            <w:tcW w:w="785" w:type="dxa"/>
            <w:vAlign w:val="center"/>
          </w:tcPr>
          <w:p>
            <w:pPr>
              <w:rPr>
                <w:rFonts w:hint="eastAsia"/>
                <w:sz w:val="18"/>
                <w:szCs w:val="18"/>
              </w:rPr>
            </w:pPr>
          </w:p>
        </w:tc>
      </w:tr>
    </w:tbl>
    <w:p>
      <w:pPr>
        <w:pStyle w:val="26"/>
        <w:spacing w:line="360" w:lineRule="auto"/>
        <w:ind w:firstLine="0" w:firstLineChars="0"/>
        <w:rPr>
          <w:rFonts w:ascii="宋体" w:hAnsi="宋体"/>
          <w:b/>
          <w:szCs w:val="21"/>
        </w:rPr>
      </w:pPr>
      <w:r>
        <w:rPr>
          <w:rFonts w:hint="eastAsia" w:ascii="宋体" w:hAnsi="宋体"/>
          <w:b/>
          <w:szCs w:val="21"/>
        </w:rPr>
        <w:t xml:space="preserve">    </w:t>
      </w:r>
    </w:p>
    <w:p>
      <w:pPr>
        <w:pStyle w:val="26"/>
        <w:spacing w:line="360" w:lineRule="auto"/>
        <w:ind w:firstLine="207" w:firstLineChars="98"/>
        <w:rPr>
          <w:rFonts w:hint="eastAsia" w:ascii="宋体" w:hAnsi="宋体"/>
          <w:b/>
          <w:szCs w:val="21"/>
          <w:highlight w:val="yellow"/>
        </w:rPr>
      </w:pPr>
      <w:r>
        <w:rPr>
          <w:rFonts w:hint="eastAsia" w:ascii="宋体" w:hAnsi="宋体"/>
          <w:b/>
          <w:szCs w:val="21"/>
        </w:rPr>
        <w:t>5、考试评价标准</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1560"/>
        <w:gridCol w:w="1559"/>
        <w:gridCol w:w="1559"/>
        <w:gridCol w:w="1381"/>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310" w:type="dxa"/>
            <w:vMerge w:val="restart"/>
            <w:shd w:val="clear" w:color="auto" w:fill="F2F2F2"/>
            <w:vAlign w:val="center"/>
          </w:tcPr>
          <w:p>
            <w:pPr>
              <w:jc w:val="center"/>
              <w:rPr>
                <w:b/>
                <w:color w:val="000000"/>
                <w:sz w:val="18"/>
                <w:szCs w:val="18"/>
              </w:rPr>
            </w:pPr>
            <w:r>
              <w:rPr>
                <w:rFonts w:hint="eastAsia"/>
                <w:b/>
                <w:color w:val="000000"/>
                <w:sz w:val="18"/>
                <w:szCs w:val="18"/>
              </w:rPr>
              <w:t>基本要求</w:t>
            </w:r>
          </w:p>
        </w:tc>
        <w:tc>
          <w:tcPr>
            <w:tcW w:w="6059" w:type="dxa"/>
            <w:gridSpan w:val="4"/>
            <w:shd w:val="clear" w:color="auto" w:fill="F2F2F2"/>
            <w:vAlign w:val="center"/>
          </w:tcPr>
          <w:p>
            <w:pPr>
              <w:jc w:val="center"/>
              <w:rPr>
                <w:b/>
                <w:color w:val="000000"/>
                <w:sz w:val="18"/>
                <w:szCs w:val="18"/>
              </w:rPr>
            </w:pPr>
            <w:r>
              <w:rPr>
                <w:rFonts w:hint="eastAsia"/>
                <w:b/>
                <w:color w:val="000000"/>
                <w:sz w:val="18"/>
                <w:szCs w:val="18"/>
              </w:rPr>
              <w:t>评价标准</w:t>
            </w:r>
          </w:p>
        </w:tc>
        <w:tc>
          <w:tcPr>
            <w:tcW w:w="785" w:type="dxa"/>
            <w:vMerge w:val="restart"/>
            <w:shd w:val="clear" w:color="auto" w:fill="F2F2F2"/>
            <w:vAlign w:val="center"/>
          </w:tcPr>
          <w:p>
            <w:pPr>
              <w:jc w:val="center"/>
              <w:rPr>
                <w:rFonts w:hint="eastAsia"/>
                <w:b/>
                <w:color w:val="000000"/>
                <w:sz w:val="18"/>
                <w:szCs w:val="18"/>
              </w:rPr>
            </w:pPr>
            <w:r>
              <w:rPr>
                <w:rFonts w:hint="eastAsia"/>
                <w:b/>
                <w:color w:val="000000"/>
                <w:sz w:val="18"/>
                <w:szCs w:val="1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310" w:type="dxa"/>
            <w:vMerge w:val="continue"/>
            <w:shd w:val="clear" w:color="auto" w:fill="F2F2F2"/>
          </w:tcPr>
          <w:p>
            <w:pPr>
              <w:spacing w:line="420" w:lineRule="exact"/>
              <w:jc w:val="center"/>
              <w:rPr>
                <w:rFonts w:hint="eastAsia"/>
                <w:b/>
                <w:color w:val="000000"/>
                <w:sz w:val="18"/>
                <w:szCs w:val="18"/>
              </w:rPr>
            </w:pPr>
          </w:p>
        </w:tc>
        <w:tc>
          <w:tcPr>
            <w:tcW w:w="1560" w:type="dxa"/>
            <w:shd w:val="clear" w:color="auto" w:fill="F2F2F2"/>
          </w:tcPr>
          <w:p>
            <w:pPr>
              <w:spacing w:line="420" w:lineRule="exact"/>
              <w:jc w:val="center"/>
              <w:rPr>
                <w:rFonts w:hint="eastAsia"/>
                <w:b/>
                <w:color w:val="000000"/>
                <w:sz w:val="18"/>
                <w:szCs w:val="18"/>
              </w:rPr>
            </w:pPr>
            <w:r>
              <w:rPr>
                <w:rFonts w:hint="eastAsia"/>
                <w:b/>
                <w:color w:val="000000"/>
                <w:sz w:val="18"/>
                <w:szCs w:val="18"/>
              </w:rPr>
              <w:t>90-100分</w:t>
            </w:r>
          </w:p>
        </w:tc>
        <w:tc>
          <w:tcPr>
            <w:tcW w:w="1559" w:type="dxa"/>
            <w:shd w:val="clear" w:color="auto" w:fill="F2F2F2"/>
          </w:tcPr>
          <w:p>
            <w:pPr>
              <w:spacing w:line="420" w:lineRule="exact"/>
              <w:jc w:val="center"/>
              <w:rPr>
                <w:rFonts w:hint="eastAsia"/>
                <w:b/>
                <w:color w:val="000000"/>
                <w:sz w:val="18"/>
                <w:szCs w:val="18"/>
              </w:rPr>
            </w:pPr>
            <w:r>
              <w:rPr>
                <w:rFonts w:hint="eastAsia"/>
                <w:b/>
                <w:color w:val="000000"/>
                <w:sz w:val="18"/>
                <w:szCs w:val="18"/>
              </w:rPr>
              <w:t>75-89分</w:t>
            </w:r>
          </w:p>
        </w:tc>
        <w:tc>
          <w:tcPr>
            <w:tcW w:w="1559" w:type="dxa"/>
            <w:shd w:val="clear" w:color="auto" w:fill="F2F2F2"/>
          </w:tcPr>
          <w:p>
            <w:pPr>
              <w:spacing w:line="420" w:lineRule="exact"/>
              <w:jc w:val="center"/>
              <w:rPr>
                <w:rFonts w:hint="eastAsia"/>
                <w:b/>
                <w:color w:val="000000"/>
                <w:sz w:val="18"/>
                <w:szCs w:val="18"/>
              </w:rPr>
            </w:pPr>
            <w:r>
              <w:rPr>
                <w:rFonts w:hint="eastAsia"/>
                <w:b/>
                <w:color w:val="000000"/>
                <w:sz w:val="18"/>
                <w:szCs w:val="18"/>
              </w:rPr>
              <w:t>60-74分</w:t>
            </w:r>
          </w:p>
        </w:tc>
        <w:tc>
          <w:tcPr>
            <w:tcW w:w="1381" w:type="dxa"/>
            <w:shd w:val="clear" w:color="auto" w:fill="F2F2F2"/>
          </w:tcPr>
          <w:p>
            <w:pPr>
              <w:spacing w:line="420" w:lineRule="exact"/>
              <w:jc w:val="center"/>
              <w:rPr>
                <w:rFonts w:hint="eastAsia"/>
                <w:b/>
                <w:color w:val="000000"/>
                <w:sz w:val="18"/>
                <w:szCs w:val="18"/>
              </w:rPr>
            </w:pPr>
            <w:r>
              <w:rPr>
                <w:rFonts w:hint="eastAsia"/>
                <w:b/>
                <w:color w:val="000000"/>
                <w:sz w:val="18"/>
                <w:szCs w:val="18"/>
              </w:rPr>
              <w:t>0-59分</w:t>
            </w:r>
          </w:p>
        </w:tc>
        <w:tc>
          <w:tcPr>
            <w:tcW w:w="785" w:type="dxa"/>
            <w:vMerge w:val="continue"/>
            <w:shd w:val="clear" w:color="auto" w:fill="F2F2F2"/>
          </w:tcPr>
          <w:p>
            <w:pPr>
              <w:spacing w:line="420" w:lineRule="exact"/>
              <w:jc w:val="center"/>
              <w:rPr>
                <w:b/>
                <w:bCs/>
                <w:color w:val="C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hint="eastAsia"/>
                <w:bCs/>
                <w:sz w:val="18"/>
                <w:szCs w:val="18"/>
              </w:rPr>
            </w:pPr>
            <w:r>
              <w:rPr>
                <w:rFonts w:hint="eastAsia"/>
                <w:bCs/>
                <w:sz w:val="18"/>
                <w:szCs w:val="18"/>
              </w:rPr>
              <w:t>材料和结构的智能化的评定及智能材料的主要发展前景</w:t>
            </w:r>
            <w:r>
              <w:rPr>
                <w:bCs/>
                <w:sz w:val="18"/>
                <w:szCs w:val="18"/>
              </w:rPr>
              <w:t>。</w:t>
            </w:r>
          </w:p>
          <w:p>
            <w:pPr>
              <w:rPr>
                <w:rFonts w:ascii="宋体" w:hAnsi="宋体"/>
                <w:bCs/>
                <w:sz w:val="18"/>
                <w:szCs w:val="18"/>
              </w:rPr>
            </w:pPr>
            <w:r>
              <w:rPr>
                <w:bCs/>
                <w:sz w:val="18"/>
                <w:szCs w:val="18"/>
              </w:rPr>
              <w:t>（支撑课程目标1、毕业要求指标点</w:t>
            </w:r>
            <w:r>
              <w:rPr>
                <w:rFonts w:hint="eastAsia"/>
                <w:bCs/>
                <w:sz w:val="18"/>
                <w:szCs w:val="18"/>
              </w:rPr>
              <w:t>1</w:t>
            </w:r>
            <w:r>
              <w:rPr>
                <w:bCs/>
                <w:sz w:val="18"/>
                <w:szCs w:val="18"/>
              </w:rPr>
              <w:t>-1）</w:t>
            </w:r>
          </w:p>
        </w:tc>
        <w:tc>
          <w:tcPr>
            <w:tcW w:w="1560" w:type="dxa"/>
            <w:vAlign w:val="center"/>
          </w:tcPr>
          <w:p>
            <w:pPr>
              <w:rPr>
                <w:rFonts w:ascii="宋体" w:hAnsi="宋体"/>
                <w:bCs/>
                <w:sz w:val="18"/>
                <w:szCs w:val="18"/>
              </w:rPr>
            </w:pPr>
            <w:r>
              <w:rPr>
                <w:bCs/>
                <w:sz w:val="18"/>
                <w:szCs w:val="18"/>
              </w:rPr>
              <w:t>能够</w:t>
            </w:r>
            <w:r>
              <w:rPr>
                <w:rFonts w:hint="eastAsia"/>
                <w:bCs/>
                <w:sz w:val="18"/>
                <w:szCs w:val="18"/>
              </w:rPr>
              <w:t>准确</w:t>
            </w:r>
            <w:r>
              <w:rPr>
                <w:bCs/>
                <w:sz w:val="18"/>
                <w:szCs w:val="18"/>
              </w:rPr>
              <w:t>评定</w:t>
            </w:r>
            <w:r>
              <w:rPr>
                <w:rFonts w:hint="eastAsia"/>
                <w:bCs/>
                <w:sz w:val="18"/>
                <w:szCs w:val="18"/>
              </w:rPr>
              <w:t>材料和结构智能化</w:t>
            </w:r>
            <w:r>
              <w:rPr>
                <w:bCs/>
                <w:sz w:val="18"/>
                <w:szCs w:val="18"/>
              </w:rPr>
              <w:t>，能够充分阐述智能材料的发展前景；完成作业认真，语言规范，表述清楚。</w:t>
            </w:r>
          </w:p>
        </w:tc>
        <w:tc>
          <w:tcPr>
            <w:tcW w:w="1559" w:type="dxa"/>
            <w:vAlign w:val="center"/>
          </w:tcPr>
          <w:p>
            <w:pPr>
              <w:rPr>
                <w:rFonts w:ascii="宋体" w:hAnsi="宋体"/>
                <w:bCs/>
                <w:sz w:val="18"/>
                <w:szCs w:val="18"/>
              </w:rPr>
            </w:pPr>
            <w:r>
              <w:rPr>
                <w:bCs/>
                <w:sz w:val="18"/>
                <w:szCs w:val="18"/>
              </w:rPr>
              <w:t>能够</w:t>
            </w:r>
            <w:r>
              <w:rPr>
                <w:rFonts w:hint="eastAsia"/>
                <w:bCs/>
                <w:sz w:val="18"/>
                <w:szCs w:val="18"/>
              </w:rPr>
              <w:t>准确</w:t>
            </w:r>
            <w:r>
              <w:rPr>
                <w:bCs/>
                <w:sz w:val="18"/>
                <w:szCs w:val="18"/>
              </w:rPr>
              <w:t>评定</w:t>
            </w:r>
            <w:r>
              <w:rPr>
                <w:rFonts w:hint="eastAsia"/>
                <w:bCs/>
                <w:sz w:val="18"/>
                <w:szCs w:val="18"/>
              </w:rPr>
              <w:t>材料和结构智能化</w:t>
            </w:r>
            <w:r>
              <w:rPr>
                <w:bCs/>
                <w:sz w:val="18"/>
                <w:szCs w:val="18"/>
              </w:rPr>
              <w:t>，能够充分阐述智能材料的发展前景；完成作业认较真，语言较规范，表述较清楚。</w:t>
            </w:r>
          </w:p>
        </w:tc>
        <w:tc>
          <w:tcPr>
            <w:tcW w:w="1559" w:type="dxa"/>
            <w:vAlign w:val="center"/>
          </w:tcPr>
          <w:p>
            <w:pPr>
              <w:rPr>
                <w:rFonts w:ascii="宋体" w:hAnsi="宋体"/>
                <w:bCs/>
                <w:sz w:val="18"/>
                <w:szCs w:val="18"/>
              </w:rPr>
            </w:pPr>
            <w:r>
              <w:rPr>
                <w:bCs/>
                <w:sz w:val="18"/>
                <w:szCs w:val="18"/>
              </w:rPr>
              <w:t>能够评定</w:t>
            </w:r>
            <w:r>
              <w:rPr>
                <w:rFonts w:hint="eastAsia"/>
                <w:bCs/>
                <w:sz w:val="18"/>
                <w:szCs w:val="18"/>
              </w:rPr>
              <w:t>材料和结构智能化</w:t>
            </w:r>
            <w:r>
              <w:rPr>
                <w:bCs/>
                <w:sz w:val="18"/>
                <w:szCs w:val="18"/>
              </w:rPr>
              <w:t>，能够阐述智能材料的发展前景；语言基本规范，表述基本清楚。</w:t>
            </w:r>
          </w:p>
        </w:tc>
        <w:tc>
          <w:tcPr>
            <w:tcW w:w="1381" w:type="dxa"/>
            <w:vAlign w:val="center"/>
          </w:tcPr>
          <w:p>
            <w:pPr>
              <w:rPr>
                <w:rFonts w:ascii="宋体" w:hAnsi="宋体"/>
                <w:bCs/>
                <w:sz w:val="18"/>
                <w:szCs w:val="18"/>
              </w:rPr>
            </w:pPr>
            <w:r>
              <w:rPr>
                <w:rFonts w:hint="eastAsia"/>
                <w:bCs/>
                <w:sz w:val="18"/>
                <w:szCs w:val="18"/>
              </w:rPr>
              <w:t>不能</w:t>
            </w:r>
            <w:r>
              <w:rPr>
                <w:bCs/>
                <w:sz w:val="18"/>
                <w:szCs w:val="18"/>
              </w:rPr>
              <w:t>评定</w:t>
            </w:r>
            <w:r>
              <w:rPr>
                <w:rFonts w:hint="eastAsia"/>
                <w:bCs/>
                <w:sz w:val="18"/>
                <w:szCs w:val="18"/>
              </w:rPr>
              <w:t>材料和结构智能化</w:t>
            </w:r>
            <w:r>
              <w:rPr>
                <w:bCs/>
                <w:sz w:val="18"/>
                <w:szCs w:val="18"/>
              </w:rPr>
              <w:t>，不能阐述智能材料的发展前景；语言</w:t>
            </w:r>
            <w:r>
              <w:rPr>
                <w:rFonts w:hint="eastAsia"/>
                <w:bCs/>
                <w:sz w:val="18"/>
                <w:szCs w:val="18"/>
              </w:rPr>
              <w:t>不</w:t>
            </w:r>
            <w:r>
              <w:rPr>
                <w:bCs/>
                <w:sz w:val="18"/>
                <w:szCs w:val="18"/>
              </w:rPr>
              <w:t>规范，表述</w:t>
            </w:r>
            <w:r>
              <w:rPr>
                <w:rFonts w:hint="eastAsia"/>
                <w:bCs/>
                <w:sz w:val="18"/>
                <w:szCs w:val="18"/>
              </w:rPr>
              <w:t>不</w:t>
            </w:r>
            <w:r>
              <w:rPr>
                <w:bCs/>
                <w:sz w:val="18"/>
                <w:szCs w:val="18"/>
              </w:rPr>
              <w:t>清楚。</w:t>
            </w:r>
          </w:p>
        </w:tc>
        <w:tc>
          <w:tcPr>
            <w:tcW w:w="785" w:type="dxa"/>
            <w:vAlign w:val="center"/>
          </w:tcPr>
          <w:p>
            <w:pPr>
              <w:jc w:val="center"/>
              <w:rPr>
                <w:bCs/>
                <w:color w:val="7030A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bCs/>
                <w:sz w:val="18"/>
                <w:szCs w:val="18"/>
              </w:rPr>
            </w:pPr>
            <w:r>
              <w:rPr>
                <w:rFonts w:hint="eastAsia"/>
                <w:sz w:val="18"/>
                <w:szCs w:val="18"/>
              </w:rPr>
              <w:t>能够熟练掌握智能材料的基本分析方法，对不同智能材料的应用背景和发展前景有充分的认识，对智能材料系统问题所需的智能材料具有较强的建立材料智能化的能力，且能正确将智能材料应用于实际器件中。</w:t>
            </w:r>
          </w:p>
          <w:p>
            <w:pPr>
              <w:rPr>
                <w:rFonts w:hint="eastAsia"/>
                <w:bCs/>
                <w:sz w:val="18"/>
                <w:szCs w:val="18"/>
              </w:rPr>
            </w:pPr>
            <w:r>
              <w:rPr>
                <w:bCs/>
                <w:sz w:val="18"/>
                <w:szCs w:val="18"/>
              </w:rPr>
              <w:t>(支撑课程目标</w:t>
            </w:r>
            <w:r>
              <w:rPr>
                <w:rFonts w:hint="eastAsia"/>
                <w:bCs/>
                <w:sz w:val="18"/>
                <w:szCs w:val="18"/>
              </w:rPr>
              <w:t>2</w:t>
            </w:r>
            <w:r>
              <w:rPr>
                <w:bCs/>
                <w:sz w:val="18"/>
                <w:szCs w:val="18"/>
              </w:rPr>
              <w:t>毕业要求指标点</w:t>
            </w:r>
            <w:r>
              <w:rPr>
                <w:rFonts w:hint="eastAsia"/>
                <w:bCs/>
                <w:sz w:val="18"/>
                <w:szCs w:val="18"/>
              </w:rPr>
              <w:t>1-2</w:t>
            </w:r>
            <w:r>
              <w:rPr>
                <w:bCs/>
                <w:sz w:val="18"/>
                <w:szCs w:val="18"/>
              </w:rPr>
              <w:t>)</w:t>
            </w:r>
          </w:p>
        </w:tc>
        <w:tc>
          <w:tcPr>
            <w:tcW w:w="1560" w:type="dxa"/>
            <w:vAlign w:val="center"/>
          </w:tcPr>
          <w:p>
            <w:pPr>
              <w:rPr>
                <w:rFonts w:hint="eastAsia"/>
                <w:bCs/>
                <w:sz w:val="18"/>
                <w:szCs w:val="18"/>
              </w:rPr>
            </w:pPr>
            <w:r>
              <w:rPr>
                <w:rFonts w:hint="eastAsia"/>
                <w:sz w:val="18"/>
                <w:szCs w:val="18"/>
              </w:rPr>
              <w:t>能够熟练掌握智能材料的基本分析方法，对不同智能材料的应用背景和发展前景有充分的认识，对智能材料系统问题所需的智能材料具有较强的建立材料智能化的能力，且能正确将智能材料应用于实际器件中。</w:t>
            </w:r>
            <w:bookmarkStart w:id="59" w:name="OLE_LINK17"/>
            <w:r>
              <w:rPr>
                <w:rFonts w:hint="eastAsia"/>
                <w:bCs/>
                <w:sz w:val="18"/>
                <w:szCs w:val="18"/>
              </w:rPr>
              <w:t>表述</w:t>
            </w:r>
            <w:r>
              <w:rPr>
                <w:bCs/>
                <w:sz w:val="18"/>
                <w:szCs w:val="18"/>
              </w:rPr>
              <w:t>清楚，</w:t>
            </w:r>
            <w:r>
              <w:rPr>
                <w:rFonts w:hint="eastAsia"/>
                <w:bCs/>
                <w:sz w:val="18"/>
                <w:szCs w:val="18"/>
              </w:rPr>
              <w:t>语言规范</w:t>
            </w:r>
            <w:r>
              <w:rPr>
                <w:bCs/>
                <w:sz w:val="18"/>
                <w:szCs w:val="18"/>
              </w:rPr>
              <w:t>。</w:t>
            </w:r>
            <w:bookmarkEnd w:id="59"/>
          </w:p>
        </w:tc>
        <w:tc>
          <w:tcPr>
            <w:tcW w:w="1559" w:type="dxa"/>
            <w:vAlign w:val="center"/>
          </w:tcPr>
          <w:p>
            <w:pPr>
              <w:rPr>
                <w:rFonts w:hint="eastAsia"/>
                <w:bCs/>
                <w:sz w:val="18"/>
                <w:szCs w:val="18"/>
              </w:rPr>
            </w:pPr>
            <w:r>
              <w:rPr>
                <w:rFonts w:hint="eastAsia"/>
                <w:sz w:val="18"/>
                <w:szCs w:val="18"/>
              </w:rPr>
              <w:t>能够熟练掌握智能材料的基本分析方法，对不同智能材料的应用背景和发展前景有充分的认识，对智能材料系统问题所需的智能材料具有较强的建立材料智能化的能力，且能正确将智能材料应用于实际器件中。</w:t>
            </w:r>
            <w:r>
              <w:rPr>
                <w:rFonts w:hint="eastAsia"/>
                <w:bCs/>
                <w:sz w:val="18"/>
                <w:szCs w:val="18"/>
              </w:rPr>
              <w:t>表述较</w:t>
            </w:r>
            <w:r>
              <w:rPr>
                <w:bCs/>
                <w:sz w:val="18"/>
                <w:szCs w:val="18"/>
              </w:rPr>
              <w:t>清楚，</w:t>
            </w:r>
            <w:r>
              <w:rPr>
                <w:rFonts w:hint="eastAsia"/>
                <w:bCs/>
                <w:sz w:val="18"/>
                <w:szCs w:val="18"/>
              </w:rPr>
              <w:t>语言较规范</w:t>
            </w:r>
            <w:r>
              <w:rPr>
                <w:bCs/>
                <w:sz w:val="18"/>
                <w:szCs w:val="18"/>
              </w:rPr>
              <w:t>。</w:t>
            </w:r>
          </w:p>
        </w:tc>
        <w:tc>
          <w:tcPr>
            <w:tcW w:w="1559" w:type="dxa"/>
            <w:vAlign w:val="center"/>
          </w:tcPr>
          <w:p>
            <w:pPr>
              <w:rPr>
                <w:rFonts w:hint="eastAsia"/>
                <w:bCs/>
                <w:sz w:val="18"/>
                <w:szCs w:val="18"/>
              </w:rPr>
            </w:pPr>
            <w:r>
              <w:rPr>
                <w:rFonts w:hint="eastAsia"/>
                <w:sz w:val="18"/>
                <w:szCs w:val="18"/>
              </w:rPr>
              <w:t>能够掌握智能材料的基本分析方法，对不同智能材料的应用背景和发展前景有一定的认识，对智能材料系统问题所需的智能材料具有建立材料智能化的能力，且能将智能材料应用于实际器件中。</w:t>
            </w:r>
            <w:r>
              <w:rPr>
                <w:rFonts w:hint="eastAsia"/>
                <w:bCs/>
                <w:sz w:val="18"/>
                <w:szCs w:val="18"/>
              </w:rPr>
              <w:t>表述基本</w:t>
            </w:r>
            <w:r>
              <w:rPr>
                <w:bCs/>
                <w:sz w:val="18"/>
                <w:szCs w:val="18"/>
              </w:rPr>
              <w:t>清楚，</w:t>
            </w:r>
            <w:r>
              <w:rPr>
                <w:rFonts w:hint="eastAsia"/>
                <w:bCs/>
                <w:sz w:val="18"/>
                <w:szCs w:val="18"/>
              </w:rPr>
              <w:t>语言基本规范</w:t>
            </w:r>
            <w:r>
              <w:rPr>
                <w:bCs/>
                <w:sz w:val="18"/>
                <w:szCs w:val="18"/>
              </w:rPr>
              <w:t>。</w:t>
            </w:r>
          </w:p>
        </w:tc>
        <w:tc>
          <w:tcPr>
            <w:tcW w:w="1381" w:type="dxa"/>
            <w:vAlign w:val="center"/>
          </w:tcPr>
          <w:p>
            <w:pPr>
              <w:rPr>
                <w:rFonts w:hint="eastAsia"/>
                <w:bCs/>
                <w:sz w:val="18"/>
                <w:szCs w:val="18"/>
              </w:rPr>
            </w:pPr>
            <w:r>
              <w:rPr>
                <w:bCs/>
                <w:sz w:val="18"/>
                <w:szCs w:val="18"/>
              </w:rPr>
              <w:t>不</w:t>
            </w:r>
            <w:r>
              <w:rPr>
                <w:rFonts w:hint="eastAsia"/>
                <w:sz w:val="18"/>
                <w:szCs w:val="18"/>
              </w:rPr>
              <w:t>能掌握智能材料的基本分析方法，对不同智能材料的应用背景和发展前景不具有相应的认识，对智能材料系统问题所需的智能材料不具有建立材料智能化的能力，不能将智能材料应用于实际器件中。</w:t>
            </w:r>
            <w:r>
              <w:rPr>
                <w:rFonts w:hint="eastAsia"/>
                <w:bCs/>
                <w:sz w:val="18"/>
                <w:szCs w:val="18"/>
              </w:rPr>
              <w:t>表述不</w:t>
            </w:r>
            <w:r>
              <w:rPr>
                <w:bCs/>
                <w:sz w:val="18"/>
                <w:szCs w:val="18"/>
              </w:rPr>
              <w:t>清楚，</w:t>
            </w:r>
            <w:r>
              <w:rPr>
                <w:rFonts w:hint="eastAsia"/>
                <w:bCs/>
                <w:sz w:val="18"/>
                <w:szCs w:val="18"/>
              </w:rPr>
              <w:t>语言不规范</w:t>
            </w:r>
            <w:r>
              <w:rPr>
                <w:bCs/>
                <w:sz w:val="18"/>
                <w:szCs w:val="18"/>
              </w:rPr>
              <w:t>。</w:t>
            </w:r>
          </w:p>
        </w:tc>
        <w:tc>
          <w:tcPr>
            <w:tcW w:w="785" w:type="dxa"/>
            <w:vAlign w:val="center"/>
          </w:tcPr>
          <w:p>
            <w:pPr>
              <w:jc w:val="center"/>
              <w:rPr>
                <w:bCs/>
                <w:color w:val="7030A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hint="eastAsia"/>
                <w:bCs/>
                <w:sz w:val="18"/>
                <w:szCs w:val="18"/>
              </w:rPr>
            </w:pPr>
            <w:r>
              <w:rPr>
                <w:rFonts w:hint="eastAsia"/>
                <w:sz w:val="18"/>
                <w:szCs w:val="18"/>
              </w:rPr>
              <w:t>能够形成处理智能材料结构与系统问题的完整思路，并针对实际智能传感器件中涉及到的材料设计问题和背景能够熟练的建立相应材料体系模型，能够熟练的识别其中关键特性和参数</w:t>
            </w:r>
            <w:r>
              <w:rPr>
                <w:bCs/>
                <w:sz w:val="18"/>
                <w:szCs w:val="18"/>
              </w:rPr>
              <w:t>（如压电特性、磁致伸缩特性等）</w:t>
            </w:r>
            <w:r>
              <w:rPr>
                <w:rFonts w:hint="eastAsia"/>
                <w:sz w:val="18"/>
                <w:szCs w:val="18"/>
              </w:rPr>
              <w:t>。</w:t>
            </w:r>
          </w:p>
          <w:p>
            <w:pPr>
              <w:rPr>
                <w:rFonts w:hint="eastAsia"/>
                <w:bCs/>
                <w:sz w:val="18"/>
                <w:szCs w:val="18"/>
              </w:rPr>
            </w:pPr>
            <w:r>
              <w:rPr>
                <w:bCs/>
                <w:sz w:val="18"/>
                <w:szCs w:val="18"/>
              </w:rPr>
              <w:t>(支撑课程目标</w:t>
            </w:r>
            <w:r>
              <w:rPr>
                <w:rFonts w:hint="eastAsia"/>
                <w:bCs/>
                <w:sz w:val="18"/>
                <w:szCs w:val="18"/>
              </w:rPr>
              <w:t>3</w:t>
            </w:r>
            <w:r>
              <w:rPr>
                <w:bCs/>
                <w:sz w:val="18"/>
                <w:szCs w:val="18"/>
              </w:rPr>
              <w:t>毕业要求指标点</w:t>
            </w:r>
            <w:r>
              <w:rPr>
                <w:rFonts w:hint="eastAsia"/>
                <w:bCs/>
                <w:sz w:val="18"/>
                <w:szCs w:val="18"/>
              </w:rPr>
              <w:t>2-1</w:t>
            </w:r>
            <w:r>
              <w:rPr>
                <w:bCs/>
                <w:sz w:val="18"/>
                <w:szCs w:val="18"/>
              </w:rPr>
              <w:t>)</w:t>
            </w:r>
          </w:p>
          <w:p>
            <w:pPr>
              <w:rPr>
                <w:rFonts w:hint="eastAsia"/>
                <w:bCs/>
                <w:sz w:val="18"/>
                <w:szCs w:val="18"/>
              </w:rPr>
            </w:pPr>
          </w:p>
          <w:p>
            <w:pPr>
              <w:rPr>
                <w:bCs/>
                <w:sz w:val="18"/>
                <w:szCs w:val="18"/>
              </w:rPr>
            </w:pPr>
          </w:p>
        </w:tc>
        <w:tc>
          <w:tcPr>
            <w:tcW w:w="1560" w:type="dxa"/>
            <w:vAlign w:val="center"/>
          </w:tcPr>
          <w:p>
            <w:pPr>
              <w:rPr>
                <w:rFonts w:hint="eastAsia"/>
                <w:bCs/>
                <w:sz w:val="18"/>
                <w:szCs w:val="18"/>
              </w:rPr>
            </w:pPr>
            <w:r>
              <w:rPr>
                <w:rFonts w:hint="eastAsia"/>
                <w:sz w:val="18"/>
                <w:szCs w:val="18"/>
              </w:rPr>
              <w:t>能够形成处理智能材料结构与系统问题的完整思路，并针对实际智能传感器件中涉及到的材料设计问题和背景能够熟练的建立相应材料体系模型，能够熟练的识别其中关键特性和参数</w:t>
            </w:r>
            <w:r>
              <w:rPr>
                <w:bCs/>
                <w:sz w:val="18"/>
                <w:szCs w:val="18"/>
              </w:rPr>
              <w:t>（如压电特性、磁致伸缩特性等）</w:t>
            </w:r>
            <w:r>
              <w:rPr>
                <w:rFonts w:hint="eastAsia"/>
                <w:sz w:val="18"/>
                <w:szCs w:val="18"/>
              </w:rPr>
              <w:t>。</w:t>
            </w:r>
            <w:r>
              <w:rPr>
                <w:rFonts w:hint="eastAsia"/>
                <w:bCs/>
                <w:sz w:val="18"/>
                <w:szCs w:val="18"/>
              </w:rPr>
              <w:t>表述</w:t>
            </w:r>
            <w:r>
              <w:rPr>
                <w:bCs/>
                <w:sz w:val="18"/>
                <w:szCs w:val="18"/>
              </w:rPr>
              <w:t>清楚，</w:t>
            </w:r>
            <w:r>
              <w:rPr>
                <w:rFonts w:hint="eastAsia"/>
                <w:bCs/>
                <w:sz w:val="18"/>
                <w:szCs w:val="18"/>
              </w:rPr>
              <w:t>语言规范</w:t>
            </w:r>
            <w:r>
              <w:rPr>
                <w:bCs/>
                <w:sz w:val="18"/>
                <w:szCs w:val="18"/>
              </w:rPr>
              <w:t>。</w:t>
            </w:r>
          </w:p>
          <w:p>
            <w:pPr>
              <w:rPr>
                <w:bCs/>
                <w:sz w:val="18"/>
                <w:szCs w:val="18"/>
              </w:rPr>
            </w:pPr>
          </w:p>
        </w:tc>
        <w:tc>
          <w:tcPr>
            <w:tcW w:w="1559" w:type="dxa"/>
            <w:vAlign w:val="center"/>
          </w:tcPr>
          <w:p>
            <w:pPr>
              <w:rPr>
                <w:rFonts w:hint="eastAsia"/>
                <w:bCs/>
                <w:sz w:val="18"/>
                <w:szCs w:val="18"/>
              </w:rPr>
            </w:pPr>
            <w:r>
              <w:rPr>
                <w:rFonts w:hint="eastAsia"/>
                <w:sz w:val="18"/>
                <w:szCs w:val="18"/>
              </w:rPr>
              <w:t>能够形成处理智能材料结构与系统问题的完整思路，并针对实际智能传感器件中涉及到的材料设计问题和背景能够熟练的建立相应材料体系模型，能够熟练的识别其中关键特性和参数</w:t>
            </w:r>
            <w:r>
              <w:rPr>
                <w:bCs/>
                <w:sz w:val="18"/>
                <w:szCs w:val="18"/>
              </w:rPr>
              <w:t>（如压电特性、磁致伸缩特性等）</w:t>
            </w:r>
            <w:r>
              <w:rPr>
                <w:rFonts w:hint="eastAsia"/>
                <w:sz w:val="18"/>
                <w:szCs w:val="18"/>
              </w:rPr>
              <w:t>。</w:t>
            </w:r>
            <w:r>
              <w:rPr>
                <w:rFonts w:hint="eastAsia"/>
                <w:bCs/>
                <w:sz w:val="18"/>
                <w:szCs w:val="18"/>
              </w:rPr>
              <w:t>表述较</w:t>
            </w:r>
            <w:r>
              <w:rPr>
                <w:bCs/>
                <w:sz w:val="18"/>
                <w:szCs w:val="18"/>
              </w:rPr>
              <w:t>清楚，</w:t>
            </w:r>
            <w:r>
              <w:rPr>
                <w:rFonts w:hint="eastAsia"/>
                <w:bCs/>
                <w:sz w:val="18"/>
                <w:szCs w:val="18"/>
              </w:rPr>
              <w:t>语言较规范</w:t>
            </w:r>
            <w:r>
              <w:rPr>
                <w:bCs/>
                <w:sz w:val="18"/>
                <w:szCs w:val="18"/>
              </w:rPr>
              <w:t>。</w:t>
            </w:r>
          </w:p>
        </w:tc>
        <w:tc>
          <w:tcPr>
            <w:tcW w:w="1559" w:type="dxa"/>
            <w:vAlign w:val="center"/>
          </w:tcPr>
          <w:p>
            <w:pPr>
              <w:rPr>
                <w:rFonts w:hint="eastAsia"/>
                <w:bCs/>
                <w:i/>
                <w:sz w:val="18"/>
                <w:szCs w:val="18"/>
              </w:rPr>
            </w:pPr>
            <w:r>
              <w:rPr>
                <w:rFonts w:hint="eastAsia"/>
                <w:sz w:val="18"/>
                <w:szCs w:val="18"/>
              </w:rPr>
              <w:t>能够形成处理智能材料结构与系统问题的思路，并针对实际智能传感器件中涉及到的材料设计问题和背景能够建立相应材料体系模型，能够识别其中关键特性和参数</w:t>
            </w:r>
            <w:r>
              <w:rPr>
                <w:bCs/>
                <w:sz w:val="18"/>
                <w:szCs w:val="18"/>
              </w:rPr>
              <w:t>（如压电特性、磁致伸缩特性等）</w:t>
            </w:r>
            <w:r>
              <w:rPr>
                <w:rFonts w:hint="eastAsia"/>
                <w:sz w:val="18"/>
                <w:szCs w:val="18"/>
              </w:rPr>
              <w:t>。</w:t>
            </w:r>
            <w:r>
              <w:rPr>
                <w:rFonts w:hint="eastAsia"/>
                <w:bCs/>
                <w:sz w:val="18"/>
                <w:szCs w:val="18"/>
              </w:rPr>
              <w:t>表述基本</w:t>
            </w:r>
            <w:r>
              <w:rPr>
                <w:bCs/>
                <w:sz w:val="18"/>
                <w:szCs w:val="18"/>
              </w:rPr>
              <w:t>清楚，</w:t>
            </w:r>
            <w:r>
              <w:rPr>
                <w:rFonts w:hint="eastAsia"/>
                <w:bCs/>
                <w:sz w:val="18"/>
                <w:szCs w:val="18"/>
              </w:rPr>
              <w:t>语言基本规范</w:t>
            </w:r>
            <w:r>
              <w:rPr>
                <w:bCs/>
                <w:sz w:val="18"/>
                <w:szCs w:val="18"/>
              </w:rPr>
              <w:t>。</w:t>
            </w:r>
          </w:p>
        </w:tc>
        <w:tc>
          <w:tcPr>
            <w:tcW w:w="1381" w:type="dxa"/>
            <w:vAlign w:val="center"/>
          </w:tcPr>
          <w:p>
            <w:pPr>
              <w:rPr>
                <w:rFonts w:hint="eastAsia"/>
                <w:bCs/>
                <w:sz w:val="18"/>
                <w:szCs w:val="18"/>
              </w:rPr>
            </w:pPr>
            <w:r>
              <w:rPr>
                <w:bCs/>
                <w:sz w:val="18"/>
                <w:szCs w:val="18"/>
              </w:rPr>
              <w:t>不</w:t>
            </w:r>
            <w:r>
              <w:rPr>
                <w:rFonts w:hint="eastAsia"/>
                <w:sz w:val="18"/>
                <w:szCs w:val="18"/>
              </w:rPr>
              <w:t>能形成处理智能材料结构与系统问题的思路，不能针对实际智能传感器件中涉及到的材料设计问题和背景建立相应材料体系模型，不能识别其中关键特性和参数</w:t>
            </w:r>
            <w:r>
              <w:rPr>
                <w:bCs/>
                <w:sz w:val="18"/>
                <w:szCs w:val="18"/>
              </w:rPr>
              <w:t>（如压电特性、磁致伸缩特性等）</w:t>
            </w:r>
            <w:r>
              <w:rPr>
                <w:rFonts w:hint="eastAsia"/>
                <w:sz w:val="18"/>
                <w:szCs w:val="18"/>
              </w:rPr>
              <w:t>。</w:t>
            </w:r>
            <w:r>
              <w:rPr>
                <w:rFonts w:hint="eastAsia"/>
                <w:bCs/>
                <w:sz w:val="18"/>
                <w:szCs w:val="18"/>
              </w:rPr>
              <w:t>表述不</w:t>
            </w:r>
            <w:r>
              <w:rPr>
                <w:bCs/>
                <w:sz w:val="18"/>
                <w:szCs w:val="18"/>
              </w:rPr>
              <w:t>清楚，</w:t>
            </w:r>
            <w:r>
              <w:rPr>
                <w:rFonts w:hint="eastAsia"/>
                <w:bCs/>
                <w:sz w:val="18"/>
                <w:szCs w:val="18"/>
              </w:rPr>
              <w:t>语言不规范</w:t>
            </w:r>
            <w:r>
              <w:rPr>
                <w:bCs/>
                <w:sz w:val="18"/>
                <w:szCs w:val="18"/>
              </w:rPr>
              <w:t>。</w:t>
            </w:r>
          </w:p>
        </w:tc>
        <w:tc>
          <w:tcPr>
            <w:tcW w:w="785" w:type="dxa"/>
            <w:vAlign w:val="center"/>
          </w:tcPr>
          <w:p>
            <w:pPr>
              <w:jc w:val="center"/>
              <w:rPr>
                <w:bCs/>
                <w:color w:val="7030A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hint="eastAsia"/>
                <w:bCs/>
                <w:sz w:val="18"/>
                <w:szCs w:val="18"/>
              </w:rPr>
            </w:pPr>
            <w:r>
              <w:rPr>
                <w:rFonts w:hint="eastAsia"/>
                <w:sz w:val="18"/>
                <w:szCs w:val="18"/>
              </w:rPr>
              <w:t>能够熟练的根据智能材料相关特性设计智能材料系统模型，最终得到具有优异性能结构的传感器件，能够熟练获取所需关键特征和参数。</w:t>
            </w:r>
            <w:r>
              <w:rPr>
                <w:bCs/>
                <w:sz w:val="18"/>
                <w:szCs w:val="18"/>
              </w:rPr>
              <w:t>能够熟练根据</w:t>
            </w:r>
            <w:r>
              <w:rPr>
                <w:rFonts w:hint="eastAsia"/>
                <w:bCs/>
                <w:sz w:val="18"/>
                <w:szCs w:val="18"/>
              </w:rPr>
              <w:t>智能材料系统</w:t>
            </w:r>
            <w:r>
              <w:rPr>
                <w:bCs/>
                <w:sz w:val="18"/>
                <w:szCs w:val="18"/>
              </w:rPr>
              <w:t>的结构和使用要求并结合</w:t>
            </w:r>
            <w:r>
              <w:rPr>
                <w:rFonts w:hint="eastAsia"/>
                <w:bCs/>
                <w:sz w:val="18"/>
                <w:szCs w:val="18"/>
              </w:rPr>
              <w:t>智能</w:t>
            </w:r>
            <w:r>
              <w:rPr>
                <w:bCs/>
                <w:sz w:val="18"/>
                <w:szCs w:val="18"/>
              </w:rPr>
              <w:t>材料特性进行正确选材。</w:t>
            </w:r>
          </w:p>
          <w:p>
            <w:pPr>
              <w:rPr>
                <w:rFonts w:hint="eastAsia"/>
                <w:sz w:val="18"/>
                <w:szCs w:val="18"/>
              </w:rPr>
            </w:pPr>
            <w:r>
              <w:rPr>
                <w:bCs/>
                <w:sz w:val="18"/>
                <w:szCs w:val="18"/>
              </w:rPr>
              <w:t>(支撑课程目标</w:t>
            </w:r>
            <w:r>
              <w:rPr>
                <w:rFonts w:hint="eastAsia"/>
                <w:bCs/>
                <w:sz w:val="18"/>
                <w:szCs w:val="18"/>
              </w:rPr>
              <w:t>4</w:t>
            </w:r>
            <w:r>
              <w:rPr>
                <w:bCs/>
                <w:sz w:val="18"/>
                <w:szCs w:val="18"/>
              </w:rPr>
              <w:t>毕业要求指标点</w:t>
            </w:r>
            <w:r>
              <w:rPr>
                <w:rFonts w:hint="eastAsia"/>
                <w:bCs/>
                <w:sz w:val="18"/>
                <w:szCs w:val="18"/>
              </w:rPr>
              <w:t>2-2</w:t>
            </w:r>
            <w:r>
              <w:rPr>
                <w:bCs/>
                <w:sz w:val="18"/>
                <w:szCs w:val="18"/>
              </w:rPr>
              <w:t>)</w:t>
            </w:r>
          </w:p>
        </w:tc>
        <w:tc>
          <w:tcPr>
            <w:tcW w:w="1560" w:type="dxa"/>
            <w:vAlign w:val="center"/>
          </w:tcPr>
          <w:p>
            <w:pPr>
              <w:rPr>
                <w:rFonts w:hint="eastAsia"/>
                <w:bCs/>
                <w:sz w:val="18"/>
                <w:szCs w:val="18"/>
              </w:rPr>
            </w:pPr>
            <w:r>
              <w:rPr>
                <w:rFonts w:hint="eastAsia"/>
                <w:sz w:val="18"/>
                <w:szCs w:val="18"/>
              </w:rPr>
              <w:t>能够熟练的根据智能材料相关特性设计智能材料系统模型，最终得到具有优异性能结构的传感器件，能够熟练获取所需关键特征和参数。</w:t>
            </w:r>
            <w:r>
              <w:rPr>
                <w:bCs/>
                <w:sz w:val="18"/>
                <w:szCs w:val="18"/>
              </w:rPr>
              <w:t>能够熟练根据</w:t>
            </w:r>
            <w:r>
              <w:rPr>
                <w:rFonts w:hint="eastAsia"/>
                <w:bCs/>
                <w:sz w:val="18"/>
                <w:szCs w:val="18"/>
              </w:rPr>
              <w:t>智能材料系统</w:t>
            </w:r>
            <w:r>
              <w:rPr>
                <w:bCs/>
                <w:sz w:val="18"/>
                <w:szCs w:val="18"/>
              </w:rPr>
              <w:t>的结构和使用要求并结合</w:t>
            </w:r>
            <w:r>
              <w:rPr>
                <w:rFonts w:hint="eastAsia"/>
                <w:bCs/>
                <w:sz w:val="18"/>
                <w:szCs w:val="18"/>
              </w:rPr>
              <w:t>智能</w:t>
            </w:r>
            <w:r>
              <w:rPr>
                <w:bCs/>
                <w:sz w:val="18"/>
                <w:szCs w:val="18"/>
              </w:rPr>
              <w:t>材料特性进行正确选材。</w:t>
            </w:r>
            <w:r>
              <w:rPr>
                <w:rFonts w:hint="eastAsia"/>
                <w:bCs/>
                <w:sz w:val="18"/>
                <w:szCs w:val="18"/>
              </w:rPr>
              <w:t>表述</w:t>
            </w:r>
            <w:r>
              <w:rPr>
                <w:bCs/>
                <w:sz w:val="18"/>
                <w:szCs w:val="18"/>
              </w:rPr>
              <w:t>清楚，</w:t>
            </w:r>
            <w:r>
              <w:rPr>
                <w:rFonts w:hint="eastAsia"/>
                <w:bCs/>
                <w:sz w:val="18"/>
                <w:szCs w:val="18"/>
              </w:rPr>
              <w:t>语言规范</w:t>
            </w:r>
            <w:r>
              <w:rPr>
                <w:bCs/>
                <w:sz w:val="18"/>
                <w:szCs w:val="18"/>
              </w:rPr>
              <w:t>。。</w:t>
            </w:r>
          </w:p>
          <w:p>
            <w:pPr>
              <w:rPr>
                <w:rFonts w:hint="eastAsia"/>
                <w:bCs/>
                <w:sz w:val="18"/>
                <w:szCs w:val="18"/>
              </w:rPr>
            </w:pPr>
          </w:p>
          <w:p>
            <w:pPr>
              <w:rPr>
                <w:bCs/>
                <w:sz w:val="18"/>
                <w:szCs w:val="18"/>
              </w:rPr>
            </w:pPr>
          </w:p>
        </w:tc>
        <w:tc>
          <w:tcPr>
            <w:tcW w:w="1559" w:type="dxa"/>
            <w:vAlign w:val="center"/>
          </w:tcPr>
          <w:p>
            <w:pPr>
              <w:rPr>
                <w:bCs/>
                <w:sz w:val="18"/>
                <w:szCs w:val="18"/>
              </w:rPr>
            </w:pPr>
            <w:r>
              <w:rPr>
                <w:rFonts w:hint="eastAsia"/>
                <w:sz w:val="18"/>
                <w:szCs w:val="18"/>
              </w:rPr>
              <w:t>能够熟练的根据智能材料相关特性设计智能材料系统模型，最终得到具有优异性能结构的传感器件，能够熟练获取所需关键特征和参数。</w:t>
            </w:r>
            <w:r>
              <w:rPr>
                <w:bCs/>
                <w:sz w:val="18"/>
                <w:szCs w:val="18"/>
              </w:rPr>
              <w:t>能够熟练根据</w:t>
            </w:r>
            <w:r>
              <w:rPr>
                <w:rFonts w:hint="eastAsia"/>
                <w:bCs/>
                <w:sz w:val="18"/>
                <w:szCs w:val="18"/>
              </w:rPr>
              <w:t>智能材料系统</w:t>
            </w:r>
            <w:r>
              <w:rPr>
                <w:bCs/>
                <w:sz w:val="18"/>
                <w:szCs w:val="18"/>
              </w:rPr>
              <w:t>的结构和使用要求并结合</w:t>
            </w:r>
            <w:r>
              <w:rPr>
                <w:rFonts w:hint="eastAsia"/>
                <w:bCs/>
                <w:sz w:val="18"/>
                <w:szCs w:val="18"/>
              </w:rPr>
              <w:t>智能</w:t>
            </w:r>
            <w:r>
              <w:rPr>
                <w:bCs/>
                <w:sz w:val="18"/>
                <w:szCs w:val="18"/>
              </w:rPr>
              <w:t>材料特性进行正确选材。</w:t>
            </w:r>
            <w:r>
              <w:rPr>
                <w:rFonts w:hint="eastAsia"/>
                <w:bCs/>
                <w:sz w:val="18"/>
                <w:szCs w:val="18"/>
              </w:rPr>
              <w:t>表述较</w:t>
            </w:r>
            <w:r>
              <w:rPr>
                <w:bCs/>
                <w:sz w:val="18"/>
                <w:szCs w:val="18"/>
              </w:rPr>
              <w:t>清楚，</w:t>
            </w:r>
            <w:r>
              <w:rPr>
                <w:rFonts w:hint="eastAsia"/>
                <w:bCs/>
                <w:sz w:val="18"/>
                <w:szCs w:val="18"/>
              </w:rPr>
              <w:t>语言较规范</w:t>
            </w:r>
            <w:r>
              <w:rPr>
                <w:bCs/>
                <w:sz w:val="18"/>
                <w:szCs w:val="18"/>
              </w:rPr>
              <w:t>。</w:t>
            </w:r>
          </w:p>
        </w:tc>
        <w:tc>
          <w:tcPr>
            <w:tcW w:w="1559" w:type="dxa"/>
            <w:vAlign w:val="center"/>
          </w:tcPr>
          <w:p>
            <w:pPr>
              <w:rPr>
                <w:bCs/>
                <w:sz w:val="18"/>
                <w:szCs w:val="18"/>
              </w:rPr>
            </w:pPr>
            <w:r>
              <w:rPr>
                <w:rFonts w:hint="eastAsia"/>
                <w:sz w:val="18"/>
                <w:szCs w:val="18"/>
              </w:rPr>
              <w:t>能够根据智能材料相关特性设计智能材料系统模型，最终得到传感器件，能够获取所需关键特征和参数。</w:t>
            </w:r>
            <w:r>
              <w:rPr>
                <w:bCs/>
                <w:sz w:val="18"/>
                <w:szCs w:val="18"/>
              </w:rPr>
              <w:t>能够根据</w:t>
            </w:r>
            <w:r>
              <w:rPr>
                <w:rFonts w:hint="eastAsia"/>
                <w:bCs/>
                <w:sz w:val="18"/>
                <w:szCs w:val="18"/>
              </w:rPr>
              <w:t>智能材料系统</w:t>
            </w:r>
            <w:r>
              <w:rPr>
                <w:bCs/>
                <w:sz w:val="18"/>
                <w:szCs w:val="18"/>
              </w:rPr>
              <w:t>的结构和使用要求并结合</w:t>
            </w:r>
            <w:r>
              <w:rPr>
                <w:rFonts w:hint="eastAsia"/>
                <w:bCs/>
                <w:sz w:val="18"/>
                <w:szCs w:val="18"/>
              </w:rPr>
              <w:t>智能</w:t>
            </w:r>
            <w:r>
              <w:rPr>
                <w:bCs/>
                <w:sz w:val="18"/>
                <w:szCs w:val="18"/>
              </w:rPr>
              <w:t>材料特性进行选材。</w:t>
            </w:r>
            <w:r>
              <w:rPr>
                <w:rFonts w:hint="eastAsia"/>
                <w:bCs/>
                <w:sz w:val="18"/>
                <w:szCs w:val="18"/>
              </w:rPr>
              <w:t>表述基本</w:t>
            </w:r>
            <w:r>
              <w:rPr>
                <w:bCs/>
                <w:sz w:val="18"/>
                <w:szCs w:val="18"/>
              </w:rPr>
              <w:t>清楚，</w:t>
            </w:r>
            <w:r>
              <w:rPr>
                <w:rFonts w:hint="eastAsia"/>
                <w:bCs/>
                <w:sz w:val="18"/>
                <w:szCs w:val="18"/>
              </w:rPr>
              <w:t>语言基本规范</w:t>
            </w:r>
            <w:r>
              <w:rPr>
                <w:bCs/>
                <w:sz w:val="18"/>
                <w:szCs w:val="18"/>
              </w:rPr>
              <w:t>。</w:t>
            </w:r>
          </w:p>
        </w:tc>
        <w:tc>
          <w:tcPr>
            <w:tcW w:w="1381" w:type="dxa"/>
            <w:vAlign w:val="center"/>
          </w:tcPr>
          <w:p>
            <w:pPr>
              <w:rPr>
                <w:bCs/>
                <w:sz w:val="18"/>
                <w:szCs w:val="18"/>
              </w:rPr>
            </w:pPr>
            <w:r>
              <w:rPr>
                <w:bCs/>
                <w:sz w:val="18"/>
                <w:szCs w:val="18"/>
              </w:rPr>
              <w:t>不</w:t>
            </w:r>
            <w:r>
              <w:rPr>
                <w:rFonts w:hint="eastAsia"/>
                <w:sz w:val="18"/>
                <w:szCs w:val="18"/>
              </w:rPr>
              <w:t>能根据智能材料相关特性设计智能材料系统模型，最终不能得到智能传感器件，不能获取所需关键特征和参数。不</w:t>
            </w:r>
            <w:r>
              <w:rPr>
                <w:bCs/>
                <w:sz w:val="18"/>
                <w:szCs w:val="18"/>
              </w:rPr>
              <w:t>能根据</w:t>
            </w:r>
            <w:r>
              <w:rPr>
                <w:rFonts w:hint="eastAsia"/>
                <w:bCs/>
                <w:sz w:val="18"/>
                <w:szCs w:val="18"/>
              </w:rPr>
              <w:t>智能材料系统</w:t>
            </w:r>
            <w:r>
              <w:rPr>
                <w:bCs/>
                <w:sz w:val="18"/>
                <w:szCs w:val="18"/>
              </w:rPr>
              <w:t>的结构和使用要求并结合</w:t>
            </w:r>
            <w:r>
              <w:rPr>
                <w:rFonts w:hint="eastAsia"/>
                <w:bCs/>
                <w:sz w:val="18"/>
                <w:szCs w:val="18"/>
              </w:rPr>
              <w:t>智能</w:t>
            </w:r>
            <w:r>
              <w:rPr>
                <w:bCs/>
                <w:sz w:val="18"/>
                <w:szCs w:val="18"/>
              </w:rPr>
              <w:t>材料特性进行选材。</w:t>
            </w:r>
            <w:r>
              <w:rPr>
                <w:rFonts w:hint="eastAsia"/>
                <w:bCs/>
                <w:sz w:val="18"/>
                <w:szCs w:val="18"/>
              </w:rPr>
              <w:t>表述不</w:t>
            </w:r>
            <w:r>
              <w:rPr>
                <w:bCs/>
                <w:sz w:val="18"/>
                <w:szCs w:val="18"/>
              </w:rPr>
              <w:t>清楚，</w:t>
            </w:r>
            <w:r>
              <w:rPr>
                <w:rFonts w:hint="eastAsia"/>
                <w:bCs/>
                <w:sz w:val="18"/>
                <w:szCs w:val="18"/>
              </w:rPr>
              <w:t>语言不规范</w:t>
            </w:r>
            <w:r>
              <w:rPr>
                <w:bCs/>
                <w:sz w:val="18"/>
                <w:szCs w:val="18"/>
              </w:rPr>
              <w:t>。</w:t>
            </w:r>
          </w:p>
        </w:tc>
        <w:tc>
          <w:tcPr>
            <w:tcW w:w="785" w:type="dxa"/>
            <w:vAlign w:val="center"/>
          </w:tcPr>
          <w:p>
            <w:pPr>
              <w:jc w:val="center"/>
              <w:rPr>
                <w:rFonts w:hint="eastAsia"/>
                <w:bCs/>
                <w:color w:val="7030A0"/>
                <w:sz w:val="18"/>
                <w:szCs w:val="18"/>
              </w:rPr>
            </w:pPr>
          </w:p>
        </w:tc>
      </w:tr>
    </w:tbl>
    <w:p>
      <w:pPr>
        <w:pStyle w:val="26"/>
        <w:spacing w:line="360" w:lineRule="auto"/>
        <w:ind w:firstLine="0" w:firstLineChars="0"/>
        <w:rPr>
          <w:rFonts w:hint="eastAsia" w:ascii="宋体" w:hAnsi="宋体"/>
          <w:b/>
          <w:szCs w:val="21"/>
          <w:highlight w:val="yellow"/>
        </w:rPr>
      </w:pPr>
    </w:p>
    <w:p>
      <w:pPr>
        <w:numPr>
          <w:ilvl w:val="0"/>
          <w:numId w:val="16"/>
        </w:numPr>
        <w:spacing w:before="156" w:beforeLines="50" w:after="156" w:afterLines="50" w:line="360" w:lineRule="auto"/>
        <w:rPr>
          <w:rFonts w:hint="eastAsia" w:ascii="黑体" w:hAnsi="黑体" w:eastAsia="黑体"/>
          <w:color w:val="000000"/>
          <w:szCs w:val="21"/>
        </w:rPr>
      </w:pPr>
      <w:r>
        <w:rPr>
          <w:rFonts w:ascii="黑体" w:hAnsi="黑体" w:eastAsia="黑体"/>
          <w:color w:val="000000"/>
          <w:szCs w:val="21"/>
        </w:rPr>
        <w:t>参考书目及学习资料</w:t>
      </w:r>
      <w:r>
        <w:rPr>
          <w:rFonts w:hint="eastAsia" w:ascii="黑体" w:hAnsi="黑体" w:eastAsia="黑体"/>
          <w:color w:val="000000"/>
          <w:szCs w:val="21"/>
        </w:rPr>
        <w:t>（书名，主编，出版社，出版时间及版次）</w:t>
      </w:r>
    </w:p>
    <w:p>
      <w:pPr>
        <w:spacing w:line="360" w:lineRule="auto"/>
        <w:ind w:firstLine="420"/>
        <w:rPr>
          <w:rFonts w:hint="eastAsia" w:hAnsi="宋体"/>
          <w:color w:val="000000"/>
          <w:szCs w:val="21"/>
        </w:rPr>
      </w:pPr>
      <w:r>
        <w:rPr>
          <w:rFonts w:hint="eastAsia"/>
          <w:color w:val="000000"/>
          <w:szCs w:val="21"/>
        </w:rPr>
        <w:t xml:space="preserve">[1]  </w:t>
      </w:r>
      <w:r>
        <w:rPr>
          <w:rFonts w:hint="eastAsia" w:hAnsi="宋体"/>
          <w:color w:val="000000"/>
          <w:szCs w:val="21"/>
        </w:rPr>
        <w:t>杨大智</w:t>
      </w:r>
      <w:r>
        <w:rPr>
          <w:rFonts w:hAnsi="宋体"/>
          <w:color w:val="000000"/>
          <w:szCs w:val="21"/>
        </w:rPr>
        <w:t>著</w:t>
      </w:r>
      <w:r>
        <w:rPr>
          <w:rFonts w:hint="eastAsia" w:hAnsi="宋体"/>
          <w:color w:val="000000"/>
          <w:szCs w:val="21"/>
        </w:rPr>
        <w:t>.智能材料与智能系统[M]. 天津：天津</w:t>
      </w:r>
      <w:r>
        <w:rPr>
          <w:rFonts w:hAnsi="宋体"/>
          <w:color w:val="000000"/>
          <w:szCs w:val="21"/>
        </w:rPr>
        <w:t>大学出版社</w:t>
      </w:r>
      <w:r>
        <w:rPr>
          <w:rFonts w:hint="eastAsia" w:hAnsi="宋体"/>
          <w:color w:val="000000"/>
          <w:szCs w:val="21"/>
        </w:rPr>
        <w:t>，</w:t>
      </w:r>
      <w:r>
        <w:rPr>
          <w:rFonts w:hint="eastAsia"/>
          <w:color w:val="000000"/>
          <w:szCs w:val="21"/>
        </w:rPr>
        <w:t>2000</w:t>
      </w:r>
      <w:r>
        <w:rPr>
          <w:rFonts w:hint="eastAsia" w:hAnsi="宋体"/>
          <w:color w:val="000000"/>
          <w:szCs w:val="21"/>
        </w:rPr>
        <w:t>年</w:t>
      </w:r>
      <w:r>
        <w:rPr>
          <w:rFonts w:hint="eastAsia"/>
          <w:color w:val="000000"/>
          <w:szCs w:val="21"/>
        </w:rPr>
        <w:t>12</w:t>
      </w:r>
      <w:r>
        <w:rPr>
          <w:rFonts w:hint="eastAsia" w:hAnsi="宋体"/>
          <w:color w:val="000000"/>
          <w:szCs w:val="21"/>
        </w:rPr>
        <w:t>月第一版；</w:t>
      </w:r>
    </w:p>
    <w:p>
      <w:pPr>
        <w:spacing w:line="360" w:lineRule="auto"/>
        <w:ind w:firstLine="420"/>
        <w:rPr>
          <w:rFonts w:hint="eastAsia"/>
          <w:color w:val="000000"/>
          <w:szCs w:val="21"/>
        </w:rPr>
      </w:pPr>
      <w:r>
        <w:rPr>
          <w:rFonts w:hint="eastAsia"/>
          <w:color w:val="000000"/>
          <w:szCs w:val="21"/>
        </w:rPr>
        <w:t xml:space="preserve">[2]  </w:t>
      </w:r>
      <w:r>
        <w:rPr>
          <w:rFonts w:hint="eastAsia" w:hAnsi="宋体"/>
          <w:color w:val="000000"/>
          <w:szCs w:val="21"/>
        </w:rPr>
        <w:t>孙敏，冯</w:t>
      </w:r>
      <w:r>
        <w:rPr>
          <w:rFonts w:hAnsi="宋体"/>
          <w:color w:val="000000"/>
          <w:szCs w:val="21"/>
        </w:rPr>
        <w:t>典英著</w:t>
      </w:r>
      <w:r>
        <w:rPr>
          <w:rFonts w:hint="eastAsia" w:hAnsi="宋体"/>
          <w:color w:val="000000"/>
          <w:szCs w:val="21"/>
        </w:rPr>
        <w:t>.智能</w:t>
      </w:r>
      <w:r>
        <w:rPr>
          <w:rFonts w:hAnsi="宋体"/>
          <w:color w:val="000000"/>
          <w:szCs w:val="21"/>
        </w:rPr>
        <w:t>材料技术</w:t>
      </w:r>
      <w:r>
        <w:rPr>
          <w:rFonts w:hint="eastAsia" w:hAnsi="宋体"/>
          <w:color w:val="000000"/>
          <w:szCs w:val="21"/>
        </w:rPr>
        <w:t>[M]. 北京：</w:t>
      </w:r>
      <w:r>
        <w:rPr>
          <w:rFonts w:hAnsi="宋体"/>
          <w:color w:val="000000"/>
          <w:szCs w:val="21"/>
        </w:rPr>
        <w:t>国防工业出版社</w:t>
      </w:r>
      <w:r>
        <w:rPr>
          <w:rFonts w:hint="eastAsia" w:hAnsi="宋体"/>
          <w:color w:val="000000"/>
          <w:szCs w:val="21"/>
        </w:rPr>
        <w:t>，</w:t>
      </w:r>
      <w:r>
        <w:rPr>
          <w:rFonts w:hint="eastAsia"/>
          <w:color w:val="000000"/>
          <w:szCs w:val="21"/>
        </w:rPr>
        <w:t>2014</w:t>
      </w:r>
      <w:r>
        <w:rPr>
          <w:rFonts w:hint="eastAsia" w:hAnsi="宋体"/>
          <w:color w:val="000000"/>
          <w:szCs w:val="21"/>
        </w:rPr>
        <w:t>年</w:t>
      </w:r>
      <w:r>
        <w:rPr>
          <w:rFonts w:hint="eastAsia"/>
          <w:color w:val="000000"/>
          <w:szCs w:val="21"/>
        </w:rPr>
        <w:t>1</w:t>
      </w:r>
      <w:r>
        <w:rPr>
          <w:rFonts w:hint="eastAsia" w:hAnsi="宋体"/>
          <w:color w:val="000000"/>
          <w:szCs w:val="21"/>
        </w:rPr>
        <w:t>月第一版；</w:t>
      </w:r>
    </w:p>
    <w:p>
      <w:pPr>
        <w:spacing w:line="360" w:lineRule="auto"/>
        <w:ind w:firstLine="420"/>
        <w:rPr>
          <w:rFonts w:hint="eastAsia" w:hAnsi="宋体"/>
          <w:color w:val="000000"/>
          <w:szCs w:val="21"/>
        </w:rPr>
      </w:pPr>
      <w:r>
        <w:rPr>
          <w:rFonts w:hint="eastAsia"/>
          <w:color w:val="000000"/>
          <w:szCs w:val="21"/>
        </w:rPr>
        <w:t xml:space="preserve">[3]  </w:t>
      </w:r>
      <w:r>
        <w:rPr>
          <w:rFonts w:hint="eastAsia" w:hAnsi="宋体"/>
          <w:color w:val="000000"/>
          <w:szCs w:val="21"/>
        </w:rPr>
        <w:t>陈英杰，姚素玲著.智能材料[M]. 北京：机械工业出版社，</w:t>
      </w:r>
      <w:r>
        <w:rPr>
          <w:rFonts w:hint="eastAsia"/>
          <w:color w:val="000000"/>
          <w:szCs w:val="21"/>
        </w:rPr>
        <w:t>2013</w:t>
      </w:r>
      <w:r>
        <w:rPr>
          <w:rFonts w:hint="eastAsia" w:hAnsi="宋体"/>
          <w:color w:val="000000"/>
          <w:szCs w:val="21"/>
        </w:rPr>
        <w:t>年</w:t>
      </w:r>
      <w:r>
        <w:rPr>
          <w:rFonts w:hint="eastAsia"/>
          <w:color w:val="000000"/>
          <w:szCs w:val="21"/>
        </w:rPr>
        <w:t>7</w:t>
      </w:r>
      <w:r>
        <w:rPr>
          <w:rFonts w:hint="eastAsia" w:hAnsi="宋体"/>
          <w:color w:val="000000"/>
          <w:szCs w:val="21"/>
        </w:rPr>
        <w:t>月第一版；</w:t>
      </w:r>
    </w:p>
    <w:p>
      <w:pPr>
        <w:spacing w:line="360" w:lineRule="auto"/>
        <w:ind w:firstLine="420"/>
        <w:rPr>
          <w:color w:val="000000"/>
          <w:szCs w:val="21"/>
        </w:rPr>
      </w:pPr>
      <w:r>
        <w:rPr>
          <w:rFonts w:hint="eastAsia" w:hAnsi="宋体"/>
          <w:color w:val="000000"/>
          <w:szCs w:val="21"/>
        </w:rPr>
        <w:t>[4]</w:t>
      </w:r>
      <w:r>
        <w:rPr>
          <w:rFonts w:hint="eastAsia"/>
          <w:color w:val="000000"/>
          <w:szCs w:val="21"/>
        </w:rPr>
        <w:t xml:space="preserve">  张光磊，杜彦良著.智能材料与结构系统[M]. 北京：北京大学出版社，2010</w:t>
      </w:r>
      <w:r>
        <w:rPr>
          <w:rFonts w:hint="eastAsia" w:hAnsi="宋体"/>
          <w:color w:val="000000"/>
          <w:szCs w:val="21"/>
        </w:rPr>
        <w:t>年</w:t>
      </w:r>
      <w:r>
        <w:rPr>
          <w:rFonts w:hint="eastAsia"/>
          <w:color w:val="000000"/>
          <w:szCs w:val="21"/>
        </w:rPr>
        <w:t>8</w:t>
      </w:r>
      <w:r>
        <w:rPr>
          <w:rFonts w:hint="eastAsia" w:hAnsi="宋体"/>
          <w:color w:val="000000"/>
          <w:szCs w:val="21"/>
        </w:rPr>
        <w:t>月第一版；</w:t>
      </w:r>
    </w:p>
    <w:p>
      <w:pPr>
        <w:spacing w:line="360" w:lineRule="auto"/>
        <w:ind w:left="210" w:leftChars="100"/>
        <w:jc w:val="center"/>
        <w:rPr>
          <w:rFonts w:hint="eastAsia" w:eastAsia="宋体"/>
          <w:color w:val="000000"/>
          <w:szCs w:val="21"/>
          <w:lang w:eastAsia="zh-CN"/>
        </w:rPr>
      </w:pPr>
      <w:r>
        <w:rPr>
          <w:rFonts w:hint="eastAsia"/>
          <w:b/>
          <w:bCs/>
          <w:szCs w:val="21"/>
          <w:lang w:val="en-US" w:eastAsia="zh-CN"/>
        </w:rPr>
        <w:t xml:space="preserve">               </w:t>
      </w:r>
      <w:r>
        <w:rPr>
          <w:rFonts w:hint="eastAsia"/>
          <w:b/>
          <w:bCs/>
          <w:szCs w:val="21"/>
        </w:rPr>
        <w:t>制定人</w:t>
      </w:r>
      <w:r>
        <w:rPr>
          <w:rFonts w:hint="eastAsia"/>
          <w:szCs w:val="21"/>
        </w:rPr>
        <w:t>：</w:t>
      </w:r>
      <w:r>
        <w:rPr>
          <w:rFonts w:hint="eastAsia" w:eastAsia="黑体"/>
          <w:bCs/>
          <w:color w:val="000000"/>
          <w:szCs w:val="21"/>
        </w:rPr>
        <w:t xml:space="preserve">姚慧珍 </w:t>
      </w:r>
      <w:r>
        <w:rPr>
          <w:rFonts w:hint="eastAsia"/>
          <w:szCs w:val="21"/>
        </w:rPr>
        <w:t xml:space="preserve">    </w:t>
      </w:r>
      <w:r>
        <w:rPr>
          <w:rFonts w:hint="eastAsia"/>
          <w:szCs w:val="21"/>
          <w:lang w:val="en-US" w:eastAsia="zh-CN"/>
        </w:rPr>
        <w:t xml:space="preserve"> </w:t>
      </w:r>
      <w:r>
        <w:rPr>
          <w:rFonts w:hint="eastAsia"/>
          <w:b/>
          <w:bCs/>
          <w:szCs w:val="21"/>
        </w:rPr>
        <w:t>审定人</w:t>
      </w:r>
      <w:r>
        <w:rPr>
          <w:rFonts w:hint="eastAsia"/>
          <w:szCs w:val="21"/>
        </w:rPr>
        <w:t>：</w:t>
      </w:r>
      <w:r>
        <w:rPr>
          <w:rFonts w:hint="eastAsia"/>
          <w:szCs w:val="21"/>
          <w:lang w:eastAsia="zh-CN"/>
        </w:rPr>
        <w:t>刘文耀</w:t>
      </w:r>
      <w:r>
        <w:rPr>
          <w:rFonts w:hint="eastAsia"/>
          <w:szCs w:val="21"/>
        </w:rPr>
        <w:t xml:space="preserve">       </w:t>
      </w:r>
      <w:r>
        <w:rPr>
          <w:rFonts w:hint="eastAsia"/>
          <w:b/>
          <w:bCs/>
          <w:szCs w:val="21"/>
        </w:rPr>
        <w:t>批准人</w:t>
      </w:r>
      <w:r>
        <w:rPr>
          <w:rFonts w:hint="eastAsia"/>
          <w:szCs w:val="21"/>
        </w:rPr>
        <w:t>：</w:t>
      </w:r>
      <w:r>
        <w:rPr>
          <w:rFonts w:hint="eastAsia"/>
          <w:szCs w:val="21"/>
          <w:lang w:eastAsia="zh-CN"/>
        </w:rPr>
        <w:t>刘文怡</w:t>
      </w:r>
    </w:p>
    <w:p>
      <w:pPr>
        <w:spacing w:line="440" w:lineRule="exact"/>
        <w:ind w:right="480" w:firstLine="5670" w:firstLineChars="2700"/>
        <w:jc w:val="center"/>
        <w:rPr>
          <w:b/>
          <w:spacing w:val="20"/>
          <w:szCs w:val="21"/>
        </w:rPr>
      </w:pPr>
      <w:r>
        <w:rPr>
          <w:rFonts w:hint="eastAsia"/>
          <w:szCs w:val="21"/>
          <w:lang w:val="en-US" w:eastAsia="zh-CN"/>
        </w:rPr>
        <w:t xml:space="preserve">          2021</w:t>
      </w:r>
      <w:r>
        <w:rPr>
          <w:rFonts w:hint="eastAsia"/>
          <w:szCs w:val="21"/>
        </w:rPr>
        <w:t xml:space="preserve">年 </w:t>
      </w:r>
      <w:r>
        <w:rPr>
          <w:rFonts w:hint="eastAsia"/>
          <w:szCs w:val="21"/>
          <w:lang w:val="en-US" w:eastAsia="zh-CN"/>
        </w:rPr>
        <w:t>12</w:t>
      </w:r>
      <w:r>
        <w:rPr>
          <w:rFonts w:hint="eastAsia"/>
          <w:szCs w:val="21"/>
        </w:rPr>
        <w:t xml:space="preserve">月 </w:t>
      </w:r>
      <w:r>
        <w:rPr>
          <w:rFonts w:hint="eastAsia"/>
          <w:szCs w:val="21"/>
          <w:lang w:val="en-US" w:eastAsia="zh-CN"/>
        </w:rPr>
        <w:t>1</w:t>
      </w:r>
      <w:r>
        <w:rPr>
          <w:rFonts w:hint="eastAsia"/>
          <w:szCs w:val="21"/>
        </w:rPr>
        <w:t>日</w:t>
      </w:r>
    </w:p>
    <w:p/>
    <w:p/>
    <w:p/>
    <w:p>
      <w:pPr>
        <w:pStyle w:val="18"/>
        <w:spacing w:before="312" w:after="468"/>
        <w:rPr>
          <w:rFonts w:hint="eastAsia" w:ascii="Times New Roman" w:hAnsi="Times New Roman" w:cs="Times New Roman"/>
        </w:rPr>
      </w:pPr>
      <w:bookmarkStart w:id="60" w:name="_Toc15459"/>
      <w:r>
        <w:rPr>
          <w:rFonts w:hint="eastAsia" w:ascii="Times New Roman" w:hAnsi="Times New Roman" w:cs="Times New Roman"/>
        </w:rPr>
        <w:t>《智能传感器接口标准》课程教学大纲</w:t>
      </w:r>
      <w:bookmarkEnd w:id="60"/>
      <w:r>
        <w:rPr>
          <w:rFonts w:hint="eastAsia" w:ascii="Times New Roman" w:hAnsi="Times New Roman" w:cs="Times New Roman"/>
        </w:rPr>
        <w:t xml:space="preserve"> </w:t>
      </w:r>
    </w:p>
    <w:p>
      <w:pPr>
        <w:spacing w:line="360" w:lineRule="auto"/>
        <w:ind w:firstLine="420" w:firstLineChars="200"/>
        <w:rPr>
          <w:rFonts w:hint="eastAsia" w:ascii="黑体" w:hAnsi="黑体" w:eastAsia="黑体"/>
          <w:szCs w:val="21"/>
        </w:rPr>
      </w:pPr>
      <w:r>
        <w:rPr>
          <w:rFonts w:hint="eastAsia" w:ascii="黑体" w:hAnsi="黑体" w:eastAsia="黑体"/>
          <w:szCs w:val="21"/>
        </w:rPr>
        <w:t>一、课程基本信息</w:t>
      </w:r>
    </w:p>
    <w:p>
      <w:pPr>
        <w:spacing w:line="360" w:lineRule="auto"/>
        <w:ind w:firstLine="420" w:firstLineChars="200"/>
        <w:rPr>
          <w:rFonts w:hint="eastAsia" w:ascii="黑体" w:hAnsi="黑体" w:eastAsia="黑体"/>
          <w:szCs w:val="21"/>
        </w:rPr>
      </w:pPr>
      <w:r>
        <w:rPr>
          <w:rFonts w:hint="eastAsia" w:ascii="黑体" w:hAnsi="黑体" w:eastAsia="黑体"/>
          <w:szCs w:val="21"/>
        </w:rPr>
        <w:t>制定人：张彦军                            教学基层组织审核人：刘文耀</w:t>
      </w:r>
    </w:p>
    <w:p>
      <w:pPr>
        <w:spacing w:line="360" w:lineRule="auto"/>
        <w:ind w:firstLine="420" w:firstLineChars="200"/>
        <w:rPr>
          <w:rFonts w:hint="eastAsia" w:ascii="黑体" w:hAnsi="黑体" w:eastAsia="黑体"/>
          <w:szCs w:val="21"/>
        </w:rPr>
      </w:pPr>
      <w:r>
        <w:rPr>
          <w:rFonts w:hint="eastAsia" w:ascii="黑体" w:hAnsi="黑体" w:eastAsia="黑体"/>
          <w:szCs w:val="21"/>
        </w:rPr>
        <w:t>开课学院： 仪器与电子学院                 开课学院审核人：刘文怡</w:t>
      </w:r>
    </w:p>
    <w:p>
      <w:pPr>
        <w:spacing w:line="360" w:lineRule="auto"/>
        <w:ind w:firstLine="420" w:firstLineChars="200"/>
        <w:rPr>
          <w:rFonts w:hint="eastAsia" w:ascii="黑体" w:hAnsi="黑体" w:eastAsia="黑体"/>
          <w:szCs w:val="21"/>
        </w:rPr>
      </w:pPr>
      <w:r>
        <w:rPr>
          <w:rFonts w:hint="eastAsia" w:ascii="黑体" w:hAnsi="黑体" w:eastAsia="黑体"/>
          <w:szCs w:val="21"/>
        </w:rPr>
        <w:t>课程名称（中文）：智能传感器接口标准</w:t>
      </w:r>
    </w:p>
    <w:p>
      <w:pPr>
        <w:spacing w:line="360" w:lineRule="auto"/>
        <w:ind w:firstLine="420" w:firstLineChars="200"/>
        <w:rPr>
          <w:rFonts w:hint="eastAsia" w:ascii="黑体" w:hAnsi="黑体" w:eastAsia="黑体"/>
          <w:szCs w:val="21"/>
        </w:rPr>
      </w:pPr>
      <w:r>
        <w:rPr>
          <w:rFonts w:hint="eastAsia" w:ascii="黑体" w:hAnsi="黑体" w:eastAsia="黑体"/>
          <w:szCs w:val="21"/>
        </w:rPr>
        <w:t>课程名称（英文）：</w:t>
      </w:r>
      <w:r>
        <w:rPr>
          <w:bCs/>
          <w:szCs w:val="21"/>
        </w:rPr>
        <w:t>interface standard for smart sensor</w:t>
      </w:r>
    </w:p>
    <w:p>
      <w:pPr>
        <w:spacing w:line="360" w:lineRule="auto"/>
        <w:ind w:firstLine="420" w:firstLineChars="200"/>
        <w:rPr>
          <w:rFonts w:hint="eastAsia" w:ascii="黑体" w:hAnsi="黑体" w:eastAsia="黑体"/>
          <w:szCs w:val="21"/>
        </w:rPr>
      </w:pPr>
      <w:r>
        <w:rPr>
          <w:rFonts w:hint="eastAsia" w:ascii="黑体" w:hAnsi="黑体" w:eastAsia="黑体"/>
          <w:szCs w:val="21"/>
        </w:rPr>
        <w:t>课程类别：专业课                          课程性质： 选修课</w:t>
      </w:r>
    </w:p>
    <w:p>
      <w:pPr>
        <w:spacing w:line="360" w:lineRule="auto"/>
        <w:ind w:firstLine="420" w:firstLineChars="200"/>
        <w:rPr>
          <w:rFonts w:hint="eastAsia" w:ascii="黑体" w:hAnsi="黑体" w:eastAsia="黑体"/>
          <w:szCs w:val="21"/>
        </w:rPr>
      </w:pPr>
      <w:r>
        <w:rPr>
          <w:rFonts w:hint="eastAsia" w:ascii="黑体" w:hAnsi="黑体" w:eastAsia="黑体"/>
          <w:szCs w:val="21"/>
        </w:rPr>
        <w:t>课程代码：</w:t>
      </w:r>
      <w:r>
        <w:rPr>
          <w:rFonts w:ascii="黑体" w:hAnsi="黑体" w:eastAsia="黑体"/>
          <w:szCs w:val="21"/>
        </w:rPr>
        <w:t>Z</w:t>
      </w:r>
      <w:r>
        <w:rPr>
          <w:rFonts w:hint="eastAsia" w:ascii="黑体" w:hAnsi="黑体" w:eastAsia="黑体"/>
          <w:szCs w:val="21"/>
        </w:rPr>
        <w:t xml:space="preserve">03060410  </w:t>
      </w:r>
      <w:r>
        <w:rPr>
          <w:rFonts w:hint="eastAsia" w:ascii="黑体" w:hAnsi="黑体" w:eastAsia="黑体"/>
          <w:szCs w:val="21"/>
        </w:rPr>
        <w:tab/>
      </w:r>
      <w:r>
        <w:rPr>
          <w:rFonts w:hint="eastAsia" w:ascii="黑体" w:hAnsi="黑体" w:eastAsia="黑体"/>
          <w:szCs w:val="21"/>
        </w:rPr>
        <w:t xml:space="preserve">                  适用层次：本科</w:t>
      </w:r>
    </w:p>
    <w:p>
      <w:pPr>
        <w:adjustRightInd w:val="0"/>
        <w:snapToGrid w:val="0"/>
        <w:spacing w:line="360" w:lineRule="auto"/>
        <w:ind w:firstLine="420" w:firstLineChars="200"/>
        <w:rPr>
          <w:rFonts w:hint="eastAsia" w:ascii="黑体" w:hAnsi="黑体" w:eastAsia="黑体"/>
          <w:szCs w:val="21"/>
        </w:rPr>
      </w:pPr>
      <w:r>
        <w:rPr>
          <w:rFonts w:hint="eastAsia" w:ascii="黑体" w:hAnsi="黑体" w:eastAsia="黑体"/>
          <w:szCs w:val="21"/>
        </w:rPr>
        <w:t>适用专业：智能感知工程                    计划学分：1</w:t>
      </w:r>
    </w:p>
    <w:p>
      <w:pPr>
        <w:spacing w:line="360" w:lineRule="auto"/>
        <w:ind w:firstLine="420" w:firstLineChars="200"/>
        <w:rPr>
          <w:rFonts w:hint="eastAsia" w:ascii="黑体" w:hAnsi="黑体" w:eastAsia="黑体"/>
          <w:szCs w:val="21"/>
        </w:rPr>
      </w:pPr>
      <w:r>
        <w:rPr>
          <w:rFonts w:hint="eastAsia" w:ascii="黑体" w:hAnsi="黑体" w:eastAsia="黑体"/>
          <w:szCs w:val="21"/>
        </w:rPr>
        <w:t>计划学时（周数）：4                        讲课学时：16               实验学时：0</w:t>
      </w:r>
    </w:p>
    <w:p>
      <w:pPr>
        <w:spacing w:line="360" w:lineRule="auto"/>
        <w:ind w:firstLine="420" w:firstLineChars="200"/>
        <w:rPr>
          <w:rFonts w:hint="eastAsia" w:ascii="黑体" w:hAnsi="黑体" w:eastAsia="黑体"/>
          <w:szCs w:val="21"/>
          <w:lang w:eastAsia="zh-CN"/>
        </w:rPr>
      </w:pPr>
      <w:r>
        <w:rPr>
          <w:rFonts w:hint="eastAsia" w:ascii="黑体" w:hAnsi="黑体" w:eastAsia="黑体"/>
          <w:szCs w:val="21"/>
        </w:rPr>
        <w:t>开课学期：6                               考核方式：</w:t>
      </w:r>
      <w:r>
        <w:rPr>
          <w:rFonts w:hint="eastAsia" w:ascii="黑体" w:hAnsi="黑体" w:eastAsia="黑体"/>
          <w:szCs w:val="21"/>
          <w:lang w:eastAsia="zh-CN"/>
        </w:rPr>
        <w:t>考查</w:t>
      </w:r>
    </w:p>
    <w:p>
      <w:pPr>
        <w:spacing w:line="360" w:lineRule="auto"/>
        <w:ind w:firstLine="420" w:firstLineChars="200"/>
        <w:rPr>
          <w:rFonts w:ascii="黑体" w:hAnsi="黑体" w:eastAsia="黑体"/>
          <w:szCs w:val="21"/>
        </w:rPr>
      </w:pPr>
      <w:r>
        <w:rPr>
          <w:rFonts w:hint="eastAsia" w:ascii="黑体" w:hAnsi="黑体" w:eastAsia="黑体"/>
          <w:szCs w:val="21"/>
        </w:rPr>
        <w:t>先修课程：传感器原理及设计</w:t>
      </w:r>
      <w:r>
        <w:rPr>
          <w:rFonts w:hint="eastAsia" w:ascii="黑体" w:hAnsi="黑体" w:eastAsia="黑体"/>
          <w:szCs w:val="21"/>
          <w:lang w:eastAsia="zh-CN"/>
        </w:rPr>
        <w:t>、</w:t>
      </w:r>
      <w:r>
        <w:rPr>
          <w:rFonts w:hint="eastAsia" w:ascii="黑体" w:hAnsi="黑体" w:eastAsia="黑体"/>
          <w:szCs w:val="21"/>
        </w:rPr>
        <w:t>单片机原理及应用</w:t>
      </w:r>
    </w:p>
    <w:p>
      <w:pPr>
        <w:spacing w:line="360" w:lineRule="auto"/>
        <w:ind w:firstLine="420" w:firstLineChars="200"/>
        <w:rPr>
          <w:rFonts w:hint="eastAsia" w:ascii="黑体" w:hAnsi="黑体" w:eastAsia="黑体"/>
          <w:szCs w:val="21"/>
          <w:lang w:eastAsia="zh-CN"/>
        </w:rPr>
      </w:pPr>
      <w:r>
        <w:rPr>
          <w:rFonts w:hint="eastAsia" w:ascii="黑体" w:hAnsi="黑体" w:eastAsia="黑体"/>
          <w:szCs w:val="21"/>
        </w:rPr>
        <w:t>后续课程：</w:t>
      </w:r>
      <w:r>
        <w:rPr>
          <w:rFonts w:hint="eastAsia" w:ascii="黑体" w:hAnsi="黑体" w:eastAsia="黑体"/>
          <w:szCs w:val="21"/>
          <w:lang w:eastAsia="zh-CN"/>
        </w:rPr>
        <w:t>智能感知综合实践</w:t>
      </w:r>
    </w:p>
    <w:p>
      <w:pPr>
        <w:pStyle w:val="9"/>
        <w:rPr>
          <w:rFonts w:hint="eastAsia"/>
          <w:lang w:eastAsia="zh-CN"/>
        </w:rPr>
      </w:pPr>
    </w:p>
    <w:p>
      <w:pPr>
        <w:spacing w:line="360" w:lineRule="auto"/>
        <w:ind w:firstLine="420" w:firstLineChars="200"/>
        <w:rPr>
          <w:rFonts w:hint="eastAsia" w:ascii="黑体" w:hAnsi="黑体" w:eastAsia="黑体"/>
          <w:szCs w:val="21"/>
        </w:rPr>
      </w:pPr>
      <w:r>
        <w:rPr>
          <w:rFonts w:hint="eastAsia" w:ascii="黑体" w:hAnsi="黑体" w:eastAsia="黑体"/>
          <w:szCs w:val="21"/>
        </w:rPr>
        <w:t>一、课程性质与教学目标</w:t>
      </w:r>
    </w:p>
    <w:p>
      <w:pPr>
        <w:spacing w:line="360" w:lineRule="auto"/>
        <w:ind w:firstLine="422" w:firstLineChars="200"/>
        <w:rPr>
          <w:rFonts w:ascii="宋体" w:hAnsi="宋体"/>
          <w:b/>
          <w:color w:val="000000"/>
          <w:szCs w:val="21"/>
        </w:rPr>
      </w:pPr>
      <w:r>
        <w:rPr>
          <w:rFonts w:hint="eastAsia" w:ascii="宋体" w:hAnsi="宋体"/>
          <w:b/>
          <w:color w:val="000000"/>
          <w:szCs w:val="21"/>
        </w:rPr>
        <w:t>1、</w:t>
      </w:r>
      <w:r>
        <w:rPr>
          <w:rFonts w:ascii="宋体" w:hAnsi="宋体"/>
          <w:b/>
          <w:color w:val="000000"/>
          <w:szCs w:val="21"/>
        </w:rPr>
        <w:t>课程性质</w:t>
      </w:r>
      <w:r>
        <w:rPr>
          <w:rFonts w:hint="eastAsia" w:ascii="宋体" w:hAnsi="宋体"/>
          <w:b/>
          <w:color w:val="000000"/>
          <w:szCs w:val="21"/>
        </w:rPr>
        <w:t>与任务</w:t>
      </w:r>
    </w:p>
    <w:p>
      <w:pPr>
        <w:spacing w:line="360" w:lineRule="auto"/>
        <w:ind w:firstLine="420" w:firstLineChars="200"/>
        <w:rPr>
          <w:bCs/>
          <w:color w:val="000000"/>
          <w:szCs w:val="21"/>
        </w:rPr>
      </w:pPr>
      <w:r>
        <w:rPr>
          <w:rFonts w:hint="eastAsia"/>
          <w:bCs/>
          <w:color w:val="000000"/>
          <w:szCs w:val="21"/>
        </w:rPr>
        <w:t>课程性质：以互联、万物智能为新特征的信息技术发展成为发达国家和跨国企业布局的战略高地， 其中网络化智能传感技术已成为当前各国科技、产业的竞争热点。为了适应新的人才需求，推动我国网络化智能传感器技术加快发展，支撑构建现代信息技术产业体系，《智能传感器接口标准》课程在传统传感器</w:t>
      </w:r>
      <w:r>
        <w:rPr>
          <w:rFonts w:hint="eastAsia"/>
          <w:szCs w:val="21"/>
        </w:rPr>
        <w:t>接口技术的基础上，瞄准下一代传感器技术的发展方向，以智能化、网络化、标准化为核心理念，培养学生相关专业的前沿设计思想。</w:t>
      </w:r>
    </w:p>
    <w:p>
      <w:pPr>
        <w:spacing w:line="360" w:lineRule="auto"/>
        <w:ind w:firstLine="420" w:firstLineChars="200"/>
        <w:rPr>
          <w:rFonts w:hint="eastAsia" w:ascii="宋体" w:hAnsi="宋体"/>
          <w:szCs w:val="21"/>
        </w:rPr>
      </w:pPr>
      <w:r>
        <w:rPr>
          <w:rFonts w:hint="eastAsia"/>
          <w:bCs/>
          <w:color w:val="000000"/>
          <w:szCs w:val="21"/>
        </w:rPr>
        <w:t>课程任务：</w:t>
      </w:r>
      <w:r>
        <w:rPr>
          <w:rFonts w:hint="eastAsia"/>
          <w:szCs w:val="21"/>
        </w:rPr>
        <w:t>本课程体现了传统传感器接口技术进一步发展的智能化网络化应用趋势，是智能感知工程等相关专业电子设计类重要选修课程。通过本课程的学习，学生将了解网络化智能传感器的基本概念，掌握</w:t>
      </w:r>
      <w:r>
        <w:rPr>
          <w:szCs w:val="21"/>
        </w:rPr>
        <w:t>IEEE1451</w:t>
      </w:r>
      <w:r>
        <w:rPr>
          <w:rFonts w:hint="eastAsia"/>
          <w:szCs w:val="21"/>
        </w:rPr>
        <w:t>网络化智能传感器模型构成、接口标准，初步具有利用智能传感接口技术进行应用设计的能力，能为后续的毕业设计环节及以后的工作打下相应的基础。</w:t>
      </w:r>
    </w:p>
    <w:p>
      <w:pPr>
        <w:spacing w:line="360" w:lineRule="auto"/>
        <w:ind w:firstLine="422" w:firstLineChars="200"/>
        <w:rPr>
          <w:rFonts w:hint="eastAsia" w:ascii="宋体" w:hAnsi="宋体"/>
          <w:b/>
          <w:color w:val="000000"/>
          <w:szCs w:val="21"/>
        </w:rPr>
      </w:pPr>
      <w:r>
        <w:rPr>
          <w:rFonts w:hint="eastAsia" w:ascii="宋体" w:hAnsi="宋体"/>
          <w:b/>
          <w:color w:val="000000"/>
          <w:szCs w:val="21"/>
        </w:rPr>
        <w:t>2、课程</w:t>
      </w:r>
      <w:r>
        <w:rPr>
          <w:rFonts w:ascii="宋体" w:hAnsi="宋体"/>
          <w:b/>
          <w:color w:val="000000"/>
          <w:szCs w:val="21"/>
        </w:rPr>
        <w:t>目标</w:t>
      </w:r>
    </w:p>
    <w:p>
      <w:pPr>
        <w:adjustRightInd w:val="0"/>
        <w:snapToGrid w:val="0"/>
        <w:spacing w:line="360" w:lineRule="auto"/>
        <w:ind w:firstLine="420" w:firstLineChars="200"/>
        <w:rPr>
          <w:szCs w:val="21"/>
        </w:rPr>
      </w:pPr>
      <w:r>
        <w:rPr>
          <w:rFonts w:hint="eastAsia" w:hAnsi="宋体"/>
          <w:bCs/>
          <w:color w:val="000000"/>
          <w:szCs w:val="21"/>
        </w:rPr>
        <w:t>课程目标</w:t>
      </w:r>
      <w:r>
        <w:rPr>
          <w:rFonts w:hint="eastAsia"/>
          <w:bCs/>
          <w:color w:val="000000"/>
          <w:szCs w:val="21"/>
        </w:rPr>
        <w:t>1</w:t>
      </w:r>
      <w:r>
        <w:rPr>
          <w:rFonts w:hint="eastAsia" w:hAnsi="宋体"/>
          <w:bCs/>
          <w:color w:val="000000"/>
          <w:szCs w:val="21"/>
        </w:rPr>
        <w:t>：</w:t>
      </w:r>
      <w:r>
        <w:rPr>
          <w:szCs w:val="21"/>
        </w:rPr>
        <w:t>能</w:t>
      </w:r>
      <w:r>
        <w:rPr>
          <w:rFonts w:hint="eastAsia"/>
          <w:szCs w:val="21"/>
        </w:rPr>
        <w:t>够熟悉网络化智能传感器</w:t>
      </w:r>
      <w:r>
        <w:rPr>
          <w:szCs w:val="21"/>
        </w:rPr>
        <w:t>的架构及其信息感知、传输及处理过程。（支撑毕业要求</w:t>
      </w:r>
      <w:r>
        <w:rPr>
          <w:rFonts w:hint="eastAsia"/>
          <w:szCs w:val="21"/>
        </w:rPr>
        <w:t>指标点</w:t>
      </w:r>
      <w:r>
        <w:rPr>
          <w:szCs w:val="21"/>
        </w:rPr>
        <w:t>1</w:t>
      </w:r>
      <w:r>
        <w:rPr>
          <w:rFonts w:hint="eastAsia"/>
          <w:szCs w:val="21"/>
        </w:rPr>
        <w:t>-1</w:t>
      </w:r>
      <w:r>
        <w:rPr>
          <w:szCs w:val="21"/>
        </w:rPr>
        <w:t>）</w:t>
      </w:r>
    </w:p>
    <w:p>
      <w:pPr>
        <w:adjustRightInd w:val="0"/>
        <w:snapToGrid w:val="0"/>
        <w:spacing w:line="360" w:lineRule="auto"/>
        <w:ind w:firstLine="420" w:firstLineChars="200"/>
        <w:rPr>
          <w:rFonts w:hint="eastAsia"/>
          <w:color w:val="FF0000"/>
          <w:szCs w:val="21"/>
        </w:rPr>
      </w:pPr>
      <w:r>
        <w:rPr>
          <w:rFonts w:hint="eastAsia" w:hAnsi="宋体"/>
          <w:bCs/>
          <w:color w:val="000000"/>
          <w:szCs w:val="21"/>
        </w:rPr>
        <w:t>课程目标</w:t>
      </w:r>
      <w:r>
        <w:rPr>
          <w:rFonts w:hint="eastAsia"/>
          <w:bCs/>
          <w:color w:val="000000"/>
          <w:szCs w:val="21"/>
        </w:rPr>
        <w:t>2</w:t>
      </w:r>
      <w:r>
        <w:rPr>
          <w:rFonts w:hint="eastAsia" w:hAnsi="宋体"/>
          <w:bCs/>
          <w:color w:val="000000"/>
          <w:szCs w:val="21"/>
        </w:rPr>
        <w:t>：</w:t>
      </w:r>
      <w:r>
        <w:rPr>
          <w:szCs w:val="21"/>
        </w:rPr>
        <w:t>能够针对工程问题特定需求，结合</w:t>
      </w:r>
      <w:r>
        <w:rPr>
          <w:rFonts w:hint="eastAsia"/>
          <w:szCs w:val="21"/>
        </w:rPr>
        <w:t>工业现场测控系统</w:t>
      </w:r>
      <w:r>
        <w:rPr>
          <w:szCs w:val="21"/>
        </w:rPr>
        <w:t>的典型案例，提出构建</w:t>
      </w:r>
      <w:r>
        <w:rPr>
          <w:rFonts w:hint="eastAsia"/>
          <w:szCs w:val="21"/>
        </w:rPr>
        <w:t>智能传感器</w:t>
      </w:r>
      <w:r>
        <w:rPr>
          <w:szCs w:val="21"/>
        </w:rPr>
        <w:t>的方案并进行优化分析。（支撑毕业要求</w:t>
      </w:r>
      <w:r>
        <w:rPr>
          <w:rFonts w:hint="eastAsia"/>
          <w:szCs w:val="21"/>
        </w:rPr>
        <w:t>指标点4-1</w:t>
      </w:r>
      <w:r>
        <w:rPr>
          <w:szCs w:val="21"/>
        </w:rPr>
        <w:t>）</w:t>
      </w:r>
    </w:p>
    <w:p>
      <w:pPr>
        <w:adjustRightInd w:val="0"/>
        <w:snapToGrid w:val="0"/>
        <w:spacing w:line="360" w:lineRule="auto"/>
        <w:ind w:firstLine="420" w:firstLineChars="200"/>
        <w:rPr>
          <w:rFonts w:hint="eastAsia" w:hAnsi="宋体"/>
          <w:bCs/>
          <w:szCs w:val="21"/>
        </w:rPr>
      </w:pPr>
      <w:r>
        <w:rPr>
          <w:rFonts w:hint="eastAsia" w:hAnsi="宋体"/>
          <w:bCs/>
          <w:szCs w:val="21"/>
        </w:rPr>
        <w:t>思政目标：智能传感器接口标准是智能感知发展的重要方向之一。通过了解国内外该技术的发展现状和差距，激发学生重视技术进步与创新的意识，为国民经济发展和国家进步贡献力量。</w:t>
      </w:r>
    </w:p>
    <w:p>
      <w:pPr>
        <w:spacing w:line="360" w:lineRule="auto"/>
        <w:rPr>
          <w:rFonts w:eastAsia="黑体"/>
          <w:szCs w:val="21"/>
        </w:rPr>
        <w:sectPr>
          <w:headerReference r:id="rId135" w:type="default"/>
          <w:pgSz w:w="11906" w:h="16838"/>
          <w:pgMar w:top="1440" w:right="1418" w:bottom="1440" w:left="1418" w:header="851" w:footer="992" w:gutter="0"/>
          <w:pgNumType w:fmt="decimal"/>
          <w:cols w:space="720" w:num="1"/>
          <w:docGrid w:type="lines" w:linePitch="312" w:charSpace="0"/>
        </w:sectPr>
      </w:pPr>
    </w:p>
    <w:p>
      <w:pPr>
        <w:numPr>
          <w:ilvl w:val="0"/>
          <w:numId w:val="13"/>
        </w:numPr>
        <w:spacing w:before="156" w:beforeLines="50" w:after="156" w:afterLines="50" w:line="360" w:lineRule="auto"/>
        <w:ind w:left="420" w:leftChars="200" w:firstLine="105" w:firstLineChars="50"/>
        <w:rPr>
          <w:rFonts w:eastAsia="黑体"/>
          <w:color w:val="000000"/>
          <w:szCs w:val="21"/>
        </w:rPr>
      </w:pPr>
      <w:r>
        <w:rPr>
          <w:rFonts w:hint="eastAsia" w:eastAsia="黑体"/>
          <w:color w:val="000000"/>
          <w:szCs w:val="21"/>
        </w:rPr>
        <w:t>课程内容、思政融入点、</w:t>
      </w:r>
      <w:r>
        <w:rPr>
          <w:rFonts w:eastAsia="黑体"/>
          <w:color w:val="000000"/>
          <w:szCs w:val="21"/>
        </w:rPr>
        <w:t>学时分配及对毕业要求指标点的支撑</w:t>
      </w:r>
    </w:p>
    <w:p>
      <w:pPr>
        <w:spacing w:before="156" w:beforeLines="50" w:after="156" w:afterLines="50" w:line="360" w:lineRule="auto"/>
        <w:ind w:left="422"/>
        <w:jc w:val="center"/>
        <w:rPr>
          <w:rFonts w:eastAsia="黑体"/>
          <w:b/>
          <w:color w:val="FF0000"/>
          <w:szCs w:val="21"/>
        </w:rPr>
      </w:pPr>
      <w:r>
        <w:rPr>
          <w:rFonts w:hint="eastAsia" w:ascii="宋体" w:hAnsi="宋体" w:cs="宋体"/>
          <w:b/>
          <w:szCs w:val="21"/>
        </w:rPr>
        <w:t>表2.1课程内容、学时分配及对毕业要求指标点的支撑</w:t>
      </w:r>
    </w:p>
    <w:tbl>
      <w:tblPr>
        <w:tblStyle w:val="19"/>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756"/>
        <w:gridCol w:w="682"/>
        <w:gridCol w:w="682"/>
        <w:gridCol w:w="602"/>
        <w:gridCol w:w="955"/>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shd w:val="clear" w:color="auto" w:fill="D9D9D9"/>
            <w:vAlign w:val="center"/>
          </w:tcPr>
          <w:p>
            <w:pPr>
              <w:jc w:val="center"/>
              <w:rPr>
                <w:b/>
                <w:color w:val="000000"/>
                <w:sz w:val="18"/>
                <w:szCs w:val="18"/>
              </w:rPr>
            </w:pPr>
            <w:r>
              <w:rPr>
                <w:b/>
                <w:color w:val="000000"/>
                <w:sz w:val="18"/>
                <w:szCs w:val="18"/>
              </w:rPr>
              <w:t>章节</w:t>
            </w:r>
          </w:p>
        </w:tc>
        <w:tc>
          <w:tcPr>
            <w:tcW w:w="7756" w:type="dxa"/>
            <w:shd w:val="clear" w:color="auto" w:fill="D9D9D9"/>
            <w:vAlign w:val="center"/>
          </w:tcPr>
          <w:p>
            <w:pPr>
              <w:jc w:val="center"/>
              <w:rPr>
                <w:b/>
                <w:color w:val="000000"/>
                <w:sz w:val="18"/>
                <w:szCs w:val="18"/>
              </w:rPr>
            </w:pPr>
            <w:r>
              <w:rPr>
                <w:rFonts w:hint="eastAsia"/>
                <w:b/>
                <w:color w:val="000000"/>
                <w:sz w:val="18"/>
                <w:szCs w:val="18"/>
              </w:rPr>
              <w:t>内            容</w:t>
            </w:r>
          </w:p>
        </w:tc>
        <w:tc>
          <w:tcPr>
            <w:tcW w:w="682" w:type="dxa"/>
            <w:shd w:val="clear" w:color="auto" w:fill="D9D9D9"/>
            <w:vAlign w:val="center"/>
          </w:tcPr>
          <w:p>
            <w:pPr>
              <w:jc w:val="center"/>
              <w:rPr>
                <w:b/>
                <w:color w:val="000000"/>
                <w:sz w:val="18"/>
                <w:szCs w:val="18"/>
              </w:rPr>
            </w:pPr>
            <w:r>
              <w:rPr>
                <w:b/>
                <w:color w:val="000000"/>
                <w:sz w:val="18"/>
                <w:szCs w:val="18"/>
              </w:rPr>
              <w:t>讲课</w:t>
            </w:r>
          </w:p>
        </w:tc>
        <w:tc>
          <w:tcPr>
            <w:tcW w:w="682" w:type="dxa"/>
            <w:shd w:val="clear" w:color="auto" w:fill="D9D9D9"/>
            <w:vAlign w:val="center"/>
          </w:tcPr>
          <w:p>
            <w:pPr>
              <w:jc w:val="center"/>
              <w:rPr>
                <w:b/>
                <w:color w:val="000000"/>
                <w:sz w:val="18"/>
                <w:szCs w:val="18"/>
              </w:rPr>
            </w:pPr>
            <w:r>
              <w:rPr>
                <w:b/>
                <w:color w:val="000000"/>
                <w:sz w:val="18"/>
                <w:szCs w:val="18"/>
              </w:rPr>
              <w:t>实验</w:t>
            </w:r>
          </w:p>
        </w:tc>
        <w:tc>
          <w:tcPr>
            <w:tcW w:w="602" w:type="dxa"/>
            <w:shd w:val="clear" w:color="auto" w:fill="D9D9D9"/>
            <w:vAlign w:val="center"/>
          </w:tcPr>
          <w:p>
            <w:pPr>
              <w:jc w:val="center"/>
              <w:rPr>
                <w:b/>
                <w:color w:val="000000"/>
                <w:sz w:val="18"/>
                <w:szCs w:val="18"/>
              </w:rPr>
            </w:pPr>
            <w:r>
              <w:rPr>
                <w:rFonts w:hint="eastAsia"/>
                <w:b/>
                <w:color w:val="000000"/>
                <w:sz w:val="18"/>
                <w:szCs w:val="18"/>
              </w:rPr>
              <w:t>小计</w:t>
            </w:r>
          </w:p>
        </w:tc>
        <w:tc>
          <w:tcPr>
            <w:tcW w:w="955" w:type="dxa"/>
            <w:shd w:val="clear" w:color="auto" w:fill="D9D9D9"/>
            <w:vAlign w:val="center"/>
          </w:tcPr>
          <w:p>
            <w:pPr>
              <w:jc w:val="center"/>
              <w:rPr>
                <w:b/>
                <w:color w:val="000000"/>
                <w:sz w:val="18"/>
                <w:szCs w:val="18"/>
              </w:rPr>
            </w:pPr>
            <w:r>
              <w:rPr>
                <w:b/>
                <w:color w:val="000000"/>
                <w:sz w:val="18"/>
                <w:szCs w:val="18"/>
              </w:rPr>
              <w:t>支撑课程目标</w:t>
            </w:r>
          </w:p>
        </w:tc>
        <w:tc>
          <w:tcPr>
            <w:tcW w:w="1259" w:type="dxa"/>
            <w:shd w:val="clear" w:color="auto" w:fill="D9D9D9"/>
            <w:vAlign w:val="center"/>
          </w:tcPr>
          <w:p>
            <w:pPr>
              <w:jc w:val="center"/>
              <w:rPr>
                <w:b/>
                <w:color w:val="000000"/>
                <w:sz w:val="18"/>
                <w:szCs w:val="18"/>
              </w:rPr>
            </w:pPr>
            <w:r>
              <w:rPr>
                <w:b/>
                <w:color w:val="000000"/>
                <w:sz w:val="18"/>
                <w:szCs w:val="18"/>
              </w:rPr>
              <w:t>支撑的毕业要求指标点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280" w:lineRule="exact"/>
              <w:jc w:val="center"/>
              <w:rPr>
                <w:sz w:val="18"/>
                <w:szCs w:val="18"/>
              </w:rPr>
            </w:pPr>
            <w:r>
              <w:rPr>
                <w:sz w:val="18"/>
                <w:szCs w:val="18"/>
              </w:rPr>
              <w:t>第1章</w:t>
            </w:r>
          </w:p>
        </w:tc>
        <w:tc>
          <w:tcPr>
            <w:tcW w:w="7756" w:type="dxa"/>
          </w:tcPr>
          <w:p>
            <w:pPr>
              <w:spacing w:line="280" w:lineRule="exact"/>
              <w:rPr>
                <w:rFonts w:hint="eastAsia"/>
                <w:b/>
                <w:bCs/>
                <w:color w:val="000000"/>
                <w:sz w:val="18"/>
                <w:szCs w:val="18"/>
              </w:rPr>
            </w:pPr>
            <w:r>
              <w:rPr>
                <w:rFonts w:hint="eastAsia"/>
                <w:b/>
                <w:bCs/>
                <w:color w:val="000000"/>
                <w:sz w:val="18"/>
                <w:szCs w:val="18"/>
              </w:rPr>
              <w:t xml:space="preserve">1  </w:t>
            </w:r>
            <w:r>
              <w:rPr>
                <w:b/>
                <w:bCs/>
                <w:color w:val="000000"/>
                <w:sz w:val="18"/>
                <w:szCs w:val="18"/>
              </w:rPr>
              <w:t>绪论</w:t>
            </w:r>
          </w:p>
          <w:p>
            <w:pPr>
              <w:spacing w:line="280" w:lineRule="exact"/>
              <w:ind w:firstLine="180" w:firstLineChars="100"/>
              <w:rPr>
                <w:color w:val="000000"/>
                <w:sz w:val="18"/>
                <w:szCs w:val="18"/>
              </w:rPr>
            </w:pPr>
            <w:r>
              <w:rPr>
                <w:color w:val="000000"/>
                <w:sz w:val="18"/>
                <w:szCs w:val="18"/>
              </w:rPr>
              <w:t>1.1</w:t>
            </w:r>
            <w:r>
              <w:rPr>
                <w:rFonts w:hint="eastAsia"/>
                <w:color w:val="000000"/>
                <w:sz w:val="18"/>
                <w:szCs w:val="18"/>
              </w:rPr>
              <w:t>传统模拟传感器技术的发展现状；</w:t>
            </w:r>
          </w:p>
          <w:p>
            <w:pPr>
              <w:spacing w:line="280" w:lineRule="exact"/>
              <w:ind w:firstLine="180" w:firstLineChars="100"/>
              <w:rPr>
                <w:color w:val="000000"/>
                <w:sz w:val="18"/>
                <w:szCs w:val="18"/>
              </w:rPr>
            </w:pPr>
            <w:r>
              <w:rPr>
                <w:color w:val="000000"/>
                <w:sz w:val="18"/>
                <w:szCs w:val="18"/>
              </w:rPr>
              <w:t>1.2</w:t>
            </w:r>
            <w:r>
              <w:rPr>
                <w:rFonts w:hint="eastAsia"/>
                <w:color w:val="000000"/>
                <w:sz w:val="18"/>
                <w:szCs w:val="18"/>
              </w:rPr>
              <w:t>基于现场总线的智能传感技术及接口多样化带来的问题；</w:t>
            </w:r>
          </w:p>
          <w:p>
            <w:pPr>
              <w:spacing w:line="280" w:lineRule="exact"/>
              <w:ind w:firstLine="180" w:firstLineChars="100"/>
              <w:rPr>
                <w:color w:val="000000"/>
                <w:sz w:val="18"/>
                <w:szCs w:val="18"/>
              </w:rPr>
            </w:pPr>
            <w:r>
              <w:rPr>
                <w:color w:val="000000"/>
                <w:sz w:val="18"/>
                <w:szCs w:val="18"/>
              </w:rPr>
              <w:t>1.</w:t>
            </w:r>
            <w:r>
              <w:rPr>
                <w:rFonts w:hint="eastAsia"/>
                <w:color w:val="000000"/>
                <w:sz w:val="18"/>
                <w:szCs w:val="18"/>
              </w:rPr>
              <w:t xml:space="preserve">3 </w:t>
            </w:r>
            <w:r>
              <w:rPr>
                <w:color w:val="000000"/>
                <w:sz w:val="18"/>
                <w:szCs w:val="18"/>
              </w:rPr>
              <w:t>IEEE</w:t>
            </w:r>
            <w:r>
              <w:rPr>
                <w:rFonts w:hint="eastAsia"/>
                <w:color w:val="000000"/>
                <w:sz w:val="18"/>
                <w:szCs w:val="18"/>
              </w:rPr>
              <w:t xml:space="preserve"> </w:t>
            </w:r>
            <w:r>
              <w:rPr>
                <w:color w:val="000000"/>
                <w:sz w:val="18"/>
                <w:szCs w:val="18"/>
              </w:rPr>
              <w:t>145</w:t>
            </w:r>
            <w:r>
              <w:rPr>
                <w:rFonts w:hint="eastAsia"/>
                <w:color w:val="000000"/>
                <w:sz w:val="18"/>
                <w:szCs w:val="18"/>
              </w:rPr>
              <w:t>1标准网络化智能传感器国内外研究现状。</w:t>
            </w:r>
          </w:p>
        </w:tc>
        <w:tc>
          <w:tcPr>
            <w:tcW w:w="682" w:type="dxa"/>
            <w:vAlign w:val="center"/>
          </w:tcPr>
          <w:p>
            <w:pPr>
              <w:spacing w:line="280" w:lineRule="exact"/>
              <w:jc w:val="center"/>
              <w:rPr>
                <w:rFonts w:cs="Calibri"/>
                <w:b/>
                <w:color w:val="000000"/>
                <w:sz w:val="18"/>
                <w:szCs w:val="18"/>
              </w:rPr>
            </w:pPr>
            <w:r>
              <w:rPr>
                <w:rFonts w:hint="eastAsia" w:cs="Calibri"/>
                <w:b/>
                <w:color w:val="000000"/>
                <w:sz w:val="18"/>
                <w:szCs w:val="18"/>
              </w:rPr>
              <w:t>2</w:t>
            </w:r>
          </w:p>
        </w:tc>
        <w:tc>
          <w:tcPr>
            <w:tcW w:w="682" w:type="dxa"/>
            <w:vAlign w:val="center"/>
          </w:tcPr>
          <w:p>
            <w:pPr>
              <w:spacing w:line="280" w:lineRule="exact"/>
              <w:jc w:val="center"/>
              <w:rPr>
                <w:rFonts w:cs="Calibri"/>
                <w:b/>
                <w:color w:val="000000"/>
                <w:sz w:val="18"/>
                <w:szCs w:val="18"/>
              </w:rPr>
            </w:pPr>
            <w:r>
              <w:rPr>
                <w:rFonts w:hint="eastAsia" w:cs="Calibri"/>
                <w:b/>
                <w:color w:val="000000"/>
                <w:sz w:val="18"/>
                <w:szCs w:val="18"/>
              </w:rPr>
              <w:t>0</w:t>
            </w:r>
          </w:p>
        </w:tc>
        <w:tc>
          <w:tcPr>
            <w:tcW w:w="602" w:type="dxa"/>
            <w:vAlign w:val="center"/>
          </w:tcPr>
          <w:p>
            <w:pPr>
              <w:spacing w:line="280" w:lineRule="exact"/>
              <w:jc w:val="center"/>
              <w:rPr>
                <w:rFonts w:cs="Calibri"/>
                <w:b/>
                <w:color w:val="000000"/>
                <w:sz w:val="18"/>
                <w:szCs w:val="18"/>
              </w:rPr>
            </w:pPr>
            <w:r>
              <w:rPr>
                <w:rFonts w:hint="eastAsia" w:cs="Calibri"/>
                <w:b/>
                <w:color w:val="000000"/>
                <w:sz w:val="18"/>
                <w:szCs w:val="18"/>
              </w:rPr>
              <w:t>2</w:t>
            </w:r>
          </w:p>
        </w:tc>
        <w:tc>
          <w:tcPr>
            <w:tcW w:w="955" w:type="dxa"/>
            <w:vAlign w:val="center"/>
          </w:tcPr>
          <w:p>
            <w:pPr>
              <w:spacing w:line="280" w:lineRule="exact"/>
              <w:jc w:val="center"/>
              <w:rPr>
                <w:rFonts w:cs="Calibri"/>
                <w:b/>
                <w:color w:val="000000"/>
                <w:sz w:val="18"/>
                <w:szCs w:val="18"/>
              </w:rPr>
            </w:pPr>
            <w:r>
              <w:rPr>
                <w:rFonts w:hint="eastAsia" w:cs="Calibri"/>
                <w:b/>
                <w:color w:val="000000"/>
                <w:sz w:val="18"/>
                <w:szCs w:val="18"/>
              </w:rPr>
              <w:t>1</w:t>
            </w:r>
          </w:p>
        </w:tc>
        <w:tc>
          <w:tcPr>
            <w:tcW w:w="1259" w:type="dxa"/>
            <w:vAlign w:val="center"/>
          </w:tcPr>
          <w:p>
            <w:pPr>
              <w:spacing w:line="280" w:lineRule="exact"/>
              <w:jc w:val="center"/>
              <w:rPr>
                <w:rFonts w:cs="Calibri"/>
                <w:b/>
                <w:color w:val="000000"/>
                <w:sz w:val="18"/>
                <w:szCs w:val="18"/>
              </w:rPr>
            </w:pPr>
            <w:r>
              <w:rPr>
                <w:rFonts w:hint="eastAsia" w:cs="Calibri"/>
                <w:b/>
                <w:color w:val="000000"/>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280" w:lineRule="exact"/>
              <w:jc w:val="center"/>
              <w:rPr>
                <w:sz w:val="18"/>
                <w:szCs w:val="18"/>
              </w:rPr>
            </w:pPr>
            <w:r>
              <w:rPr>
                <w:sz w:val="18"/>
                <w:szCs w:val="18"/>
              </w:rPr>
              <w:t>第2章</w:t>
            </w:r>
          </w:p>
        </w:tc>
        <w:tc>
          <w:tcPr>
            <w:tcW w:w="7756" w:type="dxa"/>
          </w:tcPr>
          <w:p>
            <w:pPr>
              <w:spacing w:line="280" w:lineRule="exact"/>
              <w:rPr>
                <w:rFonts w:hint="eastAsia"/>
                <w:b/>
                <w:bCs/>
                <w:color w:val="000000"/>
                <w:sz w:val="18"/>
                <w:szCs w:val="18"/>
              </w:rPr>
            </w:pPr>
            <w:r>
              <w:rPr>
                <w:rFonts w:hint="eastAsia"/>
                <w:b/>
                <w:bCs/>
                <w:color w:val="000000"/>
                <w:sz w:val="18"/>
                <w:szCs w:val="18"/>
              </w:rPr>
              <w:t>2  网络化智能传感器接口标准</w:t>
            </w:r>
          </w:p>
          <w:p>
            <w:pPr>
              <w:spacing w:line="280" w:lineRule="exact"/>
              <w:ind w:firstLine="180" w:firstLineChars="100"/>
              <w:rPr>
                <w:color w:val="000000"/>
                <w:sz w:val="18"/>
                <w:szCs w:val="18"/>
              </w:rPr>
            </w:pPr>
            <w:r>
              <w:rPr>
                <w:color w:val="000000"/>
                <w:sz w:val="18"/>
                <w:szCs w:val="18"/>
              </w:rPr>
              <w:t>2.1</w:t>
            </w:r>
            <w:r>
              <w:rPr>
                <w:rFonts w:hint="eastAsia"/>
                <w:color w:val="000000"/>
                <w:sz w:val="18"/>
                <w:szCs w:val="18"/>
              </w:rPr>
              <w:t xml:space="preserve"> </w:t>
            </w:r>
            <w:r>
              <w:rPr>
                <w:color w:val="000000"/>
                <w:sz w:val="18"/>
                <w:szCs w:val="18"/>
              </w:rPr>
              <w:t>IEEE</w:t>
            </w:r>
            <w:r>
              <w:rPr>
                <w:rFonts w:hint="eastAsia"/>
                <w:color w:val="000000"/>
                <w:sz w:val="18"/>
                <w:szCs w:val="18"/>
              </w:rPr>
              <w:t xml:space="preserve"> </w:t>
            </w:r>
            <w:r>
              <w:rPr>
                <w:color w:val="000000"/>
                <w:sz w:val="18"/>
                <w:szCs w:val="18"/>
              </w:rPr>
              <w:t xml:space="preserve">1451 </w:t>
            </w:r>
            <w:r>
              <w:rPr>
                <w:rFonts w:hint="eastAsia"/>
                <w:color w:val="000000"/>
                <w:sz w:val="18"/>
                <w:szCs w:val="18"/>
              </w:rPr>
              <w:t>网络化智能传感器标准概述；</w:t>
            </w:r>
          </w:p>
          <w:p>
            <w:pPr>
              <w:spacing w:line="280" w:lineRule="exact"/>
              <w:ind w:firstLine="180" w:firstLineChars="100"/>
              <w:rPr>
                <w:rFonts w:hint="eastAsia"/>
                <w:color w:val="000000"/>
                <w:sz w:val="18"/>
                <w:szCs w:val="18"/>
              </w:rPr>
            </w:pPr>
            <w:r>
              <w:rPr>
                <w:color w:val="000000"/>
                <w:sz w:val="18"/>
                <w:szCs w:val="18"/>
              </w:rPr>
              <w:t>2.2</w:t>
            </w:r>
            <w:r>
              <w:rPr>
                <w:rFonts w:hint="eastAsia"/>
                <w:color w:val="000000"/>
                <w:sz w:val="18"/>
                <w:szCs w:val="18"/>
              </w:rPr>
              <w:t xml:space="preserve"> </w:t>
            </w:r>
            <w:r>
              <w:rPr>
                <w:color w:val="000000"/>
                <w:sz w:val="18"/>
                <w:szCs w:val="18"/>
              </w:rPr>
              <w:t xml:space="preserve">IEEE1451 </w:t>
            </w:r>
            <w:r>
              <w:rPr>
                <w:rFonts w:hint="eastAsia"/>
                <w:color w:val="000000"/>
                <w:sz w:val="18"/>
                <w:szCs w:val="18"/>
              </w:rPr>
              <w:t>标准智能变送器STIM；</w:t>
            </w:r>
          </w:p>
          <w:p>
            <w:pPr>
              <w:spacing w:line="280" w:lineRule="exact"/>
              <w:ind w:firstLine="180" w:firstLineChars="100"/>
              <w:rPr>
                <w:color w:val="000000"/>
                <w:sz w:val="18"/>
                <w:szCs w:val="18"/>
              </w:rPr>
            </w:pPr>
            <w:r>
              <w:rPr>
                <w:color w:val="000000"/>
                <w:sz w:val="18"/>
                <w:szCs w:val="18"/>
              </w:rPr>
              <w:t>2.</w:t>
            </w:r>
            <w:r>
              <w:rPr>
                <w:rFonts w:hint="eastAsia"/>
                <w:color w:val="000000"/>
                <w:sz w:val="18"/>
                <w:szCs w:val="18"/>
              </w:rPr>
              <w:t>3变送器独立接口TII协议；</w:t>
            </w:r>
          </w:p>
          <w:p>
            <w:pPr>
              <w:spacing w:line="280" w:lineRule="exact"/>
              <w:ind w:firstLine="180" w:firstLineChars="100"/>
              <w:rPr>
                <w:rFonts w:hint="eastAsia"/>
                <w:color w:val="000000"/>
                <w:sz w:val="18"/>
                <w:szCs w:val="18"/>
              </w:rPr>
            </w:pPr>
            <w:r>
              <w:rPr>
                <w:color w:val="000000"/>
                <w:sz w:val="18"/>
                <w:szCs w:val="18"/>
              </w:rPr>
              <w:t>2.</w:t>
            </w:r>
            <w:r>
              <w:rPr>
                <w:rFonts w:hint="eastAsia"/>
                <w:color w:val="000000"/>
                <w:sz w:val="18"/>
                <w:szCs w:val="18"/>
              </w:rPr>
              <w:t>4 TEDS电子数据表格；</w:t>
            </w:r>
          </w:p>
          <w:p>
            <w:pPr>
              <w:spacing w:line="280" w:lineRule="exact"/>
              <w:ind w:firstLine="180" w:firstLineChars="100"/>
              <w:rPr>
                <w:rFonts w:hint="eastAsia"/>
                <w:color w:val="000000"/>
                <w:sz w:val="18"/>
                <w:szCs w:val="18"/>
              </w:rPr>
            </w:pPr>
            <w:r>
              <w:rPr>
                <w:color w:val="000000"/>
                <w:sz w:val="18"/>
                <w:szCs w:val="18"/>
              </w:rPr>
              <w:t>2.</w:t>
            </w:r>
            <w:r>
              <w:rPr>
                <w:rFonts w:hint="eastAsia"/>
                <w:color w:val="000000"/>
                <w:sz w:val="18"/>
                <w:szCs w:val="18"/>
              </w:rPr>
              <w:t xml:space="preserve">5 </w:t>
            </w:r>
            <w:r>
              <w:rPr>
                <w:color w:val="000000"/>
                <w:sz w:val="18"/>
                <w:szCs w:val="18"/>
              </w:rPr>
              <w:t>IEEE1451</w:t>
            </w:r>
            <w:r>
              <w:rPr>
                <w:rFonts w:hint="eastAsia"/>
                <w:color w:val="000000"/>
                <w:sz w:val="18"/>
                <w:szCs w:val="18"/>
              </w:rPr>
              <w:t>网络适配器NCAP的概念与模型；</w:t>
            </w:r>
          </w:p>
          <w:p>
            <w:pPr>
              <w:spacing w:line="280" w:lineRule="exact"/>
              <w:ind w:firstLine="180" w:firstLineChars="100"/>
              <w:rPr>
                <w:rFonts w:hint="eastAsia"/>
                <w:color w:val="000000"/>
                <w:sz w:val="18"/>
                <w:szCs w:val="18"/>
              </w:rPr>
            </w:pPr>
            <w:r>
              <w:rPr>
                <w:color w:val="000000"/>
                <w:sz w:val="18"/>
                <w:szCs w:val="18"/>
              </w:rPr>
              <w:t>2.</w:t>
            </w:r>
            <w:r>
              <w:rPr>
                <w:rFonts w:hint="eastAsia"/>
                <w:color w:val="000000"/>
                <w:sz w:val="18"/>
                <w:szCs w:val="18"/>
              </w:rPr>
              <w:t>6基于总线技术的NCAP接口设计；</w:t>
            </w:r>
          </w:p>
          <w:p>
            <w:pPr>
              <w:spacing w:line="280" w:lineRule="exact"/>
              <w:ind w:firstLine="180" w:firstLineChars="100"/>
              <w:rPr>
                <w:rFonts w:hint="eastAsia"/>
                <w:color w:val="000000"/>
                <w:sz w:val="18"/>
                <w:szCs w:val="18"/>
              </w:rPr>
            </w:pPr>
            <w:r>
              <w:rPr>
                <w:rFonts w:hint="eastAsia"/>
                <w:color w:val="000000"/>
                <w:sz w:val="18"/>
                <w:szCs w:val="18"/>
              </w:rPr>
              <w:t xml:space="preserve">重点： </w:t>
            </w:r>
            <w:r>
              <w:rPr>
                <w:color w:val="000000"/>
                <w:sz w:val="18"/>
                <w:szCs w:val="18"/>
              </w:rPr>
              <w:t xml:space="preserve">IEEE1451 </w:t>
            </w:r>
            <w:r>
              <w:rPr>
                <w:rFonts w:hint="eastAsia"/>
                <w:color w:val="000000"/>
                <w:sz w:val="18"/>
                <w:szCs w:val="18"/>
              </w:rPr>
              <w:t>标准智能变送器STIM、 TEDS电子数据表格、</w:t>
            </w:r>
            <w:r>
              <w:rPr>
                <w:color w:val="000000"/>
                <w:sz w:val="18"/>
                <w:szCs w:val="18"/>
              </w:rPr>
              <w:t>IEEE1451</w:t>
            </w:r>
            <w:r>
              <w:rPr>
                <w:rFonts w:hint="eastAsia"/>
                <w:color w:val="000000"/>
                <w:sz w:val="18"/>
                <w:szCs w:val="18"/>
              </w:rPr>
              <w:t>网络适配器NCAP的概念与模型。</w:t>
            </w:r>
          </w:p>
          <w:p>
            <w:pPr>
              <w:spacing w:line="280" w:lineRule="exact"/>
              <w:ind w:firstLine="180" w:firstLineChars="100"/>
              <w:rPr>
                <w:rFonts w:hint="eastAsia"/>
                <w:color w:val="000000"/>
                <w:sz w:val="18"/>
                <w:szCs w:val="18"/>
              </w:rPr>
            </w:pPr>
            <w:r>
              <w:rPr>
                <w:color w:val="000000"/>
                <w:sz w:val="18"/>
                <w:szCs w:val="18"/>
              </w:rPr>
              <w:t>难点</w:t>
            </w:r>
            <w:r>
              <w:rPr>
                <w:rFonts w:hint="eastAsia"/>
                <w:color w:val="000000"/>
                <w:sz w:val="18"/>
                <w:szCs w:val="18"/>
              </w:rPr>
              <w:t>：基于总线技术的NCAP接口设计。</w:t>
            </w:r>
          </w:p>
        </w:tc>
        <w:tc>
          <w:tcPr>
            <w:tcW w:w="682" w:type="dxa"/>
            <w:vAlign w:val="center"/>
          </w:tcPr>
          <w:p>
            <w:pPr>
              <w:spacing w:line="280" w:lineRule="exact"/>
              <w:jc w:val="center"/>
              <w:rPr>
                <w:rFonts w:cs="Calibri"/>
                <w:b/>
                <w:color w:val="000000"/>
                <w:sz w:val="18"/>
                <w:szCs w:val="18"/>
              </w:rPr>
            </w:pPr>
            <w:r>
              <w:rPr>
                <w:rFonts w:hint="eastAsia" w:cs="Calibri"/>
                <w:b/>
                <w:color w:val="000000"/>
                <w:sz w:val="18"/>
                <w:szCs w:val="18"/>
              </w:rPr>
              <w:t>6</w:t>
            </w:r>
          </w:p>
        </w:tc>
        <w:tc>
          <w:tcPr>
            <w:tcW w:w="682" w:type="dxa"/>
            <w:vAlign w:val="center"/>
          </w:tcPr>
          <w:p>
            <w:pPr>
              <w:spacing w:line="280" w:lineRule="exact"/>
              <w:jc w:val="center"/>
              <w:rPr>
                <w:rFonts w:cs="Calibri"/>
                <w:b/>
                <w:color w:val="000000"/>
                <w:sz w:val="18"/>
                <w:szCs w:val="18"/>
              </w:rPr>
            </w:pPr>
            <w:r>
              <w:rPr>
                <w:rFonts w:hint="eastAsia" w:cs="Calibri"/>
                <w:b/>
                <w:color w:val="000000"/>
                <w:sz w:val="18"/>
                <w:szCs w:val="18"/>
              </w:rPr>
              <w:t>0</w:t>
            </w:r>
          </w:p>
        </w:tc>
        <w:tc>
          <w:tcPr>
            <w:tcW w:w="602" w:type="dxa"/>
            <w:vAlign w:val="center"/>
          </w:tcPr>
          <w:p>
            <w:pPr>
              <w:spacing w:line="280" w:lineRule="exact"/>
              <w:jc w:val="center"/>
              <w:rPr>
                <w:rFonts w:cs="Calibri"/>
                <w:b/>
                <w:color w:val="000000"/>
                <w:sz w:val="18"/>
                <w:szCs w:val="18"/>
              </w:rPr>
            </w:pPr>
            <w:r>
              <w:rPr>
                <w:rFonts w:hint="eastAsia" w:cs="Calibri"/>
                <w:b/>
                <w:color w:val="000000"/>
                <w:sz w:val="18"/>
                <w:szCs w:val="18"/>
              </w:rPr>
              <w:t>6</w:t>
            </w:r>
          </w:p>
        </w:tc>
        <w:tc>
          <w:tcPr>
            <w:tcW w:w="955" w:type="dxa"/>
            <w:vAlign w:val="center"/>
          </w:tcPr>
          <w:p>
            <w:pPr>
              <w:spacing w:line="280" w:lineRule="exact"/>
              <w:jc w:val="center"/>
              <w:rPr>
                <w:rFonts w:hint="eastAsia" w:cs="Calibri"/>
                <w:b/>
                <w:color w:val="000000"/>
                <w:sz w:val="18"/>
                <w:szCs w:val="18"/>
              </w:rPr>
            </w:pPr>
            <w:r>
              <w:rPr>
                <w:rFonts w:hint="eastAsia" w:cs="Calibri"/>
                <w:b/>
                <w:color w:val="000000"/>
                <w:sz w:val="18"/>
                <w:szCs w:val="18"/>
              </w:rPr>
              <w:t>2</w:t>
            </w:r>
          </w:p>
        </w:tc>
        <w:tc>
          <w:tcPr>
            <w:tcW w:w="1259" w:type="dxa"/>
            <w:vAlign w:val="center"/>
          </w:tcPr>
          <w:p>
            <w:pPr>
              <w:spacing w:line="280" w:lineRule="exact"/>
              <w:jc w:val="center"/>
              <w:rPr>
                <w:rFonts w:cs="Calibri"/>
                <w:b/>
                <w:color w:val="000000"/>
                <w:sz w:val="18"/>
                <w:szCs w:val="18"/>
              </w:rPr>
            </w:pPr>
            <w:r>
              <w:rPr>
                <w:b/>
                <w:sz w:val="18"/>
                <w:szCs w:val="18"/>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280" w:lineRule="exact"/>
              <w:jc w:val="center"/>
              <w:rPr>
                <w:sz w:val="18"/>
                <w:szCs w:val="18"/>
              </w:rPr>
            </w:pPr>
            <w:r>
              <w:rPr>
                <w:sz w:val="18"/>
                <w:szCs w:val="18"/>
              </w:rPr>
              <w:t>第3章</w:t>
            </w:r>
          </w:p>
        </w:tc>
        <w:tc>
          <w:tcPr>
            <w:tcW w:w="7756" w:type="dxa"/>
          </w:tcPr>
          <w:p>
            <w:pPr>
              <w:spacing w:line="280" w:lineRule="exact"/>
              <w:rPr>
                <w:rFonts w:hint="eastAsia"/>
                <w:b/>
                <w:bCs/>
                <w:color w:val="000000"/>
                <w:sz w:val="18"/>
                <w:szCs w:val="18"/>
              </w:rPr>
            </w:pPr>
            <w:r>
              <w:rPr>
                <w:rFonts w:hint="eastAsia"/>
                <w:b/>
                <w:bCs/>
                <w:color w:val="000000"/>
                <w:sz w:val="18"/>
                <w:szCs w:val="18"/>
              </w:rPr>
              <w:t>3 智能传感器多点分布式接口设计</w:t>
            </w:r>
          </w:p>
          <w:p>
            <w:pPr>
              <w:spacing w:line="280" w:lineRule="exact"/>
              <w:ind w:firstLine="180" w:firstLineChars="100"/>
              <w:rPr>
                <w:rFonts w:hint="eastAsia"/>
                <w:color w:val="000000"/>
                <w:sz w:val="18"/>
                <w:szCs w:val="18"/>
              </w:rPr>
            </w:pPr>
            <w:r>
              <w:rPr>
                <w:rFonts w:hint="eastAsia"/>
                <w:color w:val="000000"/>
                <w:sz w:val="18"/>
                <w:szCs w:val="18"/>
              </w:rPr>
              <w:t>3.1基于IEEE1451.3 多点分布式接口标准的传感器系统构架；</w:t>
            </w:r>
          </w:p>
          <w:p>
            <w:pPr>
              <w:spacing w:line="280" w:lineRule="exact"/>
              <w:ind w:firstLine="180" w:firstLineChars="100"/>
              <w:rPr>
                <w:rFonts w:hint="eastAsia"/>
                <w:color w:val="000000"/>
                <w:sz w:val="18"/>
                <w:szCs w:val="18"/>
              </w:rPr>
            </w:pPr>
            <w:r>
              <w:rPr>
                <w:rFonts w:hint="eastAsia"/>
                <w:color w:val="000000"/>
                <w:sz w:val="18"/>
                <w:szCs w:val="18"/>
              </w:rPr>
              <w:t>3.2基于总线结构的多点分布式接口的物理层与数据链路层设计；</w:t>
            </w:r>
          </w:p>
          <w:p>
            <w:pPr>
              <w:spacing w:line="280" w:lineRule="exact"/>
              <w:ind w:firstLine="180" w:firstLineChars="100"/>
              <w:rPr>
                <w:rFonts w:hint="eastAsia"/>
                <w:color w:val="000000"/>
                <w:sz w:val="18"/>
                <w:szCs w:val="18"/>
              </w:rPr>
            </w:pPr>
            <w:r>
              <w:rPr>
                <w:rFonts w:hint="eastAsia"/>
                <w:color w:val="000000"/>
                <w:sz w:val="18"/>
                <w:szCs w:val="18"/>
              </w:rPr>
              <w:t>重点：基于总线结构的多点分布式接口的物理层与数据链路层设计。</w:t>
            </w:r>
          </w:p>
        </w:tc>
        <w:tc>
          <w:tcPr>
            <w:tcW w:w="682" w:type="dxa"/>
            <w:vAlign w:val="center"/>
          </w:tcPr>
          <w:p>
            <w:pPr>
              <w:spacing w:line="280" w:lineRule="exact"/>
              <w:jc w:val="center"/>
              <w:rPr>
                <w:rFonts w:cs="Calibri"/>
                <w:b/>
                <w:color w:val="000000"/>
                <w:sz w:val="18"/>
                <w:szCs w:val="18"/>
              </w:rPr>
            </w:pPr>
            <w:r>
              <w:rPr>
                <w:rFonts w:hint="eastAsia" w:cs="Calibri"/>
                <w:b/>
                <w:color w:val="000000"/>
                <w:sz w:val="18"/>
                <w:szCs w:val="18"/>
              </w:rPr>
              <w:t>2</w:t>
            </w:r>
          </w:p>
        </w:tc>
        <w:tc>
          <w:tcPr>
            <w:tcW w:w="682" w:type="dxa"/>
            <w:vAlign w:val="center"/>
          </w:tcPr>
          <w:p>
            <w:pPr>
              <w:spacing w:line="280" w:lineRule="exact"/>
              <w:jc w:val="center"/>
              <w:rPr>
                <w:rFonts w:cs="Calibri"/>
                <w:b/>
                <w:color w:val="000000"/>
                <w:sz w:val="18"/>
                <w:szCs w:val="18"/>
              </w:rPr>
            </w:pPr>
            <w:r>
              <w:rPr>
                <w:rFonts w:hint="eastAsia" w:cs="Calibri"/>
                <w:b/>
                <w:color w:val="000000"/>
                <w:sz w:val="18"/>
                <w:szCs w:val="18"/>
              </w:rPr>
              <w:t>0</w:t>
            </w:r>
          </w:p>
        </w:tc>
        <w:tc>
          <w:tcPr>
            <w:tcW w:w="602" w:type="dxa"/>
            <w:vAlign w:val="center"/>
          </w:tcPr>
          <w:p>
            <w:pPr>
              <w:spacing w:line="280" w:lineRule="exact"/>
              <w:jc w:val="center"/>
              <w:rPr>
                <w:rFonts w:cs="Calibri"/>
                <w:b/>
                <w:color w:val="000000"/>
                <w:sz w:val="18"/>
                <w:szCs w:val="18"/>
              </w:rPr>
            </w:pPr>
            <w:r>
              <w:rPr>
                <w:rFonts w:hint="eastAsia" w:cs="Calibri"/>
                <w:b/>
                <w:color w:val="000000"/>
                <w:sz w:val="18"/>
                <w:szCs w:val="18"/>
              </w:rPr>
              <w:t>2</w:t>
            </w:r>
          </w:p>
        </w:tc>
        <w:tc>
          <w:tcPr>
            <w:tcW w:w="955" w:type="dxa"/>
            <w:vAlign w:val="center"/>
          </w:tcPr>
          <w:p>
            <w:pPr>
              <w:spacing w:line="280" w:lineRule="exact"/>
              <w:jc w:val="center"/>
              <w:rPr>
                <w:rFonts w:cs="Calibri"/>
                <w:b/>
                <w:color w:val="000000"/>
                <w:sz w:val="18"/>
                <w:szCs w:val="18"/>
              </w:rPr>
            </w:pPr>
            <w:r>
              <w:rPr>
                <w:rFonts w:hint="eastAsia" w:cs="Calibri"/>
                <w:b/>
                <w:color w:val="000000"/>
                <w:sz w:val="18"/>
                <w:szCs w:val="18"/>
              </w:rPr>
              <w:t>2</w:t>
            </w:r>
          </w:p>
        </w:tc>
        <w:tc>
          <w:tcPr>
            <w:tcW w:w="1259" w:type="dxa"/>
            <w:vAlign w:val="center"/>
          </w:tcPr>
          <w:p>
            <w:pPr>
              <w:spacing w:line="280" w:lineRule="exact"/>
              <w:jc w:val="center"/>
              <w:rPr>
                <w:rFonts w:cs="Calibri"/>
                <w:b/>
                <w:color w:val="000000"/>
                <w:sz w:val="18"/>
                <w:szCs w:val="18"/>
              </w:rPr>
            </w:pPr>
            <w:r>
              <w:rPr>
                <w:b/>
                <w:sz w:val="18"/>
                <w:szCs w:val="18"/>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280" w:lineRule="exact"/>
              <w:jc w:val="center"/>
              <w:rPr>
                <w:sz w:val="18"/>
                <w:szCs w:val="18"/>
              </w:rPr>
            </w:pPr>
            <w:r>
              <w:rPr>
                <w:sz w:val="18"/>
                <w:szCs w:val="18"/>
              </w:rPr>
              <w:t>第</w:t>
            </w:r>
            <w:r>
              <w:rPr>
                <w:rFonts w:hint="eastAsia"/>
                <w:sz w:val="18"/>
                <w:szCs w:val="18"/>
              </w:rPr>
              <w:t>4</w:t>
            </w:r>
            <w:r>
              <w:rPr>
                <w:sz w:val="18"/>
                <w:szCs w:val="18"/>
              </w:rPr>
              <w:t>章</w:t>
            </w:r>
          </w:p>
        </w:tc>
        <w:tc>
          <w:tcPr>
            <w:tcW w:w="7756" w:type="dxa"/>
          </w:tcPr>
          <w:p>
            <w:pPr>
              <w:spacing w:line="280" w:lineRule="exact"/>
              <w:rPr>
                <w:rFonts w:hint="eastAsia"/>
                <w:b/>
                <w:bCs/>
                <w:color w:val="000000"/>
                <w:sz w:val="18"/>
                <w:szCs w:val="18"/>
              </w:rPr>
            </w:pPr>
            <w:r>
              <w:rPr>
                <w:rFonts w:hint="eastAsia"/>
                <w:b/>
                <w:bCs/>
                <w:color w:val="000000"/>
                <w:sz w:val="18"/>
                <w:szCs w:val="18"/>
              </w:rPr>
              <w:t>4 智能传感器混合模式接口设计</w:t>
            </w:r>
          </w:p>
          <w:p>
            <w:pPr>
              <w:spacing w:line="280" w:lineRule="exact"/>
              <w:ind w:firstLine="180" w:firstLineChars="100"/>
              <w:rPr>
                <w:rFonts w:hint="eastAsia"/>
                <w:color w:val="000000"/>
                <w:sz w:val="18"/>
                <w:szCs w:val="18"/>
              </w:rPr>
            </w:pPr>
            <w:r>
              <w:rPr>
                <w:rFonts w:hint="eastAsia"/>
                <w:color w:val="000000"/>
                <w:sz w:val="18"/>
                <w:szCs w:val="18"/>
              </w:rPr>
              <w:t>4.1基于IEEE1451.4 混合模式接口标准的传感器系统构架；</w:t>
            </w:r>
          </w:p>
          <w:p>
            <w:pPr>
              <w:spacing w:line="280" w:lineRule="exact"/>
              <w:ind w:firstLine="180" w:firstLineChars="100"/>
              <w:rPr>
                <w:rFonts w:hint="eastAsia"/>
                <w:color w:val="000000"/>
                <w:sz w:val="18"/>
                <w:szCs w:val="18"/>
              </w:rPr>
            </w:pPr>
            <w:r>
              <w:rPr>
                <w:rFonts w:hint="eastAsia"/>
                <w:color w:val="000000"/>
                <w:sz w:val="18"/>
                <w:szCs w:val="18"/>
              </w:rPr>
              <w:t>4.2 TEDS存储器接口设计；</w:t>
            </w:r>
          </w:p>
          <w:p>
            <w:pPr>
              <w:spacing w:line="280" w:lineRule="exact"/>
              <w:ind w:firstLine="180" w:firstLineChars="100"/>
              <w:rPr>
                <w:rFonts w:hint="eastAsia"/>
                <w:color w:val="000000"/>
                <w:sz w:val="18"/>
                <w:szCs w:val="18"/>
              </w:rPr>
            </w:pPr>
            <w:r>
              <w:rPr>
                <w:rFonts w:hint="eastAsia"/>
                <w:color w:val="000000"/>
                <w:sz w:val="18"/>
                <w:szCs w:val="18"/>
              </w:rPr>
              <w:t>4.3混合模式接口传感器设计实例（以模拟加速度计数字化为例）；</w:t>
            </w:r>
          </w:p>
          <w:p>
            <w:pPr>
              <w:spacing w:line="280" w:lineRule="exact"/>
              <w:ind w:firstLine="180" w:firstLineChars="100"/>
              <w:rPr>
                <w:rFonts w:hint="eastAsia"/>
                <w:color w:val="000000"/>
                <w:sz w:val="18"/>
                <w:szCs w:val="18"/>
              </w:rPr>
            </w:pPr>
            <w:r>
              <w:rPr>
                <w:rFonts w:hint="eastAsia"/>
                <w:color w:val="000000"/>
                <w:sz w:val="18"/>
                <w:szCs w:val="18"/>
              </w:rPr>
              <w:t>重点：TEDS存储器的接口设计、混合模式接口传感器的设计实例（以模拟加速度计数字化为例）。</w:t>
            </w:r>
          </w:p>
          <w:p>
            <w:pPr>
              <w:spacing w:line="280" w:lineRule="exact"/>
              <w:ind w:firstLine="180" w:firstLineChars="100"/>
              <w:rPr>
                <w:rFonts w:hint="eastAsia"/>
                <w:color w:val="000000"/>
                <w:sz w:val="18"/>
                <w:szCs w:val="18"/>
              </w:rPr>
            </w:pPr>
            <w:r>
              <w:rPr>
                <w:rFonts w:hint="eastAsia"/>
                <w:color w:val="000000"/>
                <w:sz w:val="18"/>
                <w:szCs w:val="18"/>
              </w:rPr>
              <w:t>难点：TEDS存储器接口设计。</w:t>
            </w:r>
          </w:p>
        </w:tc>
        <w:tc>
          <w:tcPr>
            <w:tcW w:w="682" w:type="dxa"/>
            <w:vAlign w:val="center"/>
          </w:tcPr>
          <w:p>
            <w:pPr>
              <w:spacing w:line="280" w:lineRule="exact"/>
              <w:jc w:val="center"/>
              <w:rPr>
                <w:rFonts w:cs="Calibri"/>
                <w:b/>
                <w:color w:val="000000"/>
                <w:sz w:val="18"/>
                <w:szCs w:val="18"/>
              </w:rPr>
            </w:pPr>
            <w:r>
              <w:rPr>
                <w:rFonts w:hint="eastAsia" w:cs="Calibri"/>
                <w:b/>
                <w:color w:val="000000"/>
                <w:sz w:val="18"/>
                <w:szCs w:val="18"/>
              </w:rPr>
              <w:t>4</w:t>
            </w:r>
          </w:p>
        </w:tc>
        <w:tc>
          <w:tcPr>
            <w:tcW w:w="682" w:type="dxa"/>
            <w:vAlign w:val="center"/>
          </w:tcPr>
          <w:p>
            <w:pPr>
              <w:spacing w:line="280" w:lineRule="exact"/>
              <w:jc w:val="center"/>
              <w:rPr>
                <w:rFonts w:cs="Calibri"/>
                <w:b/>
                <w:color w:val="000000"/>
                <w:sz w:val="18"/>
                <w:szCs w:val="18"/>
              </w:rPr>
            </w:pPr>
            <w:r>
              <w:rPr>
                <w:rFonts w:hint="eastAsia" w:cs="Calibri"/>
                <w:b/>
                <w:color w:val="000000"/>
                <w:sz w:val="18"/>
                <w:szCs w:val="18"/>
              </w:rPr>
              <w:t>0</w:t>
            </w:r>
          </w:p>
        </w:tc>
        <w:tc>
          <w:tcPr>
            <w:tcW w:w="602" w:type="dxa"/>
            <w:vAlign w:val="center"/>
          </w:tcPr>
          <w:p>
            <w:pPr>
              <w:spacing w:line="280" w:lineRule="exact"/>
              <w:jc w:val="center"/>
              <w:rPr>
                <w:rFonts w:cs="Calibri"/>
                <w:b/>
                <w:color w:val="000000"/>
                <w:sz w:val="18"/>
                <w:szCs w:val="18"/>
              </w:rPr>
            </w:pPr>
            <w:r>
              <w:rPr>
                <w:rFonts w:hint="eastAsia" w:cs="Calibri"/>
                <w:b/>
                <w:color w:val="000000"/>
                <w:sz w:val="18"/>
                <w:szCs w:val="18"/>
              </w:rPr>
              <w:t>4</w:t>
            </w:r>
          </w:p>
        </w:tc>
        <w:tc>
          <w:tcPr>
            <w:tcW w:w="955" w:type="dxa"/>
            <w:vAlign w:val="center"/>
          </w:tcPr>
          <w:p>
            <w:pPr>
              <w:spacing w:line="280" w:lineRule="exact"/>
              <w:jc w:val="center"/>
              <w:rPr>
                <w:rFonts w:cs="Calibri"/>
                <w:b/>
                <w:color w:val="000000"/>
                <w:sz w:val="18"/>
                <w:szCs w:val="18"/>
              </w:rPr>
            </w:pPr>
            <w:r>
              <w:rPr>
                <w:rFonts w:hint="eastAsia" w:cs="Calibri"/>
                <w:b/>
                <w:color w:val="000000"/>
                <w:sz w:val="18"/>
                <w:szCs w:val="18"/>
              </w:rPr>
              <w:t>2</w:t>
            </w:r>
          </w:p>
        </w:tc>
        <w:tc>
          <w:tcPr>
            <w:tcW w:w="1259" w:type="dxa"/>
            <w:vAlign w:val="center"/>
          </w:tcPr>
          <w:p>
            <w:pPr>
              <w:spacing w:line="280" w:lineRule="exact"/>
              <w:jc w:val="center"/>
              <w:rPr>
                <w:rFonts w:cs="Calibri"/>
                <w:b/>
                <w:color w:val="000000"/>
                <w:sz w:val="18"/>
                <w:szCs w:val="18"/>
              </w:rPr>
            </w:pPr>
            <w:r>
              <w:rPr>
                <w:b/>
                <w:sz w:val="18"/>
                <w:szCs w:val="18"/>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280" w:lineRule="exact"/>
              <w:jc w:val="center"/>
              <w:rPr>
                <w:sz w:val="18"/>
                <w:szCs w:val="18"/>
              </w:rPr>
            </w:pPr>
            <w:r>
              <w:rPr>
                <w:sz w:val="18"/>
                <w:szCs w:val="18"/>
              </w:rPr>
              <w:t>第</w:t>
            </w:r>
            <w:r>
              <w:rPr>
                <w:rFonts w:hint="eastAsia"/>
                <w:sz w:val="18"/>
                <w:szCs w:val="18"/>
              </w:rPr>
              <w:t>5</w:t>
            </w:r>
            <w:r>
              <w:rPr>
                <w:sz w:val="18"/>
                <w:szCs w:val="18"/>
              </w:rPr>
              <w:t>章</w:t>
            </w:r>
          </w:p>
        </w:tc>
        <w:tc>
          <w:tcPr>
            <w:tcW w:w="7756" w:type="dxa"/>
          </w:tcPr>
          <w:p>
            <w:pPr>
              <w:spacing w:line="280" w:lineRule="exact"/>
              <w:rPr>
                <w:rFonts w:hint="eastAsia"/>
                <w:b/>
                <w:bCs/>
                <w:color w:val="000000"/>
                <w:sz w:val="18"/>
                <w:szCs w:val="18"/>
              </w:rPr>
            </w:pPr>
            <w:r>
              <w:rPr>
                <w:rFonts w:hint="eastAsia"/>
                <w:b/>
                <w:bCs/>
                <w:color w:val="000000"/>
                <w:sz w:val="18"/>
                <w:szCs w:val="18"/>
              </w:rPr>
              <w:t>5 智能传感器无线接口标准设计</w:t>
            </w:r>
          </w:p>
          <w:p>
            <w:pPr>
              <w:spacing w:line="280" w:lineRule="exact"/>
              <w:ind w:firstLine="180" w:firstLineChars="100"/>
              <w:rPr>
                <w:rFonts w:hint="eastAsia"/>
                <w:color w:val="000000"/>
                <w:sz w:val="18"/>
                <w:szCs w:val="18"/>
              </w:rPr>
            </w:pPr>
            <w:r>
              <w:rPr>
                <w:rFonts w:hint="eastAsia"/>
                <w:color w:val="000000"/>
                <w:sz w:val="18"/>
                <w:szCs w:val="18"/>
              </w:rPr>
              <w:t>5.1基于IEEE 1451.5接口标准的传感器无线互联系统构架；</w:t>
            </w:r>
          </w:p>
          <w:p>
            <w:pPr>
              <w:spacing w:line="280" w:lineRule="exact"/>
              <w:ind w:firstLine="180" w:firstLineChars="100"/>
              <w:rPr>
                <w:rFonts w:hint="eastAsia"/>
                <w:color w:val="000000"/>
                <w:sz w:val="18"/>
                <w:szCs w:val="18"/>
              </w:rPr>
            </w:pPr>
            <w:r>
              <w:rPr>
                <w:rFonts w:hint="eastAsia"/>
                <w:color w:val="000000"/>
                <w:sz w:val="18"/>
                <w:szCs w:val="18"/>
              </w:rPr>
              <w:t>5.2基于Zigbee技术的无线智能变送器WTIM与NCAP的无线接口设计；</w:t>
            </w:r>
          </w:p>
          <w:p>
            <w:pPr>
              <w:spacing w:line="280" w:lineRule="exact"/>
              <w:ind w:firstLine="180" w:firstLineChars="100"/>
              <w:rPr>
                <w:rFonts w:hint="eastAsia"/>
                <w:color w:val="000000"/>
                <w:sz w:val="18"/>
                <w:szCs w:val="18"/>
              </w:rPr>
            </w:pPr>
            <w:r>
              <w:rPr>
                <w:rFonts w:hint="eastAsia"/>
                <w:color w:val="000000"/>
                <w:sz w:val="18"/>
                <w:szCs w:val="18"/>
              </w:rPr>
              <w:t>重点：基于Zigbee技术的无线智能变送器WTIM与NCAP的无线接口设计。</w:t>
            </w:r>
          </w:p>
        </w:tc>
        <w:tc>
          <w:tcPr>
            <w:tcW w:w="682" w:type="dxa"/>
            <w:vAlign w:val="center"/>
          </w:tcPr>
          <w:p>
            <w:pPr>
              <w:spacing w:line="280" w:lineRule="exact"/>
              <w:jc w:val="center"/>
              <w:rPr>
                <w:rFonts w:cs="Calibri"/>
                <w:b/>
                <w:color w:val="000000"/>
                <w:sz w:val="18"/>
                <w:szCs w:val="18"/>
              </w:rPr>
            </w:pPr>
            <w:r>
              <w:rPr>
                <w:rFonts w:hint="eastAsia" w:cs="Calibri"/>
                <w:b/>
                <w:color w:val="000000"/>
                <w:sz w:val="18"/>
                <w:szCs w:val="18"/>
              </w:rPr>
              <w:t>2</w:t>
            </w:r>
          </w:p>
        </w:tc>
        <w:tc>
          <w:tcPr>
            <w:tcW w:w="682" w:type="dxa"/>
            <w:vAlign w:val="center"/>
          </w:tcPr>
          <w:p>
            <w:pPr>
              <w:spacing w:line="280" w:lineRule="exact"/>
              <w:jc w:val="center"/>
              <w:rPr>
                <w:rFonts w:cs="Calibri"/>
                <w:b/>
                <w:color w:val="000000"/>
                <w:sz w:val="18"/>
                <w:szCs w:val="18"/>
              </w:rPr>
            </w:pPr>
            <w:r>
              <w:rPr>
                <w:rFonts w:hint="eastAsia" w:cs="Calibri"/>
                <w:b/>
                <w:color w:val="000000"/>
                <w:sz w:val="18"/>
                <w:szCs w:val="18"/>
              </w:rPr>
              <w:t>0</w:t>
            </w:r>
          </w:p>
        </w:tc>
        <w:tc>
          <w:tcPr>
            <w:tcW w:w="602" w:type="dxa"/>
            <w:vAlign w:val="center"/>
          </w:tcPr>
          <w:p>
            <w:pPr>
              <w:spacing w:line="280" w:lineRule="exact"/>
              <w:jc w:val="center"/>
              <w:rPr>
                <w:rFonts w:cs="Calibri"/>
                <w:b/>
                <w:color w:val="000000"/>
                <w:sz w:val="18"/>
                <w:szCs w:val="18"/>
              </w:rPr>
            </w:pPr>
            <w:r>
              <w:rPr>
                <w:rFonts w:hint="eastAsia" w:cs="Calibri"/>
                <w:b/>
                <w:color w:val="000000"/>
                <w:sz w:val="18"/>
                <w:szCs w:val="18"/>
              </w:rPr>
              <w:t>2</w:t>
            </w:r>
          </w:p>
        </w:tc>
        <w:tc>
          <w:tcPr>
            <w:tcW w:w="955" w:type="dxa"/>
            <w:vAlign w:val="center"/>
          </w:tcPr>
          <w:p>
            <w:pPr>
              <w:spacing w:line="280" w:lineRule="exact"/>
              <w:jc w:val="center"/>
              <w:rPr>
                <w:rFonts w:cs="Calibri"/>
                <w:b/>
                <w:color w:val="000000"/>
                <w:sz w:val="18"/>
                <w:szCs w:val="18"/>
              </w:rPr>
            </w:pPr>
            <w:r>
              <w:rPr>
                <w:rFonts w:hint="eastAsia" w:cs="Calibri"/>
                <w:b/>
                <w:color w:val="000000"/>
                <w:sz w:val="18"/>
                <w:szCs w:val="18"/>
              </w:rPr>
              <w:t>2</w:t>
            </w:r>
          </w:p>
        </w:tc>
        <w:tc>
          <w:tcPr>
            <w:tcW w:w="1259" w:type="dxa"/>
            <w:vAlign w:val="center"/>
          </w:tcPr>
          <w:p>
            <w:pPr>
              <w:spacing w:line="280" w:lineRule="exact"/>
              <w:jc w:val="center"/>
              <w:rPr>
                <w:rFonts w:cs="Calibri"/>
                <w:b/>
                <w:color w:val="000000"/>
                <w:sz w:val="18"/>
                <w:szCs w:val="18"/>
              </w:rPr>
            </w:pPr>
            <w:r>
              <w:rPr>
                <w:b/>
                <w:sz w:val="18"/>
                <w:szCs w:val="18"/>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59" w:type="dxa"/>
            <w:vAlign w:val="center"/>
          </w:tcPr>
          <w:p>
            <w:pPr>
              <w:spacing w:line="280" w:lineRule="exact"/>
              <w:jc w:val="center"/>
              <w:rPr>
                <w:b/>
                <w:sz w:val="18"/>
                <w:szCs w:val="18"/>
              </w:rPr>
            </w:pPr>
            <w:r>
              <w:rPr>
                <w:b/>
                <w:sz w:val="18"/>
                <w:szCs w:val="18"/>
              </w:rPr>
              <w:t>合 计</w:t>
            </w:r>
          </w:p>
        </w:tc>
        <w:tc>
          <w:tcPr>
            <w:tcW w:w="7756" w:type="dxa"/>
          </w:tcPr>
          <w:p>
            <w:pPr>
              <w:spacing w:line="280" w:lineRule="exact"/>
              <w:jc w:val="center"/>
              <w:rPr>
                <w:color w:val="000000"/>
                <w:sz w:val="18"/>
                <w:szCs w:val="18"/>
              </w:rPr>
            </w:pPr>
          </w:p>
        </w:tc>
        <w:tc>
          <w:tcPr>
            <w:tcW w:w="682" w:type="dxa"/>
            <w:vAlign w:val="center"/>
          </w:tcPr>
          <w:p>
            <w:pPr>
              <w:spacing w:line="280" w:lineRule="exact"/>
              <w:jc w:val="center"/>
              <w:rPr>
                <w:rFonts w:cs="Calibri"/>
                <w:b/>
                <w:color w:val="000000"/>
                <w:sz w:val="18"/>
                <w:szCs w:val="18"/>
              </w:rPr>
            </w:pPr>
            <w:r>
              <w:rPr>
                <w:rFonts w:hint="eastAsia" w:cs="Calibri"/>
                <w:b/>
                <w:color w:val="000000"/>
                <w:sz w:val="18"/>
                <w:szCs w:val="18"/>
              </w:rPr>
              <w:t>16</w:t>
            </w:r>
          </w:p>
        </w:tc>
        <w:tc>
          <w:tcPr>
            <w:tcW w:w="682" w:type="dxa"/>
            <w:vAlign w:val="center"/>
          </w:tcPr>
          <w:p>
            <w:pPr>
              <w:spacing w:line="280" w:lineRule="exact"/>
              <w:jc w:val="center"/>
              <w:rPr>
                <w:rFonts w:cs="Calibri"/>
                <w:b/>
                <w:color w:val="000000"/>
                <w:sz w:val="18"/>
                <w:szCs w:val="18"/>
              </w:rPr>
            </w:pPr>
            <w:r>
              <w:rPr>
                <w:rFonts w:hint="eastAsia" w:cs="Calibri"/>
                <w:b/>
                <w:color w:val="000000"/>
                <w:sz w:val="18"/>
                <w:szCs w:val="18"/>
              </w:rPr>
              <w:t>0</w:t>
            </w:r>
          </w:p>
        </w:tc>
        <w:tc>
          <w:tcPr>
            <w:tcW w:w="602" w:type="dxa"/>
            <w:vAlign w:val="center"/>
          </w:tcPr>
          <w:p>
            <w:pPr>
              <w:spacing w:line="280" w:lineRule="exact"/>
              <w:jc w:val="center"/>
              <w:rPr>
                <w:rFonts w:cs="Calibri"/>
                <w:b/>
                <w:color w:val="000000"/>
                <w:sz w:val="18"/>
                <w:szCs w:val="18"/>
              </w:rPr>
            </w:pPr>
            <w:r>
              <w:rPr>
                <w:rFonts w:hint="eastAsia" w:cs="Calibri"/>
                <w:b/>
                <w:color w:val="000000"/>
                <w:sz w:val="18"/>
                <w:szCs w:val="18"/>
              </w:rPr>
              <w:t>16</w:t>
            </w:r>
          </w:p>
        </w:tc>
        <w:tc>
          <w:tcPr>
            <w:tcW w:w="955" w:type="dxa"/>
            <w:vAlign w:val="center"/>
          </w:tcPr>
          <w:p>
            <w:pPr>
              <w:spacing w:line="280" w:lineRule="exact"/>
              <w:rPr>
                <w:rFonts w:cs="Calibri"/>
                <w:b/>
                <w:color w:val="000000"/>
                <w:sz w:val="18"/>
                <w:szCs w:val="18"/>
              </w:rPr>
            </w:pPr>
          </w:p>
        </w:tc>
        <w:tc>
          <w:tcPr>
            <w:tcW w:w="1259" w:type="dxa"/>
            <w:vAlign w:val="center"/>
          </w:tcPr>
          <w:p>
            <w:pPr>
              <w:spacing w:line="280" w:lineRule="exact"/>
              <w:rPr>
                <w:rFonts w:cs="Calibri"/>
                <w:b/>
                <w:color w:val="000000"/>
                <w:sz w:val="18"/>
                <w:szCs w:val="18"/>
              </w:rPr>
            </w:pPr>
          </w:p>
        </w:tc>
      </w:tr>
    </w:tbl>
    <w:p>
      <w:pPr>
        <w:spacing w:before="156" w:beforeLines="50" w:after="156" w:afterLines="50" w:line="360" w:lineRule="auto"/>
        <w:ind w:left="422"/>
        <w:jc w:val="center"/>
        <w:rPr>
          <w:rFonts w:hint="eastAsia" w:cs="宋体"/>
          <w:b/>
          <w:szCs w:val="21"/>
        </w:rPr>
      </w:pPr>
      <w:r>
        <w:rPr>
          <w:rFonts w:hint="eastAsia" w:cs="宋体"/>
          <w:b/>
          <w:szCs w:val="21"/>
        </w:rPr>
        <w:t>表2.2 课程内容与思政融入点对应关系</w:t>
      </w:r>
    </w:p>
    <w:tbl>
      <w:tblPr>
        <w:tblStyle w:val="19"/>
        <w:tblW w:w="0" w:type="auto"/>
        <w:tblInd w:w="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5121"/>
        <w:gridCol w:w="6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vAlign w:val="center"/>
          </w:tcPr>
          <w:p>
            <w:pPr>
              <w:spacing w:line="360" w:lineRule="auto"/>
              <w:jc w:val="center"/>
              <w:rPr>
                <w:rFonts w:hint="eastAsia" w:cs="宋体"/>
                <w:b/>
                <w:kern w:val="0"/>
                <w:sz w:val="18"/>
                <w:szCs w:val="18"/>
              </w:rPr>
            </w:pPr>
            <w:r>
              <w:rPr>
                <w:rFonts w:hint="eastAsia" w:cs="宋体"/>
                <w:b/>
                <w:kern w:val="0"/>
                <w:sz w:val="18"/>
                <w:szCs w:val="18"/>
              </w:rPr>
              <w:t>序号</w:t>
            </w:r>
          </w:p>
        </w:tc>
        <w:tc>
          <w:tcPr>
            <w:tcW w:w="5121" w:type="dxa"/>
            <w:vAlign w:val="center"/>
          </w:tcPr>
          <w:p>
            <w:pPr>
              <w:spacing w:line="360" w:lineRule="auto"/>
              <w:jc w:val="center"/>
              <w:rPr>
                <w:rFonts w:hint="eastAsia" w:cs="宋体"/>
                <w:b/>
                <w:kern w:val="0"/>
                <w:sz w:val="18"/>
                <w:szCs w:val="18"/>
              </w:rPr>
            </w:pPr>
            <w:r>
              <w:rPr>
                <w:rFonts w:hint="eastAsia" w:cs="宋体"/>
                <w:b/>
                <w:kern w:val="0"/>
                <w:sz w:val="18"/>
                <w:szCs w:val="18"/>
              </w:rPr>
              <w:t>知识点</w:t>
            </w:r>
          </w:p>
        </w:tc>
        <w:tc>
          <w:tcPr>
            <w:tcW w:w="6857" w:type="dxa"/>
            <w:vAlign w:val="center"/>
          </w:tcPr>
          <w:p>
            <w:pPr>
              <w:spacing w:line="360" w:lineRule="auto"/>
              <w:jc w:val="center"/>
              <w:rPr>
                <w:rFonts w:hint="eastAsia" w:cs="宋体"/>
                <w:b/>
                <w:kern w:val="0"/>
                <w:sz w:val="18"/>
                <w:szCs w:val="18"/>
              </w:rPr>
            </w:pPr>
            <w:r>
              <w:rPr>
                <w:rFonts w:hint="eastAsia" w:cs="宋体"/>
                <w:b/>
                <w:color w:val="000000"/>
                <w:kern w:val="0"/>
                <w:sz w:val="18"/>
                <w:szCs w:val="18"/>
              </w:rPr>
              <w:t>思政融入点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vAlign w:val="center"/>
          </w:tcPr>
          <w:p>
            <w:pPr>
              <w:spacing w:before="156" w:beforeLines="50" w:after="156" w:afterLines="50" w:line="360" w:lineRule="auto"/>
              <w:jc w:val="center"/>
              <w:rPr>
                <w:b/>
                <w:kern w:val="0"/>
                <w:sz w:val="20"/>
                <w:szCs w:val="21"/>
              </w:rPr>
            </w:pPr>
            <w:r>
              <w:rPr>
                <w:rFonts w:hint="eastAsia"/>
                <w:b/>
                <w:kern w:val="0"/>
                <w:sz w:val="20"/>
                <w:szCs w:val="21"/>
              </w:rPr>
              <w:t>1</w:t>
            </w:r>
          </w:p>
        </w:tc>
        <w:tc>
          <w:tcPr>
            <w:tcW w:w="5121" w:type="dxa"/>
            <w:vAlign w:val="center"/>
          </w:tcPr>
          <w:p>
            <w:pPr>
              <w:ind w:left="105" w:leftChars="50"/>
              <w:jc w:val="center"/>
              <w:rPr>
                <w:kern w:val="0"/>
                <w:sz w:val="20"/>
              </w:rPr>
            </w:pPr>
            <w:r>
              <w:rPr>
                <w:color w:val="000000"/>
                <w:sz w:val="18"/>
                <w:szCs w:val="18"/>
              </w:rPr>
              <w:t xml:space="preserve">IEEE1451 </w:t>
            </w:r>
            <w:r>
              <w:rPr>
                <w:rFonts w:hint="eastAsia"/>
                <w:color w:val="000000"/>
                <w:sz w:val="18"/>
                <w:szCs w:val="18"/>
              </w:rPr>
              <w:t>标准网络化智能传感器国内外研究现状</w:t>
            </w:r>
          </w:p>
        </w:tc>
        <w:tc>
          <w:tcPr>
            <w:tcW w:w="6857" w:type="dxa"/>
            <w:vAlign w:val="center"/>
          </w:tcPr>
          <w:p>
            <w:pPr>
              <w:spacing w:before="156" w:beforeLines="50" w:after="156" w:afterLines="50"/>
              <w:jc w:val="left"/>
              <w:rPr>
                <w:b/>
                <w:kern w:val="0"/>
                <w:sz w:val="20"/>
                <w:szCs w:val="21"/>
              </w:rPr>
            </w:pPr>
            <w:r>
              <w:rPr>
                <w:rFonts w:hint="eastAsia"/>
                <w:color w:val="000000"/>
                <w:sz w:val="18"/>
                <w:szCs w:val="18"/>
              </w:rPr>
              <w:t xml:space="preserve">    通过了解国内外该技术的发展现状和差距，激发学生重视技术进步与创新，提升重视标准的意识，在激烈竞争的国际市场中勇于充当技术顶层的设计者和领跑者，为国民经济发展和国家科技进步贡献自己的力量。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vAlign w:val="center"/>
          </w:tcPr>
          <w:p>
            <w:pPr>
              <w:spacing w:before="156" w:beforeLines="50" w:after="156" w:afterLines="50" w:line="360" w:lineRule="auto"/>
              <w:jc w:val="center"/>
              <w:rPr>
                <w:b/>
                <w:kern w:val="0"/>
                <w:sz w:val="20"/>
                <w:szCs w:val="21"/>
              </w:rPr>
            </w:pPr>
            <w:r>
              <w:rPr>
                <w:rFonts w:hint="eastAsia"/>
                <w:b/>
                <w:kern w:val="0"/>
                <w:sz w:val="20"/>
                <w:szCs w:val="21"/>
              </w:rPr>
              <w:t>2</w:t>
            </w:r>
          </w:p>
        </w:tc>
        <w:tc>
          <w:tcPr>
            <w:tcW w:w="5121" w:type="dxa"/>
            <w:vAlign w:val="center"/>
          </w:tcPr>
          <w:p>
            <w:pPr>
              <w:jc w:val="center"/>
              <w:rPr>
                <w:color w:val="000000"/>
                <w:sz w:val="18"/>
                <w:szCs w:val="18"/>
              </w:rPr>
            </w:pPr>
            <w:r>
              <w:rPr>
                <w:rFonts w:hint="eastAsia"/>
                <w:color w:val="000000"/>
                <w:sz w:val="18"/>
                <w:szCs w:val="18"/>
              </w:rPr>
              <w:t>基于总线技术的NCAP接口设计</w:t>
            </w:r>
          </w:p>
        </w:tc>
        <w:tc>
          <w:tcPr>
            <w:tcW w:w="6857" w:type="dxa"/>
            <w:vAlign w:val="center"/>
          </w:tcPr>
          <w:p>
            <w:pPr>
              <w:spacing w:before="156" w:beforeLines="50" w:after="156" w:afterLines="50"/>
              <w:jc w:val="left"/>
              <w:rPr>
                <w:b/>
                <w:kern w:val="0"/>
                <w:sz w:val="20"/>
                <w:szCs w:val="21"/>
              </w:rPr>
            </w:pPr>
            <w:r>
              <w:rPr>
                <w:rFonts w:hint="eastAsia"/>
                <w:color w:val="000000"/>
                <w:sz w:val="18"/>
                <w:szCs w:val="18"/>
              </w:rPr>
              <w:t xml:space="preserve">    以网络适配器NCAP的总线接口为主线，阐述当前国际上工业现场总线的技术市场垄断现状，说明我国总线技术基本处于跟随和化用的状态，激发大家的时代紧迫感和任务使命感。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vAlign w:val="center"/>
          </w:tcPr>
          <w:p>
            <w:pPr>
              <w:spacing w:before="156" w:beforeLines="50" w:after="156" w:afterLines="50" w:line="360" w:lineRule="auto"/>
              <w:jc w:val="center"/>
              <w:rPr>
                <w:rFonts w:hint="eastAsia"/>
                <w:b/>
                <w:kern w:val="0"/>
                <w:sz w:val="20"/>
                <w:szCs w:val="21"/>
              </w:rPr>
            </w:pPr>
            <w:r>
              <w:rPr>
                <w:b/>
                <w:kern w:val="0"/>
                <w:sz w:val="20"/>
                <w:szCs w:val="21"/>
              </w:rPr>
              <w:t>3</w:t>
            </w:r>
          </w:p>
        </w:tc>
        <w:tc>
          <w:tcPr>
            <w:tcW w:w="5121" w:type="dxa"/>
            <w:vAlign w:val="center"/>
          </w:tcPr>
          <w:p>
            <w:pPr>
              <w:spacing w:line="280" w:lineRule="exact"/>
              <w:ind w:firstLine="32" w:firstLineChars="18"/>
              <w:jc w:val="center"/>
              <w:rPr>
                <w:rFonts w:hint="eastAsia"/>
                <w:color w:val="000000"/>
                <w:sz w:val="18"/>
                <w:szCs w:val="18"/>
              </w:rPr>
            </w:pPr>
            <w:r>
              <w:rPr>
                <w:rFonts w:hint="eastAsia"/>
                <w:color w:val="000000"/>
                <w:sz w:val="18"/>
                <w:szCs w:val="18"/>
              </w:rPr>
              <w:t>基于IEEE1451.3 多点分布式接口标准的传感器系统构架</w:t>
            </w:r>
          </w:p>
          <w:p>
            <w:pPr>
              <w:ind w:left="105" w:leftChars="50"/>
              <w:jc w:val="center"/>
              <w:rPr>
                <w:rFonts w:hint="eastAsia"/>
                <w:b/>
                <w:kern w:val="0"/>
                <w:sz w:val="20"/>
                <w:szCs w:val="21"/>
              </w:rPr>
            </w:pPr>
          </w:p>
        </w:tc>
        <w:tc>
          <w:tcPr>
            <w:tcW w:w="6857" w:type="dxa"/>
            <w:vAlign w:val="center"/>
          </w:tcPr>
          <w:p>
            <w:pPr>
              <w:spacing w:before="156" w:beforeLines="50" w:after="156" w:afterLines="50"/>
              <w:jc w:val="left"/>
              <w:rPr>
                <w:rFonts w:hint="eastAsia"/>
                <w:b/>
                <w:kern w:val="0"/>
                <w:sz w:val="20"/>
                <w:szCs w:val="21"/>
              </w:rPr>
            </w:pPr>
            <w:r>
              <w:rPr>
                <w:rFonts w:hint="eastAsia"/>
                <w:color w:val="000000"/>
                <w:sz w:val="18"/>
                <w:szCs w:val="18"/>
              </w:rPr>
              <w:t xml:space="preserve">    在多点分布式接口标准的基础上，引入中北大学自研制的沙克总线技术介绍，激发学生自主创新的意识，激发学生的自豪感与爱国情怀。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vAlign w:val="center"/>
          </w:tcPr>
          <w:p>
            <w:pPr>
              <w:spacing w:before="156" w:beforeLines="50" w:after="156" w:afterLines="50" w:line="360" w:lineRule="auto"/>
              <w:jc w:val="center"/>
              <w:rPr>
                <w:b/>
                <w:kern w:val="0"/>
                <w:sz w:val="20"/>
                <w:szCs w:val="21"/>
              </w:rPr>
            </w:pPr>
            <w:r>
              <w:rPr>
                <w:rFonts w:hint="eastAsia"/>
                <w:b/>
                <w:kern w:val="0"/>
                <w:sz w:val="20"/>
                <w:szCs w:val="21"/>
              </w:rPr>
              <w:t>4</w:t>
            </w:r>
          </w:p>
        </w:tc>
        <w:tc>
          <w:tcPr>
            <w:tcW w:w="5121" w:type="dxa"/>
            <w:vAlign w:val="center"/>
          </w:tcPr>
          <w:p>
            <w:pPr>
              <w:ind w:left="105" w:leftChars="50"/>
              <w:jc w:val="center"/>
              <w:rPr>
                <w:color w:val="000000"/>
                <w:sz w:val="18"/>
                <w:szCs w:val="18"/>
              </w:rPr>
            </w:pPr>
            <w:r>
              <w:rPr>
                <w:rFonts w:hint="eastAsia"/>
                <w:color w:val="000000"/>
                <w:sz w:val="18"/>
                <w:szCs w:val="18"/>
              </w:rPr>
              <w:t>混合模式接口传感器设计实例（以模拟加速度计数字化为例）</w:t>
            </w:r>
          </w:p>
        </w:tc>
        <w:tc>
          <w:tcPr>
            <w:tcW w:w="6857" w:type="dxa"/>
            <w:vAlign w:val="center"/>
          </w:tcPr>
          <w:p>
            <w:pPr>
              <w:spacing w:before="156" w:beforeLines="50" w:after="156" w:afterLines="50"/>
              <w:jc w:val="left"/>
              <w:rPr>
                <w:color w:val="000000"/>
                <w:sz w:val="18"/>
                <w:szCs w:val="18"/>
              </w:rPr>
            </w:pPr>
            <w:r>
              <w:rPr>
                <w:rFonts w:hint="eastAsia"/>
                <w:color w:val="000000"/>
                <w:sz w:val="18"/>
                <w:szCs w:val="18"/>
              </w:rPr>
              <w:t xml:space="preserve">    以加速度计的工业应用为背景，介绍中北大学在国防领域的相关科研成果，并通过实际国防装备科研需求阐述数字化改造模拟传感器的必要性和方法途径，让学生在国防科技教育中完成相关知识的学习。</w:t>
            </w:r>
          </w:p>
        </w:tc>
      </w:tr>
    </w:tbl>
    <w:p>
      <w:pPr>
        <w:spacing w:before="156" w:beforeLines="50" w:after="156" w:afterLines="50" w:line="360" w:lineRule="auto"/>
        <w:ind w:firstLine="420" w:firstLineChars="200"/>
        <w:rPr>
          <w:rFonts w:hint="eastAsia" w:eastAsia="黑体"/>
          <w:color w:val="0000FF"/>
          <w:szCs w:val="21"/>
        </w:rPr>
      </w:pPr>
    </w:p>
    <w:p>
      <w:pPr>
        <w:spacing w:line="420" w:lineRule="exact"/>
        <w:rPr>
          <w:rFonts w:eastAsia="黑体"/>
          <w:szCs w:val="21"/>
        </w:rPr>
        <w:sectPr>
          <w:pgSz w:w="16838" w:h="11906" w:orient="landscape"/>
          <w:pgMar w:top="1418" w:right="1440" w:bottom="1418" w:left="1440" w:header="851" w:footer="992" w:gutter="0"/>
          <w:pgNumType w:fmt="decimal"/>
          <w:cols w:space="720" w:num="1"/>
          <w:docGrid w:type="linesAndChars" w:linePitch="312" w:charSpace="0"/>
        </w:sectPr>
      </w:pPr>
    </w:p>
    <w:p>
      <w:pPr>
        <w:spacing w:before="156" w:beforeLines="50" w:after="156" w:afterLines="50" w:line="360" w:lineRule="auto"/>
        <w:ind w:firstLine="210" w:firstLineChars="100"/>
        <w:rPr>
          <w:rFonts w:hint="eastAsia" w:ascii="宋体" w:hAnsi="宋体"/>
          <w:color w:val="000000"/>
          <w:szCs w:val="21"/>
        </w:rPr>
      </w:pPr>
      <w:r>
        <w:rPr>
          <w:rFonts w:hint="eastAsia" w:eastAsia="黑体"/>
          <w:color w:val="000000"/>
          <w:szCs w:val="21"/>
        </w:rPr>
        <w:t>三、</w:t>
      </w:r>
      <w:r>
        <w:rPr>
          <w:rFonts w:eastAsia="黑体"/>
          <w:color w:val="000000"/>
          <w:szCs w:val="21"/>
        </w:rPr>
        <w:t>达成课程目标的途径和措施</w:t>
      </w:r>
    </w:p>
    <w:p>
      <w:pPr>
        <w:spacing w:line="360" w:lineRule="auto"/>
        <w:ind w:left="420" w:leftChars="200"/>
        <w:rPr>
          <w:rFonts w:hint="eastAsia"/>
          <w:szCs w:val="21"/>
        </w:rPr>
      </w:pPr>
      <w:r>
        <w:rPr>
          <w:rFonts w:hint="eastAsia"/>
          <w:szCs w:val="21"/>
        </w:rPr>
        <w:t>考核目标：学生对智能传感器接口标准的实现架构和技术体系的分析、设计能力。</w:t>
      </w:r>
    </w:p>
    <w:p>
      <w:pPr>
        <w:spacing w:line="360" w:lineRule="auto"/>
        <w:ind w:firstLine="420" w:firstLineChars="200"/>
        <w:rPr>
          <w:szCs w:val="21"/>
        </w:rPr>
      </w:pPr>
      <w:r>
        <w:rPr>
          <w:rFonts w:hint="eastAsia"/>
          <w:szCs w:val="21"/>
        </w:rPr>
        <w:t>本课程重点讲授的内容包括：</w:t>
      </w:r>
      <w:r>
        <w:rPr>
          <w:szCs w:val="21"/>
        </w:rPr>
        <w:t>IEEE1451</w:t>
      </w:r>
      <w:r>
        <w:rPr>
          <w:rFonts w:hint="eastAsia"/>
          <w:szCs w:val="21"/>
        </w:rPr>
        <w:t>标准智能变送器的接口设计、网络化智能传感器应用层通信方法以及智能传感器混合模式接口设计等。</w:t>
      </w:r>
    </w:p>
    <w:p>
      <w:pPr>
        <w:spacing w:line="360" w:lineRule="auto"/>
        <w:ind w:firstLine="420" w:firstLineChars="200"/>
        <w:rPr>
          <w:szCs w:val="21"/>
        </w:rPr>
      </w:pPr>
      <w:r>
        <w:rPr>
          <w:rFonts w:hint="eastAsia"/>
          <w:szCs w:val="21"/>
        </w:rPr>
        <w:t>本课程在教学方法上，充分利用各种媒体教学手段，采取课堂教学、多媒体课件等方式有机结合，提高教学效率。</w:t>
      </w:r>
    </w:p>
    <w:p>
      <w:pPr>
        <w:spacing w:line="360" w:lineRule="auto"/>
        <w:ind w:firstLine="420" w:firstLineChars="200"/>
        <w:rPr>
          <w:rFonts w:hint="eastAsia"/>
          <w:szCs w:val="21"/>
        </w:rPr>
      </w:pPr>
      <w:r>
        <w:rPr>
          <w:rFonts w:hint="eastAsia"/>
          <w:szCs w:val="21"/>
        </w:rPr>
        <w:t>为了提高学生的学习兴趣，并取得良好的教学效果，教师在知识讲解的过程中要充分利用问题引导、案例分析等多种教学方法，以进一步提高教学质量。</w:t>
      </w:r>
    </w:p>
    <w:p>
      <w:pPr>
        <w:spacing w:before="156" w:beforeLines="50" w:after="156" w:afterLines="50" w:line="360" w:lineRule="auto"/>
        <w:ind w:firstLine="210" w:firstLineChars="100"/>
        <w:rPr>
          <w:rFonts w:eastAsia="黑体"/>
          <w:color w:val="000000"/>
          <w:szCs w:val="21"/>
        </w:rPr>
      </w:pPr>
      <w:r>
        <w:rPr>
          <w:rFonts w:hint="eastAsia" w:eastAsia="黑体"/>
          <w:color w:val="000000"/>
          <w:szCs w:val="21"/>
        </w:rPr>
        <w:t>四</w:t>
      </w:r>
      <w:r>
        <w:rPr>
          <w:rFonts w:eastAsia="黑体"/>
          <w:color w:val="000000"/>
          <w:szCs w:val="21"/>
        </w:rPr>
        <w:t>、考核方式</w:t>
      </w:r>
    </w:p>
    <w:p>
      <w:pPr>
        <w:spacing w:line="360" w:lineRule="auto"/>
        <w:ind w:left="420" w:leftChars="200"/>
        <w:rPr>
          <w:rFonts w:hint="eastAsia"/>
          <w:szCs w:val="21"/>
        </w:rPr>
      </w:pPr>
      <w:r>
        <w:rPr>
          <w:szCs w:val="21"/>
        </w:rPr>
        <w:t>1. 课程考核方式包括</w:t>
      </w:r>
      <w:r>
        <w:rPr>
          <w:rFonts w:hint="eastAsia"/>
          <w:szCs w:val="21"/>
        </w:rPr>
        <w:t>课堂考核、课后作业和</w:t>
      </w:r>
      <w:r>
        <w:rPr>
          <w:szCs w:val="21"/>
        </w:rPr>
        <w:t>期末</w:t>
      </w:r>
      <w:r>
        <w:rPr>
          <w:rFonts w:hint="eastAsia"/>
          <w:szCs w:val="21"/>
        </w:rPr>
        <w:t>大作业等</w:t>
      </w:r>
      <w:r>
        <w:rPr>
          <w:szCs w:val="21"/>
        </w:rPr>
        <w:t>。</w:t>
      </w:r>
    </w:p>
    <w:p>
      <w:pPr>
        <w:spacing w:line="360" w:lineRule="auto"/>
        <w:ind w:left="420" w:leftChars="200"/>
        <w:rPr>
          <w:szCs w:val="21"/>
        </w:rPr>
      </w:pPr>
      <w:r>
        <w:rPr>
          <w:rFonts w:hint="eastAsia"/>
          <w:szCs w:val="21"/>
        </w:rPr>
        <w:t>考核方式：期末大作业（该课程不设置考试）、课后作业及课堂考核。</w:t>
      </w:r>
    </w:p>
    <w:p>
      <w:pPr>
        <w:numPr>
          <w:ilvl w:val="0"/>
          <w:numId w:val="14"/>
        </w:numPr>
        <w:spacing w:line="360" w:lineRule="auto"/>
        <w:ind w:left="420" w:leftChars="200"/>
        <w:rPr>
          <w:rFonts w:hint="eastAsia"/>
          <w:szCs w:val="21"/>
        </w:rPr>
      </w:pPr>
      <w:r>
        <w:rPr>
          <w:rFonts w:hint="eastAsia"/>
          <w:szCs w:val="21"/>
        </w:rPr>
        <w:t>定量评价</w:t>
      </w:r>
    </w:p>
    <w:p>
      <w:pPr>
        <w:spacing w:line="360" w:lineRule="auto"/>
        <w:ind w:firstLine="420" w:firstLineChars="200"/>
        <w:rPr>
          <w:rFonts w:hint="eastAsia"/>
          <w:szCs w:val="21"/>
        </w:rPr>
      </w:pPr>
      <w:r>
        <w:rPr>
          <w:rFonts w:hint="eastAsia"/>
          <w:szCs w:val="21"/>
        </w:rPr>
        <w:t>本课程</w:t>
      </w:r>
      <w:r>
        <w:rPr>
          <w:szCs w:val="21"/>
        </w:rPr>
        <w:t>包含</w:t>
      </w:r>
      <w:r>
        <w:rPr>
          <w:rFonts w:hint="eastAsia"/>
          <w:szCs w:val="21"/>
        </w:rPr>
        <w:t>2</w:t>
      </w:r>
      <w:r>
        <w:rPr>
          <w:szCs w:val="21"/>
        </w:rPr>
        <w:t>个分课程目标</w:t>
      </w:r>
      <w:r>
        <w:rPr>
          <w:rFonts w:hint="eastAsia"/>
          <w:szCs w:val="21"/>
        </w:rPr>
        <w:t>，有3个考核方式，各考核方式对课程目标达成评价的权重占比分配如下：</w:t>
      </w:r>
    </w:p>
    <w:p>
      <w:pPr>
        <w:spacing w:line="360" w:lineRule="auto"/>
        <w:jc w:val="center"/>
        <w:rPr>
          <w:rFonts w:hint="eastAsia"/>
          <w:sz w:val="18"/>
          <w:szCs w:val="18"/>
        </w:rPr>
      </w:pPr>
      <w:r>
        <w:rPr>
          <w:color w:val="000000"/>
          <w:sz w:val="18"/>
          <w:szCs w:val="18"/>
        </w:rPr>
        <w:t>表</w:t>
      </w:r>
      <w:r>
        <w:rPr>
          <w:rFonts w:hint="eastAsia"/>
          <w:color w:val="000000"/>
          <w:sz w:val="18"/>
          <w:szCs w:val="18"/>
        </w:rPr>
        <w:t xml:space="preserve">5.1   </w:t>
      </w:r>
      <w:r>
        <w:rPr>
          <w:sz w:val="18"/>
          <w:szCs w:val="18"/>
        </w:rPr>
        <w:t>各考核方式对课程目标达成评价的</w:t>
      </w:r>
      <w:r>
        <w:rPr>
          <w:rFonts w:hint="eastAsia"/>
          <w:sz w:val="18"/>
          <w:szCs w:val="18"/>
        </w:rPr>
        <w:t>权重</w:t>
      </w:r>
      <w:r>
        <w:rPr>
          <w:sz w:val="18"/>
          <w:szCs w:val="18"/>
        </w:rPr>
        <w:t>占比分配</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1436"/>
        <w:gridCol w:w="1436"/>
        <w:gridCol w:w="1448"/>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600" w:type="dxa"/>
            <w:vMerge w:val="restart"/>
            <w:vAlign w:val="center"/>
          </w:tcPr>
          <w:p>
            <w:pPr>
              <w:spacing w:line="360" w:lineRule="auto"/>
              <w:jc w:val="center"/>
              <w:rPr>
                <w:b/>
                <w:color w:val="000000"/>
              </w:rPr>
            </w:pPr>
            <w:r>
              <w:rPr>
                <w:b/>
                <w:color w:val="000000"/>
                <w:kern w:val="0"/>
                <w:sz w:val="18"/>
                <w:szCs w:val="18"/>
              </w:rPr>
              <w:t>课程目标</w:t>
            </w:r>
          </w:p>
        </w:tc>
        <w:tc>
          <w:tcPr>
            <w:tcW w:w="4320" w:type="dxa"/>
            <w:gridSpan w:val="3"/>
            <w:vAlign w:val="center"/>
          </w:tcPr>
          <w:p>
            <w:pPr>
              <w:spacing w:line="360" w:lineRule="auto"/>
              <w:jc w:val="center"/>
              <w:rPr>
                <w:b/>
                <w:color w:val="000000"/>
              </w:rPr>
            </w:pPr>
            <w:r>
              <w:rPr>
                <w:rFonts w:hint="eastAsia"/>
                <w:b/>
                <w:color w:val="000000"/>
                <w:sz w:val="18"/>
                <w:szCs w:val="18"/>
              </w:rPr>
              <w:t>考核方式以及成绩占比（%）</w:t>
            </w:r>
          </w:p>
        </w:tc>
        <w:tc>
          <w:tcPr>
            <w:tcW w:w="1985" w:type="dxa"/>
            <w:vMerge w:val="restart"/>
            <w:vAlign w:val="center"/>
          </w:tcPr>
          <w:p>
            <w:pPr>
              <w:spacing w:line="360" w:lineRule="auto"/>
              <w:jc w:val="center"/>
              <w:rPr>
                <w:rFonts w:hint="eastAsia"/>
                <w:b/>
                <w:i/>
                <w:color w:val="000000"/>
                <w:kern w:val="0"/>
                <w:sz w:val="18"/>
                <w:szCs w:val="18"/>
              </w:rPr>
            </w:pPr>
            <w:r>
              <w:rPr>
                <w:b/>
                <w:color w:val="000000"/>
                <w:kern w:val="0"/>
                <w:sz w:val="18"/>
                <w:szCs w:val="18"/>
              </w:rPr>
              <w:t>分课程目标权重</w:t>
            </w:r>
            <w:r>
              <w:rPr>
                <w:b/>
                <w:i/>
                <w:color w:val="000000"/>
                <w:kern w:val="0"/>
                <w:sz w:val="18"/>
                <w:szCs w:val="18"/>
              </w:rPr>
              <w:t>P</w:t>
            </w:r>
            <w:r>
              <w:rPr>
                <w:b/>
                <w:i/>
                <w:color w:val="000000"/>
                <w:kern w:val="0"/>
                <w:sz w:val="18"/>
                <w:szCs w:val="18"/>
                <w:vertAlign w:val="subscript"/>
              </w:rPr>
              <w:t>i</w:t>
            </w:r>
          </w:p>
          <w:p>
            <w:pPr>
              <w:spacing w:line="360" w:lineRule="auto"/>
              <w:jc w:val="center"/>
              <w:rPr>
                <w:color w:val="000000"/>
                <w:kern w:val="0"/>
                <w:sz w:val="18"/>
                <w:szCs w:val="18"/>
              </w:rPr>
            </w:pPr>
            <w:r>
              <w:rPr>
                <w:rFonts w:hint="eastAsia"/>
                <w:b/>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0" w:type="dxa"/>
            <w:vMerge w:val="continue"/>
            <w:vAlign w:val="center"/>
          </w:tcPr>
          <w:p>
            <w:pPr>
              <w:widowControl/>
              <w:jc w:val="center"/>
              <w:rPr>
                <w:b/>
                <w:color w:val="000000"/>
                <w:kern w:val="0"/>
                <w:sz w:val="18"/>
                <w:szCs w:val="18"/>
              </w:rPr>
            </w:pPr>
          </w:p>
        </w:tc>
        <w:tc>
          <w:tcPr>
            <w:tcW w:w="1436" w:type="dxa"/>
            <w:vAlign w:val="center"/>
          </w:tcPr>
          <w:p>
            <w:pPr>
              <w:widowControl/>
              <w:jc w:val="center"/>
              <w:rPr>
                <w:rFonts w:hint="eastAsia"/>
                <w:b/>
                <w:color w:val="000000"/>
                <w:kern w:val="0"/>
                <w:sz w:val="18"/>
                <w:szCs w:val="18"/>
              </w:rPr>
            </w:pPr>
            <w:r>
              <w:rPr>
                <w:rFonts w:hint="eastAsia"/>
                <w:b/>
                <w:color w:val="000000"/>
                <w:kern w:val="0"/>
                <w:sz w:val="18"/>
                <w:szCs w:val="18"/>
              </w:rPr>
              <w:t>课堂考核</w:t>
            </w:r>
          </w:p>
          <w:p>
            <w:pPr>
              <w:widowControl/>
              <w:jc w:val="center"/>
              <w:rPr>
                <w:rFonts w:hint="eastAsia"/>
                <w:b/>
                <w:color w:val="000000"/>
                <w:kern w:val="0"/>
                <w:sz w:val="18"/>
                <w:szCs w:val="18"/>
              </w:rPr>
            </w:pPr>
            <w:r>
              <w:rPr>
                <w:rFonts w:hint="eastAsia"/>
                <w:b/>
                <w:color w:val="000000"/>
                <w:kern w:val="0"/>
                <w:sz w:val="18"/>
                <w:szCs w:val="18"/>
              </w:rPr>
              <w:t>（1）</w:t>
            </w:r>
          </w:p>
        </w:tc>
        <w:tc>
          <w:tcPr>
            <w:tcW w:w="1436" w:type="dxa"/>
            <w:vAlign w:val="center"/>
          </w:tcPr>
          <w:p>
            <w:pPr>
              <w:widowControl/>
              <w:jc w:val="center"/>
              <w:rPr>
                <w:rFonts w:hint="eastAsia"/>
                <w:b/>
                <w:color w:val="000000"/>
                <w:kern w:val="0"/>
                <w:sz w:val="18"/>
                <w:szCs w:val="18"/>
              </w:rPr>
            </w:pPr>
            <w:r>
              <w:rPr>
                <w:rFonts w:hint="eastAsia"/>
                <w:b/>
                <w:color w:val="000000"/>
                <w:kern w:val="0"/>
                <w:sz w:val="18"/>
                <w:szCs w:val="18"/>
              </w:rPr>
              <w:t>课后作业</w:t>
            </w:r>
          </w:p>
          <w:p>
            <w:pPr>
              <w:widowControl/>
              <w:jc w:val="center"/>
              <w:rPr>
                <w:rFonts w:hint="eastAsia"/>
                <w:b/>
                <w:color w:val="000000"/>
                <w:kern w:val="0"/>
                <w:sz w:val="18"/>
                <w:szCs w:val="18"/>
              </w:rPr>
            </w:pPr>
            <w:r>
              <w:rPr>
                <w:rFonts w:hint="eastAsia"/>
                <w:b/>
                <w:color w:val="000000"/>
                <w:kern w:val="0"/>
                <w:sz w:val="18"/>
                <w:szCs w:val="18"/>
              </w:rPr>
              <w:t>（2）</w:t>
            </w:r>
          </w:p>
        </w:tc>
        <w:tc>
          <w:tcPr>
            <w:tcW w:w="1448" w:type="dxa"/>
            <w:vAlign w:val="center"/>
          </w:tcPr>
          <w:p>
            <w:pPr>
              <w:widowControl/>
              <w:jc w:val="center"/>
              <w:rPr>
                <w:b/>
                <w:color w:val="000000"/>
                <w:kern w:val="0"/>
                <w:sz w:val="18"/>
                <w:szCs w:val="18"/>
              </w:rPr>
            </w:pPr>
            <w:r>
              <w:rPr>
                <w:b/>
                <w:color w:val="000000"/>
                <w:kern w:val="0"/>
                <w:sz w:val="18"/>
                <w:szCs w:val="18"/>
              </w:rPr>
              <w:t>期末</w:t>
            </w:r>
            <w:r>
              <w:rPr>
                <w:rFonts w:hint="eastAsia"/>
                <w:b/>
                <w:color w:val="000000"/>
                <w:kern w:val="0"/>
                <w:sz w:val="18"/>
                <w:szCs w:val="18"/>
              </w:rPr>
              <w:t>大作业</w:t>
            </w:r>
          </w:p>
          <w:p>
            <w:pPr>
              <w:widowControl/>
              <w:jc w:val="center"/>
              <w:rPr>
                <w:rFonts w:hint="eastAsia"/>
                <w:b/>
                <w:color w:val="000000"/>
                <w:kern w:val="0"/>
                <w:sz w:val="18"/>
                <w:szCs w:val="18"/>
              </w:rPr>
            </w:pPr>
            <w:r>
              <w:rPr>
                <w:rFonts w:hint="eastAsia"/>
                <w:b/>
                <w:color w:val="000000"/>
                <w:kern w:val="0"/>
                <w:sz w:val="18"/>
                <w:szCs w:val="18"/>
              </w:rPr>
              <w:t>（3）</w:t>
            </w:r>
          </w:p>
        </w:tc>
        <w:tc>
          <w:tcPr>
            <w:tcW w:w="1985" w:type="dxa"/>
            <w:vMerge w:val="continue"/>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0" w:type="dxa"/>
            <w:vAlign w:val="center"/>
          </w:tcPr>
          <w:p>
            <w:pPr>
              <w:widowControl/>
              <w:jc w:val="center"/>
              <w:rPr>
                <w:color w:val="000000"/>
                <w:kern w:val="0"/>
                <w:sz w:val="18"/>
                <w:szCs w:val="18"/>
              </w:rPr>
            </w:pPr>
            <w:r>
              <w:rPr>
                <w:color w:val="000000"/>
                <w:kern w:val="0"/>
                <w:sz w:val="18"/>
                <w:szCs w:val="18"/>
              </w:rPr>
              <w:t>1</w:t>
            </w:r>
          </w:p>
        </w:tc>
        <w:tc>
          <w:tcPr>
            <w:tcW w:w="1436" w:type="dxa"/>
            <w:vAlign w:val="center"/>
          </w:tcPr>
          <w:p>
            <w:pPr>
              <w:spacing w:line="360" w:lineRule="auto"/>
              <w:jc w:val="center"/>
              <w:rPr>
                <w:rFonts w:hint="eastAsia"/>
                <w:color w:val="000000"/>
                <w:sz w:val="18"/>
                <w:szCs w:val="21"/>
              </w:rPr>
            </w:pPr>
            <w:r>
              <w:rPr>
                <w:rFonts w:hint="eastAsia"/>
                <w:color w:val="000000"/>
                <w:sz w:val="18"/>
                <w:szCs w:val="21"/>
              </w:rPr>
              <w:t>5</w:t>
            </w:r>
          </w:p>
        </w:tc>
        <w:tc>
          <w:tcPr>
            <w:tcW w:w="1436" w:type="dxa"/>
            <w:vAlign w:val="center"/>
          </w:tcPr>
          <w:p>
            <w:pPr>
              <w:spacing w:line="360" w:lineRule="auto"/>
              <w:jc w:val="center"/>
              <w:rPr>
                <w:color w:val="000000"/>
                <w:sz w:val="18"/>
                <w:szCs w:val="21"/>
              </w:rPr>
            </w:pPr>
            <w:r>
              <w:rPr>
                <w:rFonts w:hint="eastAsia"/>
                <w:color w:val="000000"/>
                <w:sz w:val="18"/>
                <w:szCs w:val="21"/>
              </w:rPr>
              <w:t>10</w:t>
            </w:r>
          </w:p>
        </w:tc>
        <w:tc>
          <w:tcPr>
            <w:tcW w:w="1448" w:type="dxa"/>
            <w:vAlign w:val="center"/>
          </w:tcPr>
          <w:p>
            <w:pPr>
              <w:spacing w:line="360" w:lineRule="auto"/>
              <w:jc w:val="center"/>
              <w:rPr>
                <w:color w:val="000000"/>
                <w:sz w:val="18"/>
                <w:szCs w:val="21"/>
              </w:rPr>
            </w:pPr>
            <w:r>
              <w:rPr>
                <w:rFonts w:hint="eastAsia"/>
                <w:color w:val="000000"/>
                <w:sz w:val="18"/>
                <w:szCs w:val="21"/>
              </w:rPr>
              <w:t>55</w:t>
            </w:r>
          </w:p>
        </w:tc>
        <w:tc>
          <w:tcPr>
            <w:tcW w:w="1985" w:type="dxa"/>
            <w:vAlign w:val="center"/>
          </w:tcPr>
          <w:p>
            <w:pPr>
              <w:spacing w:line="360" w:lineRule="auto"/>
              <w:jc w:val="center"/>
              <w:rPr>
                <w:color w:val="000000"/>
                <w:sz w:val="18"/>
                <w:szCs w:val="21"/>
              </w:rPr>
            </w:pPr>
            <w:r>
              <w:rPr>
                <w:rFonts w:hint="eastAsia"/>
                <w:color w:val="000000"/>
                <w:sz w:val="18"/>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0" w:type="dxa"/>
            <w:vAlign w:val="center"/>
          </w:tcPr>
          <w:p>
            <w:pPr>
              <w:widowControl/>
              <w:jc w:val="center"/>
              <w:rPr>
                <w:color w:val="000000"/>
                <w:kern w:val="0"/>
                <w:sz w:val="18"/>
                <w:szCs w:val="18"/>
              </w:rPr>
            </w:pPr>
            <w:r>
              <w:rPr>
                <w:color w:val="000000"/>
                <w:kern w:val="0"/>
                <w:sz w:val="18"/>
                <w:szCs w:val="18"/>
              </w:rPr>
              <w:t>2</w:t>
            </w:r>
          </w:p>
        </w:tc>
        <w:tc>
          <w:tcPr>
            <w:tcW w:w="1436" w:type="dxa"/>
            <w:vAlign w:val="center"/>
          </w:tcPr>
          <w:p>
            <w:pPr>
              <w:spacing w:line="360" w:lineRule="auto"/>
              <w:jc w:val="center"/>
              <w:rPr>
                <w:rFonts w:hint="eastAsia"/>
                <w:color w:val="000000"/>
                <w:sz w:val="18"/>
                <w:szCs w:val="21"/>
              </w:rPr>
            </w:pPr>
            <w:r>
              <w:rPr>
                <w:rFonts w:hint="eastAsia"/>
                <w:color w:val="000000"/>
                <w:sz w:val="18"/>
                <w:szCs w:val="21"/>
              </w:rPr>
              <w:t>5</w:t>
            </w:r>
          </w:p>
        </w:tc>
        <w:tc>
          <w:tcPr>
            <w:tcW w:w="1436" w:type="dxa"/>
            <w:vAlign w:val="center"/>
          </w:tcPr>
          <w:p>
            <w:pPr>
              <w:spacing w:line="360" w:lineRule="auto"/>
              <w:jc w:val="center"/>
              <w:rPr>
                <w:color w:val="000000"/>
                <w:sz w:val="18"/>
                <w:szCs w:val="21"/>
              </w:rPr>
            </w:pPr>
            <w:r>
              <w:rPr>
                <w:rFonts w:hint="eastAsia"/>
                <w:color w:val="000000"/>
                <w:sz w:val="18"/>
                <w:szCs w:val="21"/>
              </w:rPr>
              <w:t>10</w:t>
            </w:r>
          </w:p>
        </w:tc>
        <w:tc>
          <w:tcPr>
            <w:tcW w:w="1448" w:type="dxa"/>
            <w:vAlign w:val="center"/>
          </w:tcPr>
          <w:p>
            <w:pPr>
              <w:spacing w:line="360" w:lineRule="auto"/>
              <w:jc w:val="center"/>
              <w:rPr>
                <w:color w:val="000000"/>
                <w:sz w:val="18"/>
                <w:szCs w:val="21"/>
              </w:rPr>
            </w:pPr>
            <w:r>
              <w:rPr>
                <w:rFonts w:hint="eastAsia"/>
                <w:color w:val="000000"/>
                <w:sz w:val="18"/>
                <w:szCs w:val="21"/>
              </w:rPr>
              <w:t>15</w:t>
            </w:r>
          </w:p>
        </w:tc>
        <w:tc>
          <w:tcPr>
            <w:tcW w:w="1985" w:type="dxa"/>
            <w:vAlign w:val="center"/>
          </w:tcPr>
          <w:p>
            <w:pPr>
              <w:spacing w:line="360" w:lineRule="auto"/>
              <w:jc w:val="center"/>
              <w:rPr>
                <w:color w:val="000000"/>
                <w:sz w:val="18"/>
                <w:szCs w:val="21"/>
              </w:rPr>
            </w:pPr>
            <w:r>
              <w:rPr>
                <w:rFonts w:hint="eastAsia"/>
                <w:color w:val="000000"/>
                <w:sz w:val="18"/>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0" w:type="dxa"/>
            <w:vAlign w:val="center"/>
          </w:tcPr>
          <w:p>
            <w:pPr>
              <w:widowControl/>
              <w:jc w:val="center"/>
              <w:rPr>
                <w:color w:val="000000"/>
                <w:kern w:val="0"/>
                <w:sz w:val="18"/>
                <w:szCs w:val="18"/>
              </w:rPr>
            </w:pPr>
            <w:r>
              <w:rPr>
                <w:rFonts w:hint="eastAsia"/>
                <w:color w:val="000000"/>
                <w:kern w:val="0"/>
                <w:sz w:val="18"/>
                <w:szCs w:val="18"/>
              </w:rPr>
              <w:t>考核环节成绩比例合计（%）</w:t>
            </w:r>
          </w:p>
        </w:tc>
        <w:tc>
          <w:tcPr>
            <w:tcW w:w="1436" w:type="dxa"/>
            <w:vAlign w:val="center"/>
          </w:tcPr>
          <w:p>
            <w:pPr>
              <w:spacing w:line="360" w:lineRule="auto"/>
              <w:jc w:val="center"/>
              <w:rPr>
                <w:color w:val="000000"/>
                <w:sz w:val="18"/>
                <w:szCs w:val="21"/>
              </w:rPr>
            </w:pPr>
            <w:r>
              <w:rPr>
                <w:rFonts w:hint="eastAsia"/>
                <w:color w:val="000000"/>
                <w:sz w:val="18"/>
                <w:szCs w:val="21"/>
              </w:rPr>
              <w:t>10</w:t>
            </w:r>
          </w:p>
        </w:tc>
        <w:tc>
          <w:tcPr>
            <w:tcW w:w="1436" w:type="dxa"/>
            <w:vAlign w:val="center"/>
          </w:tcPr>
          <w:p>
            <w:pPr>
              <w:spacing w:line="360" w:lineRule="auto"/>
              <w:jc w:val="center"/>
              <w:rPr>
                <w:color w:val="000000"/>
                <w:sz w:val="18"/>
                <w:szCs w:val="21"/>
              </w:rPr>
            </w:pPr>
            <w:r>
              <w:rPr>
                <w:rFonts w:hint="eastAsia"/>
                <w:color w:val="000000"/>
                <w:sz w:val="18"/>
                <w:szCs w:val="21"/>
              </w:rPr>
              <w:t>20</w:t>
            </w:r>
          </w:p>
        </w:tc>
        <w:tc>
          <w:tcPr>
            <w:tcW w:w="1448" w:type="dxa"/>
            <w:vAlign w:val="center"/>
          </w:tcPr>
          <w:p>
            <w:pPr>
              <w:spacing w:line="360" w:lineRule="auto"/>
              <w:jc w:val="center"/>
              <w:rPr>
                <w:color w:val="000000"/>
                <w:sz w:val="18"/>
                <w:szCs w:val="21"/>
              </w:rPr>
            </w:pPr>
            <w:r>
              <w:rPr>
                <w:rFonts w:hint="eastAsia"/>
                <w:color w:val="000000"/>
                <w:sz w:val="18"/>
                <w:szCs w:val="21"/>
              </w:rPr>
              <w:t>70</w:t>
            </w:r>
          </w:p>
        </w:tc>
        <w:tc>
          <w:tcPr>
            <w:tcW w:w="1985" w:type="dxa"/>
            <w:vAlign w:val="center"/>
          </w:tcPr>
          <w:p>
            <w:pPr>
              <w:spacing w:line="360" w:lineRule="auto"/>
              <w:jc w:val="center"/>
              <w:rPr>
                <w:color w:val="000000"/>
                <w:sz w:val="18"/>
                <w:szCs w:val="21"/>
              </w:rPr>
            </w:pPr>
            <w:r>
              <w:rPr>
                <w:rFonts w:hint="eastAsia"/>
                <w:color w:val="000000"/>
                <w:sz w:val="18"/>
                <w:szCs w:val="21"/>
              </w:rPr>
              <w:t>1</w:t>
            </w:r>
            <w:r>
              <w:rPr>
                <w:color w:val="000000"/>
                <w:sz w:val="18"/>
                <w:szCs w:val="21"/>
              </w:rPr>
              <w:t>00</w:t>
            </w:r>
          </w:p>
        </w:tc>
      </w:tr>
    </w:tbl>
    <w:p>
      <w:pPr>
        <w:numPr>
          <w:ilvl w:val="0"/>
          <w:numId w:val="15"/>
        </w:numPr>
        <w:spacing w:line="360" w:lineRule="auto"/>
        <w:ind w:firstLine="420" w:firstLineChars="200"/>
        <w:rPr>
          <w:rFonts w:hint="eastAsia"/>
          <w:szCs w:val="21"/>
        </w:rPr>
      </w:pPr>
      <w:r>
        <w:rPr>
          <w:rFonts w:hint="eastAsia"/>
          <w:szCs w:val="21"/>
        </w:rPr>
        <w:t>定性评价</w:t>
      </w:r>
    </w:p>
    <w:p>
      <w:pPr>
        <w:spacing w:line="360" w:lineRule="auto"/>
        <w:ind w:left="420" w:leftChars="200" w:firstLine="420" w:firstLineChars="200"/>
        <w:rPr>
          <w:rFonts w:ascii="宋体" w:hAnsi="宋体" w:cs="宋体"/>
          <w:szCs w:val="21"/>
        </w:rPr>
      </w:pPr>
      <w:r>
        <w:rPr>
          <w:rFonts w:hint="eastAsia" w:ascii="宋体" w:hAnsi="宋体" w:cs="宋体"/>
          <w:szCs w:val="21"/>
        </w:rPr>
        <w:t>针对每门课的课程目标，直接设计问题，并要求学生明确给出目标能力达到的程度“很好（0.95）、较好（0.75）、中（0.60）、较差（0.45）、很差（0.25）”，根据各区段统计比例与括号中的目标分值加权后求和得出定性评价的结果。</w:t>
      </w:r>
    </w:p>
    <w:p>
      <w:pPr>
        <w:spacing w:before="156" w:beforeLines="50" w:after="156" w:afterLines="50" w:line="360" w:lineRule="auto"/>
        <w:ind w:firstLine="210" w:firstLineChars="100"/>
        <w:rPr>
          <w:rFonts w:eastAsia="黑体"/>
          <w:szCs w:val="21"/>
        </w:rPr>
      </w:pPr>
      <w:r>
        <w:rPr>
          <w:rFonts w:hint="eastAsia" w:eastAsia="黑体"/>
          <w:szCs w:val="21"/>
        </w:rPr>
        <w:t>五</w:t>
      </w:r>
      <w:r>
        <w:rPr>
          <w:rFonts w:eastAsia="黑体"/>
          <w:szCs w:val="21"/>
        </w:rPr>
        <w:t>、</w:t>
      </w:r>
      <w:r>
        <w:rPr>
          <w:rFonts w:hint="eastAsia" w:eastAsia="黑体"/>
          <w:szCs w:val="21"/>
        </w:rPr>
        <w:t>评价标准：</w:t>
      </w:r>
    </w:p>
    <w:p>
      <w:pPr>
        <w:spacing w:line="360" w:lineRule="auto"/>
        <w:ind w:firstLine="207" w:firstLineChars="98"/>
        <w:rPr>
          <w:rFonts w:hint="eastAsia" w:ascii="宋体" w:hAnsi="宋体"/>
          <w:b/>
          <w:szCs w:val="21"/>
        </w:rPr>
      </w:pPr>
      <w:r>
        <w:rPr>
          <w:rFonts w:hint="eastAsia" w:ascii="宋体" w:hAnsi="宋体"/>
          <w:b/>
          <w:szCs w:val="21"/>
        </w:rPr>
        <w:t>1、</w:t>
      </w:r>
      <w:r>
        <w:rPr>
          <w:rFonts w:hint="eastAsia"/>
          <w:b/>
        </w:rPr>
        <w:t>课堂考核</w:t>
      </w:r>
      <w:r>
        <w:rPr>
          <w:rFonts w:hint="eastAsia" w:ascii="宋体" w:hAnsi="宋体"/>
          <w:b/>
          <w:szCs w:val="21"/>
        </w:rPr>
        <w:t>评价标准</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1560"/>
        <w:gridCol w:w="1559"/>
        <w:gridCol w:w="1559"/>
        <w:gridCol w:w="1381"/>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310" w:type="dxa"/>
            <w:vMerge w:val="restart"/>
            <w:shd w:val="clear" w:color="auto" w:fill="F2F2F2"/>
            <w:vAlign w:val="center"/>
          </w:tcPr>
          <w:p>
            <w:pPr>
              <w:jc w:val="center"/>
              <w:rPr>
                <w:b/>
                <w:color w:val="000000"/>
                <w:sz w:val="18"/>
                <w:szCs w:val="18"/>
              </w:rPr>
            </w:pPr>
            <w:r>
              <w:rPr>
                <w:rFonts w:hint="eastAsia"/>
                <w:b/>
                <w:color w:val="000000"/>
                <w:sz w:val="18"/>
                <w:szCs w:val="18"/>
              </w:rPr>
              <w:t>基本要求</w:t>
            </w:r>
          </w:p>
        </w:tc>
        <w:tc>
          <w:tcPr>
            <w:tcW w:w="6059" w:type="dxa"/>
            <w:gridSpan w:val="4"/>
            <w:shd w:val="clear" w:color="auto" w:fill="F2F2F2"/>
            <w:vAlign w:val="center"/>
          </w:tcPr>
          <w:p>
            <w:pPr>
              <w:jc w:val="center"/>
              <w:rPr>
                <w:b/>
                <w:color w:val="000000"/>
                <w:sz w:val="18"/>
                <w:szCs w:val="18"/>
              </w:rPr>
            </w:pPr>
            <w:r>
              <w:rPr>
                <w:rFonts w:hint="eastAsia"/>
                <w:b/>
                <w:color w:val="000000"/>
                <w:sz w:val="18"/>
                <w:szCs w:val="18"/>
              </w:rPr>
              <w:t>评价标准</w:t>
            </w:r>
          </w:p>
        </w:tc>
        <w:tc>
          <w:tcPr>
            <w:tcW w:w="785" w:type="dxa"/>
            <w:vMerge w:val="restart"/>
            <w:shd w:val="clear" w:color="auto" w:fill="F2F2F2"/>
            <w:vAlign w:val="center"/>
          </w:tcPr>
          <w:p>
            <w:pPr>
              <w:jc w:val="center"/>
              <w:rPr>
                <w:rFonts w:hint="eastAsia"/>
                <w:b/>
                <w:color w:val="000000"/>
                <w:sz w:val="18"/>
                <w:szCs w:val="18"/>
              </w:rPr>
            </w:pPr>
            <w:r>
              <w:rPr>
                <w:rFonts w:hint="eastAsia"/>
                <w:b/>
                <w:color w:val="000000"/>
                <w:sz w:val="18"/>
                <w:szCs w:val="1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310" w:type="dxa"/>
            <w:vMerge w:val="continue"/>
            <w:shd w:val="clear" w:color="auto" w:fill="F2F2F2"/>
          </w:tcPr>
          <w:p>
            <w:pPr>
              <w:spacing w:line="420" w:lineRule="exact"/>
              <w:jc w:val="center"/>
              <w:rPr>
                <w:rFonts w:hint="eastAsia"/>
                <w:b/>
                <w:color w:val="000000"/>
                <w:sz w:val="18"/>
                <w:szCs w:val="18"/>
              </w:rPr>
            </w:pPr>
          </w:p>
        </w:tc>
        <w:tc>
          <w:tcPr>
            <w:tcW w:w="1560" w:type="dxa"/>
            <w:shd w:val="clear" w:color="auto" w:fill="F2F2F2"/>
          </w:tcPr>
          <w:p>
            <w:pPr>
              <w:spacing w:line="420" w:lineRule="exact"/>
              <w:jc w:val="center"/>
              <w:rPr>
                <w:rFonts w:hint="eastAsia"/>
                <w:b/>
                <w:color w:val="000000"/>
                <w:sz w:val="18"/>
                <w:szCs w:val="18"/>
              </w:rPr>
            </w:pPr>
            <w:r>
              <w:rPr>
                <w:rFonts w:hint="eastAsia"/>
                <w:b/>
                <w:color w:val="000000"/>
                <w:sz w:val="18"/>
                <w:szCs w:val="18"/>
              </w:rPr>
              <w:t>90-100分</w:t>
            </w:r>
          </w:p>
        </w:tc>
        <w:tc>
          <w:tcPr>
            <w:tcW w:w="1559" w:type="dxa"/>
            <w:shd w:val="clear" w:color="auto" w:fill="F2F2F2"/>
          </w:tcPr>
          <w:p>
            <w:pPr>
              <w:spacing w:line="420" w:lineRule="exact"/>
              <w:jc w:val="center"/>
              <w:rPr>
                <w:rFonts w:hint="eastAsia"/>
                <w:b/>
                <w:color w:val="000000"/>
                <w:sz w:val="18"/>
                <w:szCs w:val="18"/>
              </w:rPr>
            </w:pPr>
            <w:r>
              <w:rPr>
                <w:rFonts w:hint="eastAsia"/>
                <w:b/>
                <w:color w:val="000000"/>
                <w:sz w:val="18"/>
                <w:szCs w:val="18"/>
              </w:rPr>
              <w:t>75-89分</w:t>
            </w:r>
          </w:p>
        </w:tc>
        <w:tc>
          <w:tcPr>
            <w:tcW w:w="1559" w:type="dxa"/>
            <w:shd w:val="clear" w:color="auto" w:fill="F2F2F2"/>
          </w:tcPr>
          <w:p>
            <w:pPr>
              <w:spacing w:line="420" w:lineRule="exact"/>
              <w:jc w:val="center"/>
              <w:rPr>
                <w:rFonts w:hint="eastAsia"/>
                <w:b/>
                <w:color w:val="000000"/>
                <w:sz w:val="18"/>
                <w:szCs w:val="18"/>
              </w:rPr>
            </w:pPr>
            <w:r>
              <w:rPr>
                <w:rFonts w:hint="eastAsia"/>
                <w:b/>
                <w:color w:val="000000"/>
                <w:sz w:val="18"/>
                <w:szCs w:val="18"/>
              </w:rPr>
              <w:t>60-74分</w:t>
            </w:r>
          </w:p>
        </w:tc>
        <w:tc>
          <w:tcPr>
            <w:tcW w:w="1381" w:type="dxa"/>
            <w:shd w:val="clear" w:color="auto" w:fill="F2F2F2"/>
          </w:tcPr>
          <w:p>
            <w:pPr>
              <w:spacing w:line="420" w:lineRule="exact"/>
              <w:jc w:val="center"/>
              <w:rPr>
                <w:rFonts w:hint="eastAsia"/>
                <w:b/>
                <w:color w:val="000000"/>
                <w:sz w:val="18"/>
                <w:szCs w:val="18"/>
              </w:rPr>
            </w:pPr>
            <w:r>
              <w:rPr>
                <w:rFonts w:hint="eastAsia"/>
                <w:b/>
                <w:color w:val="000000"/>
                <w:sz w:val="18"/>
                <w:szCs w:val="18"/>
              </w:rPr>
              <w:t>0-59分</w:t>
            </w:r>
          </w:p>
        </w:tc>
        <w:tc>
          <w:tcPr>
            <w:tcW w:w="785" w:type="dxa"/>
            <w:vMerge w:val="continue"/>
            <w:shd w:val="clear" w:color="auto" w:fill="F2F2F2"/>
          </w:tcPr>
          <w:p>
            <w:pPr>
              <w:spacing w:line="420" w:lineRule="exact"/>
              <w:jc w:val="center"/>
              <w:rPr>
                <w:rFonts w:ascii="宋体" w:hAnsi="宋体"/>
                <w:b/>
                <w:bCs/>
                <w:color w:val="C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hint="eastAsia"/>
                <w:bCs/>
                <w:sz w:val="18"/>
                <w:szCs w:val="18"/>
              </w:rPr>
            </w:pPr>
            <w:r>
              <w:rPr>
                <w:rFonts w:hint="eastAsia"/>
                <w:bCs/>
                <w:sz w:val="18"/>
                <w:szCs w:val="18"/>
              </w:rPr>
              <w:t>传统模拟传感器的发展现状，接口多样化带来的问题。</w:t>
            </w:r>
          </w:p>
          <w:p>
            <w:pPr>
              <w:rPr>
                <w:bCs/>
                <w:sz w:val="18"/>
                <w:szCs w:val="18"/>
              </w:rPr>
            </w:pPr>
            <w:r>
              <w:rPr>
                <w:rFonts w:hint="eastAsia"/>
                <w:bCs/>
                <w:sz w:val="18"/>
                <w:szCs w:val="18"/>
              </w:rPr>
              <w:t>（支撑课程目标1、毕业要求指标点1-1）</w:t>
            </w:r>
          </w:p>
        </w:tc>
        <w:tc>
          <w:tcPr>
            <w:tcW w:w="1560" w:type="dxa"/>
            <w:vAlign w:val="center"/>
          </w:tcPr>
          <w:p>
            <w:pPr>
              <w:rPr>
                <w:bCs/>
                <w:sz w:val="18"/>
                <w:szCs w:val="18"/>
              </w:rPr>
            </w:pPr>
            <w:r>
              <w:rPr>
                <w:rFonts w:hint="eastAsia"/>
                <w:bCs/>
                <w:sz w:val="18"/>
                <w:szCs w:val="18"/>
              </w:rPr>
              <w:t>规定时间内完成；能够熟练掌握传统模拟传感器的发展现状；能够清楚接口多样化带来的问题；答题规范，准确性高。</w:t>
            </w:r>
          </w:p>
        </w:tc>
        <w:tc>
          <w:tcPr>
            <w:tcW w:w="1559" w:type="dxa"/>
            <w:vAlign w:val="center"/>
          </w:tcPr>
          <w:p>
            <w:pPr>
              <w:rPr>
                <w:rFonts w:hint="eastAsia"/>
                <w:bCs/>
                <w:sz w:val="18"/>
                <w:szCs w:val="18"/>
              </w:rPr>
            </w:pPr>
            <w:r>
              <w:rPr>
                <w:rFonts w:hint="eastAsia"/>
                <w:bCs/>
                <w:sz w:val="18"/>
                <w:szCs w:val="18"/>
              </w:rPr>
              <w:t>规定时间内完成；能够较好地掌握传统模拟传感器的发展现状；能够较为清楚接口多样化带来的问题；答题较规范，准确性较高。</w:t>
            </w:r>
          </w:p>
        </w:tc>
        <w:tc>
          <w:tcPr>
            <w:tcW w:w="1559" w:type="dxa"/>
            <w:vAlign w:val="center"/>
          </w:tcPr>
          <w:p>
            <w:pPr>
              <w:rPr>
                <w:rFonts w:hint="eastAsia"/>
                <w:bCs/>
                <w:sz w:val="18"/>
                <w:szCs w:val="18"/>
              </w:rPr>
            </w:pPr>
            <w:r>
              <w:rPr>
                <w:rFonts w:hint="eastAsia"/>
                <w:bCs/>
                <w:sz w:val="18"/>
                <w:szCs w:val="18"/>
              </w:rPr>
              <w:t>规定时间内完成；能够基本掌握传统模拟传感器的发展现状；能够基本了解接口多样化带来的问题；答题基本规范，基本准确。</w:t>
            </w:r>
          </w:p>
        </w:tc>
        <w:tc>
          <w:tcPr>
            <w:tcW w:w="1381" w:type="dxa"/>
            <w:vAlign w:val="center"/>
          </w:tcPr>
          <w:p>
            <w:pPr>
              <w:rPr>
                <w:rFonts w:hint="eastAsia"/>
                <w:bCs/>
                <w:sz w:val="18"/>
                <w:szCs w:val="18"/>
              </w:rPr>
            </w:pPr>
            <w:r>
              <w:rPr>
                <w:rFonts w:hint="eastAsia"/>
                <w:bCs/>
                <w:sz w:val="18"/>
                <w:szCs w:val="18"/>
              </w:rPr>
              <w:t>未完成或未提交测验；不能够熟练掌握传统模拟传感器的发展现状；不能够清楚接口多样化带来的问题；基本概念不清楚甚至错误，准确率低。</w:t>
            </w:r>
          </w:p>
        </w:tc>
        <w:tc>
          <w:tcPr>
            <w:tcW w:w="785" w:type="dxa"/>
            <w:vAlign w:val="center"/>
          </w:tcPr>
          <w:p>
            <w:pPr>
              <w:jc w:val="center"/>
              <w:rPr>
                <w:rFonts w:ascii="宋体" w:hAnsi="宋体"/>
                <w:bCs/>
                <w:sz w:val="18"/>
                <w:szCs w:val="18"/>
              </w:rPr>
            </w:pPr>
            <w:r>
              <w:rPr>
                <w:rFonts w:hint="eastAsia" w:ascii="宋体" w:hAnsi="宋体"/>
                <w:bCs/>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hint="eastAsia"/>
                <w:bCs/>
                <w:sz w:val="18"/>
                <w:szCs w:val="18"/>
              </w:rPr>
            </w:pPr>
            <w:r>
              <w:rPr>
                <w:rFonts w:hint="eastAsia"/>
                <w:bCs/>
                <w:sz w:val="18"/>
                <w:szCs w:val="18"/>
              </w:rPr>
              <w:t>IEEE 1451网络化智能传感器标准，智能变送器STIM的原理，TII协议，TEDS电子数据表格，网络适配器NCAP的概念与模型。</w:t>
            </w:r>
          </w:p>
          <w:p>
            <w:pPr>
              <w:rPr>
                <w:bCs/>
                <w:sz w:val="18"/>
                <w:szCs w:val="18"/>
              </w:rPr>
            </w:pPr>
            <w:r>
              <w:rPr>
                <w:rFonts w:hint="eastAsia"/>
                <w:bCs/>
                <w:sz w:val="18"/>
                <w:szCs w:val="18"/>
              </w:rPr>
              <w:t xml:space="preserve">（支撑课程目标2、毕业要求指标点4-1） </w:t>
            </w:r>
          </w:p>
        </w:tc>
        <w:tc>
          <w:tcPr>
            <w:tcW w:w="1560" w:type="dxa"/>
            <w:vAlign w:val="center"/>
          </w:tcPr>
          <w:p>
            <w:pPr>
              <w:rPr>
                <w:rFonts w:hint="eastAsia"/>
                <w:bCs/>
                <w:sz w:val="18"/>
                <w:szCs w:val="18"/>
              </w:rPr>
            </w:pPr>
            <w:r>
              <w:rPr>
                <w:rFonts w:hint="eastAsia"/>
                <w:bCs/>
                <w:sz w:val="18"/>
                <w:szCs w:val="18"/>
              </w:rPr>
              <w:t>规定时间内完成；能够熟练掌握IEEE 1451标准；能够熟练掌握智能变送器STIM的原理、TII协议、TEDS电子数据表格以及网络适配器NCAP的概念与模型；答题规范，准确性高。</w:t>
            </w:r>
          </w:p>
        </w:tc>
        <w:tc>
          <w:tcPr>
            <w:tcW w:w="1559" w:type="dxa"/>
            <w:vAlign w:val="center"/>
          </w:tcPr>
          <w:p>
            <w:pPr>
              <w:rPr>
                <w:rFonts w:hint="eastAsia"/>
                <w:bCs/>
                <w:sz w:val="18"/>
                <w:szCs w:val="18"/>
              </w:rPr>
            </w:pPr>
            <w:r>
              <w:rPr>
                <w:rFonts w:hint="eastAsia"/>
                <w:bCs/>
                <w:sz w:val="18"/>
                <w:szCs w:val="18"/>
              </w:rPr>
              <w:t>规定时间内完成；能够较好地掌握IEEE 1451标准；能够较好地掌握智能变送器STIM的原理、TII协议、TEDS电子数据表格以及网络适配器NCAP的概念与模型；答题较规范，准确性较高。</w:t>
            </w:r>
          </w:p>
        </w:tc>
        <w:tc>
          <w:tcPr>
            <w:tcW w:w="1559" w:type="dxa"/>
            <w:vAlign w:val="center"/>
          </w:tcPr>
          <w:p>
            <w:pPr>
              <w:rPr>
                <w:rFonts w:hint="eastAsia"/>
                <w:bCs/>
                <w:sz w:val="18"/>
                <w:szCs w:val="18"/>
              </w:rPr>
            </w:pPr>
            <w:r>
              <w:rPr>
                <w:rFonts w:hint="eastAsia"/>
                <w:bCs/>
                <w:sz w:val="18"/>
                <w:szCs w:val="18"/>
              </w:rPr>
              <w:t>规定时间内完成；能够基本掌握IEEE 1451标准；能够基本掌握智能变送器STIM的原理、TII协议、TEDS电子数据表格以及网络适配器NCAP的概念与模型；答题基本规范，基本准确。</w:t>
            </w:r>
          </w:p>
        </w:tc>
        <w:tc>
          <w:tcPr>
            <w:tcW w:w="1381" w:type="dxa"/>
            <w:vAlign w:val="center"/>
          </w:tcPr>
          <w:p>
            <w:pPr>
              <w:rPr>
                <w:rFonts w:hint="eastAsia"/>
                <w:bCs/>
                <w:sz w:val="18"/>
                <w:szCs w:val="18"/>
              </w:rPr>
            </w:pPr>
            <w:r>
              <w:rPr>
                <w:rFonts w:hint="eastAsia"/>
                <w:bCs/>
                <w:sz w:val="18"/>
                <w:szCs w:val="18"/>
              </w:rPr>
              <w:t>未完成或未提交测验；不能掌握IEEE1451标准；不能掌握智能变送器STIM的原理、TII协议、TEDS电子数据表格以及网络适配器NCAP的概念与模型；基本概念不清楚甚至错误，准确率低。</w:t>
            </w:r>
          </w:p>
        </w:tc>
        <w:tc>
          <w:tcPr>
            <w:tcW w:w="785" w:type="dxa"/>
            <w:vAlign w:val="center"/>
          </w:tcPr>
          <w:p>
            <w:pPr>
              <w:jc w:val="center"/>
              <w:rPr>
                <w:rFonts w:hint="eastAsia" w:ascii="宋体" w:hAnsi="宋体"/>
                <w:bCs/>
                <w:sz w:val="18"/>
                <w:szCs w:val="18"/>
              </w:rPr>
            </w:pPr>
            <w:r>
              <w:rPr>
                <w:rFonts w:hint="eastAsia" w:ascii="宋体" w:hAnsi="宋体"/>
                <w:bCs/>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hint="eastAsia"/>
                <w:bCs/>
                <w:sz w:val="18"/>
                <w:szCs w:val="18"/>
              </w:rPr>
            </w:pPr>
            <w:r>
              <w:rPr>
                <w:rFonts w:hint="eastAsia"/>
                <w:bCs/>
                <w:sz w:val="18"/>
                <w:szCs w:val="18"/>
              </w:rPr>
              <w:t>基于IEEE1451.3 多点分布式接口标准的传感器系统构架。</w:t>
            </w:r>
          </w:p>
          <w:p>
            <w:pPr>
              <w:rPr>
                <w:bCs/>
                <w:sz w:val="18"/>
                <w:szCs w:val="18"/>
              </w:rPr>
            </w:pPr>
            <w:r>
              <w:rPr>
                <w:rFonts w:hint="eastAsia"/>
                <w:bCs/>
                <w:sz w:val="18"/>
                <w:szCs w:val="18"/>
              </w:rPr>
              <w:t xml:space="preserve">（支撑课程目标2、毕业要求指标点4-1） </w:t>
            </w:r>
          </w:p>
        </w:tc>
        <w:tc>
          <w:tcPr>
            <w:tcW w:w="1560" w:type="dxa"/>
            <w:vAlign w:val="center"/>
          </w:tcPr>
          <w:p>
            <w:pPr>
              <w:rPr>
                <w:rFonts w:hint="eastAsia"/>
                <w:bCs/>
                <w:sz w:val="18"/>
                <w:szCs w:val="18"/>
              </w:rPr>
            </w:pPr>
            <w:r>
              <w:rPr>
                <w:rFonts w:hint="eastAsia"/>
                <w:bCs/>
                <w:sz w:val="18"/>
                <w:szCs w:val="18"/>
              </w:rPr>
              <w:t>规定时间内完成；能够熟练掌握基于IEEE       1451.3 多点分布式接口标准的传感器系统构架；答题规范，准确性高。</w:t>
            </w:r>
          </w:p>
        </w:tc>
        <w:tc>
          <w:tcPr>
            <w:tcW w:w="1559" w:type="dxa"/>
            <w:vAlign w:val="center"/>
          </w:tcPr>
          <w:p>
            <w:pPr>
              <w:rPr>
                <w:rFonts w:hint="eastAsia"/>
                <w:bCs/>
                <w:sz w:val="18"/>
                <w:szCs w:val="18"/>
              </w:rPr>
            </w:pPr>
            <w:r>
              <w:rPr>
                <w:rFonts w:hint="eastAsia"/>
                <w:bCs/>
                <w:sz w:val="18"/>
                <w:szCs w:val="18"/>
              </w:rPr>
              <w:t>规定时间内完成；能够较好地掌握基于IEEE 1451.3 多点分布式接口标准的传感器系统构架；答题较规范，准确性较高。</w:t>
            </w:r>
          </w:p>
        </w:tc>
        <w:tc>
          <w:tcPr>
            <w:tcW w:w="1559" w:type="dxa"/>
            <w:vAlign w:val="center"/>
          </w:tcPr>
          <w:p>
            <w:pPr>
              <w:rPr>
                <w:rFonts w:hint="eastAsia"/>
                <w:bCs/>
                <w:sz w:val="18"/>
                <w:szCs w:val="18"/>
              </w:rPr>
            </w:pPr>
            <w:r>
              <w:rPr>
                <w:rFonts w:hint="eastAsia"/>
                <w:bCs/>
                <w:sz w:val="18"/>
                <w:szCs w:val="18"/>
              </w:rPr>
              <w:t>规定时间内完成；能够基本掌握基于IEEE 1451.3 多点分布式接口标准的传感器系统构架；答题基本规范，基本准确。</w:t>
            </w:r>
          </w:p>
        </w:tc>
        <w:tc>
          <w:tcPr>
            <w:tcW w:w="1381" w:type="dxa"/>
            <w:vAlign w:val="center"/>
          </w:tcPr>
          <w:p>
            <w:pPr>
              <w:rPr>
                <w:rFonts w:hint="eastAsia"/>
                <w:bCs/>
                <w:sz w:val="18"/>
                <w:szCs w:val="18"/>
              </w:rPr>
            </w:pPr>
            <w:r>
              <w:rPr>
                <w:rFonts w:hint="eastAsia"/>
                <w:bCs/>
                <w:sz w:val="18"/>
                <w:szCs w:val="18"/>
              </w:rPr>
              <w:t>未完成或未提交测验；不能掌握基于IEEE 1451.3 多点分布式接口标准的传感器系统构架；基本概念不清楚甚至错误，准确率低。</w:t>
            </w:r>
          </w:p>
        </w:tc>
        <w:tc>
          <w:tcPr>
            <w:tcW w:w="785" w:type="dxa"/>
            <w:vAlign w:val="center"/>
          </w:tcPr>
          <w:p>
            <w:pPr>
              <w:jc w:val="center"/>
              <w:rPr>
                <w:rFonts w:hint="eastAsia" w:ascii="宋体" w:hAnsi="宋体"/>
                <w:bCs/>
                <w:sz w:val="18"/>
                <w:szCs w:val="18"/>
              </w:rPr>
            </w:pPr>
            <w:r>
              <w:rPr>
                <w:rFonts w:hint="eastAsia" w:ascii="宋体" w:hAnsi="宋体"/>
                <w:bCs/>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hint="eastAsia"/>
                <w:bCs/>
                <w:sz w:val="18"/>
                <w:szCs w:val="18"/>
              </w:rPr>
            </w:pPr>
            <w:r>
              <w:rPr>
                <w:rFonts w:hint="eastAsia"/>
                <w:bCs/>
                <w:sz w:val="18"/>
                <w:szCs w:val="18"/>
              </w:rPr>
              <w:t>基于IEEE1451.4 混合模式接口标准的传感器系统构架，TEDS存储器接口设计原理。</w:t>
            </w:r>
          </w:p>
          <w:p>
            <w:pPr>
              <w:rPr>
                <w:bCs/>
                <w:sz w:val="18"/>
                <w:szCs w:val="18"/>
              </w:rPr>
            </w:pPr>
            <w:r>
              <w:rPr>
                <w:rFonts w:hint="eastAsia"/>
                <w:bCs/>
                <w:sz w:val="18"/>
                <w:szCs w:val="18"/>
              </w:rPr>
              <w:t>（支撑课程目标2、毕业要求指标点4-1）</w:t>
            </w:r>
          </w:p>
        </w:tc>
        <w:tc>
          <w:tcPr>
            <w:tcW w:w="1560" w:type="dxa"/>
            <w:vAlign w:val="center"/>
          </w:tcPr>
          <w:p>
            <w:pPr>
              <w:rPr>
                <w:rFonts w:hint="eastAsia"/>
                <w:bCs/>
                <w:sz w:val="18"/>
                <w:szCs w:val="18"/>
              </w:rPr>
            </w:pPr>
            <w:r>
              <w:rPr>
                <w:rFonts w:hint="eastAsia"/>
                <w:bCs/>
                <w:sz w:val="18"/>
                <w:szCs w:val="18"/>
              </w:rPr>
              <w:t>规定时间内完成；能够熟练掌握基于IEEE 1451.4 混合模式接口标准的传感器系统构架；能够熟练掌握TEDS存储器接口设计原理；答题规范，准确性高。</w:t>
            </w:r>
          </w:p>
        </w:tc>
        <w:tc>
          <w:tcPr>
            <w:tcW w:w="1559" w:type="dxa"/>
            <w:vAlign w:val="center"/>
          </w:tcPr>
          <w:p>
            <w:pPr>
              <w:rPr>
                <w:rFonts w:hint="eastAsia"/>
                <w:bCs/>
                <w:sz w:val="18"/>
                <w:szCs w:val="18"/>
              </w:rPr>
            </w:pPr>
            <w:r>
              <w:rPr>
                <w:rFonts w:hint="eastAsia"/>
                <w:bCs/>
                <w:sz w:val="18"/>
                <w:szCs w:val="18"/>
              </w:rPr>
              <w:t>规定时间内完成；能够较好地掌握基于IEEE 1451.4 混合模式接口标准的传感器系统构架；能够较好地掌握TEDS存储器接口设计原理；答题较规范，准确性较高。</w:t>
            </w:r>
          </w:p>
        </w:tc>
        <w:tc>
          <w:tcPr>
            <w:tcW w:w="1559" w:type="dxa"/>
            <w:vAlign w:val="center"/>
          </w:tcPr>
          <w:p>
            <w:pPr>
              <w:rPr>
                <w:rFonts w:hint="eastAsia"/>
                <w:bCs/>
                <w:sz w:val="18"/>
                <w:szCs w:val="18"/>
              </w:rPr>
            </w:pPr>
            <w:r>
              <w:rPr>
                <w:rFonts w:hint="eastAsia"/>
                <w:bCs/>
                <w:sz w:val="18"/>
                <w:szCs w:val="18"/>
              </w:rPr>
              <w:t>规定时间内完成；能够基本掌握基于IEEE 1451.4 混合模式接口标准的传感器系统构架；能够基本掌握TEDS存储器接口设计原理；答题基本规范，基本准确。</w:t>
            </w:r>
          </w:p>
        </w:tc>
        <w:tc>
          <w:tcPr>
            <w:tcW w:w="1381" w:type="dxa"/>
            <w:vAlign w:val="center"/>
          </w:tcPr>
          <w:p>
            <w:pPr>
              <w:rPr>
                <w:rFonts w:hint="eastAsia"/>
                <w:bCs/>
                <w:sz w:val="18"/>
                <w:szCs w:val="18"/>
              </w:rPr>
            </w:pPr>
            <w:r>
              <w:rPr>
                <w:rFonts w:hint="eastAsia"/>
                <w:bCs/>
                <w:sz w:val="18"/>
                <w:szCs w:val="18"/>
              </w:rPr>
              <w:t>未完成或未提交测验；不能掌握掌握基于IEEE1451.4 混合模式接口标准的传感器系统构架；不能掌握TEDS存3储器接口设计原理；基本概念不清楚甚至错误，准确率低。</w:t>
            </w:r>
          </w:p>
        </w:tc>
        <w:tc>
          <w:tcPr>
            <w:tcW w:w="785" w:type="dxa"/>
            <w:vAlign w:val="center"/>
          </w:tcPr>
          <w:p>
            <w:pPr>
              <w:jc w:val="center"/>
              <w:rPr>
                <w:rFonts w:hint="eastAsia" w:ascii="宋体" w:hAnsi="宋体"/>
                <w:bCs/>
                <w:sz w:val="18"/>
                <w:szCs w:val="18"/>
              </w:rPr>
            </w:pPr>
            <w:r>
              <w:rPr>
                <w:rFonts w:hint="eastAsia" w:ascii="宋体" w:hAnsi="宋体"/>
                <w:bCs/>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hint="eastAsia"/>
                <w:bCs/>
                <w:sz w:val="18"/>
                <w:szCs w:val="18"/>
              </w:rPr>
            </w:pPr>
            <w:r>
              <w:rPr>
                <w:rFonts w:hint="eastAsia"/>
                <w:bCs/>
                <w:sz w:val="18"/>
                <w:szCs w:val="18"/>
              </w:rPr>
              <w:t>基于IEEE 1451.5接口标准的传感器无线互联系统构架。</w:t>
            </w:r>
          </w:p>
          <w:p>
            <w:pPr>
              <w:rPr>
                <w:rFonts w:hint="eastAsia"/>
                <w:bCs/>
                <w:sz w:val="18"/>
                <w:szCs w:val="18"/>
              </w:rPr>
            </w:pPr>
            <w:r>
              <w:rPr>
                <w:rFonts w:hint="eastAsia"/>
                <w:bCs/>
                <w:sz w:val="18"/>
                <w:szCs w:val="18"/>
              </w:rPr>
              <w:t>（支撑课程目标2、毕业要求指标点4-1）</w:t>
            </w:r>
          </w:p>
        </w:tc>
        <w:tc>
          <w:tcPr>
            <w:tcW w:w="1560" w:type="dxa"/>
            <w:vAlign w:val="center"/>
          </w:tcPr>
          <w:p>
            <w:pPr>
              <w:rPr>
                <w:rFonts w:hint="eastAsia"/>
                <w:bCs/>
                <w:sz w:val="18"/>
                <w:szCs w:val="18"/>
              </w:rPr>
            </w:pPr>
            <w:r>
              <w:rPr>
                <w:rFonts w:hint="eastAsia"/>
                <w:bCs/>
                <w:sz w:val="18"/>
                <w:szCs w:val="18"/>
              </w:rPr>
              <w:t>规定时间内完成；能够熟练掌握基于IEEE  1451.5接口标准的传感器无线互联系统构架；答题规范，准确性高。</w:t>
            </w:r>
          </w:p>
        </w:tc>
        <w:tc>
          <w:tcPr>
            <w:tcW w:w="1559" w:type="dxa"/>
            <w:vAlign w:val="center"/>
          </w:tcPr>
          <w:p>
            <w:pPr>
              <w:rPr>
                <w:rFonts w:hint="eastAsia"/>
                <w:bCs/>
                <w:sz w:val="18"/>
                <w:szCs w:val="18"/>
              </w:rPr>
            </w:pPr>
            <w:r>
              <w:rPr>
                <w:rFonts w:hint="eastAsia"/>
                <w:bCs/>
                <w:sz w:val="18"/>
                <w:szCs w:val="18"/>
              </w:rPr>
              <w:t>规定时间内完成；能够较好地掌握基于IEEE 1451.5接口标准的传感器无线互联系统构架；答题较规范，准确性较高。</w:t>
            </w:r>
          </w:p>
        </w:tc>
        <w:tc>
          <w:tcPr>
            <w:tcW w:w="1559" w:type="dxa"/>
            <w:vAlign w:val="center"/>
          </w:tcPr>
          <w:p>
            <w:pPr>
              <w:rPr>
                <w:rFonts w:hint="eastAsia"/>
                <w:bCs/>
                <w:sz w:val="18"/>
                <w:szCs w:val="18"/>
              </w:rPr>
            </w:pPr>
            <w:r>
              <w:rPr>
                <w:rFonts w:hint="eastAsia"/>
                <w:bCs/>
                <w:sz w:val="18"/>
                <w:szCs w:val="18"/>
              </w:rPr>
              <w:t>规定时间内完成；能够基本掌握基于IEEE 1451.5接口标准的传感器无线互联系统构架；答题基本规范，基本准确。</w:t>
            </w:r>
          </w:p>
        </w:tc>
        <w:tc>
          <w:tcPr>
            <w:tcW w:w="1381" w:type="dxa"/>
            <w:vAlign w:val="center"/>
          </w:tcPr>
          <w:p>
            <w:pPr>
              <w:rPr>
                <w:rFonts w:hint="eastAsia"/>
                <w:bCs/>
                <w:sz w:val="18"/>
                <w:szCs w:val="18"/>
              </w:rPr>
            </w:pPr>
            <w:r>
              <w:rPr>
                <w:rFonts w:hint="eastAsia"/>
                <w:bCs/>
                <w:sz w:val="18"/>
                <w:szCs w:val="18"/>
              </w:rPr>
              <w:t>未完成或未提交测验；不能掌握基于IEEE 1451.5接口标准的传感器无线互联系统构架；基本概念不清楚甚至错误，准确率低。</w:t>
            </w:r>
          </w:p>
        </w:tc>
        <w:tc>
          <w:tcPr>
            <w:tcW w:w="785" w:type="dxa"/>
            <w:vAlign w:val="center"/>
          </w:tcPr>
          <w:p>
            <w:pPr>
              <w:jc w:val="center"/>
              <w:rPr>
                <w:rFonts w:hint="eastAsia" w:ascii="宋体" w:hAnsi="宋体"/>
                <w:bCs/>
                <w:sz w:val="18"/>
                <w:szCs w:val="18"/>
              </w:rPr>
            </w:pPr>
            <w:r>
              <w:rPr>
                <w:rFonts w:hint="eastAsia" w:ascii="宋体" w:hAnsi="宋体"/>
                <w:bCs/>
                <w:sz w:val="18"/>
                <w:szCs w:val="18"/>
              </w:rPr>
              <w:t>2</w:t>
            </w:r>
          </w:p>
        </w:tc>
      </w:tr>
    </w:tbl>
    <w:p>
      <w:pPr>
        <w:pStyle w:val="26"/>
        <w:spacing w:line="360" w:lineRule="auto"/>
        <w:ind w:firstLine="207" w:firstLineChars="98"/>
        <w:rPr>
          <w:rFonts w:hint="eastAsia" w:ascii="宋体" w:hAnsi="宋体"/>
          <w:b/>
          <w:color w:val="C00000"/>
          <w:szCs w:val="21"/>
          <w:highlight w:val="yellow"/>
        </w:rPr>
      </w:pPr>
      <w:r>
        <w:rPr>
          <w:rFonts w:hint="eastAsia" w:ascii="宋体" w:hAnsi="宋体"/>
          <w:b/>
          <w:szCs w:val="21"/>
        </w:rPr>
        <w:t>2、课后作业评价标准</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1560"/>
        <w:gridCol w:w="1559"/>
        <w:gridCol w:w="1559"/>
        <w:gridCol w:w="1381"/>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310" w:type="dxa"/>
            <w:vMerge w:val="restart"/>
            <w:shd w:val="clear" w:color="auto" w:fill="F2F2F2"/>
            <w:vAlign w:val="center"/>
          </w:tcPr>
          <w:p>
            <w:pPr>
              <w:jc w:val="center"/>
              <w:rPr>
                <w:b/>
                <w:color w:val="000000"/>
                <w:sz w:val="18"/>
                <w:szCs w:val="18"/>
              </w:rPr>
            </w:pPr>
            <w:r>
              <w:rPr>
                <w:rFonts w:hint="eastAsia"/>
                <w:b/>
                <w:color w:val="000000"/>
                <w:sz w:val="18"/>
                <w:szCs w:val="18"/>
              </w:rPr>
              <w:t>基本要求</w:t>
            </w:r>
          </w:p>
        </w:tc>
        <w:tc>
          <w:tcPr>
            <w:tcW w:w="6059" w:type="dxa"/>
            <w:gridSpan w:val="4"/>
            <w:shd w:val="clear" w:color="auto" w:fill="F2F2F2"/>
            <w:vAlign w:val="center"/>
          </w:tcPr>
          <w:p>
            <w:pPr>
              <w:jc w:val="center"/>
              <w:rPr>
                <w:b/>
                <w:color w:val="000000"/>
                <w:sz w:val="18"/>
                <w:szCs w:val="18"/>
              </w:rPr>
            </w:pPr>
            <w:r>
              <w:rPr>
                <w:rFonts w:hint="eastAsia"/>
                <w:b/>
                <w:color w:val="000000"/>
                <w:sz w:val="18"/>
                <w:szCs w:val="18"/>
              </w:rPr>
              <w:t>评价标准</w:t>
            </w:r>
          </w:p>
        </w:tc>
        <w:tc>
          <w:tcPr>
            <w:tcW w:w="785" w:type="dxa"/>
            <w:vMerge w:val="restart"/>
            <w:shd w:val="clear" w:color="auto" w:fill="F2F2F2"/>
            <w:vAlign w:val="center"/>
          </w:tcPr>
          <w:p>
            <w:pPr>
              <w:jc w:val="center"/>
              <w:rPr>
                <w:rFonts w:hint="eastAsia"/>
                <w:b/>
                <w:color w:val="000000"/>
                <w:sz w:val="18"/>
                <w:szCs w:val="18"/>
              </w:rPr>
            </w:pPr>
            <w:r>
              <w:rPr>
                <w:rFonts w:hint="eastAsia"/>
                <w:b/>
                <w:color w:val="000000"/>
                <w:sz w:val="18"/>
                <w:szCs w:val="1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310" w:type="dxa"/>
            <w:vMerge w:val="continue"/>
            <w:shd w:val="clear" w:color="auto" w:fill="F2F2F2"/>
          </w:tcPr>
          <w:p>
            <w:pPr>
              <w:spacing w:line="420" w:lineRule="exact"/>
              <w:jc w:val="center"/>
              <w:rPr>
                <w:rFonts w:hint="eastAsia"/>
                <w:b/>
                <w:color w:val="000000"/>
                <w:sz w:val="18"/>
                <w:szCs w:val="18"/>
              </w:rPr>
            </w:pPr>
          </w:p>
        </w:tc>
        <w:tc>
          <w:tcPr>
            <w:tcW w:w="1560" w:type="dxa"/>
            <w:shd w:val="clear" w:color="auto" w:fill="F2F2F2"/>
          </w:tcPr>
          <w:p>
            <w:pPr>
              <w:spacing w:line="420" w:lineRule="exact"/>
              <w:jc w:val="center"/>
              <w:rPr>
                <w:rFonts w:hint="eastAsia"/>
                <w:b/>
                <w:color w:val="000000"/>
                <w:sz w:val="18"/>
                <w:szCs w:val="18"/>
              </w:rPr>
            </w:pPr>
            <w:r>
              <w:rPr>
                <w:rFonts w:hint="eastAsia"/>
                <w:b/>
                <w:color w:val="000000"/>
                <w:sz w:val="18"/>
                <w:szCs w:val="18"/>
              </w:rPr>
              <w:t>90-100分</w:t>
            </w:r>
          </w:p>
        </w:tc>
        <w:tc>
          <w:tcPr>
            <w:tcW w:w="1559" w:type="dxa"/>
            <w:shd w:val="clear" w:color="auto" w:fill="F2F2F2"/>
          </w:tcPr>
          <w:p>
            <w:pPr>
              <w:spacing w:line="420" w:lineRule="exact"/>
              <w:jc w:val="center"/>
              <w:rPr>
                <w:rFonts w:hint="eastAsia"/>
                <w:b/>
                <w:color w:val="000000"/>
                <w:sz w:val="18"/>
                <w:szCs w:val="18"/>
              </w:rPr>
            </w:pPr>
            <w:r>
              <w:rPr>
                <w:rFonts w:hint="eastAsia"/>
                <w:b/>
                <w:color w:val="000000"/>
                <w:sz w:val="18"/>
                <w:szCs w:val="18"/>
              </w:rPr>
              <w:t>75-89分</w:t>
            </w:r>
          </w:p>
        </w:tc>
        <w:tc>
          <w:tcPr>
            <w:tcW w:w="1559" w:type="dxa"/>
            <w:shd w:val="clear" w:color="auto" w:fill="F2F2F2"/>
          </w:tcPr>
          <w:p>
            <w:pPr>
              <w:spacing w:line="420" w:lineRule="exact"/>
              <w:jc w:val="center"/>
              <w:rPr>
                <w:rFonts w:hint="eastAsia"/>
                <w:b/>
                <w:color w:val="000000"/>
                <w:sz w:val="18"/>
                <w:szCs w:val="18"/>
              </w:rPr>
            </w:pPr>
            <w:r>
              <w:rPr>
                <w:rFonts w:hint="eastAsia"/>
                <w:b/>
                <w:color w:val="000000"/>
                <w:sz w:val="18"/>
                <w:szCs w:val="18"/>
              </w:rPr>
              <w:t>60-74分</w:t>
            </w:r>
          </w:p>
        </w:tc>
        <w:tc>
          <w:tcPr>
            <w:tcW w:w="1381" w:type="dxa"/>
            <w:shd w:val="clear" w:color="auto" w:fill="F2F2F2"/>
          </w:tcPr>
          <w:p>
            <w:pPr>
              <w:spacing w:line="420" w:lineRule="exact"/>
              <w:jc w:val="center"/>
              <w:rPr>
                <w:rFonts w:hint="eastAsia"/>
                <w:b/>
                <w:color w:val="000000"/>
                <w:sz w:val="18"/>
                <w:szCs w:val="18"/>
              </w:rPr>
            </w:pPr>
            <w:r>
              <w:rPr>
                <w:rFonts w:hint="eastAsia"/>
                <w:b/>
                <w:color w:val="000000"/>
                <w:sz w:val="18"/>
                <w:szCs w:val="18"/>
              </w:rPr>
              <w:t>0-59分</w:t>
            </w:r>
          </w:p>
        </w:tc>
        <w:tc>
          <w:tcPr>
            <w:tcW w:w="785" w:type="dxa"/>
            <w:vMerge w:val="continue"/>
            <w:shd w:val="clear" w:color="auto" w:fill="F2F2F2"/>
          </w:tcPr>
          <w:p>
            <w:pPr>
              <w:spacing w:line="420" w:lineRule="exact"/>
              <w:jc w:val="center"/>
              <w:rPr>
                <w:rFonts w:ascii="宋体" w:hAnsi="宋体"/>
                <w:b/>
                <w:bCs/>
                <w:color w:val="C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hint="eastAsia"/>
                <w:bCs/>
                <w:sz w:val="18"/>
                <w:szCs w:val="18"/>
              </w:rPr>
            </w:pPr>
            <w:r>
              <w:rPr>
                <w:rFonts w:hint="eastAsia"/>
                <w:bCs/>
                <w:sz w:val="18"/>
                <w:szCs w:val="18"/>
              </w:rPr>
              <w:t>能够复述传统模拟传感器的发展现状，能够复述智能传感器的基本概念以及接口多样化带来的问题，能够复述IEEE 1451标准。</w:t>
            </w:r>
          </w:p>
          <w:p>
            <w:pPr>
              <w:rPr>
                <w:bCs/>
                <w:sz w:val="18"/>
                <w:szCs w:val="18"/>
              </w:rPr>
            </w:pPr>
            <w:r>
              <w:rPr>
                <w:rFonts w:hint="eastAsia"/>
                <w:bCs/>
                <w:sz w:val="18"/>
                <w:szCs w:val="18"/>
              </w:rPr>
              <w:t>（支撑课程目标1、毕业要求指标点1-1）</w:t>
            </w:r>
          </w:p>
        </w:tc>
        <w:tc>
          <w:tcPr>
            <w:tcW w:w="1560" w:type="dxa"/>
            <w:vAlign w:val="center"/>
          </w:tcPr>
          <w:p>
            <w:pPr>
              <w:rPr>
                <w:bCs/>
                <w:sz w:val="18"/>
                <w:szCs w:val="18"/>
              </w:rPr>
            </w:pPr>
            <w:r>
              <w:rPr>
                <w:bCs/>
                <w:sz w:val="18"/>
                <w:szCs w:val="18"/>
              </w:rPr>
              <w:t>按时交作业；能够</w:t>
            </w:r>
            <w:r>
              <w:rPr>
                <w:rFonts w:hint="eastAsia"/>
                <w:bCs/>
                <w:sz w:val="18"/>
                <w:szCs w:val="18"/>
              </w:rPr>
              <w:t>准确回答传统模拟传感器的发展现状；</w:t>
            </w:r>
            <w:r>
              <w:rPr>
                <w:bCs/>
                <w:sz w:val="18"/>
                <w:szCs w:val="18"/>
              </w:rPr>
              <w:t>能够</w:t>
            </w:r>
            <w:r>
              <w:rPr>
                <w:rFonts w:hint="eastAsia"/>
                <w:bCs/>
                <w:sz w:val="18"/>
                <w:szCs w:val="18"/>
              </w:rPr>
              <w:t>准确回答智能传感器的基本概念以及接口多样化带来的问题；</w:t>
            </w:r>
            <w:r>
              <w:rPr>
                <w:bCs/>
                <w:sz w:val="18"/>
                <w:szCs w:val="18"/>
              </w:rPr>
              <w:t>能够</w:t>
            </w:r>
            <w:r>
              <w:rPr>
                <w:rFonts w:hint="eastAsia"/>
                <w:bCs/>
                <w:sz w:val="18"/>
                <w:szCs w:val="18"/>
              </w:rPr>
              <w:t>准确回答IEEE 1451标准</w:t>
            </w:r>
            <w:r>
              <w:rPr>
                <w:bCs/>
                <w:sz w:val="18"/>
                <w:szCs w:val="18"/>
              </w:rPr>
              <w:t>。完成作业认真，语言规范，表述清楚。</w:t>
            </w:r>
          </w:p>
        </w:tc>
        <w:tc>
          <w:tcPr>
            <w:tcW w:w="1559" w:type="dxa"/>
            <w:vAlign w:val="center"/>
          </w:tcPr>
          <w:p>
            <w:pPr>
              <w:rPr>
                <w:bCs/>
                <w:sz w:val="18"/>
                <w:szCs w:val="18"/>
              </w:rPr>
            </w:pPr>
            <w:r>
              <w:rPr>
                <w:bCs/>
                <w:sz w:val="18"/>
                <w:szCs w:val="18"/>
              </w:rPr>
              <w:t>按时交作业；能够</w:t>
            </w:r>
            <w:r>
              <w:rPr>
                <w:rFonts w:hint="eastAsia"/>
                <w:bCs/>
                <w:sz w:val="18"/>
                <w:szCs w:val="18"/>
              </w:rPr>
              <w:t>较为准确回答传统模拟传感器的发展现状；</w:t>
            </w:r>
            <w:r>
              <w:rPr>
                <w:bCs/>
                <w:sz w:val="18"/>
                <w:szCs w:val="18"/>
              </w:rPr>
              <w:t>能够</w:t>
            </w:r>
            <w:r>
              <w:rPr>
                <w:rFonts w:hint="eastAsia"/>
                <w:bCs/>
                <w:sz w:val="18"/>
                <w:szCs w:val="18"/>
              </w:rPr>
              <w:t>较为准确回答智能传感器的基本概念以及接口多样化带来的问题；</w:t>
            </w:r>
            <w:r>
              <w:rPr>
                <w:bCs/>
                <w:sz w:val="18"/>
                <w:szCs w:val="18"/>
              </w:rPr>
              <w:t>能够</w:t>
            </w:r>
            <w:r>
              <w:rPr>
                <w:rFonts w:hint="eastAsia"/>
                <w:bCs/>
                <w:sz w:val="18"/>
                <w:szCs w:val="18"/>
              </w:rPr>
              <w:t>较为准确回答IEEE 1451标准</w:t>
            </w:r>
            <w:r>
              <w:rPr>
                <w:bCs/>
                <w:sz w:val="18"/>
                <w:szCs w:val="18"/>
              </w:rPr>
              <w:t>。完成作业</w:t>
            </w:r>
            <w:r>
              <w:rPr>
                <w:rFonts w:hint="eastAsia"/>
                <w:bCs/>
                <w:sz w:val="18"/>
                <w:szCs w:val="18"/>
              </w:rPr>
              <w:t>较</w:t>
            </w:r>
            <w:r>
              <w:rPr>
                <w:bCs/>
                <w:sz w:val="18"/>
                <w:szCs w:val="18"/>
              </w:rPr>
              <w:t>认真，语言</w:t>
            </w:r>
            <w:r>
              <w:rPr>
                <w:rFonts w:hint="eastAsia"/>
                <w:bCs/>
                <w:sz w:val="18"/>
                <w:szCs w:val="18"/>
              </w:rPr>
              <w:t>较</w:t>
            </w:r>
            <w:r>
              <w:rPr>
                <w:bCs/>
                <w:sz w:val="18"/>
                <w:szCs w:val="18"/>
              </w:rPr>
              <w:t>规范，表述</w:t>
            </w:r>
            <w:r>
              <w:rPr>
                <w:rFonts w:hint="eastAsia"/>
                <w:bCs/>
                <w:sz w:val="18"/>
                <w:szCs w:val="18"/>
              </w:rPr>
              <w:t>较</w:t>
            </w:r>
            <w:r>
              <w:rPr>
                <w:bCs/>
                <w:sz w:val="18"/>
                <w:szCs w:val="18"/>
              </w:rPr>
              <w:t>清楚。</w:t>
            </w:r>
          </w:p>
        </w:tc>
        <w:tc>
          <w:tcPr>
            <w:tcW w:w="1559" w:type="dxa"/>
            <w:vAlign w:val="center"/>
          </w:tcPr>
          <w:p>
            <w:pPr>
              <w:rPr>
                <w:bCs/>
                <w:sz w:val="18"/>
                <w:szCs w:val="18"/>
              </w:rPr>
            </w:pPr>
            <w:r>
              <w:rPr>
                <w:bCs/>
                <w:sz w:val="18"/>
                <w:szCs w:val="18"/>
              </w:rPr>
              <w:t>按时交作业；能够</w:t>
            </w:r>
            <w:r>
              <w:rPr>
                <w:rFonts w:hint="eastAsia"/>
                <w:bCs/>
                <w:sz w:val="18"/>
                <w:szCs w:val="18"/>
              </w:rPr>
              <w:t>基本准确回答传统模拟传感器的发展现状；</w:t>
            </w:r>
            <w:r>
              <w:rPr>
                <w:bCs/>
                <w:sz w:val="18"/>
                <w:szCs w:val="18"/>
              </w:rPr>
              <w:t>能够</w:t>
            </w:r>
            <w:r>
              <w:rPr>
                <w:rFonts w:hint="eastAsia"/>
                <w:bCs/>
                <w:sz w:val="18"/>
                <w:szCs w:val="18"/>
              </w:rPr>
              <w:t>基本准确回答智能传感器的基本概念以及接口多样化带来的问题；</w:t>
            </w:r>
            <w:r>
              <w:rPr>
                <w:bCs/>
                <w:sz w:val="18"/>
                <w:szCs w:val="18"/>
              </w:rPr>
              <w:t>能够</w:t>
            </w:r>
            <w:r>
              <w:rPr>
                <w:rFonts w:hint="eastAsia"/>
                <w:bCs/>
                <w:sz w:val="18"/>
                <w:szCs w:val="18"/>
              </w:rPr>
              <w:t>基本准确回答IEEE  1451标准</w:t>
            </w:r>
            <w:r>
              <w:rPr>
                <w:bCs/>
                <w:sz w:val="18"/>
                <w:szCs w:val="18"/>
              </w:rPr>
              <w:t>。语言基本规范，表述基本清楚。</w:t>
            </w:r>
          </w:p>
        </w:tc>
        <w:tc>
          <w:tcPr>
            <w:tcW w:w="1381" w:type="dxa"/>
            <w:vAlign w:val="center"/>
          </w:tcPr>
          <w:p>
            <w:pPr>
              <w:rPr>
                <w:bCs/>
                <w:sz w:val="18"/>
                <w:szCs w:val="18"/>
              </w:rPr>
            </w:pPr>
            <w:r>
              <w:rPr>
                <w:bCs/>
                <w:sz w:val="18"/>
                <w:szCs w:val="18"/>
              </w:rPr>
              <w:t>不能按时</w:t>
            </w:r>
            <w:r>
              <w:rPr>
                <w:rFonts w:hint="eastAsia"/>
                <w:bCs/>
                <w:sz w:val="18"/>
                <w:szCs w:val="18"/>
              </w:rPr>
              <w:t>完成</w:t>
            </w:r>
            <w:r>
              <w:rPr>
                <w:bCs/>
                <w:sz w:val="18"/>
                <w:szCs w:val="18"/>
              </w:rPr>
              <w:t>作业，有抄袭现象；或</w:t>
            </w:r>
            <w:r>
              <w:rPr>
                <w:rFonts w:hint="eastAsia"/>
                <w:bCs/>
                <w:sz w:val="18"/>
                <w:szCs w:val="18"/>
              </w:rPr>
              <w:t>答案不准确</w:t>
            </w:r>
            <w:r>
              <w:rPr>
                <w:bCs/>
                <w:sz w:val="18"/>
                <w:szCs w:val="18"/>
              </w:rPr>
              <w:t>。</w:t>
            </w:r>
          </w:p>
        </w:tc>
        <w:tc>
          <w:tcPr>
            <w:tcW w:w="785" w:type="dxa"/>
            <w:vAlign w:val="center"/>
          </w:tcPr>
          <w:p>
            <w:pPr>
              <w:jc w:val="center"/>
              <w:rPr>
                <w:rFonts w:ascii="宋体" w:hAnsi="宋体"/>
                <w:bCs/>
                <w:sz w:val="18"/>
                <w:szCs w:val="18"/>
              </w:rPr>
            </w:pPr>
            <w:r>
              <w:rPr>
                <w:rFonts w:hint="eastAsia" w:ascii="宋体" w:hAnsi="宋体"/>
                <w:bCs/>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hint="eastAsia"/>
                <w:bCs/>
                <w:sz w:val="18"/>
                <w:szCs w:val="18"/>
              </w:rPr>
            </w:pPr>
            <w:r>
              <w:rPr>
                <w:rFonts w:hint="eastAsia"/>
                <w:bCs/>
                <w:sz w:val="18"/>
                <w:szCs w:val="18"/>
              </w:rPr>
              <w:t>能够完成对基于总线技术NCAP接口的设计。</w:t>
            </w:r>
          </w:p>
          <w:p>
            <w:pPr>
              <w:rPr>
                <w:bCs/>
                <w:sz w:val="18"/>
                <w:szCs w:val="18"/>
              </w:rPr>
            </w:pPr>
            <w:r>
              <w:rPr>
                <w:rFonts w:hint="eastAsia"/>
                <w:bCs/>
                <w:sz w:val="18"/>
                <w:szCs w:val="18"/>
              </w:rPr>
              <w:t>（支撑课程目标2、毕业要求指标点4-1）</w:t>
            </w:r>
          </w:p>
        </w:tc>
        <w:tc>
          <w:tcPr>
            <w:tcW w:w="1560" w:type="dxa"/>
            <w:vAlign w:val="center"/>
          </w:tcPr>
          <w:p>
            <w:pPr>
              <w:rPr>
                <w:bCs/>
                <w:sz w:val="18"/>
                <w:szCs w:val="18"/>
              </w:rPr>
            </w:pPr>
            <w:r>
              <w:rPr>
                <w:bCs/>
                <w:sz w:val="18"/>
                <w:szCs w:val="18"/>
              </w:rPr>
              <w:t>按时交作业；能够</w:t>
            </w:r>
            <w:r>
              <w:rPr>
                <w:rFonts w:hint="eastAsia"/>
                <w:bCs/>
                <w:sz w:val="18"/>
                <w:szCs w:val="18"/>
              </w:rPr>
              <w:t>准确完成对基于总线技术NCAP接口设计的相关习题</w:t>
            </w:r>
            <w:r>
              <w:rPr>
                <w:bCs/>
                <w:sz w:val="18"/>
                <w:szCs w:val="18"/>
              </w:rPr>
              <w:t>。完成作业认真，语言规范，表述清楚。</w:t>
            </w:r>
          </w:p>
        </w:tc>
        <w:tc>
          <w:tcPr>
            <w:tcW w:w="1559" w:type="dxa"/>
            <w:vAlign w:val="center"/>
          </w:tcPr>
          <w:p>
            <w:pPr>
              <w:rPr>
                <w:bCs/>
                <w:sz w:val="18"/>
                <w:szCs w:val="18"/>
              </w:rPr>
            </w:pPr>
            <w:r>
              <w:rPr>
                <w:bCs/>
                <w:sz w:val="18"/>
                <w:szCs w:val="18"/>
              </w:rPr>
              <w:t>按时交作业；能够</w:t>
            </w:r>
            <w:r>
              <w:rPr>
                <w:rFonts w:hint="eastAsia"/>
                <w:bCs/>
                <w:sz w:val="18"/>
                <w:szCs w:val="18"/>
              </w:rPr>
              <w:t>较为准确完成对基于总线技术NCAP接口设计的相关习题</w:t>
            </w:r>
            <w:r>
              <w:rPr>
                <w:bCs/>
                <w:sz w:val="18"/>
                <w:szCs w:val="18"/>
              </w:rPr>
              <w:t>。完成作业</w:t>
            </w:r>
            <w:r>
              <w:rPr>
                <w:rFonts w:hint="eastAsia"/>
                <w:bCs/>
                <w:sz w:val="18"/>
                <w:szCs w:val="18"/>
              </w:rPr>
              <w:t>较</w:t>
            </w:r>
            <w:r>
              <w:rPr>
                <w:bCs/>
                <w:sz w:val="18"/>
                <w:szCs w:val="18"/>
              </w:rPr>
              <w:t>认真，语言</w:t>
            </w:r>
            <w:r>
              <w:rPr>
                <w:rFonts w:hint="eastAsia"/>
                <w:bCs/>
                <w:sz w:val="18"/>
                <w:szCs w:val="18"/>
              </w:rPr>
              <w:t>较</w:t>
            </w:r>
            <w:r>
              <w:rPr>
                <w:bCs/>
                <w:sz w:val="18"/>
                <w:szCs w:val="18"/>
              </w:rPr>
              <w:t>规范，表述</w:t>
            </w:r>
            <w:r>
              <w:rPr>
                <w:rFonts w:hint="eastAsia"/>
                <w:bCs/>
                <w:sz w:val="18"/>
                <w:szCs w:val="18"/>
              </w:rPr>
              <w:t>较</w:t>
            </w:r>
            <w:r>
              <w:rPr>
                <w:bCs/>
                <w:sz w:val="18"/>
                <w:szCs w:val="18"/>
              </w:rPr>
              <w:t>清楚。</w:t>
            </w:r>
          </w:p>
        </w:tc>
        <w:tc>
          <w:tcPr>
            <w:tcW w:w="1559" w:type="dxa"/>
            <w:vAlign w:val="center"/>
          </w:tcPr>
          <w:p>
            <w:pPr>
              <w:rPr>
                <w:bCs/>
                <w:sz w:val="18"/>
                <w:szCs w:val="18"/>
              </w:rPr>
            </w:pPr>
            <w:r>
              <w:rPr>
                <w:bCs/>
                <w:sz w:val="18"/>
                <w:szCs w:val="18"/>
              </w:rPr>
              <w:t>按时交作业；能够</w:t>
            </w:r>
            <w:r>
              <w:rPr>
                <w:rFonts w:hint="eastAsia"/>
                <w:bCs/>
                <w:sz w:val="18"/>
                <w:szCs w:val="18"/>
              </w:rPr>
              <w:t>基本准确完成对基于总线技术NCAP接口设计的相关习题</w:t>
            </w:r>
            <w:r>
              <w:rPr>
                <w:bCs/>
                <w:sz w:val="18"/>
                <w:szCs w:val="18"/>
              </w:rPr>
              <w:t>。语言基本规范，表述基本清楚。</w:t>
            </w:r>
          </w:p>
        </w:tc>
        <w:tc>
          <w:tcPr>
            <w:tcW w:w="1381" w:type="dxa"/>
            <w:vAlign w:val="center"/>
          </w:tcPr>
          <w:p>
            <w:pPr>
              <w:rPr>
                <w:bCs/>
                <w:sz w:val="18"/>
                <w:szCs w:val="18"/>
              </w:rPr>
            </w:pPr>
            <w:r>
              <w:rPr>
                <w:bCs/>
                <w:sz w:val="18"/>
                <w:szCs w:val="18"/>
              </w:rPr>
              <w:t>不能按时</w:t>
            </w:r>
            <w:r>
              <w:rPr>
                <w:rFonts w:hint="eastAsia"/>
                <w:bCs/>
                <w:sz w:val="18"/>
                <w:szCs w:val="18"/>
              </w:rPr>
              <w:t>完成</w:t>
            </w:r>
            <w:r>
              <w:rPr>
                <w:bCs/>
                <w:sz w:val="18"/>
                <w:szCs w:val="18"/>
              </w:rPr>
              <w:t>作业，有抄袭现象；或</w:t>
            </w:r>
            <w:r>
              <w:rPr>
                <w:rFonts w:hint="eastAsia"/>
                <w:bCs/>
                <w:sz w:val="18"/>
                <w:szCs w:val="18"/>
              </w:rPr>
              <w:t>答案不准确</w:t>
            </w:r>
            <w:r>
              <w:rPr>
                <w:bCs/>
                <w:sz w:val="18"/>
                <w:szCs w:val="18"/>
              </w:rPr>
              <w:t>。</w:t>
            </w:r>
          </w:p>
        </w:tc>
        <w:tc>
          <w:tcPr>
            <w:tcW w:w="785" w:type="dxa"/>
            <w:vAlign w:val="center"/>
          </w:tcPr>
          <w:p>
            <w:pPr>
              <w:jc w:val="center"/>
              <w:rPr>
                <w:rFonts w:hint="eastAsia" w:ascii="宋体" w:hAnsi="宋体"/>
                <w:bCs/>
                <w:sz w:val="18"/>
                <w:szCs w:val="18"/>
              </w:rPr>
            </w:pPr>
            <w:r>
              <w:rPr>
                <w:rFonts w:hint="eastAsia" w:ascii="宋体" w:hAnsi="宋体"/>
                <w:bCs/>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hint="eastAsia"/>
                <w:bCs/>
                <w:sz w:val="18"/>
                <w:szCs w:val="18"/>
              </w:rPr>
            </w:pPr>
            <w:r>
              <w:rPr>
                <w:rFonts w:hint="eastAsia"/>
                <w:bCs/>
                <w:sz w:val="18"/>
                <w:szCs w:val="18"/>
              </w:rPr>
              <w:t>能够完成对基于总线结构的多点分布式接口的物理层与数据链路层的设计。</w:t>
            </w:r>
          </w:p>
          <w:p>
            <w:pPr>
              <w:rPr>
                <w:rFonts w:hint="eastAsia"/>
                <w:bCs/>
                <w:sz w:val="18"/>
                <w:szCs w:val="18"/>
              </w:rPr>
            </w:pPr>
            <w:r>
              <w:rPr>
                <w:rFonts w:hint="eastAsia"/>
                <w:bCs/>
                <w:sz w:val="18"/>
                <w:szCs w:val="18"/>
              </w:rPr>
              <w:t>（支撑课程目标2、毕业要求指标点4-1）</w:t>
            </w:r>
          </w:p>
        </w:tc>
        <w:tc>
          <w:tcPr>
            <w:tcW w:w="1560" w:type="dxa"/>
            <w:vAlign w:val="center"/>
          </w:tcPr>
          <w:p>
            <w:pPr>
              <w:rPr>
                <w:rFonts w:hint="eastAsia"/>
                <w:bCs/>
                <w:sz w:val="18"/>
                <w:szCs w:val="18"/>
              </w:rPr>
            </w:pPr>
            <w:r>
              <w:rPr>
                <w:bCs/>
                <w:sz w:val="18"/>
                <w:szCs w:val="18"/>
              </w:rPr>
              <w:t>按时交作业；能够</w:t>
            </w:r>
            <w:r>
              <w:rPr>
                <w:rFonts w:hint="eastAsia"/>
                <w:bCs/>
                <w:sz w:val="18"/>
                <w:szCs w:val="18"/>
              </w:rPr>
              <w:t>准确完成对基于总线结构的多点分布式接口的物理层与数据链路层设计的相关习题</w:t>
            </w:r>
            <w:r>
              <w:rPr>
                <w:bCs/>
                <w:sz w:val="18"/>
                <w:szCs w:val="18"/>
              </w:rPr>
              <w:t>。完成作业认真，语言规范，表述清楚。</w:t>
            </w:r>
          </w:p>
        </w:tc>
        <w:tc>
          <w:tcPr>
            <w:tcW w:w="1559" w:type="dxa"/>
            <w:vAlign w:val="center"/>
          </w:tcPr>
          <w:p>
            <w:pPr>
              <w:rPr>
                <w:rFonts w:hint="eastAsia"/>
                <w:bCs/>
                <w:sz w:val="18"/>
                <w:szCs w:val="18"/>
              </w:rPr>
            </w:pPr>
            <w:r>
              <w:rPr>
                <w:bCs/>
                <w:sz w:val="18"/>
                <w:szCs w:val="18"/>
              </w:rPr>
              <w:t>按时交作业；能够</w:t>
            </w:r>
            <w:r>
              <w:rPr>
                <w:rFonts w:hint="eastAsia"/>
                <w:bCs/>
                <w:sz w:val="18"/>
                <w:szCs w:val="18"/>
              </w:rPr>
              <w:t>较为准确完成对基于总线结构的多点分布式接口的物理层与数据链路层设计的相关习题</w:t>
            </w:r>
            <w:r>
              <w:rPr>
                <w:bCs/>
                <w:sz w:val="18"/>
                <w:szCs w:val="18"/>
              </w:rPr>
              <w:t>。完成作业</w:t>
            </w:r>
            <w:r>
              <w:rPr>
                <w:rFonts w:hint="eastAsia"/>
                <w:bCs/>
                <w:sz w:val="18"/>
                <w:szCs w:val="18"/>
              </w:rPr>
              <w:t>较</w:t>
            </w:r>
            <w:r>
              <w:rPr>
                <w:bCs/>
                <w:sz w:val="18"/>
                <w:szCs w:val="18"/>
              </w:rPr>
              <w:t>认真，语言</w:t>
            </w:r>
            <w:r>
              <w:rPr>
                <w:rFonts w:hint="eastAsia"/>
                <w:bCs/>
                <w:sz w:val="18"/>
                <w:szCs w:val="18"/>
              </w:rPr>
              <w:t>较</w:t>
            </w:r>
            <w:r>
              <w:rPr>
                <w:bCs/>
                <w:sz w:val="18"/>
                <w:szCs w:val="18"/>
              </w:rPr>
              <w:t>规范，表述</w:t>
            </w:r>
            <w:r>
              <w:rPr>
                <w:rFonts w:hint="eastAsia"/>
                <w:bCs/>
                <w:sz w:val="18"/>
                <w:szCs w:val="18"/>
              </w:rPr>
              <w:t>较</w:t>
            </w:r>
            <w:r>
              <w:rPr>
                <w:bCs/>
                <w:sz w:val="18"/>
                <w:szCs w:val="18"/>
              </w:rPr>
              <w:t>清楚。</w:t>
            </w:r>
          </w:p>
        </w:tc>
        <w:tc>
          <w:tcPr>
            <w:tcW w:w="1559" w:type="dxa"/>
            <w:vAlign w:val="center"/>
          </w:tcPr>
          <w:p>
            <w:pPr>
              <w:rPr>
                <w:rFonts w:hint="eastAsia"/>
                <w:bCs/>
                <w:sz w:val="18"/>
                <w:szCs w:val="18"/>
              </w:rPr>
            </w:pPr>
            <w:r>
              <w:rPr>
                <w:bCs/>
                <w:sz w:val="18"/>
                <w:szCs w:val="18"/>
              </w:rPr>
              <w:t>按时交作业；能够</w:t>
            </w:r>
            <w:r>
              <w:rPr>
                <w:rFonts w:hint="eastAsia"/>
                <w:bCs/>
                <w:sz w:val="18"/>
                <w:szCs w:val="18"/>
              </w:rPr>
              <w:t>基本准确完成对基于总线结构的多点分布式接口的物理层与数据链路层设计的相关习题</w:t>
            </w:r>
            <w:r>
              <w:rPr>
                <w:bCs/>
                <w:sz w:val="18"/>
                <w:szCs w:val="18"/>
              </w:rPr>
              <w:t>。语言基本规范，表述基本清楚。</w:t>
            </w:r>
          </w:p>
        </w:tc>
        <w:tc>
          <w:tcPr>
            <w:tcW w:w="1381" w:type="dxa"/>
            <w:vAlign w:val="center"/>
          </w:tcPr>
          <w:p>
            <w:pPr>
              <w:rPr>
                <w:rFonts w:hint="eastAsia"/>
                <w:bCs/>
                <w:sz w:val="18"/>
                <w:szCs w:val="18"/>
              </w:rPr>
            </w:pPr>
            <w:r>
              <w:rPr>
                <w:bCs/>
                <w:sz w:val="18"/>
                <w:szCs w:val="18"/>
              </w:rPr>
              <w:t>不能按时</w:t>
            </w:r>
            <w:r>
              <w:rPr>
                <w:rFonts w:hint="eastAsia"/>
                <w:bCs/>
                <w:sz w:val="18"/>
                <w:szCs w:val="18"/>
              </w:rPr>
              <w:t>完成</w:t>
            </w:r>
            <w:r>
              <w:rPr>
                <w:bCs/>
                <w:sz w:val="18"/>
                <w:szCs w:val="18"/>
              </w:rPr>
              <w:t>作业，有抄袭现象；或</w:t>
            </w:r>
            <w:r>
              <w:rPr>
                <w:rFonts w:hint="eastAsia"/>
                <w:bCs/>
                <w:sz w:val="18"/>
                <w:szCs w:val="18"/>
              </w:rPr>
              <w:t>答案不准确</w:t>
            </w:r>
            <w:r>
              <w:rPr>
                <w:bCs/>
                <w:sz w:val="18"/>
                <w:szCs w:val="18"/>
              </w:rPr>
              <w:t>。</w:t>
            </w:r>
          </w:p>
        </w:tc>
        <w:tc>
          <w:tcPr>
            <w:tcW w:w="785" w:type="dxa"/>
            <w:vAlign w:val="center"/>
          </w:tcPr>
          <w:p>
            <w:pPr>
              <w:jc w:val="center"/>
              <w:rPr>
                <w:rFonts w:hint="eastAsia" w:ascii="宋体" w:hAnsi="宋体"/>
                <w:bCs/>
                <w:sz w:val="18"/>
                <w:szCs w:val="18"/>
              </w:rPr>
            </w:pPr>
            <w:r>
              <w:rPr>
                <w:rFonts w:hint="eastAsia" w:ascii="宋体" w:hAnsi="宋体"/>
                <w:bCs/>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hint="eastAsia"/>
                <w:bCs/>
                <w:sz w:val="18"/>
                <w:szCs w:val="18"/>
              </w:rPr>
            </w:pPr>
            <w:r>
              <w:rPr>
                <w:rFonts w:hint="eastAsia"/>
                <w:bCs/>
                <w:sz w:val="18"/>
                <w:szCs w:val="18"/>
              </w:rPr>
              <w:t>能够完成对TEDS存储器接口的设计，了解混合模式接口传感器设计过程。</w:t>
            </w:r>
          </w:p>
          <w:p>
            <w:pPr>
              <w:rPr>
                <w:bCs/>
                <w:sz w:val="18"/>
                <w:szCs w:val="18"/>
              </w:rPr>
            </w:pPr>
            <w:r>
              <w:rPr>
                <w:rFonts w:hint="eastAsia"/>
                <w:bCs/>
                <w:sz w:val="18"/>
                <w:szCs w:val="18"/>
              </w:rPr>
              <w:t>（支撑课程目标2、毕业要求指标点4-1）</w:t>
            </w:r>
          </w:p>
        </w:tc>
        <w:tc>
          <w:tcPr>
            <w:tcW w:w="1560" w:type="dxa"/>
            <w:vAlign w:val="center"/>
          </w:tcPr>
          <w:p>
            <w:pPr>
              <w:rPr>
                <w:rFonts w:hint="eastAsia"/>
                <w:bCs/>
                <w:sz w:val="18"/>
                <w:szCs w:val="18"/>
              </w:rPr>
            </w:pPr>
            <w:r>
              <w:rPr>
                <w:bCs/>
                <w:sz w:val="18"/>
                <w:szCs w:val="18"/>
              </w:rPr>
              <w:t>按时交作业；</w:t>
            </w:r>
            <w:r>
              <w:rPr>
                <w:rFonts w:hint="eastAsia"/>
                <w:bCs/>
                <w:sz w:val="18"/>
                <w:szCs w:val="18"/>
              </w:rPr>
              <w:t>能够准确完成对TEDS存储器接口设计的相关习题；能够熟练掌握混合模式接口传感器设计过程</w:t>
            </w:r>
            <w:r>
              <w:rPr>
                <w:bCs/>
                <w:sz w:val="18"/>
                <w:szCs w:val="18"/>
              </w:rPr>
              <w:t>。完成作业认真，语言规范，表述清楚。</w:t>
            </w:r>
          </w:p>
        </w:tc>
        <w:tc>
          <w:tcPr>
            <w:tcW w:w="1559" w:type="dxa"/>
            <w:vAlign w:val="center"/>
          </w:tcPr>
          <w:p>
            <w:pPr>
              <w:rPr>
                <w:rFonts w:hint="eastAsia"/>
                <w:bCs/>
                <w:sz w:val="18"/>
                <w:szCs w:val="18"/>
              </w:rPr>
            </w:pPr>
            <w:r>
              <w:rPr>
                <w:bCs/>
                <w:sz w:val="18"/>
                <w:szCs w:val="18"/>
              </w:rPr>
              <w:t>按时交作业；</w:t>
            </w:r>
            <w:r>
              <w:rPr>
                <w:rFonts w:hint="eastAsia"/>
                <w:bCs/>
                <w:sz w:val="18"/>
                <w:szCs w:val="18"/>
              </w:rPr>
              <w:t>能够较为准确完成对TEDS存储器接口设计的相关习题；能够较好地掌握混合模式接口传感器设计过程</w:t>
            </w:r>
            <w:r>
              <w:rPr>
                <w:bCs/>
                <w:sz w:val="18"/>
                <w:szCs w:val="18"/>
              </w:rPr>
              <w:t>。完成作业</w:t>
            </w:r>
            <w:r>
              <w:rPr>
                <w:rFonts w:hint="eastAsia"/>
                <w:bCs/>
                <w:sz w:val="18"/>
                <w:szCs w:val="18"/>
              </w:rPr>
              <w:t>较</w:t>
            </w:r>
            <w:r>
              <w:rPr>
                <w:bCs/>
                <w:sz w:val="18"/>
                <w:szCs w:val="18"/>
              </w:rPr>
              <w:t>认真，语言</w:t>
            </w:r>
            <w:r>
              <w:rPr>
                <w:rFonts w:hint="eastAsia"/>
                <w:bCs/>
                <w:sz w:val="18"/>
                <w:szCs w:val="18"/>
              </w:rPr>
              <w:t>较</w:t>
            </w:r>
            <w:r>
              <w:rPr>
                <w:bCs/>
                <w:sz w:val="18"/>
                <w:szCs w:val="18"/>
              </w:rPr>
              <w:t>规范，表述</w:t>
            </w:r>
            <w:r>
              <w:rPr>
                <w:rFonts w:hint="eastAsia"/>
                <w:bCs/>
                <w:sz w:val="18"/>
                <w:szCs w:val="18"/>
              </w:rPr>
              <w:t>较</w:t>
            </w:r>
            <w:r>
              <w:rPr>
                <w:bCs/>
                <w:sz w:val="18"/>
                <w:szCs w:val="18"/>
              </w:rPr>
              <w:t>清楚。</w:t>
            </w:r>
          </w:p>
        </w:tc>
        <w:tc>
          <w:tcPr>
            <w:tcW w:w="1559" w:type="dxa"/>
            <w:vAlign w:val="center"/>
          </w:tcPr>
          <w:p>
            <w:pPr>
              <w:rPr>
                <w:rFonts w:hint="eastAsia"/>
                <w:bCs/>
                <w:sz w:val="18"/>
                <w:szCs w:val="18"/>
              </w:rPr>
            </w:pPr>
            <w:r>
              <w:rPr>
                <w:bCs/>
                <w:sz w:val="18"/>
                <w:szCs w:val="18"/>
              </w:rPr>
              <w:t>按时交作业；</w:t>
            </w:r>
            <w:r>
              <w:rPr>
                <w:rFonts w:hint="eastAsia"/>
                <w:bCs/>
                <w:sz w:val="18"/>
                <w:szCs w:val="18"/>
              </w:rPr>
              <w:t>能够基本准确完成对TEDS存储器接口设计的相关习题；能够基本掌握混合模式接口传感器设计过程</w:t>
            </w:r>
            <w:r>
              <w:rPr>
                <w:bCs/>
                <w:sz w:val="18"/>
                <w:szCs w:val="18"/>
              </w:rPr>
              <w:t>。语言基本规范，表述基本清楚。</w:t>
            </w:r>
          </w:p>
        </w:tc>
        <w:tc>
          <w:tcPr>
            <w:tcW w:w="1381" w:type="dxa"/>
            <w:vAlign w:val="center"/>
          </w:tcPr>
          <w:p>
            <w:pPr>
              <w:rPr>
                <w:bCs/>
                <w:sz w:val="18"/>
                <w:szCs w:val="18"/>
              </w:rPr>
            </w:pPr>
            <w:r>
              <w:rPr>
                <w:bCs/>
                <w:sz w:val="18"/>
                <w:szCs w:val="18"/>
              </w:rPr>
              <w:t>不能按时</w:t>
            </w:r>
            <w:r>
              <w:rPr>
                <w:rFonts w:hint="eastAsia"/>
                <w:bCs/>
                <w:sz w:val="18"/>
                <w:szCs w:val="18"/>
              </w:rPr>
              <w:t>完成</w:t>
            </w:r>
            <w:r>
              <w:rPr>
                <w:bCs/>
                <w:sz w:val="18"/>
                <w:szCs w:val="18"/>
              </w:rPr>
              <w:t>作业，有抄袭现象；或</w:t>
            </w:r>
            <w:r>
              <w:rPr>
                <w:rFonts w:hint="eastAsia"/>
                <w:bCs/>
                <w:sz w:val="18"/>
                <w:szCs w:val="18"/>
              </w:rPr>
              <w:t>答案不准确</w:t>
            </w:r>
            <w:r>
              <w:rPr>
                <w:bCs/>
                <w:sz w:val="18"/>
                <w:szCs w:val="18"/>
              </w:rPr>
              <w:t>。</w:t>
            </w:r>
          </w:p>
        </w:tc>
        <w:tc>
          <w:tcPr>
            <w:tcW w:w="785" w:type="dxa"/>
            <w:vAlign w:val="center"/>
          </w:tcPr>
          <w:p>
            <w:pPr>
              <w:jc w:val="center"/>
              <w:rPr>
                <w:rFonts w:ascii="宋体" w:hAnsi="宋体"/>
                <w:bCs/>
                <w:sz w:val="18"/>
                <w:szCs w:val="18"/>
              </w:rPr>
            </w:pPr>
            <w:r>
              <w:rPr>
                <w:rFonts w:hint="eastAsia" w:ascii="宋体" w:hAnsi="宋体"/>
                <w:bCs/>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hint="eastAsia"/>
                <w:bCs/>
                <w:sz w:val="18"/>
                <w:szCs w:val="18"/>
              </w:rPr>
            </w:pPr>
            <w:r>
              <w:rPr>
                <w:rFonts w:hint="eastAsia"/>
                <w:bCs/>
                <w:sz w:val="18"/>
                <w:szCs w:val="18"/>
              </w:rPr>
              <w:t>能够完成对基于Zigbee技术的无线智能变送器WTIM与NCAP的无线接口的设计。</w:t>
            </w:r>
          </w:p>
          <w:p>
            <w:pPr>
              <w:rPr>
                <w:rFonts w:hint="eastAsia"/>
                <w:bCs/>
                <w:sz w:val="18"/>
                <w:szCs w:val="18"/>
              </w:rPr>
            </w:pPr>
            <w:r>
              <w:rPr>
                <w:rFonts w:hint="eastAsia"/>
                <w:bCs/>
                <w:sz w:val="18"/>
                <w:szCs w:val="18"/>
              </w:rPr>
              <w:t>（支撑课程目标2、毕业要求指标点4-1）</w:t>
            </w:r>
          </w:p>
        </w:tc>
        <w:tc>
          <w:tcPr>
            <w:tcW w:w="1560" w:type="dxa"/>
            <w:vAlign w:val="center"/>
          </w:tcPr>
          <w:p>
            <w:pPr>
              <w:rPr>
                <w:rFonts w:hint="eastAsia"/>
                <w:bCs/>
                <w:sz w:val="18"/>
                <w:szCs w:val="18"/>
              </w:rPr>
            </w:pPr>
            <w:r>
              <w:rPr>
                <w:bCs/>
                <w:sz w:val="18"/>
                <w:szCs w:val="18"/>
              </w:rPr>
              <w:t>按时交作业；</w:t>
            </w:r>
            <w:r>
              <w:rPr>
                <w:rFonts w:hint="eastAsia"/>
                <w:bCs/>
                <w:sz w:val="18"/>
                <w:szCs w:val="18"/>
              </w:rPr>
              <w:t>能够准确完成对基于Zigbee技术的无线智能变送器WTIM与NCAP的无线接口设计的相关习题</w:t>
            </w:r>
            <w:r>
              <w:rPr>
                <w:bCs/>
                <w:sz w:val="18"/>
                <w:szCs w:val="18"/>
              </w:rPr>
              <w:t>。完成作业认真，语言规范，表述清楚。</w:t>
            </w:r>
          </w:p>
        </w:tc>
        <w:tc>
          <w:tcPr>
            <w:tcW w:w="1559" w:type="dxa"/>
            <w:vAlign w:val="center"/>
          </w:tcPr>
          <w:p>
            <w:pPr>
              <w:rPr>
                <w:rFonts w:hint="eastAsia"/>
                <w:bCs/>
                <w:sz w:val="18"/>
                <w:szCs w:val="18"/>
              </w:rPr>
            </w:pPr>
            <w:r>
              <w:rPr>
                <w:bCs/>
                <w:sz w:val="18"/>
                <w:szCs w:val="18"/>
              </w:rPr>
              <w:t>按时交作业；</w:t>
            </w:r>
            <w:r>
              <w:rPr>
                <w:rFonts w:hint="eastAsia"/>
                <w:bCs/>
                <w:sz w:val="18"/>
                <w:szCs w:val="18"/>
              </w:rPr>
              <w:t>能够较为准确完成对基于Zigbee技术的无线智能变送器WTIM与NCAP的无线接口设计的相关习题</w:t>
            </w:r>
            <w:r>
              <w:rPr>
                <w:bCs/>
                <w:sz w:val="18"/>
                <w:szCs w:val="18"/>
              </w:rPr>
              <w:t>。完成作业</w:t>
            </w:r>
            <w:r>
              <w:rPr>
                <w:rFonts w:hint="eastAsia"/>
                <w:bCs/>
                <w:sz w:val="18"/>
                <w:szCs w:val="18"/>
              </w:rPr>
              <w:t>较</w:t>
            </w:r>
            <w:r>
              <w:rPr>
                <w:bCs/>
                <w:sz w:val="18"/>
                <w:szCs w:val="18"/>
              </w:rPr>
              <w:t>认真，语言</w:t>
            </w:r>
            <w:r>
              <w:rPr>
                <w:rFonts w:hint="eastAsia"/>
                <w:bCs/>
                <w:sz w:val="18"/>
                <w:szCs w:val="18"/>
              </w:rPr>
              <w:t>较</w:t>
            </w:r>
            <w:r>
              <w:rPr>
                <w:bCs/>
                <w:sz w:val="18"/>
                <w:szCs w:val="18"/>
              </w:rPr>
              <w:t>规范，表述</w:t>
            </w:r>
            <w:r>
              <w:rPr>
                <w:rFonts w:hint="eastAsia"/>
                <w:bCs/>
                <w:sz w:val="18"/>
                <w:szCs w:val="18"/>
              </w:rPr>
              <w:t>较</w:t>
            </w:r>
            <w:r>
              <w:rPr>
                <w:bCs/>
                <w:sz w:val="18"/>
                <w:szCs w:val="18"/>
              </w:rPr>
              <w:t>清楚。</w:t>
            </w:r>
          </w:p>
        </w:tc>
        <w:tc>
          <w:tcPr>
            <w:tcW w:w="1559" w:type="dxa"/>
            <w:vAlign w:val="center"/>
          </w:tcPr>
          <w:p>
            <w:pPr>
              <w:rPr>
                <w:rFonts w:hint="eastAsia"/>
                <w:bCs/>
                <w:sz w:val="18"/>
                <w:szCs w:val="18"/>
              </w:rPr>
            </w:pPr>
            <w:r>
              <w:rPr>
                <w:bCs/>
                <w:sz w:val="18"/>
                <w:szCs w:val="18"/>
              </w:rPr>
              <w:t>按时交作业；</w:t>
            </w:r>
            <w:r>
              <w:rPr>
                <w:rFonts w:hint="eastAsia"/>
                <w:bCs/>
                <w:sz w:val="18"/>
                <w:szCs w:val="18"/>
              </w:rPr>
              <w:t>能够基本准确完成对基于Zigbee技术的无线智能变送器WTIM与NCAP的无线接口设计的相关习题</w:t>
            </w:r>
            <w:r>
              <w:rPr>
                <w:bCs/>
                <w:sz w:val="18"/>
                <w:szCs w:val="18"/>
              </w:rPr>
              <w:t>。语言基本规范，表述基本清楚。</w:t>
            </w:r>
          </w:p>
        </w:tc>
        <w:tc>
          <w:tcPr>
            <w:tcW w:w="1381" w:type="dxa"/>
            <w:vAlign w:val="center"/>
          </w:tcPr>
          <w:p>
            <w:pPr>
              <w:rPr>
                <w:bCs/>
                <w:sz w:val="18"/>
                <w:szCs w:val="18"/>
              </w:rPr>
            </w:pPr>
            <w:r>
              <w:rPr>
                <w:bCs/>
                <w:sz w:val="18"/>
                <w:szCs w:val="18"/>
              </w:rPr>
              <w:t>不能按时</w:t>
            </w:r>
            <w:r>
              <w:rPr>
                <w:rFonts w:hint="eastAsia"/>
                <w:bCs/>
                <w:sz w:val="18"/>
                <w:szCs w:val="18"/>
              </w:rPr>
              <w:t>完成</w:t>
            </w:r>
            <w:r>
              <w:rPr>
                <w:bCs/>
                <w:sz w:val="18"/>
                <w:szCs w:val="18"/>
              </w:rPr>
              <w:t>作业，有抄袭现象；或</w:t>
            </w:r>
            <w:r>
              <w:rPr>
                <w:rFonts w:hint="eastAsia"/>
                <w:bCs/>
                <w:sz w:val="18"/>
                <w:szCs w:val="18"/>
              </w:rPr>
              <w:t>答案不准确</w:t>
            </w:r>
            <w:r>
              <w:rPr>
                <w:bCs/>
                <w:sz w:val="18"/>
                <w:szCs w:val="18"/>
              </w:rPr>
              <w:t>。</w:t>
            </w:r>
          </w:p>
        </w:tc>
        <w:tc>
          <w:tcPr>
            <w:tcW w:w="785" w:type="dxa"/>
            <w:vAlign w:val="center"/>
          </w:tcPr>
          <w:p>
            <w:pPr>
              <w:jc w:val="center"/>
              <w:rPr>
                <w:rFonts w:hint="eastAsia" w:ascii="宋体" w:hAnsi="宋体"/>
                <w:bCs/>
                <w:sz w:val="18"/>
                <w:szCs w:val="18"/>
              </w:rPr>
            </w:pPr>
            <w:r>
              <w:rPr>
                <w:rFonts w:hint="eastAsia" w:ascii="宋体" w:hAnsi="宋体"/>
                <w:bCs/>
                <w:sz w:val="18"/>
                <w:szCs w:val="18"/>
              </w:rPr>
              <w:t>3</w:t>
            </w:r>
          </w:p>
        </w:tc>
      </w:tr>
    </w:tbl>
    <w:p>
      <w:pPr>
        <w:pStyle w:val="26"/>
        <w:spacing w:line="360" w:lineRule="auto"/>
        <w:ind w:firstLine="207" w:firstLineChars="98"/>
        <w:rPr>
          <w:rFonts w:hint="eastAsia" w:ascii="宋体" w:hAnsi="宋体"/>
          <w:b/>
          <w:szCs w:val="21"/>
          <w:highlight w:val="yellow"/>
        </w:rPr>
      </w:pPr>
      <w:r>
        <w:rPr>
          <w:rFonts w:hint="eastAsia" w:ascii="宋体" w:hAnsi="宋体"/>
          <w:b/>
          <w:szCs w:val="21"/>
        </w:rPr>
        <w:t>3、期末大作业评价标准</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1560"/>
        <w:gridCol w:w="1559"/>
        <w:gridCol w:w="1559"/>
        <w:gridCol w:w="1381"/>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310" w:type="dxa"/>
            <w:vMerge w:val="restart"/>
            <w:shd w:val="clear" w:color="auto" w:fill="F2F2F2"/>
            <w:vAlign w:val="center"/>
          </w:tcPr>
          <w:p>
            <w:pPr>
              <w:jc w:val="center"/>
              <w:rPr>
                <w:b/>
                <w:color w:val="000000"/>
                <w:sz w:val="18"/>
                <w:szCs w:val="18"/>
              </w:rPr>
            </w:pPr>
            <w:r>
              <w:rPr>
                <w:rFonts w:hint="eastAsia"/>
                <w:b/>
                <w:color w:val="000000"/>
                <w:sz w:val="18"/>
                <w:szCs w:val="18"/>
              </w:rPr>
              <w:t>基本要求</w:t>
            </w:r>
          </w:p>
        </w:tc>
        <w:tc>
          <w:tcPr>
            <w:tcW w:w="6059" w:type="dxa"/>
            <w:gridSpan w:val="4"/>
            <w:shd w:val="clear" w:color="auto" w:fill="F2F2F2"/>
            <w:vAlign w:val="center"/>
          </w:tcPr>
          <w:p>
            <w:pPr>
              <w:jc w:val="center"/>
              <w:rPr>
                <w:b/>
                <w:color w:val="000000"/>
                <w:sz w:val="18"/>
                <w:szCs w:val="18"/>
              </w:rPr>
            </w:pPr>
            <w:r>
              <w:rPr>
                <w:rFonts w:hint="eastAsia"/>
                <w:b/>
                <w:color w:val="000000"/>
                <w:sz w:val="18"/>
                <w:szCs w:val="18"/>
              </w:rPr>
              <w:t>评价标准</w:t>
            </w:r>
          </w:p>
        </w:tc>
        <w:tc>
          <w:tcPr>
            <w:tcW w:w="785" w:type="dxa"/>
            <w:vMerge w:val="restart"/>
            <w:shd w:val="clear" w:color="auto" w:fill="F2F2F2"/>
            <w:vAlign w:val="center"/>
          </w:tcPr>
          <w:p>
            <w:pPr>
              <w:jc w:val="center"/>
              <w:rPr>
                <w:rFonts w:hint="eastAsia"/>
                <w:b/>
                <w:color w:val="000000"/>
                <w:sz w:val="18"/>
                <w:szCs w:val="18"/>
              </w:rPr>
            </w:pPr>
            <w:r>
              <w:rPr>
                <w:rFonts w:hint="eastAsia"/>
                <w:b/>
                <w:color w:val="000000"/>
                <w:sz w:val="18"/>
                <w:szCs w:val="1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310" w:type="dxa"/>
            <w:vMerge w:val="continue"/>
            <w:shd w:val="clear" w:color="auto" w:fill="F2F2F2"/>
          </w:tcPr>
          <w:p>
            <w:pPr>
              <w:spacing w:line="420" w:lineRule="exact"/>
              <w:jc w:val="center"/>
              <w:rPr>
                <w:rFonts w:hint="eastAsia"/>
                <w:b/>
                <w:color w:val="000000"/>
                <w:sz w:val="18"/>
                <w:szCs w:val="18"/>
              </w:rPr>
            </w:pPr>
          </w:p>
        </w:tc>
        <w:tc>
          <w:tcPr>
            <w:tcW w:w="1560" w:type="dxa"/>
            <w:shd w:val="clear" w:color="auto" w:fill="F2F2F2"/>
          </w:tcPr>
          <w:p>
            <w:pPr>
              <w:spacing w:line="420" w:lineRule="exact"/>
              <w:jc w:val="center"/>
              <w:rPr>
                <w:rFonts w:hint="eastAsia"/>
                <w:b/>
                <w:color w:val="000000"/>
                <w:sz w:val="18"/>
                <w:szCs w:val="18"/>
              </w:rPr>
            </w:pPr>
            <w:r>
              <w:rPr>
                <w:rFonts w:hint="eastAsia"/>
                <w:b/>
                <w:color w:val="000000"/>
                <w:sz w:val="18"/>
                <w:szCs w:val="18"/>
              </w:rPr>
              <w:t>90-100分</w:t>
            </w:r>
          </w:p>
        </w:tc>
        <w:tc>
          <w:tcPr>
            <w:tcW w:w="1559" w:type="dxa"/>
            <w:shd w:val="clear" w:color="auto" w:fill="F2F2F2"/>
          </w:tcPr>
          <w:p>
            <w:pPr>
              <w:spacing w:line="420" w:lineRule="exact"/>
              <w:jc w:val="center"/>
              <w:rPr>
                <w:rFonts w:hint="eastAsia"/>
                <w:b/>
                <w:color w:val="000000"/>
                <w:sz w:val="18"/>
                <w:szCs w:val="18"/>
              </w:rPr>
            </w:pPr>
            <w:r>
              <w:rPr>
                <w:rFonts w:hint="eastAsia"/>
                <w:b/>
                <w:color w:val="000000"/>
                <w:sz w:val="18"/>
                <w:szCs w:val="18"/>
              </w:rPr>
              <w:t>75-89分</w:t>
            </w:r>
          </w:p>
        </w:tc>
        <w:tc>
          <w:tcPr>
            <w:tcW w:w="1559" w:type="dxa"/>
            <w:shd w:val="clear" w:color="auto" w:fill="F2F2F2"/>
          </w:tcPr>
          <w:p>
            <w:pPr>
              <w:spacing w:line="420" w:lineRule="exact"/>
              <w:jc w:val="center"/>
              <w:rPr>
                <w:rFonts w:hint="eastAsia"/>
                <w:b/>
                <w:color w:val="000000"/>
                <w:sz w:val="18"/>
                <w:szCs w:val="18"/>
              </w:rPr>
            </w:pPr>
            <w:r>
              <w:rPr>
                <w:rFonts w:hint="eastAsia"/>
                <w:b/>
                <w:color w:val="000000"/>
                <w:sz w:val="18"/>
                <w:szCs w:val="18"/>
              </w:rPr>
              <w:t>60-74分</w:t>
            </w:r>
          </w:p>
        </w:tc>
        <w:tc>
          <w:tcPr>
            <w:tcW w:w="1381" w:type="dxa"/>
            <w:shd w:val="clear" w:color="auto" w:fill="F2F2F2"/>
          </w:tcPr>
          <w:p>
            <w:pPr>
              <w:spacing w:line="420" w:lineRule="exact"/>
              <w:jc w:val="center"/>
              <w:rPr>
                <w:rFonts w:hint="eastAsia"/>
                <w:b/>
                <w:color w:val="000000"/>
                <w:sz w:val="18"/>
                <w:szCs w:val="18"/>
              </w:rPr>
            </w:pPr>
            <w:r>
              <w:rPr>
                <w:rFonts w:hint="eastAsia"/>
                <w:b/>
                <w:color w:val="000000"/>
                <w:sz w:val="18"/>
                <w:szCs w:val="18"/>
              </w:rPr>
              <w:t>0-59分</w:t>
            </w:r>
          </w:p>
        </w:tc>
        <w:tc>
          <w:tcPr>
            <w:tcW w:w="785" w:type="dxa"/>
            <w:vMerge w:val="continue"/>
            <w:shd w:val="clear" w:color="auto" w:fill="F2F2F2"/>
          </w:tcPr>
          <w:p>
            <w:pPr>
              <w:spacing w:line="420" w:lineRule="exact"/>
              <w:jc w:val="center"/>
              <w:rPr>
                <w:b/>
                <w:bCs/>
                <w:color w:val="C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hint="eastAsia"/>
                <w:sz w:val="18"/>
                <w:szCs w:val="18"/>
              </w:rPr>
            </w:pPr>
            <w:r>
              <w:rPr>
                <w:rFonts w:hint="eastAsia"/>
                <w:sz w:val="18"/>
                <w:szCs w:val="18"/>
              </w:rPr>
              <w:t>能够熟悉网络化智能传感器的架构及其信息感知、传输及处理过程。</w:t>
            </w:r>
          </w:p>
          <w:p>
            <w:pPr>
              <w:rPr>
                <w:rFonts w:hint="eastAsia"/>
                <w:sz w:val="18"/>
                <w:szCs w:val="18"/>
              </w:rPr>
            </w:pPr>
            <w:r>
              <w:rPr>
                <w:rFonts w:hint="eastAsia"/>
                <w:sz w:val="18"/>
                <w:szCs w:val="18"/>
              </w:rPr>
              <w:t>（支撑课程目标1、支撑毕业要求指标点1-1）</w:t>
            </w:r>
          </w:p>
        </w:tc>
        <w:tc>
          <w:tcPr>
            <w:tcW w:w="1560" w:type="dxa"/>
            <w:vAlign w:val="center"/>
          </w:tcPr>
          <w:p>
            <w:pPr>
              <w:rPr>
                <w:rFonts w:hint="eastAsia"/>
                <w:sz w:val="18"/>
                <w:szCs w:val="18"/>
              </w:rPr>
            </w:pPr>
            <w:r>
              <w:rPr>
                <w:rFonts w:hint="eastAsia"/>
                <w:sz w:val="18"/>
                <w:szCs w:val="18"/>
              </w:rPr>
              <w:t>能够准确掌握网络化智能传感器的架构及其信息感知、传输及处理过程。内容准确，语言规范。</w:t>
            </w:r>
          </w:p>
        </w:tc>
        <w:tc>
          <w:tcPr>
            <w:tcW w:w="1559" w:type="dxa"/>
            <w:vAlign w:val="center"/>
          </w:tcPr>
          <w:p>
            <w:pPr>
              <w:rPr>
                <w:rFonts w:hint="eastAsia"/>
                <w:sz w:val="18"/>
                <w:szCs w:val="18"/>
              </w:rPr>
            </w:pPr>
            <w:r>
              <w:rPr>
                <w:rFonts w:hint="eastAsia"/>
                <w:sz w:val="18"/>
                <w:szCs w:val="18"/>
              </w:rPr>
              <w:t>能够较为准确掌握网络化智能传感器的架构及其信息感知、传输及处理过程。内容准确，语言规范。</w:t>
            </w:r>
          </w:p>
        </w:tc>
        <w:tc>
          <w:tcPr>
            <w:tcW w:w="1559" w:type="dxa"/>
            <w:vAlign w:val="center"/>
          </w:tcPr>
          <w:p>
            <w:pPr>
              <w:rPr>
                <w:rFonts w:hint="eastAsia"/>
                <w:sz w:val="18"/>
                <w:szCs w:val="18"/>
              </w:rPr>
            </w:pPr>
            <w:r>
              <w:rPr>
                <w:rFonts w:hint="eastAsia"/>
                <w:sz w:val="18"/>
                <w:szCs w:val="18"/>
              </w:rPr>
              <w:t>能够基本掌握网络化智能传感器的架构及其信息感知、传输及处理过程。内容准确，语言规范。</w:t>
            </w:r>
          </w:p>
        </w:tc>
        <w:tc>
          <w:tcPr>
            <w:tcW w:w="1381" w:type="dxa"/>
            <w:vAlign w:val="center"/>
          </w:tcPr>
          <w:p>
            <w:pPr>
              <w:rPr>
                <w:rFonts w:hint="eastAsia"/>
                <w:bCs/>
                <w:sz w:val="18"/>
                <w:szCs w:val="18"/>
              </w:rPr>
            </w:pPr>
            <w:r>
              <w:rPr>
                <w:rFonts w:hint="eastAsia"/>
                <w:bCs/>
                <w:sz w:val="18"/>
                <w:szCs w:val="18"/>
              </w:rPr>
              <w:t>不能够熟悉网络化智能传感器的架构及其信息感知、传输及处理过程。内容不准确，语言不规范。</w:t>
            </w:r>
          </w:p>
        </w:tc>
        <w:tc>
          <w:tcPr>
            <w:tcW w:w="785" w:type="dxa"/>
            <w:vAlign w:val="center"/>
          </w:tcPr>
          <w:p>
            <w:pPr>
              <w:jc w:val="center"/>
              <w:rPr>
                <w:bCs/>
                <w:sz w:val="18"/>
                <w:szCs w:val="18"/>
              </w:rPr>
            </w:pPr>
            <w:r>
              <w:rPr>
                <w:rFonts w:hint="eastAsia"/>
                <w:bCs/>
                <w:sz w:val="18"/>
                <w:szCs w:val="1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hint="eastAsia"/>
                <w:sz w:val="18"/>
                <w:szCs w:val="18"/>
              </w:rPr>
            </w:pPr>
            <w:r>
              <w:rPr>
                <w:rFonts w:hint="eastAsia"/>
                <w:sz w:val="18"/>
                <w:szCs w:val="18"/>
              </w:rPr>
              <w:t>能够针对工程问题特定需求，结合工业现场测控系统的典型案例，提出构建智能传感器的方案并进行优化分析。</w:t>
            </w:r>
          </w:p>
          <w:p>
            <w:pPr>
              <w:rPr>
                <w:rFonts w:hint="eastAsia"/>
                <w:sz w:val="18"/>
                <w:szCs w:val="18"/>
              </w:rPr>
            </w:pPr>
            <w:r>
              <w:rPr>
                <w:rFonts w:hint="eastAsia"/>
                <w:sz w:val="18"/>
                <w:szCs w:val="18"/>
              </w:rPr>
              <w:t>（支撑课程目标2、支撑毕业要求指标点4-1）</w:t>
            </w:r>
          </w:p>
        </w:tc>
        <w:tc>
          <w:tcPr>
            <w:tcW w:w="1560" w:type="dxa"/>
            <w:vAlign w:val="center"/>
          </w:tcPr>
          <w:p>
            <w:pPr>
              <w:rPr>
                <w:rFonts w:hint="eastAsia"/>
                <w:sz w:val="18"/>
                <w:szCs w:val="18"/>
              </w:rPr>
            </w:pPr>
            <w:r>
              <w:rPr>
                <w:rFonts w:hint="eastAsia"/>
                <w:sz w:val="18"/>
                <w:szCs w:val="18"/>
              </w:rPr>
              <w:t>能够熟练针对工程问题特定需求，结合工业现场测控系统的典型案例，提出构建智能传感器的方案并进行优化分析。内容准确，语言规范。</w:t>
            </w:r>
          </w:p>
        </w:tc>
        <w:tc>
          <w:tcPr>
            <w:tcW w:w="1559" w:type="dxa"/>
            <w:vAlign w:val="center"/>
          </w:tcPr>
          <w:p>
            <w:pPr>
              <w:rPr>
                <w:rFonts w:hint="eastAsia"/>
                <w:sz w:val="18"/>
                <w:szCs w:val="18"/>
              </w:rPr>
            </w:pPr>
            <w:r>
              <w:rPr>
                <w:rFonts w:hint="eastAsia"/>
                <w:sz w:val="18"/>
                <w:szCs w:val="18"/>
              </w:rPr>
              <w:t>能够较为熟练针对工程问题特定需求，结合工业现场测控系统的典型案例，提出构建智能传感器的方案并进行优化分析。内容准确，语言规范。</w:t>
            </w:r>
          </w:p>
        </w:tc>
        <w:tc>
          <w:tcPr>
            <w:tcW w:w="1559" w:type="dxa"/>
            <w:vAlign w:val="center"/>
          </w:tcPr>
          <w:p>
            <w:pPr>
              <w:rPr>
                <w:rFonts w:hint="eastAsia"/>
                <w:sz w:val="18"/>
                <w:szCs w:val="18"/>
              </w:rPr>
            </w:pPr>
            <w:r>
              <w:rPr>
                <w:rFonts w:hint="eastAsia"/>
                <w:sz w:val="18"/>
                <w:szCs w:val="18"/>
              </w:rPr>
              <w:t>基本能够针对工程问题特定需求，结合工业现场测控系统的典型案例，提出构建智能传感器的方案并进行优化分析。内容准确，语言规范。</w:t>
            </w:r>
          </w:p>
        </w:tc>
        <w:tc>
          <w:tcPr>
            <w:tcW w:w="1381" w:type="dxa"/>
            <w:vAlign w:val="center"/>
          </w:tcPr>
          <w:p>
            <w:pPr>
              <w:rPr>
                <w:rFonts w:hint="eastAsia"/>
                <w:bCs/>
                <w:sz w:val="18"/>
                <w:szCs w:val="18"/>
              </w:rPr>
            </w:pPr>
            <w:r>
              <w:rPr>
                <w:rFonts w:hint="eastAsia"/>
                <w:bCs/>
                <w:sz w:val="18"/>
                <w:szCs w:val="18"/>
              </w:rPr>
              <w:t>不能够针对工程问题特定需求，结合工业现场测控系统的典型案例，提出构建智能传感器的方案并进行优化分析。内容不准确，语言不规范。</w:t>
            </w:r>
          </w:p>
        </w:tc>
        <w:tc>
          <w:tcPr>
            <w:tcW w:w="785" w:type="dxa"/>
            <w:vAlign w:val="center"/>
          </w:tcPr>
          <w:p>
            <w:pPr>
              <w:jc w:val="center"/>
              <w:rPr>
                <w:bCs/>
                <w:sz w:val="18"/>
                <w:szCs w:val="18"/>
              </w:rPr>
            </w:pPr>
            <w:r>
              <w:rPr>
                <w:rFonts w:hint="eastAsia"/>
                <w:bCs/>
                <w:sz w:val="18"/>
                <w:szCs w:val="18"/>
              </w:rPr>
              <w:t>15</w:t>
            </w:r>
          </w:p>
        </w:tc>
      </w:tr>
    </w:tbl>
    <w:p>
      <w:pPr>
        <w:spacing w:before="156" w:beforeLines="50" w:after="156" w:afterLines="50" w:line="360" w:lineRule="auto"/>
        <w:rPr>
          <w:rFonts w:hint="eastAsia" w:ascii="黑体" w:hAnsi="黑体" w:eastAsia="黑体"/>
          <w:szCs w:val="21"/>
        </w:rPr>
      </w:pPr>
    </w:p>
    <w:p>
      <w:pPr>
        <w:spacing w:before="156" w:beforeLines="50" w:after="156" w:afterLines="50" w:line="360" w:lineRule="auto"/>
        <w:rPr>
          <w:rFonts w:hint="eastAsia" w:ascii="黑体" w:hAnsi="黑体" w:eastAsia="黑体"/>
          <w:szCs w:val="21"/>
        </w:rPr>
      </w:pPr>
      <w:r>
        <w:rPr>
          <w:rFonts w:hint="eastAsia" w:ascii="黑体" w:hAnsi="黑体" w:eastAsia="黑体"/>
          <w:szCs w:val="21"/>
        </w:rPr>
        <w:t>六、</w:t>
      </w:r>
      <w:r>
        <w:rPr>
          <w:rFonts w:ascii="黑体" w:hAnsi="黑体" w:eastAsia="黑体"/>
          <w:szCs w:val="21"/>
        </w:rPr>
        <w:t>参考书目及学习资料</w:t>
      </w:r>
      <w:r>
        <w:rPr>
          <w:rFonts w:hint="eastAsia" w:ascii="黑体" w:hAnsi="黑体" w:eastAsia="黑体"/>
          <w:szCs w:val="21"/>
        </w:rPr>
        <w:t>（书名，主编，出版社，出版时间及版次）</w:t>
      </w:r>
    </w:p>
    <w:p>
      <w:pPr>
        <w:spacing w:line="360" w:lineRule="auto"/>
        <w:ind w:firstLine="420"/>
        <w:rPr>
          <w:rFonts w:hAnsi="宋体"/>
          <w:color w:val="000000"/>
          <w:szCs w:val="21"/>
        </w:rPr>
      </w:pPr>
      <w:r>
        <w:rPr>
          <w:rFonts w:hint="eastAsia" w:hAnsi="宋体"/>
          <w:color w:val="000000"/>
          <w:szCs w:val="21"/>
        </w:rPr>
        <w:t>[1] 刘桂雄等著，基于IEEE1451的智能传感器技术与应用[M]. 北京：清华大学出版社，2012年1月第一版；</w:t>
      </w:r>
    </w:p>
    <w:p>
      <w:pPr>
        <w:spacing w:line="360" w:lineRule="auto"/>
        <w:ind w:firstLine="420"/>
        <w:rPr>
          <w:rFonts w:hAnsi="宋体"/>
          <w:color w:val="000000"/>
          <w:szCs w:val="21"/>
        </w:rPr>
      </w:pPr>
      <w:r>
        <w:rPr>
          <w:rFonts w:hint="eastAsia" w:hAnsi="宋体"/>
          <w:color w:val="000000"/>
          <w:szCs w:val="21"/>
        </w:rPr>
        <w:t>[2] 何金田、刘晓旻编著.</w:t>
      </w:r>
      <w:r>
        <w:rPr>
          <w:rFonts w:hAnsi="宋体"/>
          <w:color w:val="000000"/>
          <w:szCs w:val="21"/>
        </w:rPr>
        <w:t xml:space="preserve"> </w:t>
      </w:r>
      <w:r>
        <w:rPr>
          <w:rFonts w:hint="eastAsia" w:hAnsi="宋体"/>
          <w:color w:val="000000"/>
          <w:szCs w:val="21"/>
        </w:rPr>
        <w:t>智能传感器原理、设计与应用[M]. 北京：电子工业出版社，201</w:t>
      </w:r>
      <w:r>
        <w:rPr>
          <w:rFonts w:hAnsi="宋体"/>
          <w:color w:val="000000"/>
          <w:szCs w:val="21"/>
        </w:rPr>
        <w:t>2</w:t>
      </w:r>
      <w:r>
        <w:rPr>
          <w:rFonts w:hint="eastAsia" w:hAnsi="宋体"/>
          <w:color w:val="000000"/>
          <w:szCs w:val="21"/>
        </w:rPr>
        <w:t>年</w:t>
      </w:r>
      <w:r>
        <w:rPr>
          <w:rFonts w:hAnsi="宋体"/>
          <w:color w:val="000000"/>
          <w:szCs w:val="21"/>
        </w:rPr>
        <w:t>1</w:t>
      </w:r>
      <w:r>
        <w:rPr>
          <w:rFonts w:hint="eastAsia" w:hAnsi="宋体"/>
          <w:color w:val="000000"/>
          <w:szCs w:val="21"/>
        </w:rPr>
        <w:t>月第一版；</w:t>
      </w:r>
    </w:p>
    <w:p>
      <w:pPr>
        <w:spacing w:line="360" w:lineRule="auto"/>
        <w:ind w:firstLine="420"/>
        <w:rPr>
          <w:rFonts w:hAnsi="宋体"/>
          <w:color w:val="000000"/>
          <w:szCs w:val="21"/>
        </w:rPr>
      </w:pPr>
      <w:r>
        <w:rPr>
          <w:rFonts w:hint="eastAsia" w:hAnsi="宋体"/>
          <w:color w:val="000000"/>
          <w:szCs w:val="21"/>
        </w:rPr>
        <w:t>[3] 肖维荣、王谨秋 宋华振编著. 开源实时以太网POWERLINK详解[M].北京：机械工业出版社，</w:t>
      </w:r>
      <w:r>
        <w:rPr>
          <w:rFonts w:hAnsi="宋体"/>
          <w:color w:val="000000"/>
          <w:szCs w:val="21"/>
        </w:rPr>
        <w:t>2015</w:t>
      </w:r>
      <w:r>
        <w:rPr>
          <w:rFonts w:hint="eastAsia" w:hAnsi="宋体"/>
          <w:color w:val="000000"/>
          <w:szCs w:val="21"/>
        </w:rPr>
        <w:t>年</w:t>
      </w:r>
      <w:r>
        <w:rPr>
          <w:rFonts w:hAnsi="宋体"/>
          <w:color w:val="000000"/>
          <w:szCs w:val="21"/>
        </w:rPr>
        <w:t>8</w:t>
      </w:r>
      <w:r>
        <w:rPr>
          <w:rFonts w:hint="eastAsia" w:hAnsi="宋体"/>
          <w:color w:val="000000"/>
          <w:szCs w:val="21"/>
        </w:rPr>
        <w:t xml:space="preserve">月第一版； </w:t>
      </w:r>
    </w:p>
    <w:p>
      <w:pPr>
        <w:spacing w:line="360" w:lineRule="auto"/>
        <w:ind w:firstLine="420"/>
        <w:rPr>
          <w:rFonts w:hAnsi="宋体"/>
          <w:color w:val="000000"/>
          <w:szCs w:val="21"/>
        </w:rPr>
      </w:pPr>
      <w:r>
        <w:rPr>
          <w:rFonts w:hint="eastAsia" w:hAnsi="宋体"/>
          <w:color w:val="000000"/>
          <w:szCs w:val="21"/>
        </w:rPr>
        <w:t>[4] 姜仲、刘丹编著. ZigBee技术与实训教程―基于CC2530的无线传感网技术 [M]. 北京：清华大学出版社，2018年7月第二版；</w:t>
      </w:r>
    </w:p>
    <w:p>
      <w:pPr>
        <w:spacing w:line="360" w:lineRule="auto"/>
        <w:ind w:left="210" w:leftChars="50" w:hanging="105" w:hangingChars="50"/>
        <w:rPr>
          <w:b/>
          <w:bCs/>
          <w:szCs w:val="21"/>
        </w:rPr>
      </w:pPr>
    </w:p>
    <w:p>
      <w:pPr>
        <w:spacing w:line="360" w:lineRule="auto"/>
        <w:ind w:left="210" w:leftChars="100"/>
        <w:jc w:val="center"/>
        <w:rPr>
          <w:rFonts w:hint="eastAsia" w:eastAsia="宋体"/>
          <w:color w:val="000000"/>
          <w:szCs w:val="21"/>
          <w:lang w:eastAsia="zh-CN"/>
        </w:rPr>
      </w:pPr>
      <w:r>
        <w:rPr>
          <w:rFonts w:hint="eastAsia"/>
          <w:b/>
          <w:bCs/>
          <w:szCs w:val="21"/>
          <w:lang w:val="en-US" w:eastAsia="zh-CN"/>
        </w:rPr>
        <w:t xml:space="preserve">                               </w:t>
      </w:r>
      <w:r>
        <w:rPr>
          <w:rFonts w:hint="eastAsia"/>
          <w:b/>
          <w:bCs/>
          <w:szCs w:val="21"/>
        </w:rPr>
        <w:t>制定人</w:t>
      </w:r>
      <w:r>
        <w:rPr>
          <w:rFonts w:hint="eastAsia"/>
          <w:szCs w:val="21"/>
        </w:rPr>
        <w:t>：</w:t>
      </w:r>
      <w:r>
        <w:rPr>
          <w:rFonts w:hint="eastAsia"/>
          <w:szCs w:val="21"/>
          <w:lang w:eastAsia="zh-CN"/>
        </w:rPr>
        <w:t>张彦军</w:t>
      </w:r>
      <w:r>
        <w:rPr>
          <w:rFonts w:hint="eastAsia"/>
          <w:szCs w:val="21"/>
        </w:rPr>
        <w:t xml:space="preserve">     </w:t>
      </w:r>
      <w:r>
        <w:rPr>
          <w:rFonts w:hint="eastAsia"/>
          <w:b/>
          <w:bCs/>
          <w:szCs w:val="21"/>
        </w:rPr>
        <w:t>审定人</w:t>
      </w:r>
      <w:r>
        <w:rPr>
          <w:rFonts w:hint="eastAsia"/>
          <w:szCs w:val="21"/>
        </w:rPr>
        <w:t>：</w:t>
      </w:r>
      <w:r>
        <w:rPr>
          <w:rFonts w:hint="eastAsia"/>
          <w:szCs w:val="21"/>
          <w:lang w:eastAsia="zh-CN"/>
        </w:rPr>
        <w:t>刘文耀</w:t>
      </w:r>
      <w:r>
        <w:rPr>
          <w:rFonts w:hint="eastAsia"/>
          <w:szCs w:val="21"/>
        </w:rPr>
        <w:t xml:space="preserve">       </w:t>
      </w:r>
      <w:r>
        <w:rPr>
          <w:rFonts w:hint="eastAsia"/>
          <w:b/>
          <w:bCs/>
          <w:szCs w:val="21"/>
        </w:rPr>
        <w:t>批准人</w:t>
      </w:r>
      <w:r>
        <w:rPr>
          <w:rFonts w:hint="eastAsia"/>
          <w:szCs w:val="21"/>
        </w:rPr>
        <w:t>：</w:t>
      </w:r>
      <w:r>
        <w:rPr>
          <w:rFonts w:hint="eastAsia"/>
          <w:szCs w:val="21"/>
          <w:lang w:eastAsia="zh-CN"/>
        </w:rPr>
        <w:t>刘文怡</w:t>
      </w:r>
    </w:p>
    <w:p>
      <w:pPr>
        <w:spacing w:line="440" w:lineRule="exact"/>
        <w:ind w:right="480" w:firstLine="5670" w:firstLineChars="2700"/>
        <w:jc w:val="right"/>
        <w:rPr>
          <w:b/>
          <w:spacing w:val="20"/>
          <w:szCs w:val="21"/>
        </w:rPr>
      </w:pPr>
      <w:r>
        <w:rPr>
          <w:rFonts w:hint="eastAsia"/>
          <w:szCs w:val="21"/>
          <w:lang w:val="en-US" w:eastAsia="zh-CN"/>
        </w:rPr>
        <w:t>2021</w:t>
      </w:r>
      <w:r>
        <w:rPr>
          <w:rFonts w:hint="eastAsia"/>
          <w:szCs w:val="21"/>
        </w:rPr>
        <w:t>年</w:t>
      </w:r>
      <w:r>
        <w:rPr>
          <w:rFonts w:hint="eastAsia"/>
          <w:szCs w:val="21"/>
          <w:lang w:val="en-US" w:eastAsia="zh-CN"/>
        </w:rPr>
        <w:t xml:space="preserve"> 12</w:t>
      </w:r>
      <w:r>
        <w:rPr>
          <w:rFonts w:hint="eastAsia"/>
          <w:szCs w:val="21"/>
        </w:rPr>
        <w:t xml:space="preserve">月 </w:t>
      </w:r>
      <w:r>
        <w:rPr>
          <w:rFonts w:hint="eastAsia"/>
          <w:szCs w:val="21"/>
          <w:lang w:val="en-US" w:eastAsia="zh-CN"/>
        </w:rPr>
        <w:t>1</w:t>
      </w:r>
      <w:r>
        <w:rPr>
          <w:rFonts w:hint="eastAsia"/>
          <w:szCs w:val="21"/>
        </w:rPr>
        <w:t>日</w:t>
      </w:r>
    </w:p>
    <w:p/>
    <w:p/>
    <w:p/>
    <w:p/>
    <w:p/>
    <w:p/>
    <w:p/>
    <w:p/>
    <w:p/>
    <w:p/>
    <w:p/>
    <w:p/>
    <w:p/>
    <w:p/>
    <w:p/>
    <w:p>
      <w:pPr>
        <w:pStyle w:val="18"/>
        <w:spacing w:before="312" w:after="468"/>
        <w:rPr>
          <w:rFonts w:ascii="Times New Roman" w:hAnsi="Times New Roman" w:cs="Times New Roman"/>
        </w:rPr>
      </w:pPr>
      <w:bookmarkStart w:id="61" w:name="_Toc56"/>
      <w:r>
        <w:rPr>
          <w:rFonts w:hint="eastAsia" w:ascii="Times New Roman" w:hAnsi="Times New Roman" w:cs="Times New Roman"/>
        </w:rPr>
        <w:t>《智能传感系统》课程教学大纲</w:t>
      </w:r>
      <w:bookmarkEnd w:id="61"/>
      <w:r>
        <w:rPr>
          <w:rFonts w:hint="eastAsia" w:ascii="Times New Roman" w:hAnsi="Times New Roman" w:cs="Times New Roman"/>
        </w:rPr>
        <w:t xml:space="preserve"> </w:t>
      </w:r>
    </w:p>
    <w:p>
      <w:pPr>
        <w:spacing w:line="360" w:lineRule="auto"/>
        <w:rPr>
          <w:rFonts w:hint="eastAsia"/>
          <w:bCs/>
          <w:szCs w:val="21"/>
        </w:rPr>
      </w:pPr>
      <w:r>
        <w:rPr>
          <w:rFonts w:hint="eastAsia"/>
          <w:bCs/>
          <w:szCs w:val="21"/>
        </w:rPr>
        <w:t>一、课程基本信息</w:t>
      </w:r>
    </w:p>
    <w:p>
      <w:pPr>
        <w:spacing w:line="360" w:lineRule="auto"/>
        <w:ind w:firstLine="420" w:firstLineChars="200"/>
        <w:rPr>
          <w:rFonts w:hint="eastAsia"/>
          <w:bCs/>
          <w:szCs w:val="21"/>
        </w:rPr>
      </w:pPr>
      <w:r>
        <w:rPr>
          <w:rFonts w:hint="eastAsia"/>
          <w:bCs/>
          <w:szCs w:val="21"/>
        </w:rPr>
        <w:t xml:space="preserve">制定人：刘来             </w:t>
      </w:r>
      <w:r>
        <w:rPr>
          <w:bCs/>
          <w:szCs w:val="21"/>
        </w:rPr>
        <w:t xml:space="preserve">          </w:t>
      </w:r>
      <w:r>
        <w:rPr>
          <w:rFonts w:hint="eastAsia"/>
          <w:bCs/>
          <w:szCs w:val="21"/>
        </w:rPr>
        <w:t xml:space="preserve">  </w:t>
      </w:r>
      <w:r>
        <w:rPr>
          <w:bCs/>
          <w:szCs w:val="21"/>
        </w:rPr>
        <w:t xml:space="preserve"> </w:t>
      </w:r>
      <w:r>
        <w:rPr>
          <w:rFonts w:hint="eastAsia"/>
          <w:bCs/>
          <w:szCs w:val="21"/>
        </w:rPr>
        <w:t>教学基层组织审核人：刘文耀</w:t>
      </w:r>
    </w:p>
    <w:p>
      <w:pPr>
        <w:spacing w:line="360" w:lineRule="auto"/>
        <w:ind w:firstLine="420" w:firstLineChars="200"/>
        <w:rPr>
          <w:rFonts w:hint="eastAsia"/>
          <w:bCs/>
          <w:szCs w:val="21"/>
        </w:rPr>
      </w:pPr>
      <w:r>
        <w:rPr>
          <w:rFonts w:hint="eastAsia"/>
          <w:bCs/>
          <w:szCs w:val="21"/>
        </w:rPr>
        <w:t xml:space="preserve">开课学院：仪器与电子学院         </w:t>
      </w:r>
      <w:r>
        <w:rPr>
          <w:bCs/>
          <w:szCs w:val="21"/>
        </w:rPr>
        <w:t xml:space="preserve">     </w:t>
      </w:r>
      <w:r>
        <w:rPr>
          <w:rFonts w:hint="eastAsia"/>
          <w:bCs/>
          <w:szCs w:val="21"/>
        </w:rPr>
        <w:t>开课学院审核人：刘文怡</w:t>
      </w:r>
    </w:p>
    <w:p>
      <w:pPr>
        <w:spacing w:line="360" w:lineRule="auto"/>
        <w:ind w:firstLine="420" w:firstLineChars="200"/>
        <w:rPr>
          <w:rFonts w:hint="eastAsia"/>
          <w:bCs/>
          <w:szCs w:val="21"/>
        </w:rPr>
      </w:pPr>
      <w:r>
        <w:rPr>
          <w:rFonts w:hint="eastAsia"/>
          <w:bCs/>
          <w:szCs w:val="21"/>
        </w:rPr>
        <w:t>课程名称（中文）：智能传感系统</w:t>
      </w:r>
    </w:p>
    <w:p>
      <w:pPr>
        <w:spacing w:line="360" w:lineRule="auto"/>
        <w:ind w:firstLine="420" w:firstLineChars="200"/>
        <w:rPr>
          <w:rFonts w:hint="eastAsia"/>
          <w:bCs/>
          <w:szCs w:val="21"/>
        </w:rPr>
      </w:pPr>
      <w:r>
        <w:rPr>
          <w:rFonts w:hint="eastAsia"/>
          <w:bCs/>
          <w:szCs w:val="21"/>
        </w:rPr>
        <w:t>课程名称（英文）：</w:t>
      </w:r>
      <w:r>
        <w:rPr>
          <w:bCs/>
          <w:szCs w:val="21"/>
        </w:rPr>
        <w:t>Intelligent sensing system</w:t>
      </w:r>
    </w:p>
    <w:p>
      <w:pPr>
        <w:spacing w:line="360" w:lineRule="auto"/>
        <w:ind w:firstLine="420" w:firstLineChars="200"/>
        <w:rPr>
          <w:rFonts w:hint="eastAsia"/>
          <w:bCs/>
          <w:szCs w:val="21"/>
        </w:rPr>
      </w:pPr>
      <w:r>
        <w:rPr>
          <w:rFonts w:hint="eastAsia"/>
          <w:bCs/>
          <w:szCs w:val="21"/>
        </w:rPr>
        <w:t>课程类别：专业课                       课程性质： 必修课</w:t>
      </w:r>
    </w:p>
    <w:p>
      <w:pPr>
        <w:spacing w:line="360" w:lineRule="auto"/>
        <w:ind w:firstLine="420" w:firstLineChars="200"/>
        <w:rPr>
          <w:rFonts w:hint="eastAsia"/>
          <w:bCs/>
          <w:szCs w:val="21"/>
        </w:rPr>
      </w:pPr>
      <w:r>
        <w:rPr>
          <w:rFonts w:hint="eastAsia"/>
          <w:bCs/>
          <w:szCs w:val="21"/>
        </w:rPr>
        <w:t>课程代码：Z</w:t>
      </w:r>
      <w:r>
        <w:rPr>
          <w:bCs/>
          <w:szCs w:val="21"/>
        </w:rPr>
        <w:t xml:space="preserve">03060405               </w:t>
      </w:r>
      <w:r>
        <w:rPr>
          <w:rFonts w:hint="eastAsia"/>
          <w:bCs/>
          <w:szCs w:val="21"/>
        </w:rPr>
        <w:t xml:space="preserve">  </w:t>
      </w:r>
      <w:r>
        <w:rPr>
          <w:bCs/>
          <w:szCs w:val="21"/>
        </w:rPr>
        <w:t xml:space="preserve">   </w:t>
      </w:r>
      <w:r>
        <w:rPr>
          <w:rFonts w:hint="eastAsia"/>
          <w:bCs/>
          <w:szCs w:val="21"/>
        </w:rPr>
        <w:t>适用层次（本科）：</w:t>
      </w:r>
    </w:p>
    <w:p>
      <w:pPr>
        <w:spacing w:line="360" w:lineRule="auto"/>
        <w:ind w:firstLine="420" w:firstLineChars="200"/>
        <w:rPr>
          <w:rFonts w:hint="eastAsia"/>
          <w:bCs/>
          <w:szCs w:val="21"/>
        </w:rPr>
      </w:pPr>
      <w:r>
        <w:rPr>
          <w:rFonts w:hint="eastAsia"/>
          <w:bCs/>
          <w:szCs w:val="21"/>
        </w:rPr>
        <w:t xml:space="preserve">适用专业：智能感知工程           </w:t>
      </w:r>
      <w:r>
        <w:rPr>
          <w:bCs/>
          <w:szCs w:val="21"/>
        </w:rPr>
        <w:t xml:space="preserve">    </w:t>
      </w:r>
      <w:r>
        <w:rPr>
          <w:rFonts w:hint="eastAsia"/>
          <w:bCs/>
          <w:szCs w:val="21"/>
        </w:rPr>
        <w:t xml:space="preserve">  计划学分：2</w:t>
      </w:r>
      <w:r>
        <w:rPr>
          <w:bCs/>
          <w:szCs w:val="21"/>
        </w:rPr>
        <w:t>.5</w:t>
      </w:r>
    </w:p>
    <w:p>
      <w:pPr>
        <w:spacing w:line="360" w:lineRule="auto"/>
        <w:ind w:firstLine="420" w:firstLineChars="200"/>
        <w:rPr>
          <w:rFonts w:hint="eastAsia"/>
          <w:bCs/>
          <w:szCs w:val="21"/>
        </w:rPr>
      </w:pPr>
      <w:r>
        <w:rPr>
          <w:rFonts w:hint="eastAsia"/>
          <w:bCs/>
          <w:szCs w:val="21"/>
        </w:rPr>
        <w:t>计划学时（周数）：</w:t>
      </w:r>
      <w:r>
        <w:rPr>
          <w:bCs/>
          <w:szCs w:val="21"/>
        </w:rPr>
        <w:t>40</w:t>
      </w:r>
      <w:r>
        <w:rPr>
          <w:rFonts w:hint="eastAsia"/>
          <w:bCs/>
          <w:szCs w:val="21"/>
        </w:rPr>
        <w:t xml:space="preserve">     </w:t>
      </w:r>
      <w:r>
        <w:rPr>
          <w:bCs/>
          <w:szCs w:val="21"/>
        </w:rPr>
        <w:t xml:space="preserve">     </w:t>
      </w:r>
      <w:r>
        <w:rPr>
          <w:rFonts w:hint="eastAsia"/>
          <w:bCs/>
          <w:szCs w:val="21"/>
        </w:rPr>
        <w:t xml:space="preserve">       </w:t>
      </w:r>
      <w:r>
        <w:rPr>
          <w:bCs/>
          <w:szCs w:val="21"/>
        </w:rPr>
        <w:t xml:space="preserve">   </w:t>
      </w:r>
      <w:r>
        <w:rPr>
          <w:rFonts w:hint="eastAsia"/>
          <w:bCs/>
          <w:szCs w:val="21"/>
        </w:rPr>
        <w:t>讲课学时：</w:t>
      </w:r>
      <w:r>
        <w:rPr>
          <w:bCs/>
          <w:szCs w:val="21"/>
        </w:rPr>
        <w:t>32</w:t>
      </w:r>
      <w:r>
        <w:rPr>
          <w:rFonts w:hint="eastAsia"/>
          <w:bCs/>
          <w:szCs w:val="21"/>
        </w:rPr>
        <w:t xml:space="preserve">     </w:t>
      </w:r>
      <w:r>
        <w:rPr>
          <w:bCs/>
          <w:szCs w:val="21"/>
        </w:rPr>
        <w:t xml:space="preserve">              </w:t>
      </w:r>
      <w:r>
        <w:rPr>
          <w:rFonts w:hint="eastAsia"/>
          <w:bCs/>
          <w:szCs w:val="21"/>
        </w:rPr>
        <w:t xml:space="preserve"> 实验学时：8</w:t>
      </w:r>
    </w:p>
    <w:p>
      <w:pPr>
        <w:spacing w:line="360" w:lineRule="auto"/>
        <w:ind w:firstLine="420" w:firstLineChars="200"/>
        <w:rPr>
          <w:rFonts w:hint="eastAsia"/>
          <w:bCs/>
          <w:szCs w:val="21"/>
        </w:rPr>
      </w:pPr>
      <w:r>
        <w:rPr>
          <w:rFonts w:hint="eastAsia"/>
          <w:bCs/>
          <w:szCs w:val="21"/>
        </w:rPr>
        <w:t>开课学期：6                            考核方式： 考试</w:t>
      </w:r>
    </w:p>
    <w:p>
      <w:pPr>
        <w:spacing w:line="360" w:lineRule="auto"/>
        <w:ind w:firstLine="420" w:firstLineChars="200"/>
        <w:rPr>
          <w:rFonts w:hint="eastAsia"/>
          <w:bCs/>
          <w:szCs w:val="21"/>
        </w:rPr>
      </w:pPr>
      <w:r>
        <w:rPr>
          <w:rFonts w:hint="eastAsia"/>
          <w:bCs/>
          <w:szCs w:val="21"/>
        </w:rPr>
        <w:t>先修课程：传感器原理及设计</w:t>
      </w:r>
    </w:p>
    <w:p>
      <w:pPr>
        <w:spacing w:line="360" w:lineRule="auto"/>
        <w:ind w:firstLine="420" w:firstLineChars="200"/>
        <w:rPr>
          <w:rFonts w:hint="eastAsia"/>
          <w:bCs/>
          <w:szCs w:val="21"/>
        </w:rPr>
      </w:pPr>
      <w:r>
        <w:rPr>
          <w:rFonts w:hint="eastAsia"/>
          <w:bCs/>
          <w:szCs w:val="21"/>
        </w:rPr>
        <w:t>后续课程：智能感知综合实践</w:t>
      </w:r>
    </w:p>
    <w:p>
      <w:pPr>
        <w:pStyle w:val="9"/>
        <w:rPr>
          <w:rFonts w:hint="eastAsia"/>
        </w:rPr>
      </w:pPr>
    </w:p>
    <w:p>
      <w:pPr>
        <w:spacing w:line="360" w:lineRule="auto"/>
        <w:ind w:firstLine="420" w:firstLineChars="200"/>
        <w:rPr>
          <w:rFonts w:hint="eastAsia"/>
          <w:szCs w:val="21"/>
        </w:rPr>
      </w:pPr>
      <w:r>
        <w:rPr>
          <w:rFonts w:hint="eastAsia"/>
          <w:szCs w:val="21"/>
        </w:rPr>
        <w:t>一、课程性质与教学目标</w:t>
      </w:r>
    </w:p>
    <w:p>
      <w:pPr>
        <w:spacing w:line="360" w:lineRule="auto"/>
        <w:ind w:firstLine="422" w:firstLineChars="200"/>
        <w:rPr>
          <w:rFonts w:hint="eastAsia"/>
          <w:b/>
          <w:color w:val="000000"/>
          <w:szCs w:val="21"/>
        </w:rPr>
      </w:pPr>
      <w:r>
        <w:rPr>
          <w:rFonts w:hint="eastAsia"/>
          <w:b/>
          <w:color w:val="000000"/>
          <w:szCs w:val="21"/>
        </w:rPr>
        <w:t>1、</w:t>
      </w:r>
      <w:r>
        <w:rPr>
          <w:b/>
          <w:color w:val="000000"/>
          <w:szCs w:val="21"/>
        </w:rPr>
        <w:t>课程性质</w:t>
      </w:r>
      <w:r>
        <w:rPr>
          <w:rFonts w:hint="eastAsia"/>
          <w:b/>
          <w:color w:val="000000"/>
          <w:szCs w:val="21"/>
        </w:rPr>
        <w:t>与任务</w:t>
      </w:r>
    </w:p>
    <w:p>
      <w:pPr>
        <w:spacing w:line="360" w:lineRule="auto"/>
        <w:ind w:firstLine="420" w:firstLineChars="200"/>
        <w:rPr>
          <w:bCs/>
          <w:color w:val="000000"/>
          <w:szCs w:val="21"/>
        </w:rPr>
      </w:pPr>
      <w:r>
        <w:rPr>
          <w:rFonts w:hint="eastAsia"/>
          <w:bCs/>
          <w:color w:val="000000"/>
          <w:szCs w:val="21"/>
        </w:rPr>
        <w:t>课程性质：随着科学技术的快速发展，传感器及测试技术和其他信息技术一样，在原理、方法、技术和应用等方面都发生了深刻的变化，特别是传感器在智能化、网络化、微型化以及集成化等方面，取得了令人瞩目的创新性进展。这一进展反过来也促进了科技的进步，大量的新技术广泛渗透到国民经济的各领域中。为了使人才培养适应新形势的要求，教学内容和课程建设在保证理论基础知识基本稳定的同时，必须反应技术的发展和更新。智能传感系统在航空航天、工业生产、公共安全等领域具有非常重要的应用。因此《智能传感系统》作为仪器与电子学科领域非常重要的一门专业课，同时也是智能感知工程专业非常重要的一门专业必修课。开设《智能传感系统》课程符合国家全面提高人才质量的基本要求。</w:t>
      </w:r>
    </w:p>
    <w:p>
      <w:pPr>
        <w:spacing w:line="360" w:lineRule="auto"/>
        <w:ind w:firstLine="420" w:firstLineChars="200"/>
        <w:rPr>
          <w:rFonts w:hint="eastAsia"/>
          <w:bCs/>
          <w:color w:val="000000"/>
          <w:szCs w:val="21"/>
        </w:rPr>
      </w:pPr>
      <w:r>
        <w:rPr>
          <w:rFonts w:hint="eastAsia"/>
          <w:bCs/>
          <w:color w:val="000000"/>
          <w:szCs w:val="21"/>
        </w:rPr>
        <w:t>课程任务：本课程重点讲述五个方面内容：1</w:t>
      </w:r>
      <w:r>
        <w:rPr>
          <w:bCs/>
          <w:color w:val="000000"/>
          <w:szCs w:val="21"/>
        </w:rPr>
        <w:t>.</w:t>
      </w:r>
      <w:r>
        <w:rPr>
          <w:rFonts w:hint="eastAsia"/>
          <w:szCs w:val="21"/>
        </w:rPr>
        <w:t xml:space="preserve"> 概述了智能传感器的基本概念，同时对Smart传感器、Smart微机电系统、Smart材料、Smart结构等做了概括和简要的介绍；</w:t>
      </w:r>
      <w:r>
        <w:rPr>
          <w:rFonts w:hint="eastAsia"/>
          <w:bCs/>
          <w:color w:val="000000"/>
          <w:szCs w:val="21"/>
        </w:rPr>
        <w:t>2</w:t>
      </w:r>
      <w:r>
        <w:rPr>
          <w:bCs/>
          <w:color w:val="000000"/>
          <w:szCs w:val="21"/>
        </w:rPr>
        <w:t>.</w:t>
      </w:r>
      <w:r>
        <w:rPr>
          <w:rFonts w:hint="eastAsia"/>
        </w:rPr>
        <w:t xml:space="preserve"> </w:t>
      </w:r>
      <w:r>
        <w:rPr>
          <w:rFonts w:hint="eastAsia"/>
          <w:bCs/>
          <w:color w:val="000000"/>
          <w:szCs w:val="21"/>
        </w:rPr>
        <w:t>现代传感技术智能化的实现方法和技术；3</w:t>
      </w:r>
      <w:r>
        <w:rPr>
          <w:bCs/>
          <w:color w:val="000000"/>
          <w:szCs w:val="21"/>
        </w:rPr>
        <w:t>.</w:t>
      </w:r>
      <w:r>
        <w:rPr>
          <w:rFonts w:hint="eastAsia"/>
        </w:rPr>
        <w:t xml:space="preserve"> </w:t>
      </w:r>
      <w:r>
        <w:rPr>
          <w:rFonts w:hint="eastAsia"/>
          <w:bCs/>
          <w:color w:val="000000"/>
          <w:szCs w:val="21"/>
        </w:rPr>
        <w:t>智能传感器及其技术；4</w:t>
      </w:r>
      <w:r>
        <w:rPr>
          <w:bCs/>
          <w:color w:val="000000"/>
          <w:szCs w:val="21"/>
        </w:rPr>
        <w:t>.</w:t>
      </w:r>
      <w:r>
        <w:rPr>
          <w:rFonts w:hint="eastAsia"/>
        </w:rPr>
        <w:t xml:space="preserve"> </w:t>
      </w:r>
      <w:r>
        <w:rPr>
          <w:rFonts w:hint="eastAsia"/>
          <w:bCs/>
          <w:color w:val="000000"/>
          <w:szCs w:val="21"/>
        </w:rPr>
        <w:t>智能微机电系统、微传感器与软件传感器；5</w:t>
      </w:r>
      <w:r>
        <w:rPr>
          <w:bCs/>
          <w:color w:val="000000"/>
          <w:szCs w:val="21"/>
        </w:rPr>
        <w:t>.</w:t>
      </w:r>
      <w:r>
        <w:rPr>
          <w:rFonts w:hint="eastAsia"/>
        </w:rPr>
        <w:t xml:space="preserve"> </w:t>
      </w:r>
      <w:r>
        <w:rPr>
          <w:rFonts w:hint="eastAsia"/>
          <w:bCs/>
          <w:color w:val="000000"/>
          <w:szCs w:val="21"/>
        </w:rPr>
        <w:t>机敏材料与灵巧结构。本课程通过对智能传感系统及相应智能化技术的介绍，让学生对智能传感有一个全面的了解和认识。让学生在学习过程中逐步掌握智能传感技术的基本原理和应用，培养学生在仪器等相关领域中应用智能传感技术解决较为复杂问题的能力。</w:t>
      </w:r>
    </w:p>
    <w:p>
      <w:pPr>
        <w:spacing w:line="360" w:lineRule="auto"/>
        <w:ind w:firstLine="840" w:firstLineChars="400"/>
        <w:rPr>
          <w:bCs/>
          <w:color w:val="000000"/>
          <w:szCs w:val="21"/>
        </w:rPr>
      </w:pPr>
    </w:p>
    <w:p>
      <w:pPr>
        <w:spacing w:line="360" w:lineRule="auto"/>
        <w:ind w:firstLine="422" w:firstLineChars="200"/>
        <w:rPr>
          <w:rFonts w:hint="eastAsia"/>
          <w:b/>
          <w:color w:val="000000"/>
          <w:szCs w:val="21"/>
        </w:rPr>
      </w:pPr>
      <w:bookmarkStart w:id="62" w:name="_Hlk89975060"/>
      <w:r>
        <w:rPr>
          <w:rFonts w:hint="eastAsia"/>
          <w:b/>
          <w:color w:val="000000"/>
          <w:szCs w:val="21"/>
        </w:rPr>
        <w:t>2、课程</w:t>
      </w:r>
      <w:r>
        <w:rPr>
          <w:b/>
          <w:color w:val="000000"/>
          <w:szCs w:val="21"/>
        </w:rPr>
        <w:t>目标</w:t>
      </w:r>
    </w:p>
    <w:p>
      <w:pPr>
        <w:adjustRightInd w:val="0"/>
        <w:snapToGrid w:val="0"/>
        <w:spacing w:line="360" w:lineRule="auto"/>
        <w:ind w:firstLine="420" w:firstLineChars="200"/>
        <w:rPr>
          <w:szCs w:val="21"/>
        </w:rPr>
      </w:pPr>
      <w:r>
        <w:rPr>
          <w:rFonts w:hint="eastAsia"/>
          <w:szCs w:val="21"/>
        </w:rPr>
        <w:t>课程目标1：掌握现代传感技术智能化的实现方法和技术。主要包括：1</w:t>
      </w:r>
      <w:r>
        <w:rPr>
          <w:szCs w:val="21"/>
        </w:rPr>
        <w:t>.</w:t>
      </w:r>
      <w:r>
        <w:rPr>
          <w:rFonts w:hint="eastAsia"/>
          <w:szCs w:val="21"/>
        </w:rPr>
        <w:t>掌握智能传感器的非线性自校正、自校准、自补偿、增益的自适应控制、自检、噪声抑制与弱信号检测等技术的原理和实现方法；2</w:t>
      </w:r>
      <w:r>
        <w:rPr>
          <w:szCs w:val="21"/>
        </w:rPr>
        <w:t>.</w:t>
      </w:r>
      <w:r>
        <w:rPr>
          <w:rFonts w:hint="eastAsia"/>
          <w:szCs w:val="21"/>
        </w:rPr>
        <w:t>了解多传感器信息融合、模糊技术及其应用以及人工神经网络技术及其应用。</w:t>
      </w:r>
      <w:r>
        <w:rPr>
          <w:szCs w:val="21"/>
        </w:rPr>
        <w:t>（支撑毕业要求</w:t>
      </w:r>
      <w:r>
        <w:rPr>
          <w:rFonts w:hint="eastAsia"/>
          <w:szCs w:val="21"/>
          <w:lang w:eastAsia="zh-CN"/>
        </w:rPr>
        <w:t>指标点</w:t>
      </w:r>
      <w:r>
        <w:rPr>
          <w:szCs w:val="21"/>
        </w:rPr>
        <w:t>3</w:t>
      </w:r>
      <w:r>
        <w:rPr>
          <w:rFonts w:hint="eastAsia"/>
          <w:szCs w:val="21"/>
        </w:rPr>
        <w:t>-</w:t>
      </w:r>
      <w:r>
        <w:rPr>
          <w:szCs w:val="21"/>
        </w:rPr>
        <w:t>1）</w:t>
      </w:r>
    </w:p>
    <w:p>
      <w:pPr>
        <w:adjustRightInd w:val="0"/>
        <w:snapToGrid w:val="0"/>
        <w:spacing w:line="360" w:lineRule="auto"/>
        <w:ind w:firstLine="420" w:firstLineChars="200"/>
        <w:rPr>
          <w:szCs w:val="21"/>
        </w:rPr>
      </w:pPr>
      <w:r>
        <w:rPr>
          <w:rFonts w:hint="eastAsia"/>
          <w:szCs w:val="21"/>
        </w:rPr>
        <w:t>课程目标</w:t>
      </w:r>
      <w:r>
        <w:rPr>
          <w:szCs w:val="21"/>
        </w:rPr>
        <w:t>2</w:t>
      </w:r>
      <w:r>
        <w:rPr>
          <w:rFonts w:hint="eastAsia"/>
          <w:szCs w:val="21"/>
        </w:rPr>
        <w:t>：掌握智能传感器的概念及应用。主要包括：1.掌握先进传感器和智能传感器的概念以及区别和联系；2</w:t>
      </w:r>
      <w:r>
        <w:rPr>
          <w:szCs w:val="21"/>
        </w:rPr>
        <w:t>.</w:t>
      </w:r>
      <w:r>
        <w:rPr>
          <w:rFonts w:hint="eastAsia"/>
          <w:szCs w:val="21"/>
        </w:rPr>
        <w:t>能够区别智能传感器和微机或单片机相连有数据处理功能的传统传感器；3</w:t>
      </w:r>
      <w:r>
        <w:rPr>
          <w:szCs w:val="21"/>
        </w:rPr>
        <w:t>.</w:t>
      </w:r>
      <w:r>
        <w:rPr>
          <w:rFonts w:hint="eastAsia"/>
          <w:szCs w:val="21"/>
        </w:rPr>
        <w:t>能够理解灵巧结构和机敏材料的概念及应用。</w:t>
      </w:r>
      <w:r>
        <w:rPr>
          <w:szCs w:val="21"/>
        </w:rPr>
        <w:t>（支撑毕业要求</w:t>
      </w:r>
      <w:r>
        <w:rPr>
          <w:rFonts w:hint="eastAsia"/>
          <w:szCs w:val="21"/>
          <w:lang w:eastAsia="zh-CN"/>
        </w:rPr>
        <w:t>指标点</w:t>
      </w:r>
      <w:r>
        <w:rPr>
          <w:szCs w:val="21"/>
        </w:rPr>
        <w:t>4</w:t>
      </w:r>
      <w:r>
        <w:rPr>
          <w:rFonts w:hint="eastAsia"/>
          <w:szCs w:val="21"/>
        </w:rPr>
        <w:t>-</w:t>
      </w:r>
      <w:r>
        <w:rPr>
          <w:szCs w:val="21"/>
        </w:rPr>
        <w:t xml:space="preserve">1） </w:t>
      </w:r>
    </w:p>
    <w:p>
      <w:pPr>
        <w:adjustRightInd w:val="0"/>
        <w:snapToGrid w:val="0"/>
        <w:spacing w:line="360" w:lineRule="auto"/>
        <w:ind w:firstLine="420" w:firstLineChars="200"/>
        <w:rPr>
          <w:szCs w:val="21"/>
        </w:rPr>
      </w:pPr>
      <w:r>
        <w:rPr>
          <w:rFonts w:hint="eastAsia" w:hAnsi="宋体"/>
          <w:bCs/>
          <w:szCs w:val="21"/>
        </w:rPr>
        <w:t>思政目标：传感器的智能化是传感技术发展的新方向。通过介绍智能传感技术的发展现状和前景，激发学生的创新意识。</w:t>
      </w:r>
      <w:r>
        <w:rPr>
          <w:rFonts w:hint="eastAsia"/>
          <w:szCs w:val="21"/>
        </w:rPr>
        <w:t>让学生理解智能传感技术对于军事领域和航空航天领域的重要性，激发学生的家国情怀，鼓励学生将来从事相关领域的研究工作。</w:t>
      </w:r>
    </w:p>
    <w:p>
      <w:pPr>
        <w:adjustRightInd w:val="0"/>
        <w:snapToGrid w:val="0"/>
        <w:spacing w:line="360" w:lineRule="auto"/>
        <w:ind w:firstLine="420" w:firstLineChars="200"/>
        <w:rPr>
          <w:rFonts w:hint="eastAsia"/>
          <w:color w:val="000000"/>
          <w:szCs w:val="21"/>
        </w:rPr>
      </w:pPr>
    </w:p>
    <w:bookmarkEnd w:id="62"/>
    <w:p>
      <w:pPr>
        <w:spacing w:line="360" w:lineRule="auto"/>
        <w:ind w:firstLine="420" w:firstLineChars="200"/>
        <w:rPr>
          <w:szCs w:val="21"/>
        </w:rPr>
        <w:sectPr>
          <w:headerReference r:id="rId136" w:type="default"/>
          <w:pgSz w:w="11906" w:h="16838"/>
          <w:pgMar w:top="1440" w:right="1418" w:bottom="1440" w:left="1418" w:header="851" w:footer="992" w:gutter="0"/>
          <w:pgNumType w:fmt="decimal"/>
          <w:cols w:space="720" w:num="1"/>
          <w:docGrid w:type="lines" w:linePitch="312" w:charSpace="0"/>
        </w:sectPr>
      </w:pPr>
    </w:p>
    <w:p>
      <w:pPr>
        <w:numPr>
          <w:ilvl w:val="0"/>
          <w:numId w:val="13"/>
        </w:numPr>
        <w:spacing w:before="156" w:beforeLines="50" w:after="156" w:afterLines="50" w:line="360" w:lineRule="auto"/>
        <w:ind w:left="420" w:leftChars="200" w:firstLine="105" w:firstLineChars="50"/>
        <w:rPr>
          <w:szCs w:val="21"/>
        </w:rPr>
      </w:pPr>
      <w:r>
        <w:rPr>
          <w:rFonts w:hint="eastAsia"/>
          <w:szCs w:val="21"/>
        </w:rPr>
        <w:t>课程内容、思政融入点、</w:t>
      </w:r>
      <w:r>
        <w:rPr>
          <w:szCs w:val="21"/>
        </w:rPr>
        <w:t>学时分配及对毕业要求指标点的支撑</w:t>
      </w:r>
    </w:p>
    <w:p>
      <w:pPr>
        <w:spacing w:before="156" w:beforeLines="50" w:after="156" w:afterLines="50" w:line="360" w:lineRule="auto"/>
        <w:ind w:left="422"/>
        <w:jc w:val="center"/>
        <w:rPr>
          <w:b/>
          <w:color w:val="FF0000"/>
          <w:szCs w:val="21"/>
        </w:rPr>
      </w:pPr>
      <w:r>
        <w:rPr>
          <w:rFonts w:hint="eastAsia" w:cs="宋体"/>
          <w:b/>
          <w:szCs w:val="21"/>
        </w:rPr>
        <w:t>表2.1课程内容、学时分配及对毕业要求指标点的支撑</w:t>
      </w:r>
    </w:p>
    <w:tbl>
      <w:tblPr>
        <w:tblStyle w:val="19"/>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756"/>
        <w:gridCol w:w="682"/>
        <w:gridCol w:w="682"/>
        <w:gridCol w:w="602"/>
        <w:gridCol w:w="955"/>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shd w:val="clear" w:color="auto" w:fill="D9D9D9"/>
            <w:vAlign w:val="center"/>
          </w:tcPr>
          <w:p>
            <w:pPr>
              <w:jc w:val="center"/>
              <w:rPr>
                <w:b/>
                <w:color w:val="000000"/>
                <w:sz w:val="18"/>
                <w:szCs w:val="18"/>
              </w:rPr>
            </w:pPr>
            <w:bookmarkStart w:id="63" w:name="_Hlk89371204"/>
            <w:r>
              <w:rPr>
                <w:b/>
                <w:color w:val="000000"/>
                <w:sz w:val="18"/>
                <w:szCs w:val="18"/>
              </w:rPr>
              <w:t>章节</w:t>
            </w:r>
          </w:p>
        </w:tc>
        <w:tc>
          <w:tcPr>
            <w:tcW w:w="7756" w:type="dxa"/>
            <w:shd w:val="clear" w:color="auto" w:fill="D9D9D9"/>
            <w:vAlign w:val="center"/>
          </w:tcPr>
          <w:p>
            <w:pPr>
              <w:jc w:val="center"/>
              <w:rPr>
                <w:b/>
                <w:color w:val="000000"/>
                <w:sz w:val="18"/>
                <w:szCs w:val="18"/>
              </w:rPr>
            </w:pPr>
            <w:r>
              <w:rPr>
                <w:rFonts w:hint="eastAsia"/>
                <w:b/>
                <w:color w:val="000000"/>
                <w:sz w:val="18"/>
                <w:szCs w:val="18"/>
              </w:rPr>
              <w:t>内            容</w:t>
            </w:r>
          </w:p>
        </w:tc>
        <w:tc>
          <w:tcPr>
            <w:tcW w:w="682" w:type="dxa"/>
            <w:shd w:val="clear" w:color="auto" w:fill="D9D9D9"/>
            <w:vAlign w:val="center"/>
          </w:tcPr>
          <w:p>
            <w:pPr>
              <w:jc w:val="center"/>
              <w:rPr>
                <w:b/>
                <w:color w:val="000000"/>
                <w:sz w:val="18"/>
                <w:szCs w:val="18"/>
              </w:rPr>
            </w:pPr>
            <w:r>
              <w:rPr>
                <w:b/>
                <w:color w:val="000000"/>
                <w:sz w:val="18"/>
                <w:szCs w:val="18"/>
              </w:rPr>
              <w:t>讲课</w:t>
            </w:r>
          </w:p>
        </w:tc>
        <w:tc>
          <w:tcPr>
            <w:tcW w:w="682" w:type="dxa"/>
            <w:shd w:val="clear" w:color="auto" w:fill="D9D9D9"/>
            <w:vAlign w:val="center"/>
          </w:tcPr>
          <w:p>
            <w:pPr>
              <w:jc w:val="center"/>
              <w:rPr>
                <w:b/>
                <w:color w:val="000000"/>
                <w:sz w:val="18"/>
                <w:szCs w:val="18"/>
              </w:rPr>
            </w:pPr>
            <w:r>
              <w:rPr>
                <w:b/>
                <w:color w:val="000000"/>
                <w:sz w:val="18"/>
                <w:szCs w:val="18"/>
              </w:rPr>
              <w:t>实验</w:t>
            </w:r>
          </w:p>
        </w:tc>
        <w:tc>
          <w:tcPr>
            <w:tcW w:w="602" w:type="dxa"/>
            <w:shd w:val="clear" w:color="auto" w:fill="D9D9D9"/>
            <w:vAlign w:val="center"/>
          </w:tcPr>
          <w:p>
            <w:pPr>
              <w:jc w:val="center"/>
              <w:rPr>
                <w:b/>
                <w:color w:val="000000"/>
                <w:sz w:val="18"/>
                <w:szCs w:val="18"/>
              </w:rPr>
            </w:pPr>
            <w:r>
              <w:rPr>
                <w:rFonts w:hint="eastAsia"/>
                <w:b/>
                <w:color w:val="000000"/>
                <w:sz w:val="18"/>
                <w:szCs w:val="18"/>
              </w:rPr>
              <w:t>小计</w:t>
            </w:r>
          </w:p>
        </w:tc>
        <w:tc>
          <w:tcPr>
            <w:tcW w:w="955" w:type="dxa"/>
            <w:shd w:val="clear" w:color="auto" w:fill="D9D9D9"/>
            <w:vAlign w:val="center"/>
          </w:tcPr>
          <w:p>
            <w:pPr>
              <w:jc w:val="center"/>
              <w:rPr>
                <w:b/>
                <w:color w:val="000000"/>
                <w:sz w:val="18"/>
                <w:szCs w:val="18"/>
              </w:rPr>
            </w:pPr>
            <w:r>
              <w:rPr>
                <w:b/>
                <w:color w:val="000000"/>
                <w:sz w:val="18"/>
                <w:szCs w:val="18"/>
              </w:rPr>
              <w:t>支撑课程目标</w:t>
            </w:r>
          </w:p>
        </w:tc>
        <w:tc>
          <w:tcPr>
            <w:tcW w:w="1259" w:type="dxa"/>
            <w:shd w:val="clear" w:color="auto" w:fill="D9D9D9"/>
            <w:vAlign w:val="center"/>
          </w:tcPr>
          <w:p>
            <w:pPr>
              <w:jc w:val="center"/>
              <w:rPr>
                <w:b/>
                <w:color w:val="000000"/>
                <w:sz w:val="18"/>
                <w:szCs w:val="18"/>
              </w:rPr>
            </w:pPr>
            <w:r>
              <w:rPr>
                <w:b/>
                <w:color w:val="000000"/>
                <w:sz w:val="18"/>
                <w:szCs w:val="18"/>
              </w:rPr>
              <w:t>支撑的毕业要求指标点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280" w:lineRule="exact"/>
              <w:jc w:val="center"/>
              <w:rPr>
                <w:sz w:val="18"/>
                <w:szCs w:val="18"/>
              </w:rPr>
            </w:pPr>
            <w:r>
              <w:rPr>
                <w:sz w:val="18"/>
                <w:szCs w:val="18"/>
              </w:rPr>
              <w:t>第1章</w:t>
            </w:r>
          </w:p>
        </w:tc>
        <w:tc>
          <w:tcPr>
            <w:tcW w:w="7756" w:type="dxa"/>
          </w:tcPr>
          <w:p>
            <w:pPr>
              <w:spacing w:line="280" w:lineRule="exact"/>
              <w:rPr>
                <w:rFonts w:hint="eastAsia" w:cs="Calibri"/>
                <w:b/>
                <w:color w:val="000000"/>
                <w:sz w:val="18"/>
                <w:szCs w:val="18"/>
              </w:rPr>
            </w:pPr>
            <w:r>
              <w:rPr>
                <w:rFonts w:hint="eastAsia" w:cs="Calibri"/>
                <w:b/>
                <w:color w:val="000000"/>
                <w:sz w:val="18"/>
                <w:szCs w:val="18"/>
              </w:rPr>
              <w:t xml:space="preserve">1  </w:t>
            </w:r>
            <w:r>
              <w:rPr>
                <w:rFonts w:hint="eastAsia"/>
                <w:b/>
                <w:sz w:val="18"/>
                <w:szCs w:val="18"/>
              </w:rPr>
              <w:t>概论</w:t>
            </w:r>
          </w:p>
          <w:p>
            <w:pPr>
              <w:spacing w:line="280" w:lineRule="exact"/>
              <w:ind w:firstLine="180" w:firstLineChars="100"/>
              <w:rPr>
                <w:rFonts w:hint="eastAsia"/>
                <w:color w:val="000000"/>
                <w:sz w:val="18"/>
                <w:szCs w:val="18"/>
              </w:rPr>
            </w:pPr>
            <w:r>
              <w:rPr>
                <w:color w:val="000000"/>
                <w:sz w:val="18"/>
                <w:szCs w:val="18"/>
              </w:rPr>
              <w:t xml:space="preserve">1.1 </w:t>
            </w:r>
            <w:r>
              <w:rPr>
                <w:rFonts w:hint="eastAsia"/>
                <w:sz w:val="18"/>
                <w:szCs w:val="18"/>
              </w:rPr>
              <w:t>先进传感器和智能传感器</w:t>
            </w:r>
            <w:r>
              <w:rPr>
                <w:rFonts w:hint="eastAsia"/>
                <w:color w:val="000000"/>
                <w:sz w:val="18"/>
                <w:szCs w:val="18"/>
              </w:rPr>
              <w:t>；主要内容：主要讲述先进传感器和智能传感器的概念以及区别和联系。</w:t>
            </w:r>
          </w:p>
          <w:p>
            <w:pPr>
              <w:spacing w:line="280" w:lineRule="exact"/>
              <w:ind w:firstLine="180" w:firstLineChars="100"/>
              <w:rPr>
                <w:color w:val="000000"/>
                <w:sz w:val="18"/>
                <w:szCs w:val="18"/>
              </w:rPr>
            </w:pPr>
            <w:r>
              <w:rPr>
                <w:color w:val="000000"/>
                <w:sz w:val="18"/>
                <w:szCs w:val="18"/>
              </w:rPr>
              <w:t xml:space="preserve">1.2 </w:t>
            </w:r>
            <w:r>
              <w:rPr>
                <w:rFonts w:hint="eastAsia"/>
                <w:sz w:val="18"/>
                <w:szCs w:val="18"/>
              </w:rPr>
              <w:t>智能传感器与传统传感器</w:t>
            </w:r>
            <w:r>
              <w:rPr>
                <w:rFonts w:hint="eastAsia"/>
                <w:color w:val="000000"/>
                <w:sz w:val="18"/>
                <w:szCs w:val="18"/>
              </w:rPr>
              <w:t>；主要内容：主要讲述智能传感器与微机或单片机相连有数据处理功能的传统传感器的区别。</w:t>
            </w:r>
          </w:p>
          <w:p>
            <w:pPr>
              <w:spacing w:line="280" w:lineRule="exact"/>
              <w:ind w:firstLine="180" w:firstLineChars="100"/>
              <w:rPr>
                <w:rFonts w:hint="eastAsia"/>
                <w:color w:val="000000"/>
                <w:sz w:val="18"/>
                <w:szCs w:val="18"/>
              </w:rPr>
            </w:pPr>
            <w:r>
              <w:rPr>
                <w:rFonts w:hint="eastAsia"/>
                <w:color w:val="000000"/>
                <w:sz w:val="18"/>
                <w:szCs w:val="18"/>
              </w:rPr>
              <w:t>1</w:t>
            </w:r>
            <w:r>
              <w:rPr>
                <w:color w:val="000000"/>
                <w:sz w:val="18"/>
                <w:szCs w:val="18"/>
              </w:rPr>
              <w:t xml:space="preserve">.3 </w:t>
            </w:r>
            <w:r>
              <w:rPr>
                <w:rFonts w:hint="eastAsia"/>
                <w:color w:val="000000"/>
                <w:sz w:val="18"/>
                <w:szCs w:val="18"/>
              </w:rPr>
              <w:t xml:space="preserve">灵巧结构与机敏材料； </w:t>
            </w:r>
            <w:r>
              <w:rPr>
                <w:color w:val="000000"/>
                <w:sz w:val="18"/>
                <w:szCs w:val="18"/>
              </w:rPr>
              <w:t xml:space="preserve">   </w:t>
            </w:r>
            <w:r>
              <w:rPr>
                <w:rFonts w:hint="eastAsia"/>
                <w:color w:val="000000"/>
                <w:sz w:val="18"/>
                <w:szCs w:val="18"/>
              </w:rPr>
              <w:t>主要内容：主要讲述灵巧结构和机敏材料的概念及应用。</w:t>
            </w:r>
          </w:p>
          <w:p>
            <w:pPr>
              <w:spacing w:line="280" w:lineRule="exact"/>
              <w:ind w:firstLine="180" w:firstLineChars="100"/>
              <w:rPr>
                <w:color w:val="000000"/>
                <w:sz w:val="18"/>
                <w:szCs w:val="18"/>
              </w:rPr>
            </w:pPr>
            <w:r>
              <w:rPr>
                <w:rFonts w:hint="eastAsia"/>
                <w:color w:val="000000"/>
                <w:sz w:val="18"/>
                <w:szCs w:val="18"/>
              </w:rPr>
              <w:t>重点：智能传感器的概念。</w:t>
            </w:r>
          </w:p>
          <w:p>
            <w:pPr>
              <w:spacing w:line="280" w:lineRule="exact"/>
              <w:ind w:firstLine="180" w:firstLineChars="100"/>
              <w:rPr>
                <w:rFonts w:hint="eastAsia"/>
                <w:color w:val="000000"/>
                <w:sz w:val="18"/>
                <w:szCs w:val="18"/>
              </w:rPr>
            </w:pPr>
            <w:r>
              <w:rPr>
                <w:rFonts w:hint="eastAsia"/>
                <w:color w:val="000000"/>
                <w:sz w:val="18"/>
                <w:szCs w:val="18"/>
              </w:rPr>
              <w:t>难点</w:t>
            </w:r>
            <w:r>
              <w:rPr>
                <w:rFonts w:hint="eastAsia"/>
                <w:sz w:val="18"/>
                <w:szCs w:val="18"/>
              </w:rPr>
              <w:t>：灵巧结构和机敏材料的概念及应用。</w:t>
            </w:r>
          </w:p>
        </w:tc>
        <w:tc>
          <w:tcPr>
            <w:tcW w:w="682" w:type="dxa"/>
            <w:vAlign w:val="center"/>
          </w:tcPr>
          <w:p>
            <w:pPr>
              <w:spacing w:line="280" w:lineRule="exact"/>
              <w:rPr>
                <w:rFonts w:cs="Calibri"/>
                <w:b/>
                <w:color w:val="000000"/>
                <w:sz w:val="18"/>
                <w:szCs w:val="18"/>
              </w:rPr>
            </w:pPr>
            <w:r>
              <w:rPr>
                <w:rFonts w:cs="Calibri"/>
                <w:b/>
                <w:color w:val="000000"/>
                <w:sz w:val="18"/>
                <w:szCs w:val="18"/>
              </w:rPr>
              <w:t>4</w:t>
            </w:r>
          </w:p>
        </w:tc>
        <w:tc>
          <w:tcPr>
            <w:tcW w:w="682" w:type="dxa"/>
            <w:vAlign w:val="center"/>
          </w:tcPr>
          <w:p>
            <w:pPr>
              <w:spacing w:line="280" w:lineRule="exact"/>
              <w:rPr>
                <w:rFonts w:cs="Calibri"/>
                <w:b/>
                <w:color w:val="000000"/>
                <w:sz w:val="18"/>
                <w:szCs w:val="18"/>
              </w:rPr>
            </w:pPr>
            <w:r>
              <w:rPr>
                <w:rFonts w:hint="eastAsia" w:cs="Calibri"/>
                <w:b/>
                <w:color w:val="000000"/>
                <w:sz w:val="18"/>
                <w:szCs w:val="18"/>
              </w:rPr>
              <w:t>0</w:t>
            </w:r>
          </w:p>
        </w:tc>
        <w:tc>
          <w:tcPr>
            <w:tcW w:w="602" w:type="dxa"/>
            <w:vAlign w:val="center"/>
          </w:tcPr>
          <w:p>
            <w:pPr>
              <w:spacing w:line="280" w:lineRule="exact"/>
              <w:rPr>
                <w:rFonts w:cs="Calibri"/>
                <w:b/>
                <w:color w:val="000000"/>
                <w:sz w:val="18"/>
                <w:szCs w:val="18"/>
              </w:rPr>
            </w:pPr>
            <w:r>
              <w:rPr>
                <w:rFonts w:cs="Calibri"/>
                <w:b/>
                <w:color w:val="000000"/>
                <w:sz w:val="18"/>
                <w:szCs w:val="18"/>
              </w:rPr>
              <w:t>4</w:t>
            </w:r>
          </w:p>
        </w:tc>
        <w:tc>
          <w:tcPr>
            <w:tcW w:w="955" w:type="dxa"/>
            <w:vAlign w:val="center"/>
          </w:tcPr>
          <w:p>
            <w:pPr>
              <w:spacing w:line="280" w:lineRule="exact"/>
              <w:rPr>
                <w:rFonts w:cs="Calibri"/>
                <w:b/>
                <w:color w:val="000000"/>
                <w:sz w:val="18"/>
                <w:szCs w:val="18"/>
              </w:rPr>
            </w:pPr>
            <w:r>
              <w:rPr>
                <w:rFonts w:hint="eastAsia" w:cs="Calibri"/>
                <w:b/>
                <w:color w:val="000000"/>
                <w:sz w:val="18"/>
                <w:szCs w:val="18"/>
              </w:rPr>
              <w:t>1</w:t>
            </w:r>
          </w:p>
        </w:tc>
        <w:tc>
          <w:tcPr>
            <w:tcW w:w="1259" w:type="dxa"/>
            <w:vAlign w:val="center"/>
          </w:tcPr>
          <w:p>
            <w:pPr>
              <w:spacing w:line="280" w:lineRule="exact"/>
              <w:rPr>
                <w:rFonts w:cs="Calibri"/>
                <w:b/>
                <w:color w:val="000000"/>
                <w:sz w:val="18"/>
                <w:szCs w:val="18"/>
              </w:rPr>
            </w:pPr>
            <w:r>
              <w:rPr>
                <w:rFonts w:hint="eastAsia" w:cs="Calibri"/>
                <w:b/>
                <w:color w:val="000000"/>
                <w:sz w:val="18"/>
                <w:szCs w:val="18"/>
              </w:rPr>
              <w:t>4</w:t>
            </w:r>
            <w:r>
              <w:rPr>
                <w:rFonts w:cs="Calibri"/>
                <w:b/>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280" w:lineRule="exact"/>
              <w:jc w:val="center"/>
              <w:rPr>
                <w:sz w:val="18"/>
                <w:szCs w:val="18"/>
              </w:rPr>
            </w:pPr>
            <w:r>
              <w:rPr>
                <w:sz w:val="18"/>
                <w:szCs w:val="18"/>
              </w:rPr>
              <w:t>第2章</w:t>
            </w:r>
          </w:p>
        </w:tc>
        <w:tc>
          <w:tcPr>
            <w:tcW w:w="7756" w:type="dxa"/>
          </w:tcPr>
          <w:p>
            <w:pPr>
              <w:spacing w:line="280" w:lineRule="exact"/>
              <w:rPr>
                <w:rFonts w:hint="eastAsia"/>
                <w:b/>
                <w:bCs/>
                <w:color w:val="000000"/>
                <w:sz w:val="18"/>
                <w:szCs w:val="18"/>
              </w:rPr>
            </w:pPr>
            <w:r>
              <w:rPr>
                <w:rFonts w:hint="eastAsia"/>
                <w:b/>
                <w:bCs/>
                <w:color w:val="000000"/>
                <w:sz w:val="18"/>
                <w:szCs w:val="18"/>
              </w:rPr>
              <w:t>2  现代传感技术智能化的实现方法和技术</w:t>
            </w:r>
          </w:p>
          <w:p>
            <w:pPr>
              <w:spacing w:line="280" w:lineRule="exact"/>
              <w:ind w:firstLine="180" w:firstLineChars="100"/>
              <w:rPr>
                <w:rFonts w:hint="eastAsia"/>
                <w:color w:val="000000"/>
                <w:sz w:val="18"/>
                <w:szCs w:val="18"/>
              </w:rPr>
            </w:pPr>
            <w:r>
              <w:rPr>
                <w:rFonts w:hint="eastAsia"/>
                <w:color w:val="000000"/>
                <w:sz w:val="18"/>
                <w:szCs w:val="18"/>
              </w:rPr>
              <w:t>2.1 非线性自校正；主要内容：智能传感器的非线性误差自动校正的实现方法包括查表法和曲线拟合法。</w:t>
            </w:r>
          </w:p>
          <w:p>
            <w:pPr>
              <w:spacing w:line="280" w:lineRule="exact"/>
              <w:ind w:firstLine="180" w:firstLineChars="100"/>
              <w:rPr>
                <w:color w:val="000000"/>
                <w:sz w:val="18"/>
                <w:szCs w:val="18"/>
              </w:rPr>
            </w:pPr>
            <w:r>
              <w:rPr>
                <w:rFonts w:hint="eastAsia"/>
                <w:color w:val="000000"/>
                <w:sz w:val="18"/>
                <w:szCs w:val="18"/>
              </w:rPr>
              <w:t>2.2 自校准；主要内容：主要讲述智能传感器输入输出特性在无需其他外部系统协助的情况下，实现自校准的原理及方法。</w:t>
            </w:r>
          </w:p>
          <w:p>
            <w:pPr>
              <w:spacing w:line="280" w:lineRule="exact"/>
              <w:ind w:firstLine="180" w:firstLineChars="100"/>
              <w:rPr>
                <w:color w:val="000000"/>
                <w:sz w:val="18"/>
                <w:szCs w:val="18"/>
              </w:rPr>
            </w:pPr>
            <w:r>
              <w:rPr>
                <w:rFonts w:hint="eastAsia"/>
                <w:color w:val="000000"/>
                <w:sz w:val="18"/>
                <w:szCs w:val="18"/>
              </w:rPr>
              <w:t>2.3 自补偿；主要内容：主要讲述由于多种误差因素的影响导致传感器性能下降。智能传感器通过自补偿技术可以实现温度误差的补偿，以及频域中通过提高工作带宽来提高传感器的动态性能。</w:t>
            </w:r>
          </w:p>
          <w:p>
            <w:pPr>
              <w:spacing w:line="280" w:lineRule="exact"/>
              <w:ind w:firstLine="180" w:firstLineChars="100"/>
              <w:rPr>
                <w:color w:val="000000"/>
                <w:sz w:val="18"/>
                <w:szCs w:val="18"/>
              </w:rPr>
            </w:pPr>
            <w:r>
              <w:rPr>
                <w:rFonts w:hint="eastAsia"/>
                <w:color w:val="000000"/>
                <w:sz w:val="18"/>
                <w:szCs w:val="18"/>
              </w:rPr>
              <w:t>2.4 增益的自适应控制；主要内容：主要讲述如何在智能传感器系统中综合考虑系统自身数据容量与被测范围、系统的精度与信噪比、系统的灵敏度与分辨率等诸多因素之间折衷选择智能传感系统的增益。</w:t>
            </w:r>
          </w:p>
          <w:p>
            <w:pPr>
              <w:spacing w:line="280" w:lineRule="exact"/>
              <w:ind w:firstLine="180" w:firstLineChars="100"/>
              <w:rPr>
                <w:rFonts w:hint="eastAsia"/>
                <w:color w:val="000000"/>
                <w:sz w:val="18"/>
                <w:szCs w:val="18"/>
              </w:rPr>
            </w:pPr>
            <w:r>
              <w:rPr>
                <w:rFonts w:hint="eastAsia"/>
                <w:color w:val="000000"/>
                <w:sz w:val="18"/>
                <w:szCs w:val="18"/>
              </w:rPr>
              <w:t>2.5 传感器系统的自检；主要内容：首先讲述什么是自检，以及自检实现的三种方式。其次讲述了硬件自检的基本实现方法包括ROM自检、特殊功能寄存器自检、RAM自检、总线自检、A</w:t>
            </w:r>
            <w:r>
              <w:rPr>
                <w:color w:val="000000"/>
                <w:sz w:val="18"/>
                <w:szCs w:val="18"/>
              </w:rPr>
              <w:t>/D</w:t>
            </w:r>
            <w:r>
              <w:rPr>
                <w:rFonts w:hint="eastAsia"/>
                <w:color w:val="000000"/>
                <w:sz w:val="18"/>
                <w:szCs w:val="18"/>
              </w:rPr>
              <w:t>和D</w:t>
            </w:r>
            <w:r>
              <w:rPr>
                <w:color w:val="000000"/>
                <w:sz w:val="18"/>
                <w:szCs w:val="18"/>
              </w:rPr>
              <w:t>/A</w:t>
            </w:r>
            <w:r>
              <w:rPr>
                <w:rFonts w:hint="eastAsia"/>
                <w:color w:val="000000"/>
                <w:sz w:val="18"/>
                <w:szCs w:val="18"/>
              </w:rPr>
              <w:t>自检、I</w:t>
            </w:r>
            <w:r>
              <w:rPr>
                <w:color w:val="000000"/>
                <w:sz w:val="18"/>
                <w:szCs w:val="18"/>
              </w:rPr>
              <w:t>/O</w:t>
            </w:r>
            <w:r>
              <w:rPr>
                <w:rFonts w:hint="eastAsia"/>
                <w:color w:val="000000"/>
                <w:sz w:val="18"/>
                <w:szCs w:val="18"/>
              </w:rPr>
              <w:t>接口电路自检、插件自检和显示面板自检。</w:t>
            </w:r>
          </w:p>
          <w:p>
            <w:pPr>
              <w:spacing w:line="280" w:lineRule="exact"/>
              <w:ind w:firstLine="180" w:firstLineChars="100"/>
              <w:rPr>
                <w:color w:val="000000"/>
                <w:sz w:val="18"/>
                <w:szCs w:val="18"/>
              </w:rPr>
            </w:pPr>
            <w:r>
              <w:rPr>
                <w:rFonts w:hint="eastAsia"/>
                <w:color w:val="000000"/>
                <w:sz w:val="18"/>
                <w:szCs w:val="18"/>
              </w:rPr>
              <w:t>2.6 自诊断；主要内容：主要讲述了智能传感器的硬件和软件发生故障后，通过硬件冗余方法、解析冗余方法和人工神经网络方法实现自诊断。</w:t>
            </w:r>
          </w:p>
          <w:p>
            <w:pPr>
              <w:spacing w:line="280" w:lineRule="exact"/>
              <w:ind w:firstLine="180" w:firstLineChars="100"/>
              <w:rPr>
                <w:color w:val="000000"/>
                <w:sz w:val="18"/>
                <w:szCs w:val="18"/>
              </w:rPr>
            </w:pPr>
            <w:r>
              <w:rPr>
                <w:rFonts w:hint="eastAsia"/>
                <w:color w:val="000000"/>
                <w:sz w:val="18"/>
                <w:szCs w:val="18"/>
              </w:rPr>
              <w:t>2.7 噪声抑制与弱信号检测；主要内容：传感器获取的信号中常常夹杂噪声及各种干扰信号。作为智能传感器系统，不仅应具有获取信息的功能，还应具有信息处理的功能，因此噪声抑制和微弱信号检测是智能传感器设计过程中必须正视的问题。</w:t>
            </w:r>
          </w:p>
          <w:p>
            <w:pPr>
              <w:spacing w:line="280" w:lineRule="exact"/>
              <w:ind w:firstLine="180" w:firstLineChars="100"/>
              <w:rPr>
                <w:color w:val="000000"/>
                <w:sz w:val="18"/>
                <w:szCs w:val="18"/>
              </w:rPr>
            </w:pPr>
            <w:r>
              <w:rPr>
                <w:rFonts w:hint="eastAsia"/>
                <w:color w:val="000000"/>
                <w:sz w:val="18"/>
                <w:szCs w:val="18"/>
              </w:rPr>
              <w:t>2.8 多传感器信息融合；主要内容：现实世界的多样性决定了采用单一的传感器已不能全面地感知和认识自然界。于是多传感器及其数据融合技术应运而生。通过讲述多传感器数据融合框架、多传感器数据融合结构、多传感器数据融合算法介绍了多传感器信息融合的实现方法。最后通过实例介绍了多传感器信息融合的应用。</w:t>
            </w:r>
          </w:p>
          <w:p>
            <w:pPr>
              <w:spacing w:line="280" w:lineRule="exact"/>
              <w:ind w:firstLine="180" w:firstLineChars="100"/>
              <w:rPr>
                <w:color w:val="000000"/>
                <w:sz w:val="18"/>
                <w:szCs w:val="18"/>
              </w:rPr>
            </w:pPr>
            <w:r>
              <w:rPr>
                <w:rFonts w:hint="eastAsia"/>
                <w:color w:val="000000"/>
                <w:sz w:val="18"/>
                <w:szCs w:val="18"/>
              </w:rPr>
              <w:t>2.9 模糊技术及其应用；主要内容：人类思维的重要特征之一就是能对模糊事件进行识别和判断。智能传感器通过高级模糊算法，利用低精度的传感信号，以及低速度、低精度的运算，做出许多准确而有效的判断。通过讲述模糊数学基础、模糊规则与模糊推理、多级映射原理等内容介绍模糊传感器的实现方法。最后介绍了模糊传感器的应用实例。</w:t>
            </w:r>
          </w:p>
          <w:p>
            <w:pPr>
              <w:spacing w:line="280" w:lineRule="exact"/>
              <w:ind w:firstLine="180" w:firstLineChars="100"/>
              <w:rPr>
                <w:rFonts w:hint="eastAsia"/>
                <w:color w:val="000000"/>
                <w:sz w:val="18"/>
                <w:szCs w:val="18"/>
              </w:rPr>
            </w:pPr>
            <w:r>
              <w:rPr>
                <w:rFonts w:hint="eastAsia"/>
                <w:color w:val="000000"/>
                <w:sz w:val="18"/>
                <w:szCs w:val="18"/>
              </w:rPr>
              <w:t>2.10 人工神经网络技术及其应用；主要内容：神经网络是由一些简单的单元及其层次组织的大规模并行连接构造的网络，并按照生物神经系统的同样方式处理真实世界的客观事物。首先讲述神经网络的基本知识，其次介绍了神经网络在智能传感器中的应用。</w:t>
            </w:r>
          </w:p>
          <w:p>
            <w:pPr>
              <w:spacing w:line="280" w:lineRule="exact"/>
              <w:ind w:firstLine="180" w:firstLineChars="100"/>
              <w:rPr>
                <w:color w:val="000000"/>
                <w:sz w:val="18"/>
                <w:szCs w:val="18"/>
              </w:rPr>
            </w:pPr>
            <w:r>
              <w:rPr>
                <w:rFonts w:hint="eastAsia"/>
                <w:color w:val="000000"/>
                <w:sz w:val="18"/>
                <w:szCs w:val="18"/>
              </w:rPr>
              <w:t>重点：智能传感器的非线性自校正、自校准、自补偿的实现方法。</w:t>
            </w:r>
          </w:p>
          <w:p>
            <w:pPr>
              <w:spacing w:line="280" w:lineRule="exact"/>
              <w:ind w:firstLine="180" w:firstLineChars="100"/>
              <w:rPr>
                <w:rFonts w:hint="eastAsia"/>
                <w:color w:val="000000"/>
                <w:sz w:val="18"/>
                <w:szCs w:val="18"/>
              </w:rPr>
            </w:pPr>
            <w:r>
              <w:rPr>
                <w:rFonts w:hint="eastAsia"/>
                <w:color w:val="000000"/>
                <w:sz w:val="18"/>
                <w:szCs w:val="18"/>
              </w:rPr>
              <w:t>难点</w:t>
            </w:r>
            <w:r>
              <w:rPr>
                <w:rFonts w:hint="eastAsia"/>
                <w:sz w:val="18"/>
                <w:szCs w:val="18"/>
              </w:rPr>
              <w:t>：多传感信息融合以及模糊技术和人工神经网络技术在智能传感器中的应用。</w:t>
            </w:r>
          </w:p>
        </w:tc>
        <w:tc>
          <w:tcPr>
            <w:tcW w:w="682" w:type="dxa"/>
            <w:vAlign w:val="center"/>
          </w:tcPr>
          <w:p>
            <w:pPr>
              <w:spacing w:line="280" w:lineRule="exact"/>
              <w:rPr>
                <w:rFonts w:cs="Calibri"/>
                <w:b/>
                <w:color w:val="000000"/>
                <w:sz w:val="18"/>
                <w:szCs w:val="18"/>
              </w:rPr>
            </w:pPr>
            <w:r>
              <w:rPr>
                <w:rFonts w:cs="Calibri"/>
                <w:b/>
                <w:color w:val="000000"/>
                <w:sz w:val="18"/>
                <w:szCs w:val="18"/>
              </w:rPr>
              <w:t>8</w:t>
            </w:r>
          </w:p>
        </w:tc>
        <w:tc>
          <w:tcPr>
            <w:tcW w:w="682" w:type="dxa"/>
            <w:vAlign w:val="center"/>
          </w:tcPr>
          <w:p>
            <w:pPr>
              <w:spacing w:line="280" w:lineRule="exact"/>
              <w:rPr>
                <w:rFonts w:cs="Calibri"/>
                <w:b/>
                <w:color w:val="000000"/>
                <w:sz w:val="18"/>
                <w:szCs w:val="18"/>
              </w:rPr>
            </w:pPr>
            <w:r>
              <w:rPr>
                <w:rFonts w:cs="Calibri"/>
                <w:b/>
                <w:color w:val="000000"/>
                <w:sz w:val="18"/>
                <w:szCs w:val="18"/>
              </w:rPr>
              <w:t>4</w:t>
            </w:r>
          </w:p>
        </w:tc>
        <w:tc>
          <w:tcPr>
            <w:tcW w:w="602" w:type="dxa"/>
            <w:vAlign w:val="center"/>
          </w:tcPr>
          <w:p>
            <w:pPr>
              <w:spacing w:line="280" w:lineRule="exact"/>
              <w:rPr>
                <w:rFonts w:cs="Calibri"/>
                <w:b/>
                <w:color w:val="000000"/>
                <w:sz w:val="18"/>
                <w:szCs w:val="18"/>
              </w:rPr>
            </w:pPr>
            <w:r>
              <w:rPr>
                <w:rFonts w:cs="Calibri"/>
                <w:b/>
                <w:color w:val="000000"/>
                <w:sz w:val="18"/>
                <w:szCs w:val="18"/>
              </w:rPr>
              <w:t>12</w:t>
            </w:r>
          </w:p>
        </w:tc>
        <w:tc>
          <w:tcPr>
            <w:tcW w:w="955" w:type="dxa"/>
            <w:vAlign w:val="center"/>
          </w:tcPr>
          <w:p>
            <w:pPr>
              <w:spacing w:line="280" w:lineRule="exact"/>
              <w:rPr>
                <w:rFonts w:hint="eastAsia" w:cs="Calibri"/>
                <w:b/>
                <w:color w:val="000000"/>
                <w:sz w:val="18"/>
                <w:szCs w:val="18"/>
              </w:rPr>
            </w:pPr>
            <w:r>
              <w:rPr>
                <w:rFonts w:hint="eastAsia" w:cs="Calibri"/>
                <w:b/>
                <w:color w:val="000000"/>
                <w:sz w:val="18"/>
                <w:szCs w:val="18"/>
              </w:rPr>
              <w:t>2</w:t>
            </w:r>
          </w:p>
        </w:tc>
        <w:tc>
          <w:tcPr>
            <w:tcW w:w="1259" w:type="dxa"/>
            <w:vAlign w:val="center"/>
          </w:tcPr>
          <w:p>
            <w:pPr>
              <w:spacing w:line="280" w:lineRule="exact"/>
              <w:rPr>
                <w:rFonts w:cs="Calibri"/>
                <w:b/>
                <w:color w:val="000000"/>
                <w:sz w:val="18"/>
                <w:szCs w:val="18"/>
              </w:rPr>
            </w:pPr>
            <w:r>
              <w:rPr>
                <w:rFonts w:cs="Calibri"/>
                <w:b/>
                <w:color w:val="000000"/>
                <w:sz w:val="18"/>
                <w:szCs w:val="18"/>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280" w:lineRule="exact"/>
              <w:jc w:val="center"/>
              <w:rPr>
                <w:sz w:val="18"/>
                <w:szCs w:val="18"/>
              </w:rPr>
            </w:pPr>
            <w:r>
              <w:rPr>
                <w:sz w:val="18"/>
                <w:szCs w:val="18"/>
              </w:rPr>
              <w:t>第3章</w:t>
            </w:r>
          </w:p>
        </w:tc>
        <w:tc>
          <w:tcPr>
            <w:tcW w:w="7756" w:type="dxa"/>
          </w:tcPr>
          <w:p>
            <w:pPr>
              <w:spacing w:line="280" w:lineRule="exact"/>
              <w:rPr>
                <w:rFonts w:hint="eastAsia"/>
                <w:b/>
                <w:bCs/>
                <w:color w:val="000000"/>
                <w:sz w:val="18"/>
                <w:szCs w:val="18"/>
              </w:rPr>
            </w:pPr>
            <w:r>
              <w:rPr>
                <w:rFonts w:hint="eastAsia"/>
                <w:b/>
                <w:bCs/>
                <w:color w:val="000000"/>
                <w:sz w:val="18"/>
                <w:szCs w:val="18"/>
              </w:rPr>
              <w:t>3 智能传感器及其技术</w:t>
            </w:r>
          </w:p>
          <w:p>
            <w:pPr>
              <w:spacing w:line="280" w:lineRule="exact"/>
              <w:ind w:firstLine="180" w:firstLineChars="100"/>
              <w:rPr>
                <w:rFonts w:hint="eastAsia"/>
                <w:color w:val="000000"/>
                <w:sz w:val="18"/>
                <w:szCs w:val="18"/>
              </w:rPr>
            </w:pPr>
            <w:r>
              <w:rPr>
                <w:rFonts w:hint="eastAsia"/>
                <w:color w:val="000000"/>
                <w:sz w:val="18"/>
                <w:szCs w:val="18"/>
              </w:rPr>
              <w:t>3.1 智能传感器基本原理和技术；主要内容：主要讲述了智能传感器的基本原理以及体现智能的基本功能，包括补偿功能、计算功能和通信功能和实现这些功能所需要的技术。</w:t>
            </w:r>
          </w:p>
          <w:p>
            <w:pPr>
              <w:spacing w:line="280" w:lineRule="exact"/>
              <w:ind w:firstLine="180" w:firstLineChars="100"/>
              <w:rPr>
                <w:color w:val="000000"/>
                <w:sz w:val="18"/>
                <w:szCs w:val="18"/>
              </w:rPr>
            </w:pPr>
            <w:r>
              <w:rPr>
                <w:rFonts w:hint="eastAsia"/>
                <w:color w:val="000000"/>
                <w:sz w:val="18"/>
                <w:szCs w:val="18"/>
              </w:rPr>
              <w:t>3.2 无线传感器网络概述；主要内容：无线传感器网络是由大量具有特定功能的传感器节点通过自组织的无线通信方式，相互传递信息，协同地完成特定功能的智能专用网络。通过介绍无线传感器网络的特点、无线传感器网络系统及协议体系结构介绍了无线传感器网络的实现方法。最后介绍了无线传感器网络研究发展现状。</w:t>
            </w:r>
          </w:p>
          <w:p>
            <w:pPr>
              <w:spacing w:line="280" w:lineRule="exact"/>
              <w:ind w:firstLine="180" w:firstLineChars="100"/>
              <w:rPr>
                <w:color w:val="000000"/>
                <w:sz w:val="18"/>
                <w:szCs w:val="18"/>
              </w:rPr>
            </w:pPr>
            <w:r>
              <w:rPr>
                <w:rFonts w:hint="eastAsia"/>
                <w:color w:val="000000"/>
                <w:sz w:val="18"/>
                <w:szCs w:val="18"/>
              </w:rPr>
              <w:t>3.</w:t>
            </w:r>
            <w:r>
              <w:rPr>
                <w:color w:val="000000"/>
                <w:sz w:val="18"/>
                <w:szCs w:val="18"/>
              </w:rPr>
              <w:t xml:space="preserve">3 </w:t>
            </w:r>
            <w:r>
              <w:rPr>
                <w:rFonts w:hint="eastAsia"/>
                <w:color w:val="000000"/>
                <w:sz w:val="18"/>
                <w:szCs w:val="18"/>
              </w:rPr>
              <w:t>IEEE 1451标准；主要内容：主要讲述了IEEE和NIST制定的开放智能传感器接口IEEE</w:t>
            </w:r>
            <w:r>
              <w:rPr>
                <w:color w:val="000000"/>
                <w:sz w:val="18"/>
                <w:szCs w:val="18"/>
              </w:rPr>
              <w:t xml:space="preserve"> 1451</w:t>
            </w:r>
            <w:r>
              <w:rPr>
                <w:rFonts w:hint="eastAsia"/>
                <w:color w:val="000000"/>
                <w:sz w:val="18"/>
                <w:szCs w:val="18"/>
              </w:rPr>
              <w:t>标准。通过讲述IEEE 1451标准的发展从IEEE</w:t>
            </w:r>
            <w:r>
              <w:rPr>
                <w:color w:val="000000"/>
                <w:sz w:val="18"/>
                <w:szCs w:val="18"/>
              </w:rPr>
              <w:t xml:space="preserve"> 1451</w:t>
            </w:r>
            <w:r>
              <w:rPr>
                <w:rFonts w:hint="eastAsia"/>
                <w:color w:val="000000"/>
                <w:sz w:val="18"/>
                <w:szCs w:val="18"/>
              </w:rPr>
              <w:t>.</w:t>
            </w:r>
            <w:r>
              <w:rPr>
                <w:color w:val="000000"/>
                <w:sz w:val="18"/>
                <w:szCs w:val="18"/>
              </w:rPr>
              <w:t>1</w:t>
            </w:r>
            <w:r>
              <w:rPr>
                <w:rFonts w:hint="eastAsia"/>
                <w:color w:val="000000"/>
                <w:sz w:val="18"/>
                <w:szCs w:val="18"/>
              </w:rPr>
              <w:t>、IEEE</w:t>
            </w:r>
            <w:r>
              <w:rPr>
                <w:color w:val="000000"/>
                <w:sz w:val="18"/>
                <w:szCs w:val="18"/>
              </w:rPr>
              <w:t xml:space="preserve"> 1451</w:t>
            </w:r>
            <w:r>
              <w:rPr>
                <w:rFonts w:hint="eastAsia"/>
                <w:color w:val="000000"/>
                <w:sz w:val="18"/>
                <w:szCs w:val="18"/>
              </w:rPr>
              <w:t>.</w:t>
            </w:r>
            <w:r>
              <w:rPr>
                <w:color w:val="000000"/>
                <w:sz w:val="18"/>
                <w:szCs w:val="18"/>
              </w:rPr>
              <w:t>2</w:t>
            </w:r>
            <w:r>
              <w:rPr>
                <w:rFonts w:hint="eastAsia"/>
                <w:color w:val="000000"/>
                <w:sz w:val="18"/>
                <w:szCs w:val="18"/>
              </w:rPr>
              <w:t>、IEEE</w:t>
            </w:r>
            <w:r>
              <w:rPr>
                <w:color w:val="000000"/>
                <w:sz w:val="18"/>
                <w:szCs w:val="18"/>
              </w:rPr>
              <w:t xml:space="preserve"> 1451</w:t>
            </w:r>
            <w:r>
              <w:rPr>
                <w:rFonts w:hint="eastAsia"/>
                <w:color w:val="000000"/>
                <w:sz w:val="18"/>
                <w:szCs w:val="18"/>
              </w:rPr>
              <w:t>.</w:t>
            </w:r>
            <w:r>
              <w:rPr>
                <w:color w:val="000000"/>
                <w:sz w:val="18"/>
                <w:szCs w:val="18"/>
              </w:rPr>
              <w:t>3</w:t>
            </w:r>
            <w:r>
              <w:rPr>
                <w:rFonts w:hint="eastAsia"/>
                <w:color w:val="000000"/>
                <w:sz w:val="18"/>
                <w:szCs w:val="18"/>
              </w:rPr>
              <w:t>、IEEE</w:t>
            </w:r>
            <w:r>
              <w:rPr>
                <w:color w:val="000000"/>
                <w:sz w:val="18"/>
                <w:szCs w:val="18"/>
              </w:rPr>
              <w:t xml:space="preserve"> 1451</w:t>
            </w:r>
            <w:r>
              <w:rPr>
                <w:rFonts w:hint="eastAsia"/>
                <w:color w:val="000000"/>
                <w:sz w:val="18"/>
                <w:szCs w:val="18"/>
              </w:rPr>
              <w:t>.</w:t>
            </w:r>
            <w:r>
              <w:rPr>
                <w:color w:val="000000"/>
                <w:sz w:val="18"/>
                <w:szCs w:val="18"/>
              </w:rPr>
              <w:t>4</w:t>
            </w:r>
            <w:r>
              <w:rPr>
                <w:rFonts w:hint="eastAsia"/>
                <w:color w:val="000000"/>
                <w:sz w:val="18"/>
                <w:szCs w:val="18"/>
              </w:rPr>
              <w:t>、IEEE</w:t>
            </w:r>
            <w:r>
              <w:rPr>
                <w:color w:val="000000"/>
                <w:sz w:val="18"/>
                <w:szCs w:val="18"/>
              </w:rPr>
              <w:t xml:space="preserve"> 1451</w:t>
            </w:r>
            <w:r>
              <w:rPr>
                <w:rFonts w:hint="eastAsia"/>
                <w:color w:val="000000"/>
                <w:sz w:val="18"/>
                <w:szCs w:val="18"/>
              </w:rPr>
              <w:t>.</w:t>
            </w:r>
            <w:r>
              <w:rPr>
                <w:color w:val="000000"/>
                <w:sz w:val="18"/>
                <w:szCs w:val="18"/>
              </w:rPr>
              <w:t>5</w:t>
            </w:r>
            <w:r>
              <w:rPr>
                <w:rFonts w:hint="eastAsia"/>
                <w:color w:val="000000"/>
                <w:sz w:val="18"/>
                <w:szCs w:val="18"/>
              </w:rPr>
              <w:t>标准的发展历程，最后介绍了IEEE 1451标准未来的发展趋势。</w:t>
            </w:r>
          </w:p>
          <w:p>
            <w:pPr>
              <w:spacing w:line="280" w:lineRule="exact"/>
              <w:ind w:firstLine="180" w:firstLineChars="100"/>
              <w:rPr>
                <w:color w:val="000000"/>
                <w:sz w:val="18"/>
                <w:szCs w:val="18"/>
              </w:rPr>
            </w:pPr>
            <w:r>
              <w:rPr>
                <w:rFonts w:hint="eastAsia"/>
                <w:color w:val="000000"/>
                <w:sz w:val="18"/>
                <w:szCs w:val="18"/>
              </w:rPr>
              <w:t>3.</w:t>
            </w:r>
            <w:r>
              <w:rPr>
                <w:color w:val="000000"/>
                <w:sz w:val="18"/>
                <w:szCs w:val="18"/>
              </w:rPr>
              <w:t xml:space="preserve">4 </w:t>
            </w:r>
            <w:r>
              <w:rPr>
                <w:rFonts w:hint="eastAsia"/>
                <w:color w:val="000000"/>
                <w:sz w:val="18"/>
                <w:szCs w:val="18"/>
              </w:rPr>
              <w:t>基于蓝牙技术的无线传感器网络；主要内容：首先介绍了蓝牙协议、蓝牙的硬件实现方式和蓝牙技术的发展趋势，介绍了基于蓝牙技术的近距离通信的无线智能传感器网络。</w:t>
            </w:r>
          </w:p>
          <w:p>
            <w:pPr>
              <w:spacing w:line="280" w:lineRule="exact"/>
              <w:ind w:firstLine="180" w:firstLineChars="100"/>
              <w:rPr>
                <w:rFonts w:hint="eastAsia"/>
                <w:color w:val="000000"/>
                <w:sz w:val="18"/>
                <w:szCs w:val="18"/>
              </w:rPr>
            </w:pPr>
            <w:r>
              <w:rPr>
                <w:rFonts w:hint="eastAsia"/>
                <w:color w:val="000000"/>
                <w:sz w:val="18"/>
                <w:szCs w:val="18"/>
              </w:rPr>
              <w:t>3.</w:t>
            </w:r>
            <w:r>
              <w:rPr>
                <w:color w:val="000000"/>
                <w:sz w:val="18"/>
                <w:szCs w:val="18"/>
              </w:rPr>
              <w:t xml:space="preserve">5 </w:t>
            </w:r>
            <w:r>
              <w:rPr>
                <w:rFonts w:hint="eastAsia"/>
                <w:color w:val="000000"/>
                <w:sz w:val="18"/>
                <w:szCs w:val="18"/>
              </w:rPr>
              <w:t>采用ZigBee技术的无线传感器网络；主要内容：针对无线传感器网络的应用，国际上提出了一系列的无线通信协议标准，如蓝牙、Zig</w:t>
            </w:r>
            <w:r>
              <w:rPr>
                <w:color w:val="000000"/>
                <w:sz w:val="18"/>
                <w:szCs w:val="18"/>
              </w:rPr>
              <w:t>Bee</w:t>
            </w:r>
            <w:r>
              <w:rPr>
                <w:rFonts w:hint="eastAsia"/>
                <w:color w:val="000000"/>
                <w:sz w:val="18"/>
                <w:szCs w:val="18"/>
              </w:rPr>
              <w:t>以及无线USB。在这几种短距离无线通信协议中，相对于其他集中，ZigBee以其低功耗、低成本、显现出了它的优势，在低速率通信方面扮演着越来越重要的角色。本节首先介绍了ZigBee技术在网络层和应用层的实现方式以及ZigBee通信协议的发展趋势。其次介绍了ZigBee技术在无线传感器网络中的应用。</w:t>
            </w:r>
          </w:p>
          <w:p>
            <w:pPr>
              <w:spacing w:line="280" w:lineRule="exact"/>
              <w:ind w:firstLine="180" w:firstLineChars="100"/>
              <w:rPr>
                <w:rFonts w:hint="eastAsia"/>
                <w:color w:val="000000"/>
                <w:sz w:val="18"/>
                <w:szCs w:val="18"/>
              </w:rPr>
            </w:pPr>
            <w:r>
              <w:rPr>
                <w:rFonts w:hint="eastAsia"/>
                <w:color w:val="000000"/>
                <w:sz w:val="18"/>
                <w:szCs w:val="18"/>
              </w:rPr>
              <w:t>3.</w:t>
            </w:r>
            <w:r>
              <w:rPr>
                <w:color w:val="000000"/>
                <w:sz w:val="18"/>
                <w:szCs w:val="18"/>
              </w:rPr>
              <w:t xml:space="preserve">6 </w:t>
            </w:r>
            <w:r>
              <w:rPr>
                <w:rFonts w:hint="eastAsia"/>
                <w:color w:val="000000"/>
                <w:sz w:val="18"/>
                <w:szCs w:val="18"/>
              </w:rPr>
              <w:t>无线传感器网络应用；主要内容：本节主要介绍了无线传感器网络在工业过程实时监控、农业生产和生物环境保护、建筑和土木工程、安全/公安</w:t>
            </w:r>
            <w:r>
              <w:rPr>
                <w:color w:val="000000"/>
                <w:sz w:val="18"/>
                <w:szCs w:val="18"/>
              </w:rPr>
              <w:t>/</w:t>
            </w:r>
            <w:r>
              <w:rPr>
                <w:rFonts w:hint="eastAsia"/>
                <w:color w:val="000000"/>
                <w:sz w:val="18"/>
                <w:szCs w:val="18"/>
              </w:rPr>
              <w:t>军事等领域的应用。</w:t>
            </w:r>
          </w:p>
          <w:p>
            <w:pPr>
              <w:spacing w:line="280" w:lineRule="exact"/>
              <w:ind w:firstLine="180" w:firstLineChars="100"/>
              <w:rPr>
                <w:color w:val="000000"/>
                <w:sz w:val="18"/>
                <w:szCs w:val="18"/>
              </w:rPr>
            </w:pPr>
            <w:r>
              <w:rPr>
                <w:rFonts w:hint="eastAsia"/>
                <w:color w:val="000000"/>
                <w:sz w:val="18"/>
                <w:szCs w:val="18"/>
              </w:rPr>
              <w:t>重点：</w:t>
            </w:r>
            <w:r>
              <w:rPr>
                <w:rFonts w:hint="eastAsia"/>
                <w:sz w:val="18"/>
                <w:szCs w:val="18"/>
              </w:rPr>
              <w:t>智能传感器的基本原理和技术。</w:t>
            </w:r>
          </w:p>
          <w:p>
            <w:pPr>
              <w:spacing w:line="280" w:lineRule="exact"/>
              <w:ind w:firstLine="180" w:firstLineChars="100"/>
              <w:rPr>
                <w:rFonts w:hint="eastAsia"/>
                <w:color w:val="000000"/>
                <w:sz w:val="18"/>
                <w:szCs w:val="18"/>
              </w:rPr>
            </w:pPr>
            <w:r>
              <w:rPr>
                <w:rFonts w:hint="eastAsia"/>
                <w:color w:val="000000"/>
                <w:sz w:val="18"/>
                <w:szCs w:val="18"/>
              </w:rPr>
              <w:t>难点</w:t>
            </w:r>
            <w:r>
              <w:rPr>
                <w:rFonts w:hint="eastAsia"/>
                <w:sz w:val="18"/>
                <w:szCs w:val="18"/>
              </w:rPr>
              <w:t>：</w:t>
            </w:r>
            <w:r>
              <w:rPr>
                <w:rFonts w:hint="eastAsia"/>
                <w:color w:val="000000"/>
                <w:sz w:val="18"/>
                <w:szCs w:val="18"/>
              </w:rPr>
              <w:t>无线传感器网络和 IEEE 1451标准的接口定义以及实现方法。</w:t>
            </w:r>
          </w:p>
        </w:tc>
        <w:tc>
          <w:tcPr>
            <w:tcW w:w="682" w:type="dxa"/>
            <w:vAlign w:val="center"/>
          </w:tcPr>
          <w:p>
            <w:pPr>
              <w:spacing w:line="280" w:lineRule="exact"/>
              <w:rPr>
                <w:rFonts w:cs="Calibri"/>
                <w:b/>
                <w:color w:val="000000"/>
                <w:sz w:val="18"/>
                <w:szCs w:val="18"/>
              </w:rPr>
            </w:pPr>
            <w:r>
              <w:rPr>
                <w:rFonts w:cs="Calibri"/>
                <w:b/>
                <w:color w:val="000000"/>
                <w:sz w:val="18"/>
                <w:szCs w:val="18"/>
              </w:rPr>
              <w:t>8</w:t>
            </w:r>
          </w:p>
        </w:tc>
        <w:tc>
          <w:tcPr>
            <w:tcW w:w="682" w:type="dxa"/>
            <w:vAlign w:val="center"/>
          </w:tcPr>
          <w:p>
            <w:pPr>
              <w:spacing w:line="280" w:lineRule="exact"/>
              <w:rPr>
                <w:rFonts w:cs="Calibri"/>
                <w:b/>
                <w:color w:val="000000"/>
                <w:sz w:val="18"/>
                <w:szCs w:val="18"/>
              </w:rPr>
            </w:pPr>
            <w:r>
              <w:rPr>
                <w:rFonts w:hint="eastAsia" w:cs="Calibri"/>
                <w:b/>
                <w:color w:val="000000"/>
                <w:sz w:val="18"/>
                <w:szCs w:val="18"/>
              </w:rPr>
              <w:t>0</w:t>
            </w:r>
          </w:p>
        </w:tc>
        <w:tc>
          <w:tcPr>
            <w:tcW w:w="602" w:type="dxa"/>
            <w:vAlign w:val="center"/>
          </w:tcPr>
          <w:p>
            <w:pPr>
              <w:spacing w:line="280" w:lineRule="exact"/>
              <w:rPr>
                <w:rFonts w:cs="Calibri"/>
                <w:b/>
                <w:color w:val="000000"/>
                <w:sz w:val="18"/>
                <w:szCs w:val="18"/>
              </w:rPr>
            </w:pPr>
            <w:r>
              <w:rPr>
                <w:rFonts w:hint="eastAsia" w:cs="Calibri"/>
                <w:b/>
                <w:color w:val="000000"/>
                <w:sz w:val="18"/>
                <w:szCs w:val="18"/>
              </w:rPr>
              <w:t>8</w:t>
            </w:r>
          </w:p>
        </w:tc>
        <w:tc>
          <w:tcPr>
            <w:tcW w:w="955" w:type="dxa"/>
            <w:vAlign w:val="center"/>
          </w:tcPr>
          <w:p>
            <w:pPr>
              <w:spacing w:line="280" w:lineRule="exact"/>
              <w:rPr>
                <w:rFonts w:cs="Calibri"/>
                <w:b/>
                <w:color w:val="000000"/>
                <w:sz w:val="18"/>
                <w:szCs w:val="18"/>
              </w:rPr>
            </w:pPr>
            <w:r>
              <w:rPr>
                <w:rFonts w:hint="eastAsia" w:cs="Calibri"/>
                <w:b/>
                <w:color w:val="000000"/>
                <w:sz w:val="18"/>
                <w:szCs w:val="18"/>
              </w:rPr>
              <w:t>3</w:t>
            </w:r>
          </w:p>
        </w:tc>
        <w:tc>
          <w:tcPr>
            <w:tcW w:w="1259" w:type="dxa"/>
            <w:vAlign w:val="center"/>
          </w:tcPr>
          <w:p>
            <w:pPr>
              <w:spacing w:line="280" w:lineRule="exact"/>
              <w:rPr>
                <w:rFonts w:hint="eastAsia" w:eastAsia="宋体" w:cs="Calibri"/>
                <w:b/>
                <w:color w:val="000000"/>
                <w:sz w:val="18"/>
                <w:szCs w:val="18"/>
                <w:lang w:eastAsia="zh-CN"/>
              </w:rPr>
            </w:pPr>
            <w:r>
              <w:rPr>
                <w:rFonts w:cs="Calibri"/>
                <w:b/>
                <w:color w:val="000000"/>
                <w:sz w:val="18"/>
                <w:szCs w:val="18"/>
              </w:rPr>
              <w:t>3-</w:t>
            </w:r>
            <w:r>
              <w:rPr>
                <w:rFonts w:hint="eastAsia" w:cs="Calibri"/>
                <w:b/>
                <w:color w:val="00000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280" w:lineRule="exact"/>
              <w:jc w:val="center"/>
              <w:rPr>
                <w:sz w:val="18"/>
                <w:szCs w:val="18"/>
              </w:rPr>
            </w:pPr>
            <w:r>
              <w:rPr>
                <w:sz w:val="18"/>
                <w:szCs w:val="18"/>
              </w:rPr>
              <w:t>第4章</w:t>
            </w:r>
          </w:p>
        </w:tc>
        <w:tc>
          <w:tcPr>
            <w:tcW w:w="7756" w:type="dxa"/>
          </w:tcPr>
          <w:p>
            <w:pPr>
              <w:spacing w:line="280" w:lineRule="exact"/>
              <w:rPr>
                <w:rFonts w:hint="eastAsia"/>
                <w:b/>
                <w:bCs/>
                <w:color w:val="000000"/>
                <w:sz w:val="18"/>
                <w:szCs w:val="18"/>
              </w:rPr>
            </w:pPr>
            <w:r>
              <w:rPr>
                <w:b/>
                <w:bCs/>
                <w:color w:val="000000"/>
                <w:sz w:val="18"/>
                <w:szCs w:val="18"/>
              </w:rPr>
              <w:t>4</w:t>
            </w:r>
            <w:r>
              <w:rPr>
                <w:rFonts w:hint="eastAsia"/>
                <w:b/>
                <w:bCs/>
                <w:color w:val="000000"/>
                <w:sz w:val="18"/>
                <w:szCs w:val="18"/>
              </w:rPr>
              <w:t xml:space="preserve"> 智能微机电系统、微传感器与软件传感器</w:t>
            </w:r>
          </w:p>
          <w:p>
            <w:pPr>
              <w:spacing w:line="280" w:lineRule="exact"/>
              <w:ind w:firstLine="180" w:firstLineChars="100"/>
              <w:rPr>
                <w:rFonts w:hint="eastAsia"/>
                <w:color w:val="000000"/>
                <w:sz w:val="18"/>
                <w:szCs w:val="18"/>
              </w:rPr>
            </w:pPr>
            <w:r>
              <w:rPr>
                <w:color w:val="000000"/>
                <w:sz w:val="18"/>
                <w:szCs w:val="18"/>
              </w:rPr>
              <w:t>4</w:t>
            </w:r>
            <w:r>
              <w:rPr>
                <w:rFonts w:hint="eastAsia"/>
                <w:color w:val="000000"/>
                <w:sz w:val="18"/>
                <w:szCs w:val="18"/>
              </w:rPr>
              <w:t>.1</w:t>
            </w:r>
            <w:r>
              <w:rPr>
                <w:color w:val="000000"/>
                <w:sz w:val="18"/>
                <w:szCs w:val="18"/>
              </w:rPr>
              <w:t xml:space="preserve"> </w:t>
            </w:r>
            <w:r>
              <w:rPr>
                <w:rFonts w:hint="eastAsia"/>
                <w:color w:val="000000"/>
                <w:sz w:val="18"/>
                <w:szCs w:val="18"/>
              </w:rPr>
              <w:t>微机电系统MEMS；主要内容：微机电系统是微机械电子系统的简称。现在普遍认为：MEMS是通过微加工技术，将微传感器、微执行器、信号处理和控制集成电路（可能还包含通信模块）以及微机械结构元件集成为一体的一个微尺度系统。本节首先对微机电系统进行了概述。其次对微机电系统的设计基础进行了介绍。</w:t>
            </w:r>
          </w:p>
          <w:p>
            <w:pPr>
              <w:spacing w:line="280" w:lineRule="exact"/>
              <w:ind w:firstLine="180" w:firstLineChars="100"/>
              <w:rPr>
                <w:color w:val="000000"/>
                <w:sz w:val="18"/>
                <w:szCs w:val="18"/>
              </w:rPr>
            </w:pPr>
            <w:r>
              <w:rPr>
                <w:color w:val="000000"/>
                <w:sz w:val="18"/>
                <w:szCs w:val="18"/>
              </w:rPr>
              <w:t>4</w:t>
            </w:r>
            <w:r>
              <w:rPr>
                <w:rFonts w:hint="eastAsia"/>
                <w:color w:val="000000"/>
                <w:sz w:val="18"/>
                <w:szCs w:val="18"/>
              </w:rPr>
              <w:t>.2</w:t>
            </w:r>
            <w:r>
              <w:rPr>
                <w:color w:val="000000"/>
                <w:sz w:val="18"/>
                <w:szCs w:val="18"/>
              </w:rPr>
              <w:t xml:space="preserve"> Smart MEMS</w:t>
            </w:r>
            <w:r>
              <w:rPr>
                <w:rFonts w:hint="eastAsia"/>
                <w:color w:val="000000"/>
                <w:sz w:val="18"/>
                <w:szCs w:val="18"/>
              </w:rPr>
              <w:t>；主要内容：将微传感器扩展为传感器系统，即构成MEMS。本节首先对Smart</w:t>
            </w:r>
            <w:r>
              <w:rPr>
                <w:color w:val="000000"/>
                <w:sz w:val="18"/>
                <w:szCs w:val="18"/>
              </w:rPr>
              <w:t xml:space="preserve"> </w:t>
            </w:r>
            <w:r>
              <w:rPr>
                <w:rFonts w:hint="eastAsia"/>
                <w:color w:val="000000"/>
                <w:sz w:val="18"/>
                <w:szCs w:val="18"/>
              </w:rPr>
              <w:t>MEMS进行概述，其次介绍了Smart</w:t>
            </w:r>
            <w:r>
              <w:rPr>
                <w:color w:val="000000"/>
                <w:sz w:val="18"/>
                <w:szCs w:val="18"/>
              </w:rPr>
              <w:t xml:space="preserve"> </w:t>
            </w:r>
            <w:r>
              <w:rPr>
                <w:rFonts w:hint="eastAsia"/>
                <w:color w:val="000000"/>
                <w:sz w:val="18"/>
                <w:szCs w:val="18"/>
              </w:rPr>
              <w:t>MEMS惯导系统中的微陀螺和微加速度计的应用。</w:t>
            </w:r>
          </w:p>
          <w:p>
            <w:pPr>
              <w:spacing w:line="280" w:lineRule="exact"/>
              <w:ind w:firstLine="180" w:firstLineChars="100"/>
              <w:rPr>
                <w:rFonts w:hint="eastAsia"/>
                <w:color w:val="000000"/>
                <w:sz w:val="18"/>
                <w:szCs w:val="18"/>
              </w:rPr>
            </w:pPr>
            <w:r>
              <w:rPr>
                <w:color w:val="000000"/>
                <w:sz w:val="18"/>
                <w:szCs w:val="18"/>
              </w:rPr>
              <w:t>4</w:t>
            </w:r>
            <w:r>
              <w:rPr>
                <w:rFonts w:hint="eastAsia"/>
                <w:color w:val="000000"/>
                <w:sz w:val="18"/>
                <w:szCs w:val="18"/>
              </w:rPr>
              <w:t>.</w:t>
            </w:r>
            <w:r>
              <w:rPr>
                <w:color w:val="000000"/>
                <w:sz w:val="18"/>
                <w:szCs w:val="18"/>
              </w:rPr>
              <w:t>3</w:t>
            </w:r>
            <w:r>
              <w:rPr>
                <w:rFonts w:hint="eastAsia"/>
                <w:color w:val="000000"/>
                <w:sz w:val="18"/>
                <w:szCs w:val="18"/>
              </w:rPr>
              <w:t>准数字传感器；主要内容：智能传感器的智能主要通过内置微处理器实现，由于处理器只能处理数字信号，因此在进入微处理器之前，传感器输出（或经放大处理）信号，根据不同的情况，需要转换为数字信号或微处理器能处理的准数字信号。本节主要讲述模拟传感器经非A</w:t>
            </w:r>
            <w:r>
              <w:rPr>
                <w:color w:val="000000"/>
                <w:sz w:val="18"/>
                <w:szCs w:val="18"/>
              </w:rPr>
              <w:t>/D</w:t>
            </w:r>
            <w:r>
              <w:rPr>
                <w:rFonts w:hint="eastAsia"/>
                <w:color w:val="000000"/>
                <w:sz w:val="18"/>
                <w:szCs w:val="18"/>
              </w:rPr>
              <w:t>方式间接转换为频率输出、硅谐振式微传感器及其频率特性的检测、硅谐振压力微传感器闭环系统中锁相环技术的应用等内容。</w:t>
            </w:r>
          </w:p>
          <w:p>
            <w:pPr>
              <w:spacing w:line="280" w:lineRule="exact"/>
              <w:ind w:firstLine="180" w:firstLineChars="100"/>
              <w:rPr>
                <w:rFonts w:hint="eastAsia"/>
                <w:color w:val="000000"/>
                <w:sz w:val="18"/>
                <w:szCs w:val="18"/>
              </w:rPr>
            </w:pPr>
            <w:r>
              <w:rPr>
                <w:color w:val="000000"/>
                <w:sz w:val="18"/>
                <w:szCs w:val="18"/>
              </w:rPr>
              <w:t>4</w:t>
            </w:r>
            <w:r>
              <w:rPr>
                <w:rFonts w:hint="eastAsia"/>
                <w:color w:val="000000"/>
                <w:sz w:val="18"/>
                <w:szCs w:val="18"/>
              </w:rPr>
              <w:t>.</w:t>
            </w:r>
            <w:r>
              <w:rPr>
                <w:color w:val="000000"/>
                <w:sz w:val="18"/>
                <w:szCs w:val="18"/>
              </w:rPr>
              <w:t>4</w:t>
            </w:r>
            <w:r>
              <w:rPr>
                <w:rFonts w:hint="eastAsia"/>
                <w:color w:val="000000"/>
                <w:sz w:val="18"/>
                <w:szCs w:val="18"/>
              </w:rPr>
              <w:t>软件传感器；主要内容：随着现代科技的发展，工业过程检测与控制系统日趋复杂，现代过程系统中一些非常重要的输出变量很难通过常规的测量技术检测得到；另外由于检测元件及传感器的限制，某些过程输出的采样时间间隔很长，影响了对扰动的的行之有效的监测。随着科技的不断发展，产生了以推理控制理论为理论基础的“软件传感器”，广义上也称之为软测量。本节主要介绍了软件传感器实现的基本原理和方法。</w:t>
            </w:r>
          </w:p>
          <w:p>
            <w:pPr>
              <w:spacing w:line="280" w:lineRule="exact"/>
              <w:ind w:firstLine="180" w:firstLineChars="100"/>
              <w:rPr>
                <w:color w:val="000000"/>
                <w:sz w:val="18"/>
                <w:szCs w:val="18"/>
              </w:rPr>
            </w:pPr>
            <w:r>
              <w:rPr>
                <w:rFonts w:hint="eastAsia"/>
                <w:color w:val="000000"/>
                <w:sz w:val="18"/>
                <w:szCs w:val="18"/>
              </w:rPr>
              <w:t>重点：MEMS的基本概念、原理以及在智能传感系统中的应用。</w:t>
            </w:r>
          </w:p>
          <w:p>
            <w:pPr>
              <w:spacing w:line="280" w:lineRule="exact"/>
              <w:ind w:firstLine="180" w:firstLineChars="100"/>
              <w:rPr>
                <w:rFonts w:hint="eastAsia"/>
                <w:color w:val="000000"/>
                <w:sz w:val="18"/>
                <w:szCs w:val="18"/>
              </w:rPr>
            </w:pPr>
            <w:r>
              <w:rPr>
                <w:rFonts w:hint="eastAsia"/>
                <w:color w:val="000000"/>
                <w:sz w:val="18"/>
                <w:szCs w:val="18"/>
              </w:rPr>
              <w:t>难点</w:t>
            </w:r>
            <w:r>
              <w:rPr>
                <w:rFonts w:hint="eastAsia"/>
                <w:sz w:val="18"/>
                <w:szCs w:val="18"/>
              </w:rPr>
              <w:t>：准数字传感器的实现方法以及应用。</w:t>
            </w:r>
          </w:p>
        </w:tc>
        <w:tc>
          <w:tcPr>
            <w:tcW w:w="682" w:type="dxa"/>
            <w:vAlign w:val="center"/>
          </w:tcPr>
          <w:p>
            <w:pPr>
              <w:spacing w:line="280" w:lineRule="exact"/>
              <w:rPr>
                <w:rFonts w:cs="Calibri"/>
                <w:b/>
                <w:color w:val="000000"/>
                <w:sz w:val="18"/>
                <w:szCs w:val="18"/>
              </w:rPr>
            </w:pPr>
            <w:r>
              <w:rPr>
                <w:rFonts w:cs="Calibri"/>
                <w:b/>
                <w:color w:val="000000"/>
                <w:sz w:val="18"/>
                <w:szCs w:val="18"/>
              </w:rPr>
              <w:t>6</w:t>
            </w:r>
          </w:p>
        </w:tc>
        <w:tc>
          <w:tcPr>
            <w:tcW w:w="682" w:type="dxa"/>
            <w:vAlign w:val="center"/>
          </w:tcPr>
          <w:p>
            <w:pPr>
              <w:spacing w:line="280" w:lineRule="exact"/>
              <w:rPr>
                <w:rFonts w:hint="eastAsia" w:cs="Calibri"/>
                <w:b/>
                <w:color w:val="000000"/>
                <w:sz w:val="18"/>
                <w:szCs w:val="18"/>
              </w:rPr>
            </w:pPr>
            <w:r>
              <w:rPr>
                <w:rFonts w:hint="eastAsia" w:cs="Calibri"/>
                <w:b/>
                <w:color w:val="000000"/>
                <w:sz w:val="18"/>
                <w:szCs w:val="18"/>
              </w:rPr>
              <w:t>4</w:t>
            </w:r>
          </w:p>
        </w:tc>
        <w:tc>
          <w:tcPr>
            <w:tcW w:w="602" w:type="dxa"/>
            <w:vAlign w:val="center"/>
          </w:tcPr>
          <w:p>
            <w:pPr>
              <w:spacing w:line="280" w:lineRule="exact"/>
              <w:rPr>
                <w:rFonts w:cs="Calibri"/>
                <w:b/>
                <w:color w:val="000000"/>
                <w:sz w:val="18"/>
                <w:szCs w:val="18"/>
              </w:rPr>
            </w:pPr>
            <w:r>
              <w:rPr>
                <w:rFonts w:hint="eastAsia" w:cs="Calibri"/>
                <w:b/>
                <w:color w:val="000000"/>
                <w:sz w:val="18"/>
                <w:szCs w:val="18"/>
              </w:rPr>
              <w:t>1</w:t>
            </w:r>
            <w:r>
              <w:rPr>
                <w:rFonts w:cs="Calibri"/>
                <w:b/>
                <w:color w:val="000000"/>
                <w:sz w:val="18"/>
                <w:szCs w:val="18"/>
              </w:rPr>
              <w:t>0</w:t>
            </w:r>
          </w:p>
        </w:tc>
        <w:tc>
          <w:tcPr>
            <w:tcW w:w="955" w:type="dxa"/>
            <w:vAlign w:val="center"/>
          </w:tcPr>
          <w:p>
            <w:pPr>
              <w:spacing w:line="280" w:lineRule="exact"/>
              <w:rPr>
                <w:rFonts w:cs="Calibri"/>
                <w:b/>
                <w:color w:val="000000"/>
                <w:sz w:val="18"/>
                <w:szCs w:val="18"/>
              </w:rPr>
            </w:pPr>
            <w:r>
              <w:rPr>
                <w:rFonts w:hint="eastAsia" w:cs="Calibri"/>
                <w:b/>
                <w:color w:val="000000"/>
                <w:sz w:val="18"/>
                <w:szCs w:val="18"/>
              </w:rPr>
              <w:t>4</w:t>
            </w:r>
          </w:p>
        </w:tc>
        <w:tc>
          <w:tcPr>
            <w:tcW w:w="1259" w:type="dxa"/>
            <w:vAlign w:val="center"/>
          </w:tcPr>
          <w:p>
            <w:pPr>
              <w:spacing w:line="280" w:lineRule="exact"/>
              <w:rPr>
                <w:rFonts w:hint="default" w:eastAsia="宋体" w:cs="Calibri"/>
                <w:b/>
                <w:color w:val="000000"/>
                <w:sz w:val="18"/>
                <w:szCs w:val="18"/>
                <w:lang w:val="en-US" w:eastAsia="zh-CN"/>
              </w:rPr>
            </w:pPr>
            <w:r>
              <w:rPr>
                <w:rFonts w:hint="eastAsia" w:cs="Calibri"/>
                <w:b/>
                <w:color w:val="000000"/>
                <w:sz w:val="18"/>
                <w:szCs w:val="18"/>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280" w:lineRule="exact"/>
              <w:jc w:val="center"/>
              <w:rPr>
                <w:sz w:val="18"/>
                <w:szCs w:val="18"/>
              </w:rPr>
            </w:pPr>
            <w:r>
              <w:rPr>
                <w:sz w:val="18"/>
                <w:szCs w:val="18"/>
              </w:rPr>
              <w:t>第5章</w:t>
            </w:r>
          </w:p>
        </w:tc>
        <w:tc>
          <w:tcPr>
            <w:tcW w:w="7756" w:type="dxa"/>
          </w:tcPr>
          <w:p>
            <w:pPr>
              <w:spacing w:line="280" w:lineRule="exact"/>
              <w:rPr>
                <w:rFonts w:hint="eastAsia"/>
                <w:b/>
                <w:bCs/>
                <w:color w:val="000000"/>
                <w:sz w:val="18"/>
                <w:szCs w:val="18"/>
              </w:rPr>
            </w:pPr>
            <w:r>
              <w:rPr>
                <w:b/>
                <w:bCs/>
                <w:color w:val="000000"/>
                <w:sz w:val="18"/>
                <w:szCs w:val="18"/>
              </w:rPr>
              <w:t xml:space="preserve">5 </w:t>
            </w:r>
            <w:r>
              <w:rPr>
                <w:rFonts w:hint="eastAsia"/>
                <w:b/>
                <w:bCs/>
                <w:color w:val="000000"/>
                <w:sz w:val="18"/>
                <w:szCs w:val="18"/>
              </w:rPr>
              <w:t>机敏材料与灵巧结构</w:t>
            </w:r>
          </w:p>
          <w:p>
            <w:pPr>
              <w:spacing w:line="280" w:lineRule="exact"/>
              <w:ind w:firstLine="180" w:firstLineChars="100"/>
              <w:rPr>
                <w:rFonts w:hint="eastAsia"/>
                <w:color w:val="000000"/>
                <w:sz w:val="18"/>
                <w:szCs w:val="18"/>
              </w:rPr>
            </w:pPr>
            <w:r>
              <w:rPr>
                <w:color w:val="000000"/>
                <w:sz w:val="18"/>
                <w:szCs w:val="18"/>
              </w:rPr>
              <w:t>5</w:t>
            </w:r>
            <w:r>
              <w:rPr>
                <w:rFonts w:hint="eastAsia"/>
                <w:color w:val="000000"/>
                <w:sz w:val="18"/>
                <w:szCs w:val="18"/>
              </w:rPr>
              <w:t>.1</w:t>
            </w:r>
            <w:r>
              <w:rPr>
                <w:color w:val="000000"/>
                <w:sz w:val="18"/>
                <w:szCs w:val="18"/>
              </w:rPr>
              <w:t xml:space="preserve"> </w:t>
            </w:r>
            <w:r>
              <w:rPr>
                <w:rFonts w:hint="eastAsia"/>
                <w:color w:val="000000"/>
                <w:sz w:val="18"/>
                <w:szCs w:val="18"/>
              </w:rPr>
              <w:t>结构健康监测与智能系统；主要内容：机敏材料和灵巧结构式智能系统的扩充，是工程应用中的仿生系统之一。机敏材料和灵巧结构的Smart性能的一个基本特征是自适应性。本节主要介绍机敏材料和灵巧结构在军事领域和航空航天领域的结构健康监测、振动的衰减、形状控制，重点是应用Smart技术全面提高系统的安全性能。</w:t>
            </w:r>
          </w:p>
          <w:p>
            <w:pPr>
              <w:spacing w:line="280" w:lineRule="exact"/>
              <w:ind w:firstLine="180" w:firstLineChars="100"/>
              <w:rPr>
                <w:color w:val="000000"/>
                <w:sz w:val="18"/>
                <w:szCs w:val="18"/>
              </w:rPr>
            </w:pPr>
            <w:r>
              <w:rPr>
                <w:color w:val="000000"/>
                <w:sz w:val="18"/>
                <w:szCs w:val="18"/>
              </w:rPr>
              <w:t>5</w:t>
            </w:r>
            <w:r>
              <w:rPr>
                <w:rFonts w:hint="eastAsia"/>
                <w:color w:val="000000"/>
                <w:sz w:val="18"/>
                <w:szCs w:val="18"/>
              </w:rPr>
              <w:t>.2机敏材料；主要内容：本节主要介绍了机敏材料的基本概念以及应用。机敏材料主要包括：热电体、压电材料、电致伸缩材料、磁致伸缩材料、形状记忆合金、电活性聚合物、电流变和磁流变流体、电致发光和光致发光、电致变色材料等。另外还介绍了复合Smart材料及其应用。</w:t>
            </w:r>
          </w:p>
          <w:p>
            <w:pPr>
              <w:spacing w:line="280" w:lineRule="exact"/>
              <w:ind w:firstLine="180" w:firstLineChars="100"/>
              <w:rPr>
                <w:color w:val="000000"/>
                <w:sz w:val="18"/>
                <w:szCs w:val="18"/>
              </w:rPr>
            </w:pPr>
            <w:r>
              <w:rPr>
                <w:color w:val="000000"/>
                <w:sz w:val="18"/>
                <w:szCs w:val="18"/>
              </w:rPr>
              <w:t>5</w:t>
            </w:r>
            <w:r>
              <w:rPr>
                <w:rFonts w:hint="eastAsia"/>
                <w:color w:val="000000"/>
                <w:sz w:val="18"/>
                <w:szCs w:val="18"/>
              </w:rPr>
              <w:t>.</w:t>
            </w:r>
            <w:r>
              <w:rPr>
                <w:color w:val="000000"/>
                <w:sz w:val="18"/>
                <w:szCs w:val="18"/>
              </w:rPr>
              <w:t>3</w:t>
            </w:r>
            <w:r>
              <w:rPr>
                <w:rFonts w:hint="eastAsia"/>
                <w:color w:val="000000"/>
                <w:sz w:val="18"/>
                <w:szCs w:val="18"/>
              </w:rPr>
              <w:t>灵巧结构；主要内容：结构与材料有所不同，所谓结构是具有某种工程功能的结合体。某种结构称为Smart结构，表示结构具有一种能力，使结构以预先设计好的确实有用、有效的方式，对环境条件（包括自身条件）的改变能够自适应地作出响应。本节首先概述了Smart结构及其原理和实现方法。其次讲述了嵌入光纤传感器的典型Smart结构、仿生智慧结构等。</w:t>
            </w:r>
          </w:p>
          <w:p>
            <w:pPr>
              <w:spacing w:line="280" w:lineRule="exact"/>
              <w:ind w:firstLine="180" w:firstLineChars="100"/>
              <w:rPr>
                <w:color w:val="000000"/>
                <w:sz w:val="18"/>
                <w:szCs w:val="18"/>
              </w:rPr>
            </w:pPr>
            <w:r>
              <w:rPr>
                <w:color w:val="000000"/>
                <w:sz w:val="18"/>
                <w:szCs w:val="18"/>
              </w:rPr>
              <w:t>5</w:t>
            </w:r>
            <w:r>
              <w:rPr>
                <w:rFonts w:hint="eastAsia"/>
                <w:color w:val="000000"/>
                <w:sz w:val="18"/>
                <w:szCs w:val="18"/>
              </w:rPr>
              <w:t>.</w:t>
            </w:r>
            <w:r>
              <w:rPr>
                <w:color w:val="000000"/>
                <w:sz w:val="18"/>
                <w:szCs w:val="18"/>
              </w:rPr>
              <w:t>4</w:t>
            </w:r>
            <w:r>
              <w:rPr>
                <w:rFonts w:hint="eastAsia"/>
                <w:color w:val="000000"/>
                <w:sz w:val="18"/>
                <w:szCs w:val="18"/>
              </w:rPr>
              <w:t>振动与噪声控制技术；主要内容：在人类的生活环境、工农业生产等各个领域的系统和设备，振动干扰以及随之产生的噪声污染，会对设备的安全造成极大危害。本节主要介绍振动和噪声产生的原因以及通过结构控制实现控制噪声的技术和方法。</w:t>
            </w:r>
          </w:p>
          <w:p>
            <w:pPr>
              <w:spacing w:line="280" w:lineRule="exact"/>
              <w:ind w:firstLine="180" w:firstLineChars="100"/>
              <w:rPr>
                <w:color w:val="000000"/>
                <w:sz w:val="18"/>
                <w:szCs w:val="18"/>
              </w:rPr>
            </w:pPr>
            <w:r>
              <w:rPr>
                <w:color w:val="000000"/>
                <w:sz w:val="18"/>
                <w:szCs w:val="18"/>
              </w:rPr>
              <w:t>5</w:t>
            </w:r>
            <w:r>
              <w:rPr>
                <w:rFonts w:hint="eastAsia"/>
                <w:color w:val="000000"/>
                <w:sz w:val="18"/>
                <w:szCs w:val="18"/>
              </w:rPr>
              <w:t>.</w:t>
            </w:r>
            <w:r>
              <w:rPr>
                <w:color w:val="000000"/>
                <w:sz w:val="18"/>
                <w:szCs w:val="18"/>
              </w:rPr>
              <w:t>5</w:t>
            </w:r>
            <w:r>
              <w:rPr>
                <w:rFonts w:hint="eastAsia"/>
                <w:color w:val="000000"/>
                <w:sz w:val="18"/>
                <w:szCs w:val="18"/>
              </w:rPr>
              <w:t>传感器故障检测、测试有效性确认及SEVA传感器；主要内容：在飞机、核设施、化工系统中，通常有数以千计的传感器和监视仪表，任何的失效都有可能导致灾难性的后果。因此，对这些系统的整个工作过程，必须进行安全性或系统健康状态的连续监测。失效往往是由某种扰动或早期故障引起的，因此需要随时对危险的扰动或故障的发展进行监测、诊断，及时发出警告信息，提醒或辅助系统的操作者，确认并适时控制故障状态，采取相应的技术措施，确保安全。本节首先介绍了传感器故障和测试有效性的基本概念。其次介绍了SEVA自确认传感器。最后介绍了粒子滤波器确认传感器的测试有效性。</w:t>
            </w:r>
          </w:p>
          <w:p>
            <w:pPr>
              <w:spacing w:line="280" w:lineRule="exact"/>
              <w:ind w:firstLine="180" w:firstLineChars="100"/>
              <w:rPr>
                <w:color w:val="000000"/>
                <w:sz w:val="18"/>
                <w:szCs w:val="18"/>
              </w:rPr>
            </w:pPr>
            <w:r>
              <w:rPr>
                <w:rFonts w:hint="eastAsia"/>
                <w:color w:val="000000"/>
                <w:sz w:val="18"/>
                <w:szCs w:val="18"/>
              </w:rPr>
              <w:t>重点：结构健康监测与智能系统以及振动与噪声的控制技术。</w:t>
            </w:r>
          </w:p>
          <w:p>
            <w:pPr>
              <w:spacing w:line="280" w:lineRule="exact"/>
              <w:ind w:firstLine="180" w:firstLineChars="100"/>
              <w:rPr>
                <w:rFonts w:hint="eastAsia"/>
                <w:b/>
                <w:bCs/>
                <w:color w:val="000000"/>
                <w:sz w:val="18"/>
                <w:szCs w:val="18"/>
              </w:rPr>
            </w:pPr>
            <w:r>
              <w:rPr>
                <w:rFonts w:hint="eastAsia"/>
                <w:color w:val="000000"/>
                <w:sz w:val="18"/>
                <w:szCs w:val="18"/>
              </w:rPr>
              <w:t>难点</w:t>
            </w:r>
            <w:r>
              <w:rPr>
                <w:rFonts w:hint="eastAsia"/>
                <w:sz w:val="18"/>
                <w:szCs w:val="18"/>
              </w:rPr>
              <w:t>：传感器故障检测、测试有效性确认及SEVA传感器的原理和方法。</w:t>
            </w:r>
          </w:p>
        </w:tc>
        <w:tc>
          <w:tcPr>
            <w:tcW w:w="682" w:type="dxa"/>
            <w:vAlign w:val="center"/>
          </w:tcPr>
          <w:p>
            <w:pPr>
              <w:spacing w:line="280" w:lineRule="exact"/>
              <w:rPr>
                <w:rFonts w:cs="Calibri"/>
                <w:b/>
                <w:color w:val="000000"/>
                <w:sz w:val="18"/>
                <w:szCs w:val="18"/>
              </w:rPr>
            </w:pPr>
            <w:r>
              <w:rPr>
                <w:rFonts w:cs="Calibri"/>
                <w:b/>
                <w:color w:val="000000"/>
                <w:sz w:val="18"/>
                <w:szCs w:val="18"/>
              </w:rPr>
              <w:t>6</w:t>
            </w:r>
          </w:p>
        </w:tc>
        <w:tc>
          <w:tcPr>
            <w:tcW w:w="682" w:type="dxa"/>
            <w:vAlign w:val="center"/>
          </w:tcPr>
          <w:p>
            <w:pPr>
              <w:spacing w:line="280" w:lineRule="exact"/>
              <w:rPr>
                <w:rFonts w:hint="eastAsia" w:cs="Calibri"/>
                <w:b/>
                <w:color w:val="000000"/>
                <w:sz w:val="18"/>
                <w:szCs w:val="18"/>
              </w:rPr>
            </w:pPr>
            <w:r>
              <w:rPr>
                <w:rFonts w:cs="Calibri"/>
                <w:b/>
                <w:color w:val="000000"/>
                <w:sz w:val="18"/>
                <w:szCs w:val="18"/>
              </w:rPr>
              <w:t>0</w:t>
            </w:r>
          </w:p>
        </w:tc>
        <w:tc>
          <w:tcPr>
            <w:tcW w:w="602" w:type="dxa"/>
            <w:vAlign w:val="center"/>
          </w:tcPr>
          <w:p>
            <w:pPr>
              <w:spacing w:line="280" w:lineRule="exact"/>
              <w:rPr>
                <w:rFonts w:cs="Calibri"/>
                <w:b/>
                <w:color w:val="000000"/>
                <w:sz w:val="18"/>
                <w:szCs w:val="18"/>
              </w:rPr>
            </w:pPr>
            <w:r>
              <w:rPr>
                <w:rFonts w:cs="Calibri"/>
                <w:b/>
                <w:color w:val="000000"/>
                <w:sz w:val="18"/>
                <w:szCs w:val="18"/>
              </w:rPr>
              <w:t>6</w:t>
            </w:r>
          </w:p>
        </w:tc>
        <w:tc>
          <w:tcPr>
            <w:tcW w:w="955" w:type="dxa"/>
            <w:vAlign w:val="center"/>
          </w:tcPr>
          <w:p>
            <w:pPr>
              <w:spacing w:line="280" w:lineRule="exact"/>
              <w:rPr>
                <w:rFonts w:cs="Calibri"/>
                <w:b/>
                <w:color w:val="000000"/>
                <w:sz w:val="18"/>
                <w:szCs w:val="18"/>
              </w:rPr>
            </w:pPr>
            <w:r>
              <w:rPr>
                <w:rFonts w:hint="eastAsia" w:cs="Calibri"/>
                <w:b/>
                <w:color w:val="000000"/>
                <w:sz w:val="18"/>
                <w:szCs w:val="18"/>
              </w:rPr>
              <w:t>5</w:t>
            </w:r>
          </w:p>
        </w:tc>
        <w:tc>
          <w:tcPr>
            <w:tcW w:w="1259" w:type="dxa"/>
            <w:vAlign w:val="center"/>
          </w:tcPr>
          <w:p>
            <w:pPr>
              <w:spacing w:line="280" w:lineRule="exact"/>
              <w:rPr>
                <w:rFonts w:hint="default" w:eastAsia="宋体" w:cs="Calibri"/>
                <w:b/>
                <w:color w:val="000000"/>
                <w:sz w:val="18"/>
                <w:szCs w:val="18"/>
                <w:lang w:val="en-US" w:eastAsia="zh-CN"/>
              </w:rPr>
            </w:pPr>
            <w:r>
              <w:rPr>
                <w:rFonts w:hint="eastAsia" w:cs="Calibri"/>
                <w:b/>
                <w:color w:val="000000"/>
                <w:sz w:val="18"/>
                <w:szCs w:val="18"/>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59" w:type="dxa"/>
            <w:vAlign w:val="center"/>
          </w:tcPr>
          <w:p>
            <w:pPr>
              <w:spacing w:line="280" w:lineRule="exact"/>
              <w:jc w:val="center"/>
              <w:rPr>
                <w:b/>
                <w:sz w:val="18"/>
                <w:szCs w:val="18"/>
              </w:rPr>
            </w:pPr>
            <w:r>
              <w:rPr>
                <w:b/>
                <w:sz w:val="18"/>
                <w:szCs w:val="18"/>
              </w:rPr>
              <w:t>合 计</w:t>
            </w:r>
          </w:p>
        </w:tc>
        <w:tc>
          <w:tcPr>
            <w:tcW w:w="7756" w:type="dxa"/>
          </w:tcPr>
          <w:p>
            <w:pPr>
              <w:spacing w:line="280" w:lineRule="exact"/>
              <w:jc w:val="center"/>
              <w:rPr>
                <w:color w:val="000000"/>
                <w:sz w:val="18"/>
                <w:szCs w:val="18"/>
              </w:rPr>
            </w:pPr>
          </w:p>
        </w:tc>
        <w:tc>
          <w:tcPr>
            <w:tcW w:w="682" w:type="dxa"/>
            <w:vAlign w:val="center"/>
          </w:tcPr>
          <w:p>
            <w:pPr>
              <w:spacing w:line="280" w:lineRule="exact"/>
              <w:rPr>
                <w:rFonts w:cs="Calibri"/>
                <w:b/>
                <w:color w:val="000000"/>
                <w:sz w:val="18"/>
                <w:szCs w:val="18"/>
              </w:rPr>
            </w:pPr>
            <w:r>
              <w:rPr>
                <w:rFonts w:hint="eastAsia" w:cs="Calibri"/>
                <w:b/>
                <w:color w:val="000000"/>
                <w:sz w:val="18"/>
                <w:szCs w:val="18"/>
              </w:rPr>
              <w:t>3</w:t>
            </w:r>
            <w:r>
              <w:rPr>
                <w:rFonts w:cs="Calibri"/>
                <w:b/>
                <w:color w:val="000000"/>
                <w:sz w:val="18"/>
                <w:szCs w:val="18"/>
              </w:rPr>
              <w:t>2</w:t>
            </w:r>
          </w:p>
        </w:tc>
        <w:tc>
          <w:tcPr>
            <w:tcW w:w="682" w:type="dxa"/>
            <w:vAlign w:val="center"/>
          </w:tcPr>
          <w:p>
            <w:pPr>
              <w:spacing w:line="280" w:lineRule="exact"/>
              <w:rPr>
                <w:rFonts w:cs="Calibri"/>
                <w:b/>
                <w:color w:val="000000"/>
                <w:sz w:val="18"/>
                <w:szCs w:val="18"/>
              </w:rPr>
            </w:pPr>
            <w:r>
              <w:rPr>
                <w:rFonts w:hint="eastAsia" w:cs="Calibri"/>
                <w:b/>
                <w:color w:val="000000"/>
                <w:sz w:val="18"/>
                <w:szCs w:val="18"/>
              </w:rPr>
              <w:t>8</w:t>
            </w:r>
          </w:p>
        </w:tc>
        <w:tc>
          <w:tcPr>
            <w:tcW w:w="602" w:type="dxa"/>
            <w:vAlign w:val="center"/>
          </w:tcPr>
          <w:p>
            <w:pPr>
              <w:spacing w:line="280" w:lineRule="exact"/>
              <w:rPr>
                <w:rFonts w:cs="Calibri"/>
                <w:b/>
                <w:color w:val="000000"/>
                <w:sz w:val="18"/>
                <w:szCs w:val="18"/>
              </w:rPr>
            </w:pPr>
            <w:r>
              <w:rPr>
                <w:rFonts w:hint="eastAsia" w:cs="Calibri"/>
                <w:b/>
                <w:color w:val="000000"/>
                <w:sz w:val="18"/>
                <w:szCs w:val="18"/>
              </w:rPr>
              <w:t>4</w:t>
            </w:r>
            <w:r>
              <w:rPr>
                <w:rFonts w:cs="Calibri"/>
                <w:b/>
                <w:color w:val="000000"/>
                <w:sz w:val="18"/>
                <w:szCs w:val="18"/>
              </w:rPr>
              <w:t>0</w:t>
            </w:r>
          </w:p>
        </w:tc>
        <w:tc>
          <w:tcPr>
            <w:tcW w:w="955" w:type="dxa"/>
            <w:vAlign w:val="center"/>
          </w:tcPr>
          <w:p>
            <w:pPr>
              <w:spacing w:line="280" w:lineRule="exact"/>
              <w:rPr>
                <w:rFonts w:cs="Calibri"/>
                <w:b/>
                <w:color w:val="000000"/>
                <w:sz w:val="18"/>
                <w:szCs w:val="18"/>
              </w:rPr>
            </w:pPr>
          </w:p>
        </w:tc>
        <w:tc>
          <w:tcPr>
            <w:tcW w:w="1259" w:type="dxa"/>
            <w:vAlign w:val="center"/>
          </w:tcPr>
          <w:p>
            <w:pPr>
              <w:spacing w:line="280" w:lineRule="exact"/>
              <w:rPr>
                <w:rFonts w:cs="Calibri"/>
                <w:b/>
                <w:color w:val="000000"/>
                <w:sz w:val="18"/>
                <w:szCs w:val="18"/>
              </w:rPr>
            </w:pPr>
          </w:p>
        </w:tc>
      </w:tr>
      <w:bookmarkEnd w:id="63"/>
    </w:tbl>
    <w:p>
      <w:pPr>
        <w:spacing w:before="156" w:beforeLines="50" w:after="156" w:afterLines="50" w:line="360" w:lineRule="auto"/>
        <w:ind w:left="422"/>
        <w:jc w:val="center"/>
        <w:rPr>
          <w:rFonts w:hint="eastAsia" w:cs="宋体"/>
          <w:b/>
          <w:szCs w:val="21"/>
        </w:rPr>
      </w:pPr>
      <w:r>
        <w:rPr>
          <w:rFonts w:hint="eastAsia" w:cs="宋体"/>
          <w:b/>
          <w:szCs w:val="21"/>
        </w:rPr>
        <w:t>表2.2 课程内容与思政融入点对应关系</w:t>
      </w:r>
    </w:p>
    <w:tbl>
      <w:tblPr>
        <w:tblStyle w:val="19"/>
        <w:tblW w:w="0" w:type="auto"/>
        <w:tblInd w:w="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5121"/>
        <w:gridCol w:w="6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shd w:val="clear" w:color="auto" w:fill="auto"/>
            <w:vAlign w:val="center"/>
          </w:tcPr>
          <w:p>
            <w:pPr>
              <w:spacing w:line="360" w:lineRule="auto"/>
              <w:jc w:val="center"/>
              <w:rPr>
                <w:rFonts w:hint="eastAsia" w:cs="宋体"/>
                <w:b/>
                <w:kern w:val="0"/>
                <w:sz w:val="18"/>
                <w:szCs w:val="18"/>
              </w:rPr>
            </w:pPr>
            <w:r>
              <w:rPr>
                <w:rFonts w:hint="eastAsia" w:cs="宋体"/>
                <w:b/>
                <w:kern w:val="0"/>
                <w:sz w:val="18"/>
                <w:szCs w:val="18"/>
              </w:rPr>
              <w:t>序号</w:t>
            </w:r>
          </w:p>
        </w:tc>
        <w:tc>
          <w:tcPr>
            <w:tcW w:w="5121" w:type="dxa"/>
            <w:shd w:val="clear" w:color="auto" w:fill="auto"/>
            <w:vAlign w:val="center"/>
          </w:tcPr>
          <w:p>
            <w:pPr>
              <w:spacing w:line="360" w:lineRule="auto"/>
              <w:jc w:val="center"/>
              <w:rPr>
                <w:rFonts w:hint="eastAsia" w:cs="宋体"/>
                <w:b/>
                <w:kern w:val="0"/>
                <w:sz w:val="18"/>
                <w:szCs w:val="18"/>
              </w:rPr>
            </w:pPr>
            <w:r>
              <w:rPr>
                <w:rFonts w:hint="eastAsia" w:cs="宋体"/>
                <w:b/>
                <w:kern w:val="0"/>
                <w:sz w:val="18"/>
                <w:szCs w:val="18"/>
              </w:rPr>
              <w:t>知识点</w:t>
            </w:r>
          </w:p>
        </w:tc>
        <w:tc>
          <w:tcPr>
            <w:tcW w:w="6857" w:type="dxa"/>
            <w:shd w:val="clear" w:color="auto" w:fill="auto"/>
            <w:vAlign w:val="center"/>
          </w:tcPr>
          <w:p>
            <w:pPr>
              <w:spacing w:line="360" w:lineRule="auto"/>
              <w:jc w:val="center"/>
              <w:rPr>
                <w:rFonts w:hint="eastAsia" w:cs="宋体"/>
                <w:b/>
                <w:kern w:val="0"/>
                <w:sz w:val="18"/>
                <w:szCs w:val="18"/>
              </w:rPr>
            </w:pPr>
            <w:r>
              <w:rPr>
                <w:rFonts w:hint="eastAsia" w:cs="宋体"/>
                <w:b/>
                <w:color w:val="000000"/>
                <w:kern w:val="0"/>
                <w:sz w:val="18"/>
                <w:szCs w:val="18"/>
              </w:rPr>
              <w:t>思政融入点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shd w:val="clear" w:color="auto" w:fill="auto"/>
            <w:vAlign w:val="center"/>
          </w:tcPr>
          <w:p>
            <w:pPr>
              <w:spacing w:before="156" w:beforeLines="50" w:after="156" w:afterLines="50" w:line="360" w:lineRule="auto"/>
              <w:jc w:val="center"/>
              <w:rPr>
                <w:b/>
                <w:kern w:val="0"/>
                <w:sz w:val="20"/>
                <w:szCs w:val="21"/>
              </w:rPr>
            </w:pPr>
            <w:r>
              <w:rPr>
                <w:rFonts w:hint="eastAsia"/>
                <w:b/>
                <w:kern w:val="0"/>
                <w:sz w:val="20"/>
                <w:szCs w:val="21"/>
              </w:rPr>
              <w:t>1</w:t>
            </w:r>
          </w:p>
        </w:tc>
        <w:tc>
          <w:tcPr>
            <w:tcW w:w="5121" w:type="dxa"/>
            <w:shd w:val="clear" w:color="auto" w:fill="auto"/>
            <w:vAlign w:val="center"/>
          </w:tcPr>
          <w:p>
            <w:pPr>
              <w:ind w:left="105" w:leftChars="50"/>
              <w:jc w:val="center"/>
              <w:rPr>
                <w:kern w:val="0"/>
                <w:sz w:val="20"/>
              </w:rPr>
            </w:pPr>
            <w:r>
              <w:rPr>
                <w:rFonts w:hint="eastAsia"/>
                <w:sz w:val="18"/>
                <w:szCs w:val="18"/>
              </w:rPr>
              <w:t>1</w:t>
            </w:r>
            <w:r>
              <w:rPr>
                <w:sz w:val="18"/>
                <w:szCs w:val="18"/>
              </w:rPr>
              <w:t xml:space="preserve">.1 </w:t>
            </w:r>
            <w:r>
              <w:rPr>
                <w:rFonts w:hint="eastAsia"/>
                <w:sz w:val="18"/>
                <w:szCs w:val="18"/>
              </w:rPr>
              <w:t>先进传感器和智能传感器</w:t>
            </w:r>
          </w:p>
        </w:tc>
        <w:tc>
          <w:tcPr>
            <w:tcW w:w="6857" w:type="dxa"/>
            <w:shd w:val="clear" w:color="auto" w:fill="auto"/>
            <w:vAlign w:val="center"/>
          </w:tcPr>
          <w:p>
            <w:pPr>
              <w:spacing w:before="156" w:beforeLines="50" w:after="156" w:afterLines="50" w:line="360" w:lineRule="auto"/>
              <w:jc w:val="center"/>
              <w:rPr>
                <w:b/>
                <w:kern w:val="0"/>
                <w:sz w:val="20"/>
                <w:szCs w:val="21"/>
              </w:rPr>
            </w:pPr>
            <w:r>
              <w:rPr>
                <w:rFonts w:hint="eastAsia"/>
                <w:sz w:val="18"/>
                <w:szCs w:val="18"/>
              </w:rPr>
              <w:t>先进传感器和智能传感器对于国家发展的重要性。智能传感器在工业生产、军事装备、航空航天、医疗卫生和日常生活等领域的重要应用，论述智能传感器的重要性以及课程开设的必要性。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shd w:val="clear" w:color="auto" w:fill="auto"/>
            <w:vAlign w:val="center"/>
          </w:tcPr>
          <w:p>
            <w:pPr>
              <w:spacing w:before="156" w:beforeLines="50" w:after="156" w:afterLines="50" w:line="360" w:lineRule="auto"/>
              <w:jc w:val="center"/>
              <w:rPr>
                <w:b/>
                <w:kern w:val="0"/>
                <w:sz w:val="20"/>
                <w:szCs w:val="21"/>
              </w:rPr>
            </w:pPr>
            <w:r>
              <w:rPr>
                <w:rFonts w:hint="eastAsia"/>
                <w:b/>
                <w:kern w:val="0"/>
                <w:sz w:val="20"/>
                <w:szCs w:val="21"/>
              </w:rPr>
              <w:t>2</w:t>
            </w:r>
          </w:p>
        </w:tc>
        <w:tc>
          <w:tcPr>
            <w:tcW w:w="5121" w:type="dxa"/>
            <w:shd w:val="clear" w:color="auto" w:fill="auto"/>
            <w:vAlign w:val="center"/>
          </w:tcPr>
          <w:p>
            <w:pPr>
              <w:ind w:left="105" w:leftChars="50"/>
              <w:jc w:val="center"/>
              <w:rPr>
                <w:b/>
                <w:kern w:val="0"/>
                <w:sz w:val="20"/>
                <w:szCs w:val="21"/>
              </w:rPr>
            </w:pPr>
            <w:r>
              <w:rPr>
                <w:rFonts w:hint="eastAsia"/>
                <w:color w:val="000000"/>
                <w:sz w:val="18"/>
                <w:szCs w:val="18"/>
              </w:rPr>
              <w:t>2.10 人工神经网络技术及其应用</w:t>
            </w:r>
          </w:p>
        </w:tc>
        <w:tc>
          <w:tcPr>
            <w:tcW w:w="6857" w:type="dxa"/>
            <w:shd w:val="clear" w:color="auto" w:fill="auto"/>
            <w:vAlign w:val="center"/>
          </w:tcPr>
          <w:p>
            <w:pPr>
              <w:spacing w:before="156" w:beforeLines="50" w:after="156" w:afterLines="50" w:line="360" w:lineRule="auto"/>
              <w:jc w:val="center"/>
              <w:rPr>
                <w:b/>
                <w:kern w:val="0"/>
                <w:sz w:val="20"/>
                <w:szCs w:val="21"/>
              </w:rPr>
            </w:pPr>
            <w:r>
              <w:rPr>
                <w:rFonts w:hint="eastAsia"/>
                <w:sz w:val="18"/>
                <w:szCs w:val="18"/>
              </w:rPr>
              <w:t>介绍基于人工神经网络技术的智能传感器以及智能传感器与当前的人工智能、大数据等结合实现自动驾驶、AI机器人等方面的应用。提高学生对本课程的兴趣。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shd w:val="clear" w:color="auto" w:fill="auto"/>
            <w:vAlign w:val="center"/>
          </w:tcPr>
          <w:p>
            <w:pPr>
              <w:spacing w:before="156" w:beforeLines="50" w:after="156" w:afterLines="50" w:line="360" w:lineRule="auto"/>
              <w:jc w:val="center"/>
              <w:rPr>
                <w:rFonts w:hint="eastAsia"/>
                <w:b/>
                <w:kern w:val="0"/>
                <w:sz w:val="20"/>
                <w:szCs w:val="21"/>
              </w:rPr>
            </w:pPr>
            <w:r>
              <w:rPr>
                <w:b/>
                <w:kern w:val="0"/>
                <w:sz w:val="20"/>
                <w:szCs w:val="21"/>
              </w:rPr>
              <w:t>3</w:t>
            </w:r>
          </w:p>
        </w:tc>
        <w:tc>
          <w:tcPr>
            <w:tcW w:w="5121" w:type="dxa"/>
            <w:shd w:val="clear" w:color="auto" w:fill="auto"/>
            <w:vAlign w:val="center"/>
          </w:tcPr>
          <w:p>
            <w:pPr>
              <w:ind w:left="105" w:leftChars="50"/>
              <w:jc w:val="center"/>
              <w:rPr>
                <w:rFonts w:hint="eastAsia"/>
                <w:b/>
                <w:kern w:val="0"/>
                <w:sz w:val="20"/>
                <w:szCs w:val="21"/>
              </w:rPr>
            </w:pPr>
            <w:r>
              <w:rPr>
                <w:rFonts w:hint="eastAsia"/>
                <w:color w:val="000000"/>
                <w:sz w:val="18"/>
                <w:szCs w:val="18"/>
              </w:rPr>
              <w:t>3.</w:t>
            </w:r>
            <w:r>
              <w:rPr>
                <w:color w:val="000000"/>
                <w:sz w:val="18"/>
                <w:szCs w:val="18"/>
              </w:rPr>
              <w:t xml:space="preserve">6 </w:t>
            </w:r>
            <w:r>
              <w:rPr>
                <w:rFonts w:hint="eastAsia"/>
                <w:color w:val="000000"/>
                <w:sz w:val="18"/>
                <w:szCs w:val="18"/>
              </w:rPr>
              <w:t>无线传感器网络应用</w:t>
            </w:r>
          </w:p>
        </w:tc>
        <w:tc>
          <w:tcPr>
            <w:tcW w:w="6857" w:type="dxa"/>
            <w:shd w:val="clear" w:color="auto" w:fill="auto"/>
            <w:vAlign w:val="center"/>
          </w:tcPr>
          <w:p>
            <w:pPr>
              <w:spacing w:before="156" w:beforeLines="50" w:after="156" w:afterLines="50" w:line="360" w:lineRule="auto"/>
              <w:jc w:val="center"/>
              <w:rPr>
                <w:rFonts w:hint="eastAsia"/>
                <w:b/>
                <w:kern w:val="0"/>
                <w:sz w:val="20"/>
                <w:szCs w:val="21"/>
              </w:rPr>
            </w:pPr>
            <w:r>
              <w:rPr>
                <w:rFonts w:hint="eastAsia"/>
                <w:color w:val="000000"/>
                <w:sz w:val="18"/>
                <w:szCs w:val="18"/>
              </w:rPr>
              <w:t>结合无线传感器网络在工业过程实时监控、农业生产和生物环境保护、建筑和土木工程、安全/公安</w:t>
            </w:r>
            <w:r>
              <w:rPr>
                <w:color w:val="000000"/>
                <w:sz w:val="18"/>
                <w:szCs w:val="18"/>
              </w:rPr>
              <w:t>/</w:t>
            </w:r>
            <w:r>
              <w:rPr>
                <w:rFonts w:hint="eastAsia"/>
                <w:color w:val="000000"/>
                <w:sz w:val="18"/>
                <w:szCs w:val="18"/>
              </w:rPr>
              <w:t>军事等领域的应用，阐述智能传感网络的重要性，尤其是在公共安全领域用于自然灾害的监测。应用更加贴近生活，提升学生对智能传感系统的理解和未来应用的能力。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shd w:val="clear" w:color="auto" w:fill="auto"/>
            <w:vAlign w:val="center"/>
          </w:tcPr>
          <w:p>
            <w:pPr>
              <w:spacing w:before="156" w:beforeLines="50" w:after="156" w:afterLines="50" w:line="360" w:lineRule="auto"/>
              <w:jc w:val="center"/>
              <w:rPr>
                <w:b/>
                <w:kern w:val="0"/>
                <w:sz w:val="20"/>
                <w:szCs w:val="21"/>
              </w:rPr>
            </w:pPr>
            <w:r>
              <w:rPr>
                <w:rFonts w:hint="eastAsia"/>
                <w:b/>
                <w:kern w:val="0"/>
                <w:sz w:val="20"/>
                <w:szCs w:val="21"/>
              </w:rPr>
              <w:t>4</w:t>
            </w:r>
          </w:p>
        </w:tc>
        <w:tc>
          <w:tcPr>
            <w:tcW w:w="5121" w:type="dxa"/>
            <w:shd w:val="clear" w:color="auto" w:fill="auto"/>
            <w:vAlign w:val="center"/>
          </w:tcPr>
          <w:p>
            <w:pPr>
              <w:ind w:left="105" w:leftChars="50"/>
              <w:jc w:val="center"/>
              <w:rPr>
                <w:color w:val="000000"/>
                <w:sz w:val="18"/>
                <w:szCs w:val="18"/>
              </w:rPr>
            </w:pPr>
            <w:r>
              <w:rPr>
                <w:color w:val="000000"/>
                <w:sz w:val="18"/>
                <w:szCs w:val="18"/>
              </w:rPr>
              <w:t>4</w:t>
            </w:r>
            <w:r>
              <w:rPr>
                <w:rFonts w:hint="eastAsia"/>
                <w:color w:val="000000"/>
                <w:sz w:val="18"/>
                <w:szCs w:val="18"/>
              </w:rPr>
              <w:t>.2</w:t>
            </w:r>
            <w:r>
              <w:rPr>
                <w:color w:val="000000"/>
                <w:sz w:val="18"/>
                <w:szCs w:val="18"/>
              </w:rPr>
              <w:t xml:space="preserve"> Smart MEMS</w:t>
            </w:r>
          </w:p>
        </w:tc>
        <w:tc>
          <w:tcPr>
            <w:tcW w:w="6857" w:type="dxa"/>
            <w:shd w:val="clear" w:color="auto" w:fill="auto"/>
            <w:vAlign w:val="center"/>
          </w:tcPr>
          <w:p>
            <w:pPr>
              <w:spacing w:before="156" w:beforeLines="50" w:after="156" w:afterLines="50" w:line="360" w:lineRule="auto"/>
              <w:jc w:val="center"/>
              <w:rPr>
                <w:sz w:val="18"/>
                <w:szCs w:val="18"/>
              </w:rPr>
            </w:pPr>
            <w:r>
              <w:rPr>
                <w:rFonts w:hint="eastAsia"/>
                <w:color w:val="000000"/>
                <w:sz w:val="18"/>
                <w:szCs w:val="18"/>
              </w:rPr>
              <w:t>结合Smart惯导系统中的微陀螺和微加速度计等应用，介绍MEMS传感器在</w:t>
            </w:r>
            <w:r>
              <w:rPr>
                <w:rFonts w:hint="eastAsia"/>
                <w:sz w:val="18"/>
                <w:szCs w:val="18"/>
              </w:rPr>
              <w:t>工业生产、军事装备、航空航天、医疗卫生等领域的重要应用。将仪器与电子学院在MEMS传感器领域取得的成果分享给学生，提升学生对本课程的学习信心。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shd w:val="clear" w:color="auto" w:fill="auto"/>
            <w:vAlign w:val="center"/>
          </w:tcPr>
          <w:p>
            <w:pPr>
              <w:spacing w:before="156" w:beforeLines="50" w:after="156" w:afterLines="50" w:line="360" w:lineRule="auto"/>
              <w:jc w:val="center"/>
              <w:rPr>
                <w:rFonts w:hint="eastAsia"/>
                <w:b/>
                <w:kern w:val="0"/>
                <w:sz w:val="20"/>
                <w:szCs w:val="21"/>
              </w:rPr>
            </w:pPr>
            <w:r>
              <w:rPr>
                <w:rFonts w:hint="eastAsia"/>
                <w:b/>
                <w:kern w:val="0"/>
                <w:sz w:val="20"/>
                <w:szCs w:val="21"/>
              </w:rPr>
              <w:t>5</w:t>
            </w:r>
          </w:p>
        </w:tc>
        <w:tc>
          <w:tcPr>
            <w:tcW w:w="5121" w:type="dxa"/>
            <w:shd w:val="clear" w:color="auto" w:fill="auto"/>
            <w:vAlign w:val="center"/>
          </w:tcPr>
          <w:p>
            <w:pPr>
              <w:ind w:left="105" w:leftChars="50"/>
              <w:jc w:val="center"/>
              <w:rPr>
                <w:color w:val="000000"/>
                <w:sz w:val="18"/>
                <w:szCs w:val="18"/>
              </w:rPr>
            </w:pPr>
            <w:r>
              <w:rPr>
                <w:color w:val="000000"/>
                <w:sz w:val="18"/>
                <w:szCs w:val="18"/>
              </w:rPr>
              <w:t>5</w:t>
            </w:r>
            <w:r>
              <w:rPr>
                <w:rFonts w:hint="eastAsia"/>
                <w:color w:val="000000"/>
                <w:sz w:val="18"/>
                <w:szCs w:val="18"/>
              </w:rPr>
              <w:t>.1</w:t>
            </w:r>
            <w:r>
              <w:rPr>
                <w:color w:val="000000"/>
                <w:sz w:val="18"/>
                <w:szCs w:val="18"/>
              </w:rPr>
              <w:t xml:space="preserve"> </w:t>
            </w:r>
            <w:r>
              <w:rPr>
                <w:rFonts w:hint="eastAsia"/>
                <w:color w:val="000000"/>
                <w:sz w:val="18"/>
                <w:szCs w:val="18"/>
              </w:rPr>
              <w:t>结构健康监测与智能系统</w:t>
            </w:r>
          </w:p>
        </w:tc>
        <w:tc>
          <w:tcPr>
            <w:tcW w:w="6857" w:type="dxa"/>
            <w:shd w:val="clear" w:color="auto" w:fill="auto"/>
            <w:vAlign w:val="center"/>
          </w:tcPr>
          <w:p>
            <w:pPr>
              <w:spacing w:before="156" w:beforeLines="50" w:after="156" w:afterLines="50" w:line="360" w:lineRule="auto"/>
              <w:jc w:val="center"/>
              <w:rPr>
                <w:rFonts w:hint="eastAsia"/>
                <w:color w:val="000000"/>
                <w:sz w:val="18"/>
                <w:szCs w:val="18"/>
              </w:rPr>
            </w:pPr>
            <w:r>
              <w:rPr>
                <w:rFonts w:hint="eastAsia"/>
                <w:color w:val="000000"/>
                <w:sz w:val="18"/>
                <w:szCs w:val="18"/>
              </w:rPr>
              <w:t>通过对机敏材料和灵巧结构的介绍，阐述机敏材料和灵巧结构在军事领域和航空航天领域的结构健康监测、振动的衰减、形状控制、空间飞行器的多功能结构、运载火箭、飞机和旋翼机等方面的应用，重点是应用Smart技术全面提高系统的安全性能。让学生进一步理解智能传感器对于军事领域和航空航天领域的重要性，结合本校的军工背景，让学生对本课程有一个更深层次的理解，鼓励学生将来从事相关领域的研究工作，为国家培养更多有用的人才。</w:t>
            </w:r>
          </w:p>
        </w:tc>
      </w:tr>
    </w:tbl>
    <w:p>
      <w:pPr>
        <w:spacing w:before="156" w:beforeLines="50" w:after="156" w:afterLines="50" w:line="360" w:lineRule="auto"/>
        <w:ind w:firstLine="420" w:firstLineChars="200"/>
        <w:rPr>
          <w:rFonts w:hint="eastAsia"/>
          <w:color w:val="0000FF"/>
          <w:szCs w:val="21"/>
        </w:rPr>
      </w:pPr>
    </w:p>
    <w:p>
      <w:pPr>
        <w:spacing w:line="420" w:lineRule="exact"/>
        <w:rPr>
          <w:szCs w:val="21"/>
        </w:rPr>
        <w:sectPr>
          <w:pgSz w:w="16838" w:h="11906" w:orient="landscape"/>
          <w:pgMar w:top="1418" w:right="1440" w:bottom="1418" w:left="1440" w:header="851" w:footer="992" w:gutter="0"/>
          <w:pgNumType w:fmt="decimal"/>
          <w:cols w:space="720" w:num="1"/>
          <w:docGrid w:type="linesAndChars" w:linePitch="312" w:charSpace="0"/>
        </w:sectPr>
      </w:pPr>
    </w:p>
    <w:p>
      <w:pPr>
        <w:spacing w:before="120" w:beforeLines="50" w:after="120" w:afterLines="50" w:line="420" w:lineRule="exact"/>
        <w:rPr>
          <w:bCs/>
          <w:szCs w:val="21"/>
        </w:rPr>
      </w:pPr>
      <w:r>
        <w:rPr>
          <w:rFonts w:hint="eastAsia"/>
          <w:bCs/>
          <w:szCs w:val="21"/>
        </w:rPr>
        <w:t>三、本课程开设的实验项目</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3202"/>
        <w:gridCol w:w="709"/>
        <w:gridCol w:w="851"/>
        <w:gridCol w:w="850"/>
        <w:gridCol w:w="1418"/>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91" w:type="dxa"/>
            <w:shd w:val="clear" w:color="auto" w:fill="F2F2F2"/>
            <w:vAlign w:val="center"/>
          </w:tcPr>
          <w:p>
            <w:pPr>
              <w:spacing w:line="420" w:lineRule="exact"/>
              <w:jc w:val="center"/>
              <w:rPr>
                <w:b/>
                <w:color w:val="000000"/>
                <w:sz w:val="18"/>
                <w:szCs w:val="18"/>
              </w:rPr>
            </w:pPr>
            <w:r>
              <w:rPr>
                <w:rFonts w:hint="eastAsia"/>
                <w:b/>
                <w:color w:val="000000"/>
                <w:sz w:val="18"/>
                <w:szCs w:val="18"/>
              </w:rPr>
              <w:t>编号</w:t>
            </w:r>
          </w:p>
        </w:tc>
        <w:tc>
          <w:tcPr>
            <w:tcW w:w="3202" w:type="dxa"/>
            <w:shd w:val="clear" w:color="auto" w:fill="F2F2F2"/>
            <w:vAlign w:val="center"/>
          </w:tcPr>
          <w:p>
            <w:pPr>
              <w:spacing w:line="420" w:lineRule="exact"/>
              <w:jc w:val="center"/>
              <w:rPr>
                <w:b/>
                <w:color w:val="000000"/>
                <w:sz w:val="18"/>
                <w:szCs w:val="18"/>
              </w:rPr>
            </w:pPr>
            <w:r>
              <w:rPr>
                <w:rFonts w:hint="eastAsia"/>
                <w:b/>
                <w:color w:val="000000"/>
                <w:sz w:val="18"/>
                <w:szCs w:val="18"/>
              </w:rPr>
              <w:t>实验项目名称</w:t>
            </w:r>
          </w:p>
        </w:tc>
        <w:tc>
          <w:tcPr>
            <w:tcW w:w="709" w:type="dxa"/>
            <w:shd w:val="clear" w:color="auto" w:fill="F2F2F2"/>
            <w:vAlign w:val="center"/>
          </w:tcPr>
          <w:p>
            <w:pPr>
              <w:spacing w:line="420" w:lineRule="exact"/>
              <w:jc w:val="center"/>
              <w:rPr>
                <w:b/>
                <w:color w:val="000000"/>
                <w:sz w:val="18"/>
                <w:szCs w:val="18"/>
              </w:rPr>
            </w:pPr>
            <w:r>
              <w:rPr>
                <w:rFonts w:hint="eastAsia"/>
                <w:b/>
                <w:color w:val="000000"/>
                <w:sz w:val="18"/>
                <w:szCs w:val="18"/>
              </w:rPr>
              <w:t>学时</w:t>
            </w:r>
          </w:p>
        </w:tc>
        <w:tc>
          <w:tcPr>
            <w:tcW w:w="851" w:type="dxa"/>
            <w:shd w:val="clear" w:color="auto" w:fill="F2F2F2"/>
            <w:vAlign w:val="center"/>
          </w:tcPr>
          <w:p>
            <w:pPr>
              <w:spacing w:line="420" w:lineRule="exact"/>
              <w:jc w:val="center"/>
              <w:rPr>
                <w:b/>
                <w:color w:val="000000"/>
                <w:sz w:val="18"/>
                <w:szCs w:val="18"/>
              </w:rPr>
            </w:pPr>
            <w:r>
              <w:rPr>
                <w:rFonts w:hint="eastAsia"/>
                <w:b/>
                <w:color w:val="000000"/>
                <w:sz w:val="18"/>
                <w:szCs w:val="18"/>
              </w:rPr>
              <w:t>类型</w:t>
            </w:r>
          </w:p>
        </w:tc>
        <w:tc>
          <w:tcPr>
            <w:tcW w:w="850" w:type="dxa"/>
            <w:shd w:val="clear" w:color="auto" w:fill="F2F2F2"/>
            <w:vAlign w:val="center"/>
          </w:tcPr>
          <w:p>
            <w:pPr>
              <w:spacing w:line="420" w:lineRule="exact"/>
              <w:jc w:val="center"/>
              <w:rPr>
                <w:b/>
                <w:color w:val="000000"/>
                <w:sz w:val="18"/>
                <w:szCs w:val="18"/>
              </w:rPr>
            </w:pPr>
            <w:r>
              <w:rPr>
                <w:rFonts w:hint="eastAsia"/>
                <w:b/>
                <w:color w:val="000000"/>
                <w:sz w:val="18"/>
                <w:szCs w:val="18"/>
              </w:rPr>
              <w:t>要求</w:t>
            </w:r>
          </w:p>
        </w:tc>
        <w:tc>
          <w:tcPr>
            <w:tcW w:w="1418" w:type="dxa"/>
            <w:shd w:val="clear" w:color="auto" w:fill="F2F2F2"/>
            <w:vAlign w:val="center"/>
          </w:tcPr>
          <w:p>
            <w:pPr>
              <w:spacing w:line="420" w:lineRule="exact"/>
              <w:jc w:val="center"/>
              <w:rPr>
                <w:b/>
                <w:color w:val="000000"/>
                <w:sz w:val="18"/>
                <w:szCs w:val="18"/>
              </w:rPr>
            </w:pPr>
            <w:r>
              <w:rPr>
                <w:rFonts w:hint="eastAsia"/>
                <w:b/>
                <w:color w:val="000000"/>
                <w:sz w:val="18"/>
                <w:szCs w:val="18"/>
              </w:rPr>
              <w:t>支撑课程目标</w:t>
            </w:r>
          </w:p>
        </w:tc>
        <w:tc>
          <w:tcPr>
            <w:tcW w:w="1197" w:type="dxa"/>
            <w:shd w:val="clear" w:color="auto" w:fill="F2F2F2"/>
            <w:vAlign w:val="center"/>
          </w:tcPr>
          <w:p>
            <w:pPr>
              <w:spacing w:line="420" w:lineRule="exact"/>
              <w:jc w:val="center"/>
              <w:rPr>
                <w:rFonts w:hint="eastAsia"/>
                <w:b/>
                <w:color w:val="000000"/>
                <w:sz w:val="18"/>
                <w:szCs w:val="18"/>
              </w:rPr>
            </w:pPr>
            <w:r>
              <w:rPr>
                <w:rFonts w:hint="eastAsia"/>
                <w:b/>
                <w:color w:val="000000"/>
                <w:sz w:val="18"/>
                <w:szCs w:val="18"/>
              </w:rPr>
              <w:t>支撑的毕业要求指标点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91" w:type="dxa"/>
          </w:tcPr>
          <w:p>
            <w:pPr>
              <w:spacing w:line="420" w:lineRule="exact"/>
              <w:jc w:val="center"/>
              <w:rPr>
                <w:bCs/>
                <w:sz w:val="18"/>
                <w:szCs w:val="18"/>
              </w:rPr>
            </w:pPr>
            <w:r>
              <w:rPr>
                <w:rFonts w:hint="eastAsia"/>
                <w:bCs/>
                <w:sz w:val="18"/>
                <w:szCs w:val="18"/>
              </w:rPr>
              <w:t>1</w:t>
            </w:r>
          </w:p>
        </w:tc>
        <w:tc>
          <w:tcPr>
            <w:tcW w:w="3202" w:type="dxa"/>
          </w:tcPr>
          <w:p>
            <w:pPr>
              <w:spacing w:line="420" w:lineRule="exact"/>
              <w:rPr>
                <w:bCs/>
                <w:sz w:val="18"/>
                <w:szCs w:val="18"/>
              </w:rPr>
            </w:pPr>
            <w:r>
              <w:rPr>
                <w:rFonts w:hint="eastAsia"/>
                <w:bCs/>
                <w:sz w:val="18"/>
                <w:szCs w:val="18"/>
              </w:rPr>
              <w:t>智能传感器的非线性自校正、自校准、自补偿</w:t>
            </w:r>
          </w:p>
        </w:tc>
        <w:tc>
          <w:tcPr>
            <w:tcW w:w="709" w:type="dxa"/>
          </w:tcPr>
          <w:p>
            <w:pPr>
              <w:spacing w:line="420" w:lineRule="exact"/>
              <w:jc w:val="center"/>
              <w:rPr>
                <w:bCs/>
                <w:sz w:val="18"/>
                <w:szCs w:val="18"/>
              </w:rPr>
            </w:pPr>
            <w:r>
              <w:rPr>
                <w:rFonts w:hint="eastAsia"/>
                <w:bCs/>
                <w:sz w:val="18"/>
                <w:szCs w:val="18"/>
              </w:rPr>
              <w:t>2</w:t>
            </w:r>
          </w:p>
        </w:tc>
        <w:tc>
          <w:tcPr>
            <w:tcW w:w="851" w:type="dxa"/>
          </w:tcPr>
          <w:p>
            <w:pPr>
              <w:spacing w:line="420" w:lineRule="exact"/>
              <w:jc w:val="center"/>
              <w:rPr>
                <w:bCs/>
                <w:sz w:val="18"/>
                <w:szCs w:val="18"/>
              </w:rPr>
            </w:pPr>
            <w:r>
              <w:rPr>
                <w:bCs/>
                <w:sz w:val="18"/>
                <w:szCs w:val="18"/>
              </w:rPr>
              <w:t>验证性</w:t>
            </w:r>
          </w:p>
        </w:tc>
        <w:tc>
          <w:tcPr>
            <w:tcW w:w="850" w:type="dxa"/>
          </w:tcPr>
          <w:p>
            <w:pPr>
              <w:spacing w:line="420" w:lineRule="exact"/>
              <w:jc w:val="center"/>
              <w:rPr>
                <w:bCs/>
                <w:sz w:val="18"/>
                <w:szCs w:val="18"/>
              </w:rPr>
            </w:pPr>
            <w:r>
              <w:rPr>
                <w:rFonts w:hint="eastAsia"/>
                <w:bCs/>
                <w:sz w:val="18"/>
                <w:szCs w:val="18"/>
              </w:rPr>
              <w:t>必做</w:t>
            </w:r>
          </w:p>
        </w:tc>
        <w:tc>
          <w:tcPr>
            <w:tcW w:w="1418" w:type="dxa"/>
          </w:tcPr>
          <w:p>
            <w:pPr>
              <w:spacing w:line="420" w:lineRule="exact"/>
              <w:jc w:val="center"/>
              <w:rPr>
                <w:bCs/>
                <w:sz w:val="18"/>
                <w:szCs w:val="18"/>
              </w:rPr>
            </w:pPr>
            <w:r>
              <w:rPr>
                <w:bCs/>
                <w:sz w:val="18"/>
                <w:szCs w:val="18"/>
              </w:rPr>
              <w:t>2</w:t>
            </w:r>
          </w:p>
        </w:tc>
        <w:tc>
          <w:tcPr>
            <w:tcW w:w="1197" w:type="dxa"/>
          </w:tcPr>
          <w:p>
            <w:pPr>
              <w:spacing w:line="420" w:lineRule="exact"/>
              <w:jc w:val="center"/>
              <w:rPr>
                <w:rFonts w:hint="eastAsia"/>
                <w:b/>
                <w:color w:val="000000"/>
                <w:sz w:val="18"/>
                <w:szCs w:val="18"/>
              </w:rPr>
            </w:pPr>
            <w:r>
              <w:rPr>
                <w:rFonts w:hint="eastAsia"/>
                <w:bCs/>
                <w:color w:val="000000"/>
                <w:sz w:val="18"/>
                <w:szCs w:val="18"/>
                <w:lang w:val="en-US" w:eastAsia="zh-CN"/>
              </w:rPr>
              <w:t>4</w:t>
            </w:r>
            <w:r>
              <w:rPr>
                <w:bCs/>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91" w:type="dxa"/>
          </w:tcPr>
          <w:p>
            <w:pPr>
              <w:spacing w:line="420" w:lineRule="exact"/>
              <w:jc w:val="center"/>
              <w:rPr>
                <w:bCs/>
                <w:sz w:val="18"/>
                <w:szCs w:val="18"/>
              </w:rPr>
            </w:pPr>
            <w:r>
              <w:rPr>
                <w:rFonts w:hint="eastAsia"/>
                <w:bCs/>
                <w:sz w:val="18"/>
                <w:szCs w:val="18"/>
              </w:rPr>
              <w:t>2</w:t>
            </w:r>
          </w:p>
        </w:tc>
        <w:tc>
          <w:tcPr>
            <w:tcW w:w="3202" w:type="dxa"/>
          </w:tcPr>
          <w:p>
            <w:pPr>
              <w:spacing w:line="420" w:lineRule="exact"/>
              <w:rPr>
                <w:bCs/>
                <w:sz w:val="18"/>
                <w:szCs w:val="18"/>
              </w:rPr>
            </w:pPr>
            <w:bookmarkStart w:id="64" w:name="_Hlk89364148"/>
            <w:r>
              <w:rPr>
                <w:rFonts w:hint="eastAsia"/>
                <w:bCs/>
                <w:sz w:val="18"/>
                <w:szCs w:val="18"/>
              </w:rPr>
              <w:t>智能传感器的增益自适应控制、自检、自诊断</w:t>
            </w:r>
            <w:bookmarkEnd w:id="64"/>
          </w:p>
        </w:tc>
        <w:tc>
          <w:tcPr>
            <w:tcW w:w="709" w:type="dxa"/>
          </w:tcPr>
          <w:p>
            <w:pPr>
              <w:spacing w:line="420" w:lineRule="exact"/>
              <w:jc w:val="center"/>
              <w:rPr>
                <w:bCs/>
                <w:sz w:val="18"/>
                <w:szCs w:val="18"/>
              </w:rPr>
            </w:pPr>
            <w:r>
              <w:rPr>
                <w:rFonts w:hint="eastAsia"/>
                <w:bCs/>
                <w:sz w:val="18"/>
                <w:szCs w:val="18"/>
              </w:rPr>
              <w:t>2</w:t>
            </w:r>
          </w:p>
        </w:tc>
        <w:tc>
          <w:tcPr>
            <w:tcW w:w="851" w:type="dxa"/>
          </w:tcPr>
          <w:p>
            <w:pPr>
              <w:spacing w:line="420" w:lineRule="exact"/>
              <w:jc w:val="center"/>
              <w:rPr>
                <w:bCs/>
                <w:sz w:val="18"/>
                <w:szCs w:val="18"/>
              </w:rPr>
            </w:pPr>
            <w:r>
              <w:rPr>
                <w:bCs/>
                <w:sz w:val="18"/>
                <w:szCs w:val="18"/>
              </w:rPr>
              <w:t>验证性</w:t>
            </w:r>
          </w:p>
        </w:tc>
        <w:tc>
          <w:tcPr>
            <w:tcW w:w="850" w:type="dxa"/>
          </w:tcPr>
          <w:p>
            <w:pPr>
              <w:spacing w:line="420" w:lineRule="exact"/>
              <w:jc w:val="center"/>
              <w:rPr>
                <w:bCs/>
                <w:sz w:val="18"/>
                <w:szCs w:val="18"/>
              </w:rPr>
            </w:pPr>
            <w:r>
              <w:rPr>
                <w:rFonts w:hint="eastAsia"/>
                <w:bCs/>
                <w:sz w:val="18"/>
                <w:szCs w:val="18"/>
              </w:rPr>
              <w:t>必做</w:t>
            </w:r>
          </w:p>
        </w:tc>
        <w:tc>
          <w:tcPr>
            <w:tcW w:w="1418" w:type="dxa"/>
          </w:tcPr>
          <w:p>
            <w:pPr>
              <w:spacing w:line="420" w:lineRule="exact"/>
              <w:jc w:val="center"/>
              <w:rPr>
                <w:bCs/>
                <w:sz w:val="18"/>
                <w:szCs w:val="18"/>
              </w:rPr>
            </w:pPr>
            <w:r>
              <w:rPr>
                <w:bCs/>
                <w:sz w:val="18"/>
                <w:szCs w:val="18"/>
              </w:rPr>
              <w:t>3</w:t>
            </w:r>
          </w:p>
        </w:tc>
        <w:tc>
          <w:tcPr>
            <w:tcW w:w="1197" w:type="dxa"/>
          </w:tcPr>
          <w:p>
            <w:pPr>
              <w:spacing w:line="420" w:lineRule="exact"/>
              <w:jc w:val="center"/>
              <w:rPr>
                <w:bCs/>
                <w:sz w:val="18"/>
                <w:szCs w:val="18"/>
              </w:rPr>
            </w:pPr>
            <w:r>
              <w:rPr>
                <w:bCs/>
                <w:color w:val="000000"/>
                <w:sz w:val="18"/>
                <w:szCs w:val="18"/>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91" w:type="dxa"/>
          </w:tcPr>
          <w:p>
            <w:pPr>
              <w:spacing w:line="420" w:lineRule="exact"/>
              <w:jc w:val="center"/>
              <w:rPr>
                <w:bCs/>
                <w:sz w:val="18"/>
                <w:szCs w:val="18"/>
              </w:rPr>
            </w:pPr>
            <w:r>
              <w:rPr>
                <w:rFonts w:hint="eastAsia"/>
                <w:bCs/>
                <w:sz w:val="18"/>
                <w:szCs w:val="18"/>
              </w:rPr>
              <w:t>3</w:t>
            </w:r>
          </w:p>
        </w:tc>
        <w:tc>
          <w:tcPr>
            <w:tcW w:w="3202" w:type="dxa"/>
          </w:tcPr>
          <w:p>
            <w:pPr>
              <w:spacing w:line="420" w:lineRule="exact"/>
              <w:rPr>
                <w:rFonts w:hint="eastAsia"/>
                <w:bCs/>
                <w:sz w:val="18"/>
                <w:szCs w:val="18"/>
              </w:rPr>
            </w:pPr>
            <w:r>
              <w:rPr>
                <w:rFonts w:hint="eastAsia"/>
                <w:bCs/>
                <w:sz w:val="18"/>
                <w:szCs w:val="18"/>
              </w:rPr>
              <w:t>MEMS智能温度传感器</w:t>
            </w:r>
          </w:p>
        </w:tc>
        <w:tc>
          <w:tcPr>
            <w:tcW w:w="709" w:type="dxa"/>
          </w:tcPr>
          <w:p>
            <w:pPr>
              <w:spacing w:line="420" w:lineRule="exact"/>
              <w:jc w:val="center"/>
              <w:rPr>
                <w:bCs/>
                <w:sz w:val="18"/>
                <w:szCs w:val="18"/>
              </w:rPr>
            </w:pPr>
            <w:r>
              <w:rPr>
                <w:rFonts w:hint="eastAsia"/>
                <w:bCs/>
                <w:sz w:val="18"/>
                <w:szCs w:val="18"/>
              </w:rPr>
              <w:t>2</w:t>
            </w:r>
          </w:p>
        </w:tc>
        <w:tc>
          <w:tcPr>
            <w:tcW w:w="851" w:type="dxa"/>
          </w:tcPr>
          <w:p>
            <w:pPr>
              <w:spacing w:line="420" w:lineRule="exact"/>
              <w:jc w:val="center"/>
              <w:rPr>
                <w:bCs/>
                <w:sz w:val="18"/>
                <w:szCs w:val="18"/>
              </w:rPr>
            </w:pPr>
            <w:r>
              <w:rPr>
                <w:bCs/>
                <w:sz w:val="18"/>
                <w:szCs w:val="18"/>
              </w:rPr>
              <w:t>验证性</w:t>
            </w:r>
          </w:p>
        </w:tc>
        <w:tc>
          <w:tcPr>
            <w:tcW w:w="850" w:type="dxa"/>
          </w:tcPr>
          <w:p>
            <w:pPr>
              <w:spacing w:line="420" w:lineRule="exact"/>
              <w:jc w:val="center"/>
              <w:rPr>
                <w:bCs/>
                <w:sz w:val="18"/>
                <w:szCs w:val="18"/>
              </w:rPr>
            </w:pPr>
            <w:r>
              <w:rPr>
                <w:rFonts w:hint="eastAsia"/>
                <w:bCs/>
                <w:sz w:val="18"/>
                <w:szCs w:val="18"/>
              </w:rPr>
              <w:t>必做</w:t>
            </w:r>
          </w:p>
        </w:tc>
        <w:tc>
          <w:tcPr>
            <w:tcW w:w="1418" w:type="dxa"/>
          </w:tcPr>
          <w:p>
            <w:pPr>
              <w:spacing w:line="420" w:lineRule="exact"/>
              <w:jc w:val="center"/>
              <w:rPr>
                <w:bCs/>
                <w:sz w:val="18"/>
                <w:szCs w:val="18"/>
              </w:rPr>
            </w:pPr>
            <w:r>
              <w:rPr>
                <w:bCs/>
                <w:sz w:val="18"/>
                <w:szCs w:val="18"/>
              </w:rPr>
              <w:t>4</w:t>
            </w:r>
          </w:p>
        </w:tc>
        <w:tc>
          <w:tcPr>
            <w:tcW w:w="1197" w:type="dxa"/>
          </w:tcPr>
          <w:p>
            <w:pPr>
              <w:spacing w:line="420" w:lineRule="exact"/>
              <w:jc w:val="center"/>
              <w:rPr>
                <w:rFonts w:hint="default" w:eastAsia="宋体"/>
                <w:bCs/>
                <w:sz w:val="18"/>
                <w:szCs w:val="18"/>
                <w:lang w:val="en-US" w:eastAsia="zh-CN"/>
              </w:rPr>
            </w:pPr>
            <w:r>
              <w:rPr>
                <w:rFonts w:hint="eastAsia"/>
                <w:bCs/>
                <w:color w:val="000000"/>
                <w:sz w:val="18"/>
                <w:szCs w:val="18"/>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91" w:type="dxa"/>
          </w:tcPr>
          <w:p>
            <w:pPr>
              <w:spacing w:line="420" w:lineRule="exact"/>
              <w:jc w:val="center"/>
              <w:rPr>
                <w:rFonts w:hint="eastAsia"/>
                <w:bCs/>
                <w:sz w:val="18"/>
                <w:szCs w:val="18"/>
              </w:rPr>
            </w:pPr>
            <w:r>
              <w:rPr>
                <w:rFonts w:hint="eastAsia"/>
                <w:bCs/>
                <w:sz w:val="18"/>
                <w:szCs w:val="18"/>
              </w:rPr>
              <w:t>4</w:t>
            </w:r>
          </w:p>
        </w:tc>
        <w:tc>
          <w:tcPr>
            <w:tcW w:w="3202" w:type="dxa"/>
          </w:tcPr>
          <w:p>
            <w:pPr>
              <w:spacing w:line="420" w:lineRule="exact"/>
              <w:rPr>
                <w:rFonts w:hint="eastAsia"/>
                <w:bCs/>
                <w:sz w:val="18"/>
                <w:szCs w:val="18"/>
              </w:rPr>
            </w:pPr>
            <w:r>
              <w:rPr>
                <w:rFonts w:hint="eastAsia"/>
                <w:bCs/>
                <w:sz w:val="18"/>
                <w:szCs w:val="18"/>
              </w:rPr>
              <w:t>MEMS惯导系统实现对物体角速度和转动的测量</w:t>
            </w:r>
          </w:p>
        </w:tc>
        <w:tc>
          <w:tcPr>
            <w:tcW w:w="709" w:type="dxa"/>
          </w:tcPr>
          <w:p>
            <w:pPr>
              <w:spacing w:line="420" w:lineRule="exact"/>
              <w:jc w:val="center"/>
              <w:rPr>
                <w:rFonts w:hint="eastAsia"/>
                <w:bCs/>
                <w:sz w:val="18"/>
                <w:szCs w:val="18"/>
              </w:rPr>
            </w:pPr>
            <w:r>
              <w:rPr>
                <w:rFonts w:hint="eastAsia"/>
                <w:bCs/>
                <w:sz w:val="18"/>
                <w:szCs w:val="18"/>
              </w:rPr>
              <w:t>2</w:t>
            </w:r>
          </w:p>
        </w:tc>
        <w:tc>
          <w:tcPr>
            <w:tcW w:w="851" w:type="dxa"/>
          </w:tcPr>
          <w:p>
            <w:pPr>
              <w:spacing w:line="420" w:lineRule="exact"/>
              <w:jc w:val="center"/>
              <w:rPr>
                <w:bCs/>
                <w:sz w:val="18"/>
                <w:szCs w:val="18"/>
              </w:rPr>
            </w:pPr>
            <w:r>
              <w:rPr>
                <w:bCs/>
                <w:sz w:val="18"/>
                <w:szCs w:val="18"/>
              </w:rPr>
              <w:t>验证性</w:t>
            </w:r>
          </w:p>
        </w:tc>
        <w:tc>
          <w:tcPr>
            <w:tcW w:w="850" w:type="dxa"/>
          </w:tcPr>
          <w:p>
            <w:pPr>
              <w:spacing w:line="420" w:lineRule="exact"/>
              <w:jc w:val="center"/>
              <w:rPr>
                <w:rFonts w:hint="eastAsia"/>
                <w:bCs/>
                <w:sz w:val="18"/>
                <w:szCs w:val="18"/>
              </w:rPr>
            </w:pPr>
            <w:r>
              <w:rPr>
                <w:rFonts w:hint="eastAsia"/>
                <w:bCs/>
                <w:sz w:val="18"/>
                <w:szCs w:val="18"/>
              </w:rPr>
              <w:t>必做</w:t>
            </w:r>
          </w:p>
        </w:tc>
        <w:tc>
          <w:tcPr>
            <w:tcW w:w="1418" w:type="dxa"/>
          </w:tcPr>
          <w:p>
            <w:pPr>
              <w:spacing w:line="420" w:lineRule="exact"/>
              <w:jc w:val="center"/>
              <w:rPr>
                <w:rFonts w:hint="eastAsia"/>
                <w:bCs/>
                <w:sz w:val="18"/>
                <w:szCs w:val="18"/>
              </w:rPr>
            </w:pPr>
            <w:r>
              <w:rPr>
                <w:rFonts w:hint="eastAsia"/>
                <w:bCs/>
                <w:sz w:val="18"/>
                <w:szCs w:val="18"/>
              </w:rPr>
              <w:t>5</w:t>
            </w:r>
          </w:p>
        </w:tc>
        <w:tc>
          <w:tcPr>
            <w:tcW w:w="1197" w:type="dxa"/>
          </w:tcPr>
          <w:p>
            <w:pPr>
              <w:spacing w:line="420" w:lineRule="exact"/>
              <w:jc w:val="center"/>
              <w:rPr>
                <w:rFonts w:hint="default" w:eastAsia="宋体"/>
                <w:bCs/>
                <w:sz w:val="18"/>
                <w:szCs w:val="18"/>
                <w:lang w:val="en-US" w:eastAsia="zh-CN"/>
              </w:rPr>
            </w:pPr>
            <w:r>
              <w:rPr>
                <w:rFonts w:hint="eastAsia"/>
                <w:bCs/>
                <w:color w:val="000000"/>
                <w:sz w:val="18"/>
                <w:szCs w:val="18"/>
                <w:lang w:val="en-US" w:eastAsia="zh-CN"/>
              </w:rPr>
              <w:t>3-1</w:t>
            </w:r>
          </w:p>
        </w:tc>
      </w:tr>
    </w:tbl>
    <w:p>
      <w:pPr>
        <w:spacing w:line="360" w:lineRule="auto"/>
        <w:ind w:firstLine="422" w:firstLineChars="200"/>
        <w:rPr>
          <w:b/>
          <w:color w:val="000000"/>
          <w:szCs w:val="21"/>
        </w:rPr>
      </w:pPr>
      <w:bookmarkStart w:id="65" w:name="_Hlk89435336"/>
    </w:p>
    <w:p>
      <w:pPr>
        <w:spacing w:line="360" w:lineRule="auto"/>
        <w:ind w:firstLine="422" w:firstLineChars="200"/>
        <w:rPr>
          <w:color w:val="000000"/>
          <w:szCs w:val="21"/>
        </w:rPr>
      </w:pPr>
      <w:r>
        <w:rPr>
          <w:b/>
          <w:color w:val="000000"/>
          <w:szCs w:val="21"/>
        </w:rPr>
        <w:t>实验一</w:t>
      </w:r>
      <w:r>
        <w:rPr>
          <w:rFonts w:hint="eastAsia"/>
          <w:b/>
          <w:color w:val="000000"/>
          <w:szCs w:val="21"/>
        </w:rPr>
        <w:t xml:space="preserve"> ：</w:t>
      </w:r>
      <w:r>
        <w:rPr>
          <w:rFonts w:hint="eastAsia"/>
          <w:bCs/>
          <w:szCs w:val="21"/>
        </w:rPr>
        <w:t>智能传感器的非线性自校正、自校准、自补偿</w:t>
      </w:r>
    </w:p>
    <w:p>
      <w:pPr>
        <w:spacing w:line="360" w:lineRule="auto"/>
        <w:ind w:firstLine="420" w:firstLineChars="200"/>
        <w:rPr>
          <w:rFonts w:hint="eastAsia"/>
          <w:color w:val="0000FF"/>
          <w:szCs w:val="21"/>
        </w:rPr>
      </w:pPr>
      <w:r>
        <w:rPr>
          <w:color w:val="000000"/>
          <w:szCs w:val="21"/>
        </w:rPr>
        <w:t>实验目的：</w:t>
      </w:r>
      <w:r>
        <w:rPr>
          <w:rFonts w:hint="eastAsia"/>
          <w:bCs/>
          <w:szCs w:val="21"/>
        </w:rPr>
        <w:t>掌握智能传感器实现非线性自校正、自校准、自补偿技术的实现方法和程序算法。</w:t>
      </w:r>
    </w:p>
    <w:p>
      <w:pPr>
        <w:spacing w:line="360" w:lineRule="auto"/>
        <w:ind w:firstLine="420" w:firstLineChars="200"/>
        <w:rPr>
          <w:color w:val="000000"/>
          <w:szCs w:val="21"/>
        </w:rPr>
      </w:pPr>
      <w:r>
        <w:rPr>
          <w:color w:val="000000"/>
          <w:szCs w:val="21"/>
        </w:rPr>
        <w:t xml:space="preserve">实验原理： </w:t>
      </w:r>
      <w:r>
        <w:rPr>
          <w:rFonts w:hint="eastAsia"/>
          <w:color w:val="000000"/>
          <w:szCs w:val="21"/>
        </w:rPr>
        <w:t>查表法、曲线拟合法、三步测量法、三点标定法和结构对称法。</w:t>
      </w:r>
    </w:p>
    <w:p>
      <w:pPr>
        <w:spacing w:line="360" w:lineRule="auto"/>
        <w:ind w:firstLine="420" w:firstLineChars="200"/>
        <w:rPr>
          <w:color w:val="0000FF"/>
          <w:szCs w:val="21"/>
        </w:rPr>
      </w:pPr>
      <w:r>
        <w:rPr>
          <w:color w:val="000000"/>
          <w:szCs w:val="21"/>
        </w:rPr>
        <w:t>实验</w:t>
      </w:r>
      <w:r>
        <w:rPr>
          <w:rFonts w:hint="eastAsia"/>
          <w:color w:val="000000"/>
          <w:szCs w:val="21"/>
        </w:rPr>
        <w:t>设备</w:t>
      </w:r>
      <w:r>
        <w:rPr>
          <w:color w:val="000000"/>
          <w:szCs w:val="21"/>
        </w:rPr>
        <w:t>：</w:t>
      </w:r>
      <w:r>
        <w:rPr>
          <w:color w:val="0000FF"/>
          <w:szCs w:val="21"/>
        </w:rPr>
        <w:t xml:space="preserve"> </w:t>
      </w:r>
      <w:r>
        <w:rPr>
          <w:rFonts w:hint="eastAsia"/>
          <w:szCs w:val="21"/>
        </w:rPr>
        <w:t>智能传感器开发板</w:t>
      </w:r>
    </w:p>
    <w:p>
      <w:pPr>
        <w:spacing w:line="360" w:lineRule="auto"/>
        <w:ind w:firstLine="420" w:firstLineChars="200"/>
        <w:rPr>
          <w:color w:val="0000FF"/>
          <w:szCs w:val="21"/>
        </w:rPr>
      </w:pPr>
      <w:r>
        <w:rPr>
          <w:color w:val="000000"/>
          <w:szCs w:val="21"/>
        </w:rPr>
        <w:t>实验安排：</w:t>
      </w:r>
      <w:r>
        <w:rPr>
          <w:szCs w:val="21"/>
        </w:rPr>
        <w:t xml:space="preserve"> </w:t>
      </w:r>
      <w:r>
        <w:rPr>
          <w:rFonts w:hint="eastAsia"/>
          <w:szCs w:val="21"/>
        </w:rPr>
        <w:t>教师讲述</w:t>
      </w:r>
      <w:r>
        <w:rPr>
          <w:rFonts w:hint="eastAsia"/>
          <w:bCs/>
          <w:szCs w:val="21"/>
        </w:rPr>
        <w:t>智能传感器实现非线性自校正、自校准、自补偿技术的实现方法和程序算法</w:t>
      </w:r>
      <w:r>
        <w:rPr>
          <w:rFonts w:hint="eastAsia"/>
          <w:szCs w:val="21"/>
        </w:rPr>
        <w:t>，并进行操作演示。学生以6人一组，对每个过程中执行的操作进行分析并记录实验结果。</w:t>
      </w:r>
    </w:p>
    <w:p>
      <w:pPr>
        <w:spacing w:line="360" w:lineRule="auto"/>
        <w:ind w:firstLine="420" w:firstLineChars="200"/>
        <w:rPr>
          <w:color w:val="000000"/>
          <w:szCs w:val="21"/>
        </w:rPr>
      </w:pPr>
      <w:r>
        <w:rPr>
          <w:color w:val="000000"/>
          <w:szCs w:val="21"/>
        </w:rPr>
        <w:t xml:space="preserve">实验报告要求： </w:t>
      </w:r>
      <w:r>
        <w:rPr>
          <w:rFonts w:hint="eastAsia"/>
          <w:color w:val="000000"/>
          <w:szCs w:val="21"/>
        </w:rPr>
        <w:t>简述</w:t>
      </w:r>
      <w:r>
        <w:rPr>
          <w:rFonts w:hint="eastAsia"/>
          <w:bCs/>
          <w:szCs w:val="21"/>
        </w:rPr>
        <w:t>智能传感器实现非线性自校正、自校准、自补偿技术的实现方法</w:t>
      </w:r>
      <w:r>
        <w:rPr>
          <w:rFonts w:hint="eastAsia"/>
          <w:color w:val="000000"/>
          <w:szCs w:val="21"/>
        </w:rPr>
        <w:t>，将实验数据及结果以表格列出；分析不同的参数对于实验结果的影响，总结实验中存在的问题和解决方法。</w:t>
      </w:r>
    </w:p>
    <w:p>
      <w:pPr>
        <w:spacing w:line="360" w:lineRule="auto"/>
        <w:ind w:firstLine="422" w:firstLineChars="200"/>
        <w:rPr>
          <w:color w:val="000000"/>
          <w:szCs w:val="21"/>
        </w:rPr>
      </w:pPr>
      <w:r>
        <w:rPr>
          <w:b/>
          <w:color w:val="000000"/>
          <w:szCs w:val="21"/>
        </w:rPr>
        <w:t>实验</w:t>
      </w:r>
      <w:r>
        <w:rPr>
          <w:rFonts w:hint="eastAsia"/>
          <w:b/>
          <w:color w:val="000000"/>
          <w:szCs w:val="21"/>
        </w:rPr>
        <w:t>二 ：</w:t>
      </w:r>
      <w:r>
        <w:rPr>
          <w:rFonts w:hint="eastAsia"/>
          <w:bCs/>
          <w:szCs w:val="21"/>
        </w:rPr>
        <w:t>智能传感器的增益自适应控制、自检、自诊断</w:t>
      </w:r>
    </w:p>
    <w:p>
      <w:pPr>
        <w:spacing w:line="360" w:lineRule="auto"/>
        <w:ind w:firstLine="420" w:firstLineChars="200"/>
        <w:rPr>
          <w:rFonts w:hint="eastAsia"/>
          <w:color w:val="0000FF"/>
          <w:szCs w:val="21"/>
        </w:rPr>
      </w:pPr>
      <w:r>
        <w:rPr>
          <w:color w:val="000000"/>
          <w:szCs w:val="21"/>
        </w:rPr>
        <w:t>实验目的：</w:t>
      </w:r>
      <w:r>
        <w:rPr>
          <w:rFonts w:hint="eastAsia"/>
          <w:color w:val="000000"/>
          <w:szCs w:val="21"/>
        </w:rPr>
        <w:t>掌握智能传感器的增益自适应控制、自检、自诊断技术的实现方法和程序算法。</w:t>
      </w:r>
    </w:p>
    <w:p>
      <w:pPr>
        <w:spacing w:line="360" w:lineRule="auto"/>
        <w:ind w:firstLine="420" w:firstLineChars="200"/>
        <w:rPr>
          <w:color w:val="000000"/>
          <w:szCs w:val="21"/>
        </w:rPr>
      </w:pPr>
      <w:r>
        <w:rPr>
          <w:color w:val="000000"/>
          <w:szCs w:val="21"/>
        </w:rPr>
        <w:t xml:space="preserve">实验原理： </w:t>
      </w:r>
      <w:r>
        <w:rPr>
          <w:rFonts w:hint="eastAsia"/>
          <w:color w:val="000000"/>
          <w:szCs w:val="21"/>
        </w:rPr>
        <w:t>阈值法、校验法、硬件冗余法</w:t>
      </w:r>
    </w:p>
    <w:p>
      <w:pPr>
        <w:spacing w:line="360" w:lineRule="auto"/>
        <w:ind w:firstLine="420" w:firstLineChars="200"/>
        <w:rPr>
          <w:color w:val="0000FF"/>
          <w:szCs w:val="21"/>
        </w:rPr>
      </w:pPr>
      <w:r>
        <w:rPr>
          <w:color w:val="000000"/>
          <w:szCs w:val="21"/>
        </w:rPr>
        <w:t>实验</w:t>
      </w:r>
      <w:r>
        <w:rPr>
          <w:rFonts w:hint="eastAsia"/>
          <w:color w:val="000000"/>
          <w:szCs w:val="21"/>
        </w:rPr>
        <w:t>设备</w:t>
      </w:r>
      <w:r>
        <w:rPr>
          <w:color w:val="000000"/>
          <w:szCs w:val="21"/>
        </w:rPr>
        <w:t>：</w:t>
      </w:r>
      <w:r>
        <w:rPr>
          <w:color w:val="0000FF"/>
          <w:szCs w:val="21"/>
        </w:rPr>
        <w:t xml:space="preserve"> </w:t>
      </w:r>
      <w:r>
        <w:rPr>
          <w:rFonts w:hint="eastAsia"/>
          <w:szCs w:val="21"/>
        </w:rPr>
        <w:t>智能传感器开发板</w:t>
      </w:r>
    </w:p>
    <w:p>
      <w:pPr>
        <w:spacing w:line="360" w:lineRule="auto"/>
        <w:ind w:firstLine="420" w:firstLineChars="200"/>
        <w:rPr>
          <w:color w:val="0000FF"/>
          <w:szCs w:val="21"/>
        </w:rPr>
      </w:pPr>
      <w:r>
        <w:rPr>
          <w:color w:val="000000"/>
          <w:szCs w:val="21"/>
        </w:rPr>
        <w:t>实验安排：</w:t>
      </w:r>
      <w:r>
        <w:rPr>
          <w:color w:val="0000FF"/>
          <w:szCs w:val="21"/>
        </w:rPr>
        <w:t xml:space="preserve"> </w:t>
      </w:r>
      <w:r>
        <w:rPr>
          <w:rFonts w:hint="eastAsia"/>
          <w:szCs w:val="21"/>
        </w:rPr>
        <w:t>教师讲述</w:t>
      </w:r>
      <w:r>
        <w:rPr>
          <w:rFonts w:hint="eastAsia"/>
          <w:bCs/>
          <w:szCs w:val="21"/>
        </w:rPr>
        <w:t>智能传感器实现增益自适应控制、自检、自诊断技术的实现方法和程序算法</w:t>
      </w:r>
      <w:r>
        <w:rPr>
          <w:rFonts w:hint="eastAsia"/>
          <w:szCs w:val="21"/>
        </w:rPr>
        <w:t>，并进行操作演示。学生以6人一组，对每个过程中执行的操作进行分析并记录实验结果。</w:t>
      </w:r>
    </w:p>
    <w:p>
      <w:pPr>
        <w:spacing w:line="360" w:lineRule="auto"/>
        <w:ind w:firstLine="420" w:firstLineChars="200"/>
        <w:rPr>
          <w:color w:val="000000"/>
          <w:szCs w:val="21"/>
        </w:rPr>
      </w:pPr>
      <w:r>
        <w:rPr>
          <w:color w:val="000000"/>
          <w:szCs w:val="21"/>
        </w:rPr>
        <w:t xml:space="preserve">实验报告要求： </w:t>
      </w:r>
      <w:r>
        <w:rPr>
          <w:rFonts w:hint="eastAsia"/>
          <w:color w:val="000000"/>
          <w:szCs w:val="21"/>
        </w:rPr>
        <w:t>简述</w:t>
      </w:r>
      <w:r>
        <w:rPr>
          <w:rFonts w:hint="eastAsia"/>
          <w:bCs/>
          <w:szCs w:val="21"/>
        </w:rPr>
        <w:t>智能传感器实现增益自适应控制、自检、自诊断技术的实现方法</w:t>
      </w:r>
      <w:r>
        <w:rPr>
          <w:rFonts w:hint="eastAsia"/>
          <w:color w:val="000000"/>
          <w:szCs w:val="21"/>
        </w:rPr>
        <w:t>，将实验数据及结果以表格列出；分析不同的参数对于实验结果的影响，总结实验中存在的问题和解决方法。</w:t>
      </w:r>
    </w:p>
    <w:p>
      <w:pPr>
        <w:spacing w:line="360" w:lineRule="auto"/>
        <w:ind w:firstLine="422" w:firstLineChars="200"/>
        <w:rPr>
          <w:color w:val="000000"/>
          <w:szCs w:val="21"/>
        </w:rPr>
      </w:pPr>
      <w:r>
        <w:rPr>
          <w:b/>
          <w:color w:val="000000"/>
          <w:szCs w:val="21"/>
        </w:rPr>
        <w:t>实验</w:t>
      </w:r>
      <w:r>
        <w:rPr>
          <w:rFonts w:hint="eastAsia"/>
          <w:b/>
          <w:color w:val="000000"/>
          <w:szCs w:val="21"/>
        </w:rPr>
        <w:t>三 ：</w:t>
      </w:r>
      <w:r>
        <w:rPr>
          <w:rFonts w:hint="eastAsia"/>
          <w:bCs/>
          <w:szCs w:val="21"/>
        </w:rPr>
        <w:t>MEMS智能温度传感器</w:t>
      </w:r>
    </w:p>
    <w:p>
      <w:pPr>
        <w:spacing w:line="360" w:lineRule="auto"/>
        <w:ind w:firstLine="420" w:firstLineChars="200"/>
        <w:rPr>
          <w:rFonts w:hint="eastAsia"/>
          <w:color w:val="0000FF"/>
          <w:szCs w:val="21"/>
        </w:rPr>
      </w:pPr>
      <w:r>
        <w:rPr>
          <w:color w:val="000000"/>
          <w:szCs w:val="21"/>
        </w:rPr>
        <w:t>实验目的：</w:t>
      </w:r>
      <w:r>
        <w:rPr>
          <w:rFonts w:hint="eastAsia"/>
          <w:color w:val="000000"/>
          <w:szCs w:val="21"/>
        </w:rPr>
        <w:t>理解MEMS智能传感器的原理，掌握MEMS智能传感器系统的实现方法，应用MEMS智能传感器实现温度、加速度和压力的传感。</w:t>
      </w:r>
    </w:p>
    <w:p>
      <w:pPr>
        <w:spacing w:line="360" w:lineRule="auto"/>
        <w:ind w:firstLine="420" w:firstLineChars="200"/>
        <w:rPr>
          <w:color w:val="000000"/>
          <w:szCs w:val="21"/>
        </w:rPr>
      </w:pPr>
      <w:r>
        <w:rPr>
          <w:color w:val="000000"/>
          <w:szCs w:val="21"/>
        </w:rPr>
        <w:t xml:space="preserve">实验原理： </w:t>
      </w:r>
      <w:r>
        <w:t>对温度高度敏感的振荡器决定的计数周期内对温度低敏感的振荡器时钟脉冲的计数值的计算来测量温度</w:t>
      </w:r>
    </w:p>
    <w:p>
      <w:pPr>
        <w:spacing w:line="360" w:lineRule="auto"/>
        <w:ind w:firstLine="420" w:firstLineChars="200"/>
        <w:rPr>
          <w:color w:val="0000FF"/>
          <w:szCs w:val="21"/>
        </w:rPr>
      </w:pPr>
      <w:r>
        <w:rPr>
          <w:color w:val="000000"/>
          <w:szCs w:val="21"/>
        </w:rPr>
        <w:t>实验</w:t>
      </w:r>
      <w:r>
        <w:rPr>
          <w:rFonts w:hint="eastAsia"/>
          <w:color w:val="000000"/>
          <w:szCs w:val="21"/>
        </w:rPr>
        <w:t>设备</w:t>
      </w:r>
      <w:r>
        <w:rPr>
          <w:color w:val="000000"/>
          <w:szCs w:val="21"/>
        </w:rPr>
        <w:t>：</w:t>
      </w:r>
      <w:r>
        <w:rPr>
          <w:color w:val="0000FF"/>
          <w:szCs w:val="21"/>
        </w:rPr>
        <w:t xml:space="preserve"> </w:t>
      </w:r>
      <w:r>
        <w:rPr>
          <w:rFonts w:hint="eastAsia"/>
          <w:szCs w:val="21"/>
        </w:rPr>
        <w:t>智能传感器开发板</w:t>
      </w:r>
    </w:p>
    <w:p>
      <w:pPr>
        <w:spacing w:line="360" w:lineRule="auto"/>
        <w:ind w:firstLine="420" w:firstLineChars="200"/>
        <w:rPr>
          <w:color w:val="0000FF"/>
          <w:szCs w:val="21"/>
        </w:rPr>
      </w:pPr>
      <w:r>
        <w:rPr>
          <w:color w:val="000000"/>
          <w:szCs w:val="21"/>
        </w:rPr>
        <w:t>实验安排：</w:t>
      </w:r>
      <w:r>
        <w:rPr>
          <w:color w:val="0000FF"/>
          <w:szCs w:val="21"/>
        </w:rPr>
        <w:t xml:space="preserve"> </w:t>
      </w:r>
      <w:r>
        <w:rPr>
          <w:rFonts w:hint="eastAsia"/>
          <w:szCs w:val="21"/>
        </w:rPr>
        <w:t>教师讲述</w:t>
      </w:r>
      <w:r>
        <w:rPr>
          <w:rFonts w:hint="eastAsia"/>
          <w:bCs/>
          <w:szCs w:val="21"/>
        </w:rPr>
        <w:t>MEMS智能温度传感器的原理和实现方法以及数据的存储和处理</w:t>
      </w:r>
      <w:r>
        <w:rPr>
          <w:rFonts w:hint="eastAsia"/>
          <w:szCs w:val="21"/>
        </w:rPr>
        <w:t>，并进行操作演示。学生以6人一组，对每个过程中执行的操作进行分析并记录实验结果。</w:t>
      </w:r>
    </w:p>
    <w:p>
      <w:pPr>
        <w:spacing w:line="360" w:lineRule="auto"/>
        <w:ind w:firstLine="420" w:firstLineChars="200"/>
        <w:rPr>
          <w:color w:val="000000"/>
          <w:szCs w:val="21"/>
        </w:rPr>
      </w:pPr>
      <w:r>
        <w:rPr>
          <w:color w:val="000000"/>
          <w:szCs w:val="21"/>
        </w:rPr>
        <w:t xml:space="preserve">实验报告要求： </w:t>
      </w:r>
      <w:r>
        <w:rPr>
          <w:rFonts w:hint="eastAsia"/>
          <w:color w:val="000000"/>
          <w:szCs w:val="21"/>
        </w:rPr>
        <w:t>简述</w:t>
      </w:r>
      <w:r>
        <w:rPr>
          <w:rFonts w:hint="eastAsia"/>
          <w:bCs/>
          <w:szCs w:val="21"/>
        </w:rPr>
        <w:t>MEMS智能温度传感器的原理和实现方法</w:t>
      </w:r>
      <w:r>
        <w:rPr>
          <w:rFonts w:hint="eastAsia"/>
          <w:color w:val="000000"/>
          <w:szCs w:val="21"/>
        </w:rPr>
        <w:t>，将实验数据及结果以表格列出；分析不同的参数对于实验结果的影响，总结实验中存在的问题和解决方法。</w:t>
      </w:r>
    </w:p>
    <w:p>
      <w:pPr>
        <w:spacing w:line="360" w:lineRule="auto"/>
        <w:ind w:firstLine="422" w:firstLineChars="200"/>
        <w:rPr>
          <w:color w:val="000000"/>
          <w:szCs w:val="21"/>
        </w:rPr>
      </w:pPr>
      <w:r>
        <w:rPr>
          <w:b/>
          <w:color w:val="000000"/>
          <w:szCs w:val="21"/>
        </w:rPr>
        <w:t>实验</w:t>
      </w:r>
      <w:r>
        <w:rPr>
          <w:rFonts w:hint="eastAsia"/>
          <w:b/>
          <w:color w:val="000000"/>
          <w:szCs w:val="21"/>
        </w:rPr>
        <w:t>四 ：</w:t>
      </w:r>
      <w:r>
        <w:rPr>
          <w:rFonts w:hint="eastAsia"/>
          <w:bCs/>
          <w:szCs w:val="21"/>
        </w:rPr>
        <w:t>MEMS惯导系统实现对物体角速度和转动的测量</w:t>
      </w:r>
    </w:p>
    <w:p>
      <w:pPr>
        <w:spacing w:line="360" w:lineRule="auto"/>
        <w:ind w:firstLine="420" w:firstLineChars="200"/>
        <w:rPr>
          <w:rFonts w:hint="eastAsia"/>
          <w:color w:val="0000FF"/>
          <w:szCs w:val="21"/>
        </w:rPr>
      </w:pPr>
      <w:r>
        <w:rPr>
          <w:color w:val="000000"/>
          <w:szCs w:val="21"/>
        </w:rPr>
        <w:t>实验目的：</w:t>
      </w:r>
      <w:r>
        <w:rPr>
          <w:rFonts w:hint="eastAsia"/>
          <w:color w:val="000000"/>
          <w:szCs w:val="21"/>
        </w:rPr>
        <w:t>理解MEMS惯导系统的原理，掌握M</w:t>
      </w:r>
      <w:r>
        <w:rPr>
          <w:color w:val="000000"/>
          <w:szCs w:val="21"/>
        </w:rPr>
        <w:t>EMS</w:t>
      </w:r>
      <w:r>
        <w:rPr>
          <w:rFonts w:hint="eastAsia"/>
          <w:color w:val="000000"/>
          <w:szCs w:val="21"/>
        </w:rPr>
        <w:t>惯导系统的实现方法，应用MEMS惯导系统实现对物体角速度和转动的测量。</w:t>
      </w:r>
    </w:p>
    <w:p>
      <w:pPr>
        <w:spacing w:line="360" w:lineRule="auto"/>
        <w:ind w:firstLine="420" w:firstLineChars="200"/>
        <w:rPr>
          <w:color w:val="000000"/>
          <w:szCs w:val="21"/>
        </w:rPr>
      </w:pPr>
      <w:r>
        <w:rPr>
          <w:color w:val="000000"/>
          <w:szCs w:val="21"/>
        </w:rPr>
        <w:t xml:space="preserve">实验原理： </w:t>
      </w:r>
      <w:r>
        <w:rPr>
          <w:rFonts w:hint="eastAsia"/>
          <w:color w:val="000000"/>
          <w:szCs w:val="21"/>
        </w:rPr>
        <w:t>科里奥利效应</w:t>
      </w:r>
    </w:p>
    <w:p>
      <w:pPr>
        <w:spacing w:line="360" w:lineRule="auto"/>
        <w:ind w:firstLine="420" w:firstLineChars="200"/>
        <w:rPr>
          <w:color w:val="0000FF"/>
          <w:szCs w:val="21"/>
        </w:rPr>
      </w:pPr>
      <w:r>
        <w:rPr>
          <w:color w:val="000000"/>
          <w:szCs w:val="21"/>
        </w:rPr>
        <w:t>实验</w:t>
      </w:r>
      <w:r>
        <w:rPr>
          <w:rFonts w:hint="eastAsia"/>
          <w:color w:val="000000"/>
          <w:szCs w:val="21"/>
        </w:rPr>
        <w:t>设备</w:t>
      </w:r>
      <w:r>
        <w:rPr>
          <w:color w:val="000000"/>
          <w:szCs w:val="21"/>
        </w:rPr>
        <w:t>：</w:t>
      </w:r>
      <w:r>
        <w:rPr>
          <w:color w:val="0000FF"/>
          <w:szCs w:val="21"/>
        </w:rPr>
        <w:t xml:space="preserve"> </w:t>
      </w:r>
      <w:r>
        <w:rPr>
          <w:rFonts w:hint="eastAsia"/>
          <w:szCs w:val="21"/>
        </w:rPr>
        <w:t>智能传感器开发板</w:t>
      </w:r>
    </w:p>
    <w:p>
      <w:pPr>
        <w:spacing w:line="360" w:lineRule="auto"/>
        <w:ind w:firstLine="420" w:firstLineChars="200"/>
        <w:rPr>
          <w:color w:val="0000FF"/>
          <w:szCs w:val="21"/>
        </w:rPr>
      </w:pPr>
      <w:r>
        <w:rPr>
          <w:color w:val="000000"/>
          <w:szCs w:val="21"/>
        </w:rPr>
        <w:t>实验安排：</w:t>
      </w:r>
      <w:r>
        <w:rPr>
          <w:color w:val="0000FF"/>
          <w:szCs w:val="21"/>
        </w:rPr>
        <w:t xml:space="preserve"> </w:t>
      </w:r>
      <w:r>
        <w:rPr>
          <w:rFonts w:hint="eastAsia"/>
          <w:szCs w:val="21"/>
        </w:rPr>
        <w:t>教师讲述</w:t>
      </w:r>
      <w:r>
        <w:rPr>
          <w:rFonts w:hint="eastAsia"/>
          <w:bCs/>
          <w:szCs w:val="21"/>
        </w:rPr>
        <w:t>MEMS惯导系统实现对物体角速度和转动的测量的实现原理和方法以及系统每一部分的功能</w:t>
      </w:r>
      <w:r>
        <w:rPr>
          <w:rFonts w:hint="eastAsia"/>
          <w:szCs w:val="21"/>
        </w:rPr>
        <w:t>，并进行操作演示。学生以6人一组，对每个过程中执行的操作进行分析并记录实验结果。</w:t>
      </w:r>
    </w:p>
    <w:p>
      <w:pPr>
        <w:spacing w:line="360" w:lineRule="auto"/>
        <w:ind w:firstLine="420" w:firstLineChars="200"/>
        <w:rPr>
          <w:color w:val="000000"/>
          <w:szCs w:val="21"/>
        </w:rPr>
      </w:pPr>
      <w:r>
        <w:rPr>
          <w:color w:val="000000"/>
          <w:szCs w:val="21"/>
        </w:rPr>
        <w:t xml:space="preserve">实验报告要求： </w:t>
      </w:r>
      <w:r>
        <w:rPr>
          <w:rFonts w:hint="eastAsia"/>
          <w:color w:val="000000"/>
          <w:szCs w:val="21"/>
        </w:rPr>
        <w:t>简述</w:t>
      </w:r>
      <w:r>
        <w:rPr>
          <w:rFonts w:hint="eastAsia"/>
          <w:bCs/>
          <w:szCs w:val="21"/>
        </w:rPr>
        <w:t>MEMS惯导系统实现对物体角速度和转动的测量的实现方法</w:t>
      </w:r>
      <w:r>
        <w:rPr>
          <w:rFonts w:hint="eastAsia"/>
          <w:color w:val="000000"/>
          <w:szCs w:val="21"/>
        </w:rPr>
        <w:t>，将实验数据及结果以表格列出；分析不同的参数对于实验结果的影响，总结实验中存在的问题和解决方法。</w:t>
      </w:r>
      <w:bookmarkEnd w:id="65"/>
    </w:p>
    <w:p>
      <w:pPr>
        <w:spacing w:before="120" w:beforeLines="50" w:after="120" w:afterLines="50" w:line="360" w:lineRule="auto"/>
        <w:ind w:firstLine="210" w:firstLineChars="100"/>
        <w:rPr>
          <w:szCs w:val="21"/>
        </w:rPr>
      </w:pPr>
      <w:r>
        <w:rPr>
          <w:rFonts w:hint="eastAsia"/>
          <w:szCs w:val="21"/>
        </w:rPr>
        <w:t>四、</w:t>
      </w:r>
      <w:r>
        <w:rPr>
          <w:szCs w:val="21"/>
        </w:rPr>
        <w:t>达成课程目标的途径和措施</w:t>
      </w:r>
    </w:p>
    <w:p>
      <w:pPr>
        <w:spacing w:line="360" w:lineRule="auto"/>
        <w:ind w:firstLine="420" w:firstLineChars="200"/>
        <w:rPr>
          <w:rFonts w:hint="eastAsia"/>
          <w:szCs w:val="21"/>
        </w:rPr>
      </w:pPr>
      <w:r>
        <w:rPr>
          <w:szCs w:val="21"/>
        </w:rPr>
        <w:t>1</w:t>
      </w:r>
      <w:r>
        <w:rPr>
          <w:rFonts w:hint="eastAsia"/>
          <w:szCs w:val="21"/>
        </w:rPr>
        <w:t>.  课堂教学。</w:t>
      </w:r>
      <w:r>
        <w:rPr>
          <w:szCs w:val="21"/>
        </w:rPr>
        <w:t>采用多媒体教学</w:t>
      </w:r>
      <w:r>
        <w:rPr>
          <w:rFonts w:hint="eastAsia"/>
          <w:szCs w:val="21"/>
        </w:rPr>
        <w:t>和板书教学相结合的</w:t>
      </w:r>
      <w:r>
        <w:rPr>
          <w:szCs w:val="21"/>
        </w:rPr>
        <w:t>手段，配合例题的讲解及适当的思考题，保证讲课进度的同时，注意学生的</w:t>
      </w:r>
      <w:r>
        <w:rPr>
          <w:rFonts w:hint="eastAsia"/>
          <w:szCs w:val="21"/>
        </w:rPr>
        <w:t>理解和</w:t>
      </w:r>
      <w:r>
        <w:rPr>
          <w:szCs w:val="21"/>
        </w:rPr>
        <w:t>掌握程度</w:t>
      </w:r>
      <w:r>
        <w:rPr>
          <w:rFonts w:hint="eastAsia"/>
          <w:szCs w:val="21"/>
        </w:rPr>
        <w:t>，适当调整讲授速度。结合实际应用进行案例式教学，提升学生的实际应用能力。</w:t>
      </w:r>
    </w:p>
    <w:p>
      <w:pPr>
        <w:spacing w:line="360" w:lineRule="auto"/>
        <w:ind w:firstLine="420" w:firstLineChars="200"/>
        <w:rPr>
          <w:szCs w:val="21"/>
        </w:rPr>
      </w:pPr>
      <w:r>
        <w:rPr>
          <w:szCs w:val="21"/>
        </w:rPr>
        <w:t>2</w:t>
      </w:r>
      <w:r>
        <w:rPr>
          <w:rFonts w:hint="eastAsia"/>
          <w:szCs w:val="21"/>
        </w:rPr>
        <w:t>.  实践教学。</w:t>
      </w:r>
      <w:r>
        <w:rPr>
          <w:szCs w:val="21"/>
        </w:rPr>
        <w:t>本课程</w:t>
      </w:r>
      <w:r>
        <w:rPr>
          <w:rFonts w:hint="eastAsia"/>
          <w:szCs w:val="21"/>
        </w:rPr>
        <w:t>安排</w:t>
      </w:r>
      <w:r>
        <w:rPr>
          <w:szCs w:val="21"/>
        </w:rPr>
        <w:t>8个学时的实验。</w:t>
      </w:r>
      <w:r>
        <w:rPr>
          <w:rFonts w:hint="eastAsia"/>
          <w:szCs w:val="21"/>
        </w:rPr>
        <w:t>通过智能传感器的非线性自校正、自校准、自补偿、增益自适应控制、自检、自诊断等内容进行实验，理解智能传感器的实现原理和方法。通过MEMS智能温度传感器、MEMS惯导系统实现对物体角速度和转动的测量实验理解微机电系统实现智能传感的原理、方法和应用。加深学生对本课程的印象，提升学生动手解决问题的能力。</w:t>
      </w:r>
    </w:p>
    <w:p>
      <w:pPr>
        <w:spacing w:line="360" w:lineRule="auto"/>
        <w:ind w:firstLine="420" w:firstLineChars="200"/>
        <w:rPr>
          <w:rFonts w:hint="eastAsia"/>
          <w:szCs w:val="21"/>
        </w:rPr>
      </w:pPr>
      <w:r>
        <w:rPr>
          <w:rFonts w:hint="eastAsia"/>
          <w:szCs w:val="21"/>
        </w:rPr>
        <w:t>3.  科研成果转化为教学素材。将仪器与电子学院在MEMS传感器领域取得的公开成果用于本课程的课堂教学，提升学生对本课程的兴趣，鼓励学生将来从事相关领域的研究工作。</w:t>
      </w:r>
    </w:p>
    <w:p>
      <w:pPr>
        <w:spacing w:before="120" w:beforeLines="50" w:after="120" w:afterLines="50" w:line="360" w:lineRule="auto"/>
        <w:ind w:firstLine="210" w:firstLineChars="100"/>
        <w:rPr>
          <w:szCs w:val="21"/>
        </w:rPr>
      </w:pPr>
      <w:r>
        <w:rPr>
          <w:rFonts w:hint="eastAsia"/>
          <w:szCs w:val="21"/>
        </w:rPr>
        <w:t>五</w:t>
      </w:r>
      <w:r>
        <w:rPr>
          <w:szCs w:val="21"/>
        </w:rPr>
        <w:t>、考核方式</w:t>
      </w:r>
    </w:p>
    <w:p>
      <w:pPr>
        <w:spacing w:line="360" w:lineRule="auto"/>
        <w:ind w:left="420" w:leftChars="200"/>
        <w:rPr>
          <w:szCs w:val="21"/>
        </w:rPr>
      </w:pPr>
      <w:r>
        <w:rPr>
          <w:szCs w:val="21"/>
        </w:rPr>
        <w:t>1. 课程考核方式包括</w:t>
      </w:r>
      <w:r>
        <w:rPr>
          <w:rFonts w:hint="eastAsia"/>
          <w:szCs w:val="21"/>
        </w:rPr>
        <w:t>随堂测验</w:t>
      </w:r>
      <w:r>
        <w:rPr>
          <w:szCs w:val="21"/>
        </w:rPr>
        <w:t>、</w:t>
      </w:r>
      <w:r>
        <w:rPr>
          <w:rFonts w:hint="eastAsia"/>
          <w:szCs w:val="21"/>
        </w:rPr>
        <w:t>课后</w:t>
      </w:r>
      <w:r>
        <w:rPr>
          <w:szCs w:val="21"/>
        </w:rPr>
        <w:t>作业情况</w:t>
      </w:r>
      <w:r>
        <w:rPr>
          <w:rFonts w:hint="eastAsia"/>
          <w:szCs w:val="21"/>
        </w:rPr>
        <w:t>、</w:t>
      </w:r>
      <w:r>
        <w:rPr>
          <w:szCs w:val="21"/>
        </w:rPr>
        <w:t>实验情况</w:t>
      </w:r>
      <w:r>
        <w:rPr>
          <w:rFonts w:hint="eastAsia"/>
          <w:szCs w:val="21"/>
        </w:rPr>
        <w:t>和</w:t>
      </w:r>
      <w:r>
        <w:rPr>
          <w:szCs w:val="21"/>
        </w:rPr>
        <w:t>期末考试</w:t>
      </w:r>
      <w:r>
        <w:rPr>
          <w:rFonts w:hint="eastAsia"/>
          <w:szCs w:val="21"/>
        </w:rPr>
        <w:t>等</w:t>
      </w:r>
      <w:r>
        <w:rPr>
          <w:szCs w:val="21"/>
        </w:rPr>
        <w:t>。</w:t>
      </w:r>
    </w:p>
    <w:p>
      <w:pPr>
        <w:numPr>
          <w:ilvl w:val="0"/>
          <w:numId w:val="14"/>
        </w:numPr>
        <w:spacing w:line="360" w:lineRule="auto"/>
        <w:ind w:left="420" w:leftChars="200"/>
        <w:rPr>
          <w:rFonts w:hint="eastAsia"/>
          <w:szCs w:val="21"/>
        </w:rPr>
      </w:pPr>
      <w:r>
        <w:rPr>
          <w:rFonts w:hint="eastAsia"/>
          <w:szCs w:val="21"/>
        </w:rPr>
        <w:t>定量评价</w:t>
      </w:r>
    </w:p>
    <w:p>
      <w:pPr>
        <w:spacing w:line="360" w:lineRule="auto"/>
        <w:ind w:firstLine="420" w:firstLineChars="200"/>
        <w:rPr>
          <w:rFonts w:hint="eastAsia"/>
          <w:szCs w:val="21"/>
        </w:rPr>
      </w:pPr>
      <w:r>
        <w:rPr>
          <w:rFonts w:hint="eastAsia"/>
          <w:szCs w:val="21"/>
        </w:rPr>
        <w:t>本课程</w:t>
      </w:r>
      <w:r>
        <w:rPr>
          <w:szCs w:val="21"/>
        </w:rPr>
        <w:t>包含</w:t>
      </w:r>
      <w:r>
        <w:rPr>
          <w:rFonts w:hint="eastAsia"/>
          <w:szCs w:val="21"/>
          <w:lang w:val="en-US" w:eastAsia="zh-CN"/>
        </w:rPr>
        <w:t>2</w:t>
      </w:r>
      <w:r>
        <w:rPr>
          <w:szCs w:val="21"/>
        </w:rPr>
        <w:t>个分课程目标</w:t>
      </w:r>
      <w:r>
        <w:rPr>
          <w:rFonts w:hint="eastAsia"/>
          <w:szCs w:val="21"/>
        </w:rPr>
        <w:t>，有</w:t>
      </w:r>
      <w:r>
        <w:rPr>
          <w:szCs w:val="21"/>
        </w:rPr>
        <w:t>4</w:t>
      </w:r>
      <w:r>
        <w:rPr>
          <w:rFonts w:hint="eastAsia"/>
          <w:szCs w:val="21"/>
        </w:rPr>
        <w:t>个考核</w:t>
      </w:r>
      <w:r>
        <w:rPr>
          <w:rFonts w:hint="eastAsia"/>
          <w:szCs w:val="21"/>
          <w:lang w:eastAsia="zh-CN"/>
        </w:rPr>
        <w:t>环节</w:t>
      </w:r>
      <w:r>
        <w:rPr>
          <w:rFonts w:hint="eastAsia"/>
          <w:szCs w:val="21"/>
        </w:rPr>
        <w:t>，各考核方式对课程目标达成评价的权重占比分配如下：</w:t>
      </w:r>
    </w:p>
    <w:p>
      <w:pPr>
        <w:spacing w:line="360" w:lineRule="auto"/>
        <w:jc w:val="center"/>
        <w:rPr>
          <w:sz w:val="18"/>
          <w:szCs w:val="18"/>
        </w:rPr>
      </w:pPr>
      <w:r>
        <w:rPr>
          <w:color w:val="000000"/>
          <w:sz w:val="18"/>
          <w:szCs w:val="18"/>
        </w:rPr>
        <w:t>表</w:t>
      </w:r>
      <w:r>
        <w:rPr>
          <w:rFonts w:hint="eastAsia"/>
          <w:color w:val="000000"/>
          <w:sz w:val="18"/>
          <w:szCs w:val="18"/>
        </w:rPr>
        <w:t xml:space="preserve">5.1   </w:t>
      </w:r>
      <w:r>
        <w:rPr>
          <w:sz w:val="18"/>
          <w:szCs w:val="18"/>
        </w:rPr>
        <w:t>各考核方式对课程目标达成评价的</w:t>
      </w:r>
      <w:r>
        <w:rPr>
          <w:rFonts w:hint="eastAsia"/>
          <w:sz w:val="18"/>
          <w:szCs w:val="18"/>
        </w:rPr>
        <w:t>权重</w:t>
      </w:r>
      <w:r>
        <w:rPr>
          <w:sz w:val="18"/>
          <w:szCs w:val="18"/>
        </w:rPr>
        <w:t>占比分配</w:t>
      </w:r>
    </w:p>
    <w:tbl>
      <w:tblPr>
        <w:tblStyle w:val="19"/>
        <w:tblW w:w="433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2"/>
        <w:gridCol w:w="1225"/>
        <w:gridCol w:w="1097"/>
        <w:gridCol w:w="1239"/>
        <w:gridCol w:w="1350"/>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014" w:type="pct"/>
            <w:vMerge w:val="restart"/>
            <w:noWrap w:val="0"/>
            <w:vAlign w:val="center"/>
          </w:tcPr>
          <w:p>
            <w:pPr>
              <w:snapToGrid w:val="0"/>
              <w:jc w:val="center"/>
              <w:rPr>
                <w:b/>
                <w:sz w:val="18"/>
                <w:szCs w:val="18"/>
              </w:rPr>
            </w:pPr>
            <w:r>
              <w:rPr>
                <w:b/>
                <w:kern w:val="0"/>
                <w:sz w:val="18"/>
                <w:szCs w:val="18"/>
              </w:rPr>
              <w:t>课程目标</w:t>
            </w:r>
          </w:p>
        </w:tc>
        <w:tc>
          <w:tcPr>
            <w:tcW w:w="3052" w:type="pct"/>
            <w:gridSpan w:val="4"/>
            <w:noWrap w:val="0"/>
            <w:vAlign w:val="center"/>
          </w:tcPr>
          <w:p>
            <w:pPr>
              <w:snapToGrid w:val="0"/>
              <w:jc w:val="center"/>
              <w:rPr>
                <w:rFonts w:hint="eastAsia"/>
                <w:b/>
                <w:sz w:val="18"/>
                <w:szCs w:val="18"/>
              </w:rPr>
            </w:pPr>
            <w:r>
              <w:rPr>
                <w:rFonts w:hint="eastAsia"/>
                <w:b/>
                <w:sz w:val="18"/>
                <w:szCs w:val="18"/>
              </w:rPr>
              <w:t>考核方式以及成绩占比</w:t>
            </w:r>
            <w:r>
              <w:rPr>
                <w:position w:val="-12"/>
              </w:rPr>
              <w:object>
                <v:shape id="_x0000_i1165" o:spt="75" type="#_x0000_t75" style="height:16.1pt;width:13.35pt;" o:ole="t" filled="f" o:preferrelative="t" stroked="f" coordsize="21600,21600">
                  <v:path/>
                  <v:fill on="f" focussize="0,0"/>
                  <v:stroke on="f"/>
                  <v:imagedata r:id="rId300" o:title=""/>
                  <o:lock v:ext="edit" aspectratio="t"/>
                  <w10:wrap type="none"/>
                  <w10:anchorlock/>
                </v:shape>
                <o:OLEObject Type="Embed" ProgID="Equation.3" ShapeID="_x0000_i1165" DrawAspect="Content" ObjectID="_1468075865" r:id="rId307">
                  <o:LockedField>false</o:LockedField>
                </o:OLEObject>
              </w:object>
            </w:r>
            <w:r>
              <w:rPr>
                <w:rFonts w:hint="eastAsia"/>
                <w:b/>
                <w:sz w:val="18"/>
                <w:szCs w:val="18"/>
              </w:rPr>
              <w:t>（%）</w:t>
            </w:r>
          </w:p>
        </w:tc>
        <w:tc>
          <w:tcPr>
            <w:tcW w:w="933" w:type="pct"/>
            <w:vMerge w:val="restart"/>
            <w:noWrap w:val="0"/>
            <w:vAlign w:val="center"/>
          </w:tcPr>
          <w:p>
            <w:pPr>
              <w:snapToGrid w:val="0"/>
              <w:jc w:val="center"/>
              <w:rPr>
                <w:b/>
                <w:kern w:val="0"/>
                <w:sz w:val="18"/>
                <w:szCs w:val="18"/>
              </w:rPr>
            </w:pPr>
            <w:r>
              <w:rPr>
                <w:b/>
                <w:kern w:val="0"/>
                <w:sz w:val="18"/>
                <w:szCs w:val="18"/>
              </w:rPr>
              <w:t>分课程</w:t>
            </w:r>
          </w:p>
          <w:p>
            <w:pPr>
              <w:snapToGrid w:val="0"/>
              <w:jc w:val="center"/>
              <w:rPr>
                <w:rFonts w:hint="eastAsia"/>
                <w:b/>
                <w:i/>
                <w:kern w:val="0"/>
                <w:sz w:val="18"/>
                <w:szCs w:val="18"/>
              </w:rPr>
            </w:pPr>
            <w:r>
              <w:rPr>
                <w:b/>
                <w:kern w:val="0"/>
                <w:sz w:val="18"/>
                <w:szCs w:val="18"/>
              </w:rPr>
              <w:t>目标权重</w:t>
            </w:r>
            <w:r>
              <w:rPr>
                <w:b/>
                <w:i/>
                <w:kern w:val="0"/>
                <w:sz w:val="18"/>
                <w:szCs w:val="18"/>
              </w:rPr>
              <w:t>P</w:t>
            </w:r>
            <w:r>
              <w:rPr>
                <w:b/>
                <w:i/>
                <w:kern w:val="0"/>
                <w:sz w:val="18"/>
                <w:szCs w:val="18"/>
                <w:vertAlign w:val="subscript"/>
              </w:rPr>
              <w:t>i</w:t>
            </w:r>
          </w:p>
          <w:p>
            <w:pPr>
              <w:snapToGrid w:val="0"/>
              <w:jc w:val="center"/>
              <w:rPr>
                <w:kern w:val="0"/>
                <w:sz w:val="18"/>
                <w:szCs w:val="18"/>
              </w:rPr>
            </w:pPr>
            <w:r>
              <w:rPr>
                <w:rFonts w:hint="eastAsia"/>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Merge w:val="continue"/>
            <w:noWrap w:val="0"/>
            <w:vAlign w:val="center"/>
          </w:tcPr>
          <w:p>
            <w:pPr>
              <w:widowControl/>
              <w:snapToGrid w:val="0"/>
              <w:jc w:val="center"/>
              <w:rPr>
                <w:b/>
                <w:kern w:val="0"/>
                <w:sz w:val="18"/>
                <w:szCs w:val="18"/>
              </w:rPr>
            </w:pPr>
          </w:p>
        </w:tc>
        <w:tc>
          <w:tcPr>
            <w:tcW w:w="761" w:type="pct"/>
            <w:noWrap w:val="0"/>
            <w:vAlign w:val="center"/>
          </w:tcPr>
          <w:p>
            <w:pPr>
              <w:widowControl/>
              <w:snapToGrid w:val="0"/>
              <w:jc w:val="center"/>
              <w:rPr>
                <w:rFonts w:hint="eastAsia"/>
                <w:b/>
                <w:kern w:val="0"/>
                <w:sz w:val="18"/>
                <w:szCs w:val="18"/>
              </w:rPr>
            </w:pPr>
            <w:r>
              <w:rPr>
                <w:rFonts w:hint="eastAsia"/>
                <w:b/>
                <w:kern w:val="0"/>
                <w:sz w:val="18"/>
                <w:szCs w:val="18"/>
              </w:rPr>
              <w:t>随堂考核</w:t>
            </w:r>
          </w:p>
          <w:p>
            <w:pPr>
              <w:widowControl/>
              <w:snapToGrid w:val="0"/>
              <w:jc w:val="center"/>
              <w:rPr>
                <w:rFonts w:hint="eastAsia"/>
                <w:b/>
                <w:kern w:val="0"/>
                <w:sz w:val="18"/>
                <w:szCs w:val="18"/>
              </w:rPr>
            </w:pPr>
            <w:r>
              <w:rPr>
                <w:rFonts w:hint="eastAsia"/>
                <w:b/>
                <w:kern w:val="0"/>
                <w:sz w:val="18"/>
                <w:szCs w:val="18"/>
              </w:rPr>
              <w:t>（1）</w:t>
            </w:r>
          </w:p>
        </w:tc>
        <w:tc>
          <w:tcPr>
            <w:tcW w:w="682" w:type="pct"/>
            <w:noWrap w:val="0"/>
            <w:vAlign w:val="center"/>
          </w:tcPr>
          <w:p>
            <w:pPr>
              <w:widowControl/>
              <w:snapToGrid w:val="0"/>
              <w:jc w:val="center"/>
              <w:rPr>
                <w:b/>
                <w:kern w:val="0"/>
                <w:sz w:val="18"/>
                <w:szCs w:val="18"/>
              </w:rPr>
            </w:pPr>
            <w:r>
              <w:rPr>
                <w:rFonts w:hint="eastAsia"/>
                <w:b/>
                <w:kern w:val="0"/>
                <w:sz w:val="18"/>
                <w:szCs w:val="18"/>
              </w:rPr>
              <w:t>作业</w:t>
            </w:r>
          </w:p>
          <w:p>
            <w:pPr>
              <w:widowControl/>
              <w:snapToGrid w:val="0"/>
              <w:jc w:val="center"/>
              <w:rPr>
                <w:rFonts w:hint="eastAsia"/>
                <w:b/>
                <w:kern w:val="0"/>
                <w:sz w:val="18"/>
                <w:szCs w:val="18"/>
              </w:rPr>
            </w:pPr>
            <w:r>
              <w:rPr>
                <w:rFonts w:hint="eastAsia"/>
                <w:b/>
                <w:kern w:val="0"/>
                <w:sz w:val="18"/>
                <w:szCs w:val="18"/>
              </w:rPr>
              <w:t>（2）</w:t>
            </w:r>
          </w:p>
        </w:tc>
        <w:tc>
          <w:tcPr>
            <w:tcW w:w="770" w:type="pct"/>
            <w:noWrap w:val="0"/>
            <w:vAlign w:val="center"/>
          </w:tcPr>
          <w:p>
            <w:pPr>
              <w:widowControl/>
              <w:snapToGrid w:val="0"/>
              <w:jc w:val="center"/>
              <w:rPr>
                <w:b/>
                <w:kern w:val="0"/>
                <w:sz w:val="18"/>
                <w:szCs w:val="18"/>
              </w:rPr>
            </w:pPr>
            <w:r>
              <w:rPr>
                <w:rFonts w:hint="eastAsia"/>
                <w:b/>
                <w:kern w:val="0"/>
                <w:sz w:val="18"/>
                <w:szCs w:val="18"/>
              </w:rPr>
              <w:t>实验</w:t>
            </w:r>
          </w:p>
          <w:p>
            <w:pPr>
              <w:widowControl/>
              <w:snapToGrid w:val="0"/>
              <w:jc w:val="center"/>
              <w:rPr>
                <w:rFonts w:hint="eastAsia"/>
                <w:b/>
                <w:kern w:val="0"/>
                <w:sz w:val="18"/>
                <w:szCs w:val="18"/>
              </w:rPr>
            </w:pPr>
            <w:r>
              <w:rPr>
                <w:rFonts w:hint="eastAsia"/>
                <w:b/>
                <w:kern w:val="0"/>
                <w:sz w:val="18"/>
                <w:szCs w:val="18"/>
              </w:rPr>
              <w:t>（3）</w:t>
            </w:r>
          </w:p>
        </w:tc>
        <w:tc>
          <w:tcPr>
            <w:tcW w:w="839" w:type="pct"/>
            <w:noWrap w:val="0"/>
            <w:vAlign w:val="center"/>
          </w:tcPr>
          <w:p>
            <w:pPr>
              <w:widowControl/>
              <w:snapToGrid w:val="0"/>
              <w:jc w:val="center"/>
              <w:rPr>
                <w:b/>
                <w:kern w:val="0"/>
                <w:sz w:val="18"/>
                <w:szCs w:val="18"/>
              </w:rPr>
            </w:pPr>
            <w:r>
              <w:rPr>
                <w:b/>
                <w:kern w:val="0"/>
                <w:sz w:val="18"/>
                <w:szCs w:val="18"/>
              </w:rPr>
              <w:t>期末考试</w:t>
            </w:r>
          </w:p>
          <w:p>
            <w:pPr>
              <w:widowControl/>
              <w:snapToGrid w:val="0"/>
              <w:jc w:val="center"/>
              <w:rPr>
                <w:rFonts w:hint="eastAsia"/>
                <w:b/>
                <w:kern w:val="0"/>
                <w:sz w:val="18"/>
                <w:szCs w:val="18"/>
              </w:rPr>
            </w:pPr>
            <w:r>
              <w:rPr>
                <w:rFonts w:hint="eastAsia"/>
                <w:b/>
                <w:kern w:val="0"/>
                <w:sz w:val="18"/>
                <w:szCs w:val="18"/>
              </w:rPr>
              <w:t>（4）</w:t>
            </w:r>
          </w:p>
        </w:tc>
        <w:tc>
          <w:tcPr>
            <w:tcW w:w="933"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noWrap w:val="0"/>
            <w:vAlign w:val="center"/>
          </w:tcPr>
          <w:p>
            <w:pPr>
              <w:widowControl/>
              <w:snapToGrid w:val="0"/>
              <w:jc w:val="center"/>
              <w:rPr>
                <w:kern w:val="0"/>
                <w:sz w:val="18"/>
                <w:szCs w:val="18"/>
              </w:rPr>
            </w:pPr>
            <w:r>
              <w:rPr>
                <w:kern w:val="0"/>
                <w:sz w:val="18"/>
                <w:szCs w:val="18"/>
              </w:rPr>
              <w:t>1</w:t>
            </w:r>
          </w:p>
        </w:tc>
        <w:tc>
          <w:tcPr>
            <w:tcW w:w="761" w:type="pct"/>
            <w:noWrap w:val="0"/>
            <w:vAlign w:val="center"/>
          </w:tcPr>
          <w:p>
            <w:pPr>
              <w:jc w:val="center"/>
              <w:rPr>
                <w:sz w:val="18"/>
                <w:szCs w:val="18"/>
              </w:rPr>
            </w:pPr>
            <w:r>
              <w:rPr>
                <w:rFonts w:hint="eastAsia"/>
                <w:sz w:val="18"/>
                <w:szCs w:val="18"/>
              </w:rPr>
              <w:t>6</w:t>
            </w:r>
          </w:p>
        </w:tc>
        <w:tc>
          <w:tcPr>
            <w:tcW w:w="682" w:type="pct"/>
            <w:noWrap w:val="0"/>
            <w:vAlign w:val="center"/>
          </w:tcPr>
          <w:p>
            <w:pPr>
              <w:jc w:val="center"/>
              <w:rPr>
                <w:rFonts w:hint="eastAsia"/>
                <w:sz w:val="18"/>
                <w:szCs w:val="18"/>
              </w:rPr>
            </w:pPr>
            <w:r>
              <w:rPr>
                <w:rFonts w:hint="eastAsia"/>
                <w:sz w:val="18"/>
                <w:szCs w:val="18"/>
              </w:rPr>
              <w:t>6</w:t>
            </w:r>
          </w:p>
        </w:tc>
        <w:tc>
          <w:tcPr>
            <w:tcW w:w="770" w:type="pct"/>
            <w:noWrap w:val="0"/>
            <w:vAlign w:val="center"/>
          </w:tcPr>
          <w:p>
            <w:pPr>
              <w:jc w:val="center"/>
              <w:rPr>
                <w:sz w:val="18"/>
                <w:szCs w:val="18"/>
              </w:rPr>
            </w:pPr>
            <w:r>
              <w:rPr>
                <w:rFonts w:hint="eastAsia"/>
                <w:sz w:val="18"/>
                <w:szCs w:val="18"/>
              </w:rPr>
              <w:t>2</w:t>
            </w:r>
            <w:r>
              <w:rPr>
                <w:sz w:val="18"/>
                <w:szCs w:val="18"/>
              </w:rPr>
              <w:t>4</w:t>
            </w:r>
          </w:p>
        </w:tc>
        <w:tc>
          <w:tcPr>
            <w:tcW w:w="839" w:type="pct"/>
            <w:noWrap w:val="0"/>
            <w:vAlign w:val="center"/>
          </w:tcPr>
          <w:p>
            <w:pPr>
              <w:jc w:val="center"/>
              <w:rPr>
                <w:sz w:val="18"/>
                <w:szCs w:val="18"/>
              </w:rPr>
            </w:pPr>
            <w:r>
              <w:rPr>
                <w:rFonts w:hint="eastAsia"/>
                <w:sz w:val="18"/>
                <w:szCs w:val="18"/>
              </w:rPr>
              <w:t>4</w:t>
            </w:r>
            <w:r>
              <w:rPr>
                <w:sz w:val="18"/>
                <w:szCs w:val="18"/>
              </w:rPr>
              <w:t>4</w:t>
            </w:r>
          </w:p>
        </w:tc>
        <w:tc>
          <w:tcPr>
            <w:tcW w:w="933" w:type="pct"/>
            <w:noWrap w:val="0"/>
            <w:vAlign w:val="center"/>
          </w:tcPr>
          <w:p>
            <w:pPr>
              <w:snapToGrid w:val="0"/>
              <w:jc w:val="center"/>
              <w:rPr>
                <w:sz w:val="18"/>
                <w:szCs w:val="18"/>
              </w:rPr>
            </w:pPr>
            <w:r>
              <w:rPr>
                <w:rFonts w:hint="eastAsia"/>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noWrap w:val="0"/>
            <w:vAlign w:val="center"/>
          </w:tcPr>
          <w:p>
            <w:pPr>
              <w:widowControl/>
              <w:snapToGrid w:val="0"/>
              <w:jc w:val="center"/>
              <w:rPr>
                <w:kern w:val="0"/>
                <w:sz w:val="18"/>
                <w:szCs w:val="18"/>
              </w:rPr>
            </w:pPr>
            <w:r>
              <w:rPr>
                <w:kern w:val="0"/>
                <w:sz w:val="18"/>
                <w:szCs w:val="18"/>
              </w:rPr>
              <w:t>2</w:t>
            </w:r>
          </w:p>
        </w:tc>
        <w:tc>
          <w:tcPr>
            <w:tcW w:w="761" w:type="pct"/>
            <w:noWrap w:val="0"/>
            <w:vAlign w:val="center"/>
          </w:tcPr>
          <w:p>
            <w:pPr>
              <w:jc w:val="center"/>
              <w:rPr>
                <w:sz w:val="18"/>
                <w:szCs w:val="18"/>
              </w:rPr>
            </w:pPr>
            <w:r>
              <w:rPr>
                <w:sz w:val="18"/>
                <w:szCs w:val="18"/>
              </w:rPr>
              <w:t>4</w:t>
            </w:r>
          </w:p>
        </w:tc>
        <w:tc>
          <w:tcPr>
            <w:tcW w:w="682" w:type="pct"/>
            <w:noWrap w:val="0"/>
            <w:vAlign w:val="center"/>
          </w:tcPr>
          <w:p>
            <w:pPr>
              <w:jc w:val="center"/>
              <w:rPr>
                <w:rFonts w:hint="eastAsia"/>
                <w:sz w:val="18"/>
                <w:szCs w:val="18"/>
              </w:rPr>
            </w:pPr>
            <w:r>
              <w:rPr>
                <w:rFonts w:hint="eastAsia"/>
                <w:sz w:val="18"/>
                <w:szCs w:val="18"/>
              </w:rPr>
              <w:t>4</w:t>
            </w:r>
          </w:p>
        </w:tc>
        <w:tc>
          <w:tcPr>
            <w:tcW w:w="770" w:type="pct"/>
            <w:noWrap w:val="0"/>
            <w:vAlign w:val="center"/>
          </w:tcPr>
          <w:p>
            <w:pPr>
              <w:jc w:val="center"/>
              <w:rPr>
                <w:sz w:val="18"/>
                <w:szCs w:val="18"/>
              </w:rPr>
            </w:pPr>
            <w:r>
              <w:rPr>
                <w:rFonts w:hint="eastAsia"/>
                <w:sz w:val="18"/>
                <w:szCs w:val="18"/>
              </w:rPr>
              <w:t>6</w:t>
            </w:r>
          </w:p>
        </w:tc>
        <w:tc>
          <w:tcPr>
            <w:tcW w:w="839" w:type="pct"/>
            <w:noWrap w:val="0"/>
            <w:vAlign w:val="center"/>
          </w:tcPr>
          <w:p>
            <w:pPr>
              <w:jc w:val="center"/>
              <w:rPr>
                <w:rFonts w:hint="eastAsia"/>
                <w:sz w:val="18"/>
                <w:szCs w:val="18"/>
              </w:rPr>
            </w:pPr>
            <w:r>
              <w:rPr>
                <w:rFonts w:hint="eastAsia"/>
                <w:sz w:val="18"/>
                <w:szCs w:val="18"/>
              </w:rPr>
              <w:t>6</w:t>
            </w:r>
          </w:p>
        </w:tc>
        <w:tc>
          <w:tcPr>
            <w:tcW w:w="933" w:type="pct"/>
            <w:noWrap w:val="0"/>
            <w:vAlign w:val="center"/>
          </w:tcPr>
          <w:p>
            <w:pPr>
              <w:snapToGrid w:val="0"/>
              <w:jc w:val="center"/>
              <w:rPr>
                <w:sz w:val="18"/>
                <w:szCs w:val="18"/>
              </w:rPr>
            </w:pPr>
            <w:r>
              <w:rPr>
                <w:sz w:val="18"/>
                <w:szCs w:val="18"/>
              </w:rPr>
              <w:t>2</w:t>
            </w: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noWrap w:val="0"/>
            <w:vAlign w:val="center"/>
          </w:tcPr>
          <w:p>
            <w:pPr>
              <w:widowControl/>
              <w:snapToGrid w:val="0"/>
              <w:jc w:val="center"/>
              <w:rPr>
                <w:kern w:val="0"/>
                <w:sz w:val="18"/>
                <w:szCs w:val="18"/>
              </w:rPr>
            </w:pPr>
            <w:r>
              <w:rPr>
                <w:rFonts w:hint="eastAsia"/>
                <w:kern w:val="0"/>
                <w:sz w:val="18"/>
                <w:szCs w:val="18"/>
              </w:rPr>
              <w:t>考核环节成绩比例合计（%）</w:t>
            </w:r>
          </w:p>
        </w:tc>
        <w:tc>
          <w:tcPr>
            <w:tcW w:w="761" w:type="pct"/>
            <w:noWrap w:val="0"/>
            <w:vAlign w:val="center"/>
          </w:tcPr>
          <w:p>
            <w:pPr>
              <w:jc w:val="center"/>
              <w:rPr>
                <w:sz w:val="18"/>
                <w:szCs w:val="18"/>
              </w:rPr>
            </w:pPr>
            <w:r>
              <w:rPr>
                <w:rFonts w:hint="eastAsia"/>
                <w:sz w:val="18"/>
                <w:szCs w:val="18"/>
                <w:lang w:bidi="ar"/>
              </w:rPr>
              <w:t>10</w:t>
            </w:r>
            <w:r>
              <w:rPr>
                <w:sz w:val="18"/>
                <w:szCs w:val="18"/>
                <w:lang w:bidi="ar"/>
              </w:rPr>
              <w:t xml:space="preserve"> </w:t>
            </w:r>
          </w:p>
        </w:tc>
        <w:tc>
          <w:tcPr>
            <w:tcW w:w="682" w:type="pct"/>
            <w:noWrap w:val="0"/>
            <w:vAlign w:val="center"/>
          </w:tcPr>
          <w:p>
            <w:pPr>
              <w:jc w:val="center"/>
              <w:rPr>
                <w:sz w:val="18"/>
                <w:szCs w:val="18"/>
              </w:rPr>
            </w:pPr>
            <w:r>
              <w:rPr>
                <w:rFonts w:hint="eastAsia"/>
                <w:sz w:val="18"/>
                <w:szCs w:val="18"/>
                <w:lang w:bidi="ar"/>
              </w:rPr>
              <w:t>10</w:t>
            </w:r>
          </w:p>
        </w:tc>
        <w:tc>
          <w:tcPr>
            <w:tcW w:w="770" w:type="pct"/>
            <w:noWrap w:val="0"/>
            <w:vAlign w:val="center"/>
          </w:tcPr>
          <w:p>
            <w:pPr>
              <w:jc w:val="center"/>
              <w:rPr>
                <w:sz w:val="18"/>
                <w:szCs w:val="18"/>
              </w:rPr>
            </w:pPr>
            <w:r>
              <w:rPr>
                <w:sz w:val="18"/>
                <w:szCs w:val="18"/>
              </w:rPr>
              <w:t>30</w:t>
            </w:r>
          </w:p>
        </w:tc>
        <w:tc>
          <w:tcPr>
            <w:tcW w:w="839" w:type="pct"/>
            <w:noWrap w:val="0"/>
            <w:vAlign w:val="center"/>
          </w:tcPr>
          <w:p>
            <w:pPr>
              <w:jc w:val="center"/>
              <w:rPr>
                <w:sz w:val="18"/>
                <w:szCs w:val="18"/>
              </w:rPr>
            </w:pPr>
            <w:r>
              <w:rPr>
                <w:sz w:val="18"/>
                <w:szCs w:val="18"/>
                <w:lang w:bidi="ar"/>
              </w:rPr>
              <w:t>50</w:t>
            </w:r>
          </w:p>
        </w:tc>
        <w:tc>
          <w:tcPr>
            <w:tcW w:w="933" w:type="pct"/>
            <w:noWrap w:val="0"/>
            <w:vAlign w:val="center"/>
          </w:tcPr>
          <w:p>
            <w:pPr>
              <w:snapToGrid w:val="0"/>
              <w:jc w:val="center"/>
              <w:rPr>
                <w:sz w:val="18"/>
                <w:szCs w:val="18"/>
              </w:rPr>
            </w:pPr>
            <w:r>
              <w:rPr>
                <w:rFonts w:hint="eastAsia"/>
                <w:sz w:val="18"/>
                <w:szCs w:val="18"/>
              </w:rPr>
              <w:t>1</w:t>
            </w:r>
            <w:r>
              <w:rPr>
                <w:sz w:val="18"/>
                <w:szCs w:val="18"/>
              </w:rPr>
              <w:t>00</w:t>
            </w:r>
          </w:p>
        </w:tc>
      </w:tr>
    </w:tbl>
    <w:p>
      <w:pPr>
        <w:pStyle w:val="9"/>
        <w:rPr>
          <w:rFonts w:hint="eastAsia"/>
        </w:rPr>
      </w:pPr>
    </w:p>
    <w:p>
      <w:pPr>
        <w:numPr>
          <w:ilvl w:val="0"/>
          <w:numId w:val="15"/>
        </w:numPr>
        <w:spacing w:line="360" w:lineRule="auto"/>
        <w:ind w:firstLine="420" w:firstLineChars="200"/>
        <w:rPr>
          <w:rFonts w:hint="eastAsia"/>
          <w:szCs w:val="21"/>
        </w:rPr>
      </w:pPr>
      <w:r>
        <w:rPr>
          <w:rFonts w:hint="eastAsia"/>
          <w:szCs w:val="21"/>
        </w:rPr>
        <w:t>定性评价</w:t>
      </w:r>
    </w:p>
    <w:p>
      <w:pPr>
        <w:spacing w:line="360" w:lineRule="auto"/>
        <w:ind w:firstLine="420" w:firstLineChars="200"/>
        <w:rPr>
          <w:rFonts w:hint="eastAsia"/>
          <w:color w:val="000000"/>
          <w:szCs w:val="21"/>
        </w:rPr>
      </w:pPr>
      <w:r>
        <w:rPr>
          <w:color w:val="000000"/>
        </w:rPr>
        <w:t>定性评价指利用学生的调查问卷进行课程目标达成情况评价</w:t>
      </w:r>
      <w:r>
        <w:rPr>
          <w:rFonts w:hint="eastAsia"/>
          <w:color w:val="000000"/>
        </w:rPr>
        <w:t>，</w:t>
      </w:r>
      <w:r>
        <w:rPr>
          <w:color w:val="000000"/>
          <w:szCs w:val="21"/>
        </w:rPr>
        <w:t>按照各课程目标分项设计合适的问卷，调查学生掌握知识及获得能力等课程目标达成情况</w:t>
      </w:r>
      <w:r>
        <w:rPr>
          <w:rFonts w:hint="eastAsia"/>
          <w:color w:val="000000"/>
          <w:szCs w:val="21"/>
        </w:rPr>
        <w:t>。</w:t>
      </w:r>
      <w:r>
        <w:rPr>
          <w:color w:val="000000"/>
          <w:szCs w:val="21"/>
        </w:rPr>
        <w:t>其中成绩均采用百分制统计，五级分制转换为百分制时，优对应9</w:t>
      </w:r>
      <w:r>
        <w:rPr>
          <w:rFonts w:hint="eastAsia"/>
          <w:color w:val="000000"/>
          <w:szCs w:val="21"/>
        </w:rPr>
        <w:t>0</w:t>
      </w:r>
      <w:r>
        <w:rPr>
          <w:color w:val="000000"/>
          <w:szCs w:val="21"/>
        </w:rPr>
        <w:t>分，良对应8</w:t>
      </w:r>
      <w:r>
        <w:rPr>
          <w:rFonts w:hint="eastAsia"/>
          <w:color w:val="000000"/>
          <w:szCs w:val="21"/>
        </w:rPr>
        <w:t>0</w:t>
      </w:r>
      <w:r>
        <w:rPr>
          <w:color w:val="000000"/>
          <w:szCs w:val="21"/>
        </w:rPr>
        <w:t>分，中对应7</w:t>
      </w:r>
      <w:r>
        <w:rPr>
          <w:rFonts w:hint="eastAsia"/>
          <w:color w:val="000000"/>
          <w:szCs w:val="21"/>
        </w:rPr>
        <w:t>0</w:t>
      </w:r>
      <w:r>
        <w:rPr>
          <w:color w:val="000000"/>
          <w:szCs w:val="21"/>
        </w:rPr>
        <w:t>分，及格对应6</w:t>
      </w:r>
      <w:r>
        <w:rPr>
          <w:rFonts w:hint="eastAsia"/>
          <w:color w:val="000000"/>
          <w:szCs w:val="21"/>
        </w:rPr>
        <w:t>0</w:t>
      </w:r>
      <w:r>
        <w:rPr>
          <w:color w:val="000000"/>
          <w:szCs w:val="21"/>
        </w:rPr>
        <w:t>分，不及格对应5</w:t>
      </w:r>
      <w:r>
        <w:rPr>
          <w:rFonts w:hint="eastAsia"/>
          <w:color w:val="000000"/>
          <w:szCs w:val="21"/>
        </w:rPr>
        <w:t>0</w:t>
      </w:r>
      <w:r>
        <w:rPr>
          <w:color w:val="000000"/>
          <w:szCs w:val="21"/>
        </w:rPr>
        <w:t>分。</w:t>
      </w:r>
    </w:p>
    <w:p>
      <w:pPr>
        <w:spacing w:line="360" w:lineRule="auto"/>
        <w:ind w:firstLine="420" w:firstLineChars="200"/>
        <w:rPr>
          <w:rFonts w:hint="eastAsia"/>
          <w:color w:val="FF0000"/>
          <w:szCs w:val="21"/>
        </w:rPr>
      </w:pPr>
      <w:r>
        <w:rPr>
          <w:rFonts w:hint="eastAsia"/>
          <w:color w:val="000000"/>
        </w:rPr>
        <w:t>综合定性与定量评价结果，取最小量为最终评价结果。</w:t>
      </w:r>
    </w:p>
    <w:p>
      <w:pPr>
        <w:spacing w:before="120" w:beforeLines="50" w:after="120" w:afterLines="50" w:line="360" w:lineRule="auto"/>
        <w:ind w:firstLine="210" w:firstLineChars="100"/>
        <w:rPr>
          <w:szCs w:val="21"/>
        </w:rPr>
      </w:pPr>
      <w:r>
        <w:rPr>
          <w:rFonts w:hint="eastAsia"/>
          <w:szCs w:val="21"/>
        </w:rPr>
        <w:t>六</w:t>
      </w:r>
      <w:r>
        <w:rPr>
          <w:szCs w:val="21"/>
        </w:rPr>
        <w:t>、</w:t>
      </w:r>
      <w:r>
        <w:rPr>
          <w:rFonts w:hint="eastAsia"/>
          <w:szCs w:val="21"/>
        </w:rPr>
        <w:t>评价标准：</w:t>
      </w:r>
    </w:p>
    <w:p>
      <w:pPr>
        <w:spacing w:line="360" w:lineRule="auto"/>
        <w:ind w:firstLine="207" w:firstLineChars="98"/>
        <w:rPr>
          <w:rFonts w:hint="eastAsia"/>
          <w:b/>
          <w:szCs w:val="21"/>
        </w:rPr>
      </w:pPr>
      <w:r>
        <w:rPr>
          <w:rFonts w:hint="eastAsia"/>
          <w:b/>
          <w:szCs w:val="21"/>
        </w:rPr>
        <w:t>1、</w:t>
      </w:r>
      <w:r>
        <w:rPr>
          <w:rFonts w:hint="eastAsia"/>
          <w:b/>
        </w:rPr>
        <w:t>随堂测试</w:t>
      </w:r>
      <w:r>
        <w:rPr>
          <w:rFonts w:hint="eastAsia"/>
          <w:b/>
          <w:szCs w:val="21"/>
        </w:rPr>
        <w:t>评价标准</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1560"/>
        <w:gridCol w:w="1559"/>
        <w:gridCol w:w="1559"/>
        <w:gridCol w:w="1559"/>
        <w:gridCol w:w="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310" w:type="dxa"/>
            <w:vMerge w:val="restart"/>
            <w:shd w:val="clear" w:color="auto" w:fill="F2F2F2"/>
            <w:vAlign w:val="center"/>
          </w:tcPr>
          <w:p>
            <w:pPr>
              <w:jc w:val="center"/>
              <w:rPr>
                <w:b/>
                <w:color w:val="000000"/>
                <w:sz w:val="18"/>
                <w:szCs w:val="18"/>
              </w:rPr>
            </w:pPr>
            <w:r>
              <w:rPr>
                <w:rFonts w:hint="eastAsia"/>
                <w:b/>
                <w:color w:val="000000"/>
                <w:sz w:val="18"/>
                <w:szCs w:val="18"/>
              </w:rPr>
              <w:t>基本要求</w:t>
            </w:r>
          </w:p>
        </w:tc>
        <w:tc>
          <w:tcPr>
            <w:tcW w:w="6237" w:type="dxa"/>
            <w:gridSpan w:val="4"/>
            <w:shd w:val="clear" w:color="auto" w:fill="F2F2F2"/>
            <w:vAlign w:val="center"/>
          </w:tcPr>
          <w:p>
            <w:pPr>
              <w:jc w:val="center"/>
              <w:rPr>
                <w:b/>
                <w:color w:val="000000"/>
                <w:sz w:val="18"/>
                <w:szCs w:val="18"/>
              </w:rPr>
            </w:pPr>
            <w:r>
              <w:rPr>
                <w:rFonts w:hint="eastAsia"/>
                <w:b/>
                <w:color w:val="000000"/>
                <w:sz w:val="18"/>
                <w:szCs w:val="18"/>
              </w:rPr>
              <w:t>评价标准</w:t>
            </w:r>
          </w:p>
        </w:tc>
        <w:tc>
          <w:tcPr>
            <w:tcW w:w="607" w:type="dxa"/>
            <w:vMerge w:val="restart"/>
            <w:shd w:val="clear" w:color="auto" w:fill="F2F2F2"/>
            <w:vAlign w:val="center"/>
          </w:tcPr>
          <w:p>
            <w:pPr>
              <w:jc w:val="center"/>
              <w:rPr>
                <w:rFonts w:hint="eastAsia"/>
                <w:b/>
                <w:color w:val="000000"/>
                <w:sz w:val="18"/>
                <w:szCs w:val="18"/>
              </w:rPr>
            </w:pPr>
            <w:r>
              <w:rPr>
                <w:rFonts w:hint="eastAsia"/>
                <w:b/>
                <w:color w:val="000000"/>
                <w:sz w:val="18"/>
                <w:szCs w:val="1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310" w:type="dxa"/>
            <w:vMerge w:val="continue"/>
            <w:shd w:val="clear" w:color="auto" w:fill="F2F2F2"/>
          </w:tcPr>
          <w:p>
            <w:pPr>
              <w:spacing w:line="420" w:lineRule="exact"/>
              <w:jc w:val="center"/>
              <w:rPr>
                <w:rFonts w:hint="eastAsia"/>
                <w:b/>
                <w:color w:val="000000"/>
                <w:sz w:val="18"/>
                <w:szCs w:val="18"/>
              </w:rPr>
            </w:pPr>
          </w:p>
        </w:tc>
        <w:tc>
          <w:tcPr>
            <w:tcW w:w="1560" w:type="dxa"/>
            <w:shd w:val="clear" w:color="auto" w:fill="F2F2F2"/>
          </w:tcPr>
          <w:p>
            <w:pPr>
              <w:spacing w:line="420" w:lineRule="exact"/>
              <w:jc w:val="center"/>
              <w:rPr>
                <w:rFonts w:hint="eastAsia"/>
                <w:b/>
                <w:color w:val="000000"/>
                <w:sz w:val="18"/>
                <w:szCs w:val="18"/>
              </w:rPr>
            </w:pPr>
            <w:r>
              <w:rPr>
                <w:rFonts w:hint="eastAsia"/>
                <w:b/>
                <w:color w:val="000000"/>
                <w:sz w:val="18"/>
                <w:szCs w:val="18"/>
              </w:rPr>
              <w:t>90-100分</w:t>
            </w:r>
          </w:p>
        </w:tc>
        <w:tc>
          <w:tcPr>
            <w:tcW w:w="1559" w:type="dxa"/>
            <w:shd w:val="clear" w:color="auto" w:fill="F2F2F2"/>
          </w:tcPr>
          <w:p>
            <w:pPr>
              <w:spacing w:line="420" w:lineRule="exact"/>
              <w:jc w:val="center"/>
              <w:rPr>
                <w:rFonts w:hint="eastAsia"/>
                <w:b/>
                <w:color w:val="000000"/>
                <w:sz w:val="18"/>
                <w:szCs w:val="18"/>
              </w:rPr>
            </w:pPr>
            <w:r>
              <w:rPr>
                <w:rFonts w:hint="eastAsia"/>
                <w:b/>
                <w:color w:val="000000"/>
                <w:sz w:val="18"/>
                <w:szCs w:val="18"/>
              </w:rPr>
              <w:t>75-89分</w:t>
            </w:r>
          </w:p>
        </w:tc>
        <w:tc>
          <w:tcPr>
            <w:tcW w:w="1559" w:type="dxa"/>
            <w:shd w:val="clear" w:color="auto" w:fill="F2F2F2"/>
          </w:tcPr>
          <w:p>
            <w:pPr>
              <w:spacing w:line="420" w:lineRule="exact"/>
              <w:jc w:val="center"/>
              <w:rPr>
                <w:rFonts w:hint="eastAsia"/>
                <w:b/>
                <w:color w:val="000000"/>
                <w:sz w:val="18"/>
                <w:szCs w:val="18"/>
              </w:rPr>
            </w:pPr>
            <w:r>
              <w:rPr>
                <w:rFonts w:hint="eastAsia"/>
                <w:b/>
                <w:color w:val="000000"/>
                <w:sz w:val="18"/>
                <w:szCs w:val="18"/>
              </w:rPr>
              <w:t>60-74分</w:t>
            </w:r>
          </w:p>
        </w:tc>
        <w:tc>
          <w:tcPr>
            <w:tcW w:w="1559" w:type="dxa"/>
            <w:shd w:val="clear" w:color="auto" w:fill="F2F2F2"/>
          </w:tcPr>
          <w:p>
            <w:pPr>
              <w:spacing w:line="420" w:lineRule="exact"/>
              <w:jc w:val="center"/>
              <w:rPr>
                <w:rFonts w:hint="eastAsia"/>
                <w:b/>
                <w:color w:val="000000"/>
                <w:sz w:val="18"/>
                <w:szCs w:val="18"/>
              </w:rPr>
            </w:pPr>
            <w:r>
              <w:rPr>
                <w:rFonts w:hint="eastAsia"/>
                <w:b/>
                <w:color w:val="000000"/>
                <w:sz w:val="18"/>
                <w:szCs w:val="18"/>
              </w:rPr>
              <w:t>0-59分</w:t>
            </w:r>
          </w:p>
        </w:tc>
        <w:tc>
          <w:tcPr>
            <w:tcW w:w="607" w:type="dxa"/>
            <w:vMerge w:val="continue"/>
            <w:shd w:val="clear" w:color="auto" w:fill="F2F2F2"/>
          </w:tcPr>
          <w:p>
            <w:pPr>
              <w:spacing w:line="420" w:lineRule="exact"/>
              <w:jc w:val="center"/>
              <w:rPr>
                <w:b/>
                <w:bCs/>
                <w:color w:val="C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bCs/>
                <w:sz w:val="18"/>
                <w:szCs w:val="18"/>
              </w:rPr>
            </w:pPr>
            <w:r>
              <w:rPr>
                <w:rFonts w:hint="eastAsia"/>
                <w:bCs/>
                <w:sz w:val="18"/>
                <w:szCs w:val="18"/>
              </w:rPr>
              <w:t>智能传感器的概念；灵巧结构和机敏材料的概念及应用。</w:t>
            </w:r>
            <w:r>
              <w:rPr>
                <w:bCs/>
                <w:sz w:val="18"/>
                <w:szCs w:val="18"/>
              </w:rPr>
              <w:t>(支撑课程目标1、毕业要求指标点4-1)</w:t>
            </w:r>
          </w:p>
        </w:tc>
        <w:tc>
          <w:tcPr>
            <w:tcW w:w="1560" w:type="dxa"/>
            <w:vAlign w:val="center"/>
          </w:tcPr>
          <w:p>
            <w:pPr>
              <w:rPr>
                <w:bCs/>
                <w:sz w:val="18"/>
                <w:szCs w:val="18"/>
              </w:rPr>
            </w:pPr>
            <w:r>
              <w:rPr>
                <w:bCs/>
                <w:sz w:val="18"/>
                <w:szCs w:val="18"/>
              </w:rPr>
              <w:t>规定时间内完成；能够熟练掌握</w:t>
            </w:r>
            <w:r>
              <w:rPr>
                <w:rFonts w:hint="eastAsia"/>
                <w:bCs/>
                <w:sz w:val="18"/>
                <w:szCs w:val="18"/>
              </w:rPr>
              <w:t>智能传感器的概念</w:t>
            </w:r>
            <w:r>
              <w:rPr>
                <w:bCs/>
                <w:sz w:val="18"/>
                <w:szCs w:val="18"/>
              </w:rPr>
              <w:t>；</w:t>
            </w:r>
            <w:r>
              <w:rPr>
                <w:rFonts w:hint="eastAsia"/>
                <w:bCs/>
                <w:sz w:val="18"/>
                <w:szCs w:val="18"/>
              </w:rPr>
              <w:t>能够掌握灵巧结构和机敏材料的概念及应用。</w:t>
            </w:r>
            <w:r>
              <w:rPr>
                <w:bCs/>
                <w:sz w:val="18"/>
                <w:szCs w:val="18"/>
              </w:rPr>
              <w:t>答题规范，准确性高。</w:t>
            </w:r>
          </w:p>
        </w:tc>
        <w:tc>
          <w:tcPr>
            <w:tcW w:w="1559" w:type="dxa"/>
            <w:vAlign w:val="center"/>
          </w:tcPr>
          <w:p>
            <w:pPr>
              <w:rPr>
                <w:bCs/>
                <w:sz w:val="18"/>
                <w:szCs w:val="18"/>
              </w:rPr>
            </w:pPr>
            <w:r>
              <w:rPr>
                <w:bCs/>
                <w:sz w:val="18"/>
                <w:szCs w:val="18"/>
              </w:rPr>
              <w:t>规定时间内完成；能够较好掌握</w:t>
            </w:r>
            <w:r>
              <w:rPr>
                <w:rFonts w:hint="eastAsia"/>
                <w:bCs/>
                <w:sz w:val="18"/>
                <w:szCs w:val="18"/>
              </w:rPr>
              <w:t>智能传感器的概念</w:t>
            </w:r>
            <w:r>
              <w:rPr>
                <w:bCs/>
                <w:sz w:val="18"/>
                <w:szCs w:val="18"/>
              </w:rPr>
              <w:t>；</w:t>
            </w:r>
            <w:r>
              <w:rPr>
                <w:rFonts w:hint="eastAsia"/>
                <w:bCs/>
                <w:sz w:val="18"/>
                <w:szCs w:val="18"/>
              </w:rPr>
              <w:t>能够理解灵巧结构和机敏材料的概念及应用。</w:t>
            </w:r>
            <w:r>
              <w:rPr>
                <w:bCs/>
                <w:sz w:val="18"/>
                <w:szCs w:val="18"/>
              </w:rPr>
              <w:t>答题较规范，准确性较高。</w:t>
            </w:r>
          </w:p>
        </w:tc>
        <w:tc>
          <w:tcPr>
            <w:tcW w:w="1559" w:type="dxa"/>
            <w:vAlign w:val="center"/>
          </w:tcPr>
          <w:p>
            <w:pPr>
              <w:rPr>
                <w:bCs/>
                <w:sz w:val="18"/>
                <w:szCs w:val="18"/>
              </w:rPr>
            </w:pPr>
            <w:r>
              <w:rPr>
                <w:bCs/>
                <w:sz w:val="18"/>
                <w:szCs w:val="18"/>
              </w:rPr>
              <w:t>规定时间内完成；能够</w:t>
            </w:r>
            <w:r>
              <w:rPr>
                <w:rFonts w:hint="eastAsia"/>
                <w:bCs/>
                <w:sz w:val="18"/>
                <w:szCs w:val="18"/>
              </w:rPr>
              <w:t>基本</w:t>
            </w:r>
            <w:r>
              <w:rPr>
                <w:bCs/>
                <w:sz w:val="18"/>
                <w:szCs w:val="18"/>
              </w:rPr>
              <w:t>掌握</w:t>
            </w:r>
            <w:r>
              <w:rPr>
                <w:rFonts w:hint="eastAsia"/>
                <w:bCs/>
                <w:sz w:val="18"/>
                <w:szCs w:val="18"/>
              </w:rPr>
              <w:t>智能传感器的相关概念</w:t>
            </w:r>
            <w:r>
              <w:rPr>
                <w:bCs/>
                <w:sz w:val="18"/>
                <w:szCs w:val="18"/>
              </w:rPr>
              <w:t>；</w:t>
            </w:r>
            <w:r>
              <w:rPr>
                <w:rFonts w:hint="eastAsia"/>
                <w:bCs/>
                <w:sz w:val="18"/>
                <w:szCs w:val="18"/>
              </w:rPr>
              <w:t>能够较好理解灵巧结构和机敏材料的概念及应用。</w:t>
            </w:r>
            <w:r>
              <w:rPr>
                <w:bCs/>
                <w:sz w:val="18"/>
                <w:szCs w:val="18"/>
              </w:rPr>
              <w:t>答题基本规范，基本准确。</w:t>
            </w:r>
          </w:p>
        </w:tc>
        <w:tc>
          <w:tcPr>
            <w:tcW w:w="1559" w:type="dxa"/>
            <w:vAlign w:val="center"/>
          </w:tcPr>
          <w:p>
            <w:pPr>
              <w:rPr>
                <w:bCs/>
                <w:sz w:val="18"/>
                <w:szCs w:val="18"/>
              </w:rPr>
            </w:pPr>
            <w:r>
              <w:rPr>
                <w:bCs/>
                <w:sz w:val="18"/>
                <w:szCs w:val="18"/>
              </w:rPr>
              <w:t>未完成或未提交测验；不能掌握</w:t>
            </w:r>
            <w:r>
              <w:rPr>
                <w:rFonts w:hint="eastAsia"/>
                <w:bCs/>
                <w:sz w:val="18"/>
                <w:szCs w:val="18"/>
              </w:rPr>
              <w:t>智能传感器的相关概念</w:t>
            </w:r>
            <w:r>
              <w:rPr>
                <w:bCs/>
                <w:sz w:val="18"/>
                <w:szCs w:val="18"/>
              </w:rPr>
              <w:t>；</w:t>
            </w:r>
            <w:r>
              <w:rPr>
                <w:rFonts w:hint="eastAsia"/>
                <w:bCs/>
                <w:sz w:val="18"/>
                <w:szCs w:val="18"/>
              </w:rPr>
              <w:t>不能理解灵巧结构和机敏材料的概念及应用。</w:t>
            </w:r>
            <w:r>
              <w:rPr>
                <w:bCs/>
                <w:sz w:val="18"/>
                <w:szCs w:val="18"/>
              </w:rPr>
              <w:t>基本概念不清楚甚至错误，准确率低。</w:t>
            </w:r>
          </w:p>
        </w:tc>
        <w:tc>
          <w:tcPr>
            <w:tcW w:w="607" w:type="dxa"/>
            <w:vAlign w:val="center"/>
          </w:tcPr>
          <w:p>
            <w:pPr>
              <w:jc w:val="center"/>
              <w:rPr>
                <w:bCs/>
                <w:sz w:val="18"/>
                <w:szCs w:val="18"/>
              </w:rPr>
            </w:pPr>
            <w:r>
              <w:rPr>
                <w:rFonts w:hint="eastAsia"/>
                <w:bCs/>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bCs/>
                <w:sz w:val="18"/>
                <w:szCs w:val="18"/>
              </w:rPr>
            </w:pPr>
            <w:r>
              <w:rPr>
                <w:rFonts w:hint="eastAsia"/>
                <w:bCs/>
                <w:sz w:val="18"/>
                <w:szCs w:val="18"/>
              </w:rPr>
              <w:t>智能传感器的非线性自校正、自校准、自补偿的实现方法。</w:t>
            </w:r>
            <w:r>
              <w:rPr>
                <w:bCs/>
                <w:sz w:val="18"/>
                <w:szCs w:val="18"/>
              </w:rPr>
              <w:t>(支撑课程目标2、毕业要求指标点3-1)</w:t>
            </w:r>
          </w:p>
        </w:tc>
        <w:tc>
          <w:tcPr>
            <w:tcW w:w="1560" w:type="dxa"/>
            <w:vAlign w:val="center"/>
          </w:tcPr>
          <w:p>
            <w:pPr>
              <w:rPr>
                <w:bCs/>
                <w:sz w:val="18"/>
                <w:szCs w:val="18"/>
              </w:rPr>
            </w:pPr>
            <w:r>
              <w:rPr>
                <w:bCs/>
                <w:sz w:val="18"/>
                <w:szCs w:val="18"/>
              </w:rPr>
              <w:t>规定时间内完成；能够熟练掌握</w:t>
            </w:r>
            <w:r>
              <w:rPr>
                <w:rFonts w:hint="eastAsia"/>
                <w:bCs/>
                <w:sz w:val="18"/>
                <w:szCs w:val="18"/>
              </w:rPr>
              <w:t>智能传感器的非线性自校正、自校准、自补偿的实现方法。</w:t>
            </w:r>
            <w:r>
              <w:rPr>
                <w:bCs/>
                <w:sz w:val="18"/>
                <w:szCs w:val="18"/>
              </w:rPr>
              <w:t>答题规范，准确性高。</w:t>
            </w:r>
          </w:p>
        </w:tc>
        <w:tc>
          <w:tcPr>
            <w:tcW w:w="1559" w:type="dxa"/>
            <w:vAlign w:val="center"/>
          </w:tcPr>
          <w:p>
            <w:pPr>
              <w:rPr>
                <w:bCs/>
                <w:sz w:val="18"/>
                <w:szCs w:val="18"/>
              </w:rPr>
            </w:pPr>
            <w:r>
              <w:rPr>
                <w:bCs/>
                <w:sz w:val="18"/>
                <w:szCs w:val="18"/>
              </w:rPr>
              <w:t>规定时间内完成；能够较好掌握</w:t>
            </w:r>
            <w:r>
              <w:rPr>
                <w:rFonts w:hint="eastAsia"/>
                <w:bCs/>
                <w:sz w:val="18"/>
                <w:szCs w:val="18"/>
              </w:rPr>
              <w:t>智能传感器的非线性自校正、自校准、自补偿的实现方法。</w:t>
            </w:r>
            <w:r>
              <w:rPr>
                <w:bCs/>
                <w:sz w:val="18"/>
                <w:szCs w:val="18"/>
              </w:rPr>
              <w:t>答题较规范，准确性较高。</w:t>
            </w:r>
          </w:p>
        </w:tc>
        <w:tc>
          <w:tcPr>
            <w:tcW w:w="1559" w:type="dxa"/>
            <w:vAlign w:val="center"/>
          </w:tcPr>
          <w:p>
            <w:pPr>
              <w:rPr>
                <w:bCs/>
                <w:sz w:val="18"/>
                <w:szCs w:val="18"/>
              </w:rPr>
            </w:pPr>
            <w:r>
              <w:rPr>
                <w:bCs/>
                <w:sz w:val="18"/>
                <w:szCs w:val="18"/>
              </w:rPr>
              <w:t>规定时间内完成；能够</w:t>
            </w:r>
            <w:r>
              <w:rPr>
                <w:rFonts w:hint="eastAsia"/>
                <w:bCs/>
                <w:sz w:val="18"/>
                <w:szCs w:val="18"/>
              </w:rPr>
              <w:t>基本</w:t>
            </w:r>
            <w:r>
              <w:rPr>
                <w:bCs/>
                <w:sz w:val="18"/>
                <w:szCs w:val="18"/>
              </w:rPr>
              <w:t>掌握</w:t>
            </w:r>
            <w:r>
              <w:rPr>
                <w:rFonts w:hint="eastAsia"/>
                <w:bCs/>
                <w:sz w:val="18"/>
                <w:szCs w:val="18"/>
              </w:rPr>
              <w:t>智能传感器的非线性自校正、自校准、自补偿的实现方法。</w:t>
            </w:r>
            <w:r>
              <w:rPr>
                <w:bCs/>
                <w:sz w:val="18"/>
                <w:szCs w:val="18"/>
              </w:rPr>
              <w:t>答题基本规范，基本准确。</w:t>
            </w:r>
          </w:p>
        </w:tc>
        <w:tc>
          <w:tcPr>
            <w:tcW w:w="1559" w:type="dxa"/>
            <w:vAlign w:val="center"/>
          </w:tcPr>
          <w:p>
            <w:pPr>
              <w:rPr>
                <w:bCs/>
                <w:sz w:val="18"/>
                <w:szCs w:val="18"/>
              </w:rPr>
            </w:pPr>
            <w:r>
              <w:rPr>
                <w:bCs/>
                <w:sz w:val="18"/>
                <w:szCs w:val="18"/>
              </w:rPr>
              <w:t>未完成或未提交测验；不能掌握</w:t>
            </w:r>
            <w:r>
              <w:rPr>
                <w:rFonts w:hint="eastAsia"/>
                <w:bCs/>
                <w:sz w:val="18"/>
                <w:szCs w:val="18"/>
              </w:rPr>
              <w:t>智能传感器的非线性自校正、自校准、自补偿的实现方法。</w:t>
            </w:r>
            <w:r>
              <w:rPr>
                <w:bCs/>
                <w:sz w:val="18"/>
                <w:szCs w:val="18"/>
              </w:rPr>
              <w:t>基本概念不清楚甚至错误，准确率低。</w:t>
            </w:r>
          </w:p>
        </w:tc>
        <w:tc>
          <w:tcPr>
            <w:tcW w:w="607" w:type="dxa"/>
            <w:vAlign w:val="center"/>
          </w:tcPr>
          <w:p>
            <w:pPr>
              <w:jc w:val="center"/>
              <w:rPr>
                <w:bCs/>
                <w:sz w:val="18"/>
                <w:szCs w:val="18"/>
              </w:rPr>
            </w:pPr>
            <w:r>
              <w:rPr>
                <w:rFonts w:hint="eastAsia"/>
                <w:bCs/>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bCs/>
                <w:sz w:val="18"/>
                <w:szCs w:val="18"/>
              </w:rPr>
            </w:pPr>
            <w:r>
              <w:rPr>
                <w:rFonts w:hint="eastAsia"/>
                <w:bCs/>
                <w:sz w:val="18"/>
                <w:szCs w:val="18"/>
              </w:rPr>
              <w:t>IEEE 1451开放智能传感器网络接口标准的目标和分层模块结构的内容。</w:t>
            </w:r>
            <w:r>
              <w:rPr>
                <w:bCs/>
                <w:sz w:val="18"/>
                <w:szCs w:val="18"/>
              </w:rPr>
              <w:t>(支撑课程目标3、毕业要求指标点3-2)</w:t>
            </w:r>
          </w:p>
        </w:tc>
        <w:tc>
          <w:tcPr>
            <w:tcW w:w="1560" w:type="dxa"/>
            <w:vAlign w:val="center"/>
          </w:tcPr>
          <w:p>
            <w:pPr>
              <w:rPr>
                <w:rFonts w:hint="eastAsia"/>
                <w:bCs/>
                <w:sz w:val="18"/>
                <w:szCs w:val="18"/>
              </w:rPr>
            </w:pPr>
            <w:r>
              <w:rPr>
                <w:bCs/>
                <w:sz w:val="18"/>
                <w:szCs w:val="18"/>
              </w:rPr>
              <w:t>规定时间内完成；能够熟练掌握</w:t>
            </w:r>
            <w:r>
              <w:rPr>
                <w:rFonts w:hint="eastAsia"/>
                <w:bCs/>
                <w:sz w:val="18"/>
                <w:szCs w:val="18"/>
              </w:rPr>
              <w:t>IEEE 1451开放智能传感器网络接口标准的目标和分层模块结构的内容。</w:t>
            </w:r>
            <w:r>
              <w:rPr>
                <w:bCs/>
                <w:sz w:val="18"/>
                <w:szCs w:val="18"/>
              </w:rPr>
              <w:t>答题规范，准确性高。</w:t>
            </w:r>
          </w:p>
        </w:tc>
        <w:tc>
          <w:tcPr>
            <w:tcW w:w="1559" w:type="dxa"/>
            <w:vAlign w:val="center"/>
          </w:tcPr>
          <w:p>
            <w:pPr>
              <w:rPr>
                <w:rFonts w:hint="eastAsia"/>
                <w:bCs/>
                <w:sz w:val="18"/>
                <w:szCs w:val="18"/>
              </w:rPr>
            </w:pPr>
            <w:r>
              <w:rPr>
                <w:bCs/>
                <w:sz w:val="18"/>
                <w:szCs w:val="18"/>
              </w:rPr>
              <w:t>规定时间内完成；能够较好掌握</w:t>
            </w:r>
            <w:r>
              <w:rPr>
                <w:rFonts w:hint="eastAsia"/>
                <w:bCs/>
                <w:sz w:val="18"/>
                <w:szCs w:val="18"/>
              </w:rPr>
              <w:t>IEEE 1451开放智能传感器网络接口标准的目标和分层模块结构的内容。</w:t>
            </w:r>
            <w:r>
              <w:rPr>
                <w:bCs/>
                <w:sz w:val="18"/>
                <w:szCs w:val="18"/>
              </w:rPr>
              <w:t>答题较规范，准确性较高。</w:t>
            </w:r>
          </w:p>
        </w:tc>
        <w:tc>
          <w:tcPr>
            <w:tcW w:w="1559" w:type="dxa"/>
            <w:vAlign w:val="center"/>
          </w:tcPr>
          <w:p>
            <w:pPr>
              <w:rPr>
                <w:rFonts w:hint="eastAsia"/>
                <w:bCs/>
                <w:sz w:val="18"/>
                <w:szCs w:val="18"/>
              </w:rPr>
            </w:pPr>
            <w:r>
              <w:rPr>
                <w:bCs/>
                <w:sz w:val="18"/>
                <w:szCs w:val="18"/>
              </w:rPr>
              <w:t>规定时间内完成；能够</w:t>
            </w:r>
            <w:r>
              <w:rPr>
                <w:rFonts w:hint="eastAsia"/>
                <w:bCs/>
                <w:sz w:val="18"/>
                <w:szCs w:val="18"/>
              </w:rPr>
              <w:t>基本</w:t>
            </w:r>
            <w:r>
              <w:rPr>
                <w:bCs/>
                <w:sz w:val="18"/>
                <w:szCs w:val="18"/>
              </w:rPr>
              <w:t>握</w:t>
            </w:r>
            <w:r>
              <w:rPr>
                <w:rFonts w:hint="eastAsia"/>
                <w:bCs/>
                <w:sz w:val="18"/>
                <w:szCs w:val="18"/>
              </w:rPr>
              <w:t>IEEE 1451开放智能传感器网络接口标准的目标和分层模块结构的内容。</w:t>
            </w:r>
            <w:r>
              <w:rPr>
                <w:bCs/>
                <w:sz w:val="18"/>
                <w:szCs w:val="18"/>
              </w:rPr>
              <w:t>答题基本规范，基本准确。</w:t>
            </w:r>
          </w:p>
        </w:tc>
        <w:tc>
          <w:tcPr>
            <w:tcW w:w="1559" w:type="dxa"/>
            <w:vAlign w:val="center"/>
          </w:tcPr>
          <w:p>
            <w:pPr>
              <w:rPr>
                <w:rFonts w:hint="eastAsia"/>
                <w:bCs/>
                <w:sz w:val="18"/>
                <w:szCs w:val="18"/>
              </w:rPr>
            </w:pPr>
            <w:r>
              <w:rPr>
                <w:bCs/>
                <w:sz w:val="18"/>
                <w:szCs w:val="18"/>
              </w:rPr>
              <w:t>未完成或未提交测验；不能掌握</w:t>
            </w:r>
            <w:r>
              <w:rPr>
                <w:rFonts w:hint="eastAsia"/>
                <w:bCs/>
                <w:sz w:val="18"/>
                <w:szCs w:val="18"/>
              </w:rPr>
              <w:t>IEEE</w:t>
            </w:r>
            <w:r>
              <w:rPr>
                <w:bCs/>
                <w:sz w:val="18"/>
                <w:szCs w:val="18"/>
              </w:rPr>
              <w:t xml:space="preserve"> </w:t>
            </w:r>
            <w:r>
              <w:rPr>
                <w:rFonts w:hint="eastAsia"/>
                <w:bCs/>
                <w:sz w:val="18"/>
                <w:szCs w:val="18"/>
              </w:rPr>
              <w:t>1451开放智能传感器网络接口标准的目标和分层模块结构的内容。</w:t>
            </w:r>
            <w:r>
              <w:rPr>
                <w:bCs/>
                <w:sz w:val="18"/>
                <w:szCs w:val="18"/>
              </w:rPr>
              <w:t>基本概念不清楚甚至错误，准确率低。</w:t>
            </w:r>
          </w:p>
        </w:tc>
        <w:tc>
          <w:tcPr>
            <w:tcW w:w="607" w:type="dxa"/>
            <w:vAlign w:val="center"/>
          </w:tcPr>
          <w:p>
            <w:pPr>
              <w:jc w:val="center"/>
              <w:rPr>
                <w:rFonts w:hint="eastAsia"/>
                <w:bCs/>
                <w:sz w:val="18"/>
                <w:szCs w:val="18"/>
              </w:rPr>
            </w:pPr>
            <w:r>
              <w:rPr>
                <w:rFonts w:hint="eastAsia"/>
                <w:bCs/>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bCs/>
                <w:sz w:val="18"/>
                <w:szCs w:val="18"/>
              </w:rPr>
            </w:pPr>
            <w:r>
              <w:rPr>
                <w:rFonts w:hint="eastAsia"/>
                <w:bCs/>
                <w:sz w:val="18"/>
                <w:szCs w:val="18"/>
              </w:rPr>
              <w:t>Smart惯导系统中的微陀螺和微加速度计的原理和实现方法。</w:t>
            </w:r>
            <w:r>
              <w:rPr>
                <w:bCs/>
                <w:sz w:val="18"/>
                <w:szCs w:val="18"/>
              </w:rPr>
              <w:t>(支撑课程目标4、毕业要求指标点5-2)</w:t>
            </w:r>
          </w:p>
        </w:tc>
        <w:tc>
          <w:tcPr>
            <w:tcW w:w="1560" w:type="dxa"/>
            <w:vAlign w:val="center"/>
          </w:tcPr>
          <w:p>
            <w:pPr>
              <w:rPr>
                <w:rFonts w:hint="eastAsia"/>
                <w:bCs/>
                <w:sz w:val="18"/>
                <w:szCs w:val="18"/>
              </w:rPr>
            </w:pPr>
            <w:r>
              <w:rPr>
                <w:bCs/>
                <w:sz w:val="18"/>
                <w:szCs w:val="18"/>
              </w:rPr>
              <w:t>规定时间内完成；能够熟练掌握</w:t>
            </w:r>
            <w:r>
              <w:rPr>
                <w:rFonts w:hint="eastAsia"/>
                <w:bCs/>
                <w:sz w:val="18"/>
                <w:szCs w:val="18"/>
              </w:rPr>
              <w:t>Smart惯导系统中的微陀螺和微加速度计的原理和实现方法。</w:t>
            </w:r>
            <w:r>
              <w:rPr>
                <w:bCs/>
                <w:sz w:val="18"/>
                <w:szCs w:val="18"/>
              </w:rPr>
              <w:t>答题规范，准确性高。</w:t>
            </w:r>
          </w:p>
        </w:tc>
        <w:tc>
          <w:tcPr>
            <w:tcW w:w="1559" w:type="dxa"/>
            <w:vAlign w:val="center"/>
          </w:tcPr>
          <w:p>
            <w:pPr>
              <w:rPr>
                <w:rFonts w:hint="eastAsia"/>
                <w:bCs/>
                <w:sz w:val="18"/>
                <w:szCs w:val="18"/>
              </w:rPr>
            </w:pPr>
            <w:r>
              <w:rPr>
                <w:bCs/>
                <w:sz w:val="18"/>
                <w:szCs w:val="18"/>
              </w:rPr>
              <w:t>规定时间内完成；能够较好掌握</w:t>
            </w:r>
            <w:r>
              <w:rPr>
                <w:rFonts w:hint="eastAsia"/>
                <w:bCs/>
                <w:sz w:val="18"/>
                <w:szCs w:val="18"/>
              </w:rPr>
              <w:t>Smart惯导系统中的微陀螺和微加速度计的原理和实现方法。</w:t>
            </w:r>
            <w:r>
              <w:rPr>
                <w:bCs/>
                <w:sz w:val="18"/>
                <w:szCs w:val="18"/>
              </w:rPr>
              <w:t>答题较规范，准确性较高。</w:t>
            </w:r>
          </w:p>
        </w:tc>
        <w:tc>
          <w:tcPr>
            <w:tcW w:w="1559" w:type="dxa"/>
            <w:vAlign w:val="center"/>
          </w:tcPr>
          <w:p>
            <w:pPr>
              <w:rPr>
                <w:rFonts w:hint="eastAsia"/>
                <w:bCs/>
                <w:sz w:val="18"/>
                <w:szCs w:val="18"/>
              </w:rPr>
            </w:pPr>
            <w:r>
              <w:rPr>
                <w:bCs/>
                <w:sz w:val="18"/>
                <w:szCs w:val="18"/>
              </w:rPr>
              <w:t>规定时间内完成；能够</w:t>
            </w:r>
            <w:r>
              <w:rPr>
                <w:rFonts w:hint="eastAsia"/>
                <w:bCs/>
                <w:sz w:val="18"/>
                <w:szCs w:val="18"/>
              </w:rPr>
              <w:t>基本</w:t>
            </w:r>
            <w:r>
              <w:rPr>
                <w:bCs/>
                <w:sz w:val="18"/>
                <w:szCs w:val="18"/>
              </w:rPr>
              <w:t>掌握</w:t>
            </w:r>
            <w:r>
              <w:rPr>
                <w:rFonts w:hint="eastAsia"/>
                <w:bCs/>
                <w:sz w:val="18"/>
                <w:szCs w:val="18"/>
              </w:rPr>
              <w:t>Smart惯导系统中的微陀螺和微加速度计的原理和实现方法。</w:t>
            </w:r>
            <w:r>
              <w:rPr>
                <w:bCs/>
                <w:sz w:val="18"/>
                <w:szCs w:val="18"/>
              </w:rPr>
              <w:t>答题基本规范，基本准确。</w:t>
            </w:r>
          </w:p>
        </w:tc>
        <w:tc>
          <w:tcPr>
            <w:tcW w:w="1559" w:type="dxa"/>
            <w:vAlign w:val="center"/>
          </w:tcPr>
          <w:p>
            <w:pPr>
              <w:rPr>
                <w:rFonts w:hint="eastAsia"/>
                <w:bCs/>
                <w:sz w:val="18"/>
                <w:szCs w:val="18"/>
              </w:rPr>
            </w:pPr>
            <w:r>
              <w:rPr>
                <w:bCs/>
                <w:sz w:val="18"/>
                <w:szCs w:val="18"/>
              </w:rPr>
              <w:t>未完成或未提交测验；不能掌握</w:t>
            </w:r>
            <w:r>
              <w:rPr>
                <w:rFonts w:hint="eastAsia"/>
                <w:bCs/>
                <w:sz w:val="18"/>
                <w:szCs w:val="18"/>
              </w:rPr>
              <w:t>Smart惯导系统中的微陀螺和微加速度计的原理和实现方法。</w:t>
            </w:r>
            <w:r>
              <w:rPr>
                <w:bCs/>
                <w:sz w:val="18"/>
                <w:szCs w:val="18"/>
              </w:rPr>
              <w:t>基本概念不清楚甚至错误，准确率低。</w:t>
            </w:r>
          </w:p>
        </w:tc>
        <w:tc>
          <w:tcPr>
            <w:tcW w:w="607" w:type="dxa"/>
            <w:vAlign w:val="center"/>
          </w:tcPr>
          <w:p>
            <w:pPr>
              <w:jc w:val="center"/>
              <w:rPr>
                <w:rFonts w:hint="eastAsia"/>
                <w:bCs/>
                <w:sz w:val="18"/>
                <w:szCs w:val="18"/>
              </w:rPr>
            </w:pPr>
            <w:r>
              <w:rPr>
                <w:rFonts w:hint="eastAsia"/>
                <w:bCs/>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hint="eastAsia"/>
                <w:bCs/>
                <w:sz w:val="18"/>
                <w:szCs w:val="18"/>
              </w:rPr>
            </w:pPr>
            <w:r>
              <w:rPr>
                <w:rFonts w:hint="eastAsia"/>
                <w:bCs/>
                <w:sz w:val="18"/>
                <w:szCs w:val="18"/>
              </w:rPr>
              <w:t>结构健康监测的基本概念以及机敏材料的种类。</w:t>
            </w:r>
            <w:r>
              <w:rPr>
                <w:bCs/>
                <w:sz w:val="18"/>
                <w:szCs w:val="18"/>
              </w:rPr>
              <w:t>(支撑课程目标5、毕业要求指标点7-2)</w:t>
            </w:r>
          </w:p>
        </w:tc>
        <w:tc>
          <w:tcPr>
            <w:tcW w:w="1560" w:type="dxa"/>
            <w:vAlign w:val="center"/>
          </w:tcPr>
          <w:p>
            <w:pPr>
              <w:rPr>
                <w:rFonts w:hint="eastAsia"/>
                <w:bCs/>
                <w:sz w:val="18"/>
                <w:szCs w:val="18"/>
              </w:rPr>
            </w:pPr>
            <w:r>
              <w:rPr>
                <w:bCs/>
                <w:sz w:val="18"/>
                <w:szCs w:val="18"/>
              </w:rPr>
              <w:t>规定时间内完成；能够熟练掌握</w:t>
            </w:r>
            <w:r>
              <w:rPr>
                <w:rFonts w:hint="eastAsia"/>
                <w:bCs/>
                <w:sz w:val="18"/>
                <w:szCs w:val="18"/>
              </w:rPr>
              <w:t>结构健康监测的基本概念以及机敏材料的种类。</w:t>
            </w:r>
            <w:r>
              <w:rPr>
                <w:bCs/>
                <w:sz w:val="18"/>
                <w:szCs w:val="18"/>
              </w:rPr>
              <w:t>答题规范，准确性高。</w:t>
            </w:r>
          </w:p>
        </w:tc>
        <w:tc>
          <w:tcPr>
            <w:tcW w:w="1559" w:type="dxa"/>
            <w:vAlign w:val="center"/>
          </w:tcPr>
          <w:p>
            <w:pPr>
              <w:rPr>
                <w:rFonts w:hint="eastAsia"/>
                <w:bCs/>
                <w:sz w:val="18"/>
                <w:szCs w:val="18"/>
              </w:rPr>
            </w:pPr>
            <w:r>
              <w:rPr>
                <w:bCs/>
                <w:sz w:val="18"/>
                <w:szCs w:val="18"/>
              </w:rPr>
              <w:t>规定时间内完成；能够较好掌握</w:t>
            </w:r>
            <w:r>
              <w:rPr>
                <w:rFonts w:hint="eastAsia"/>
                <w:bCs/>
                <w:sz w:val="18"/>
                <w:szCs w:val="18"/>
              </w:rPr>
              <w:t>结构健康监测的基本概念以及机敏材料的种类。</w:t>
            </w:r>
            <w:r>
              <w:rPr>
                <w:bCs/>
                <w:sz w:val="18"/>
                <w:szCs w:val="18"/>
              </w:rPr>
              <w:t>答题较规范，准确性较高。</w:t>
            </w:r>
          </w:p>
        </w:tc>
        <w:tc>
          <w:tcPr>
            <w:tcW w:w="1559" w:type="dxa"/>
            <w:vAlign w:val="center"/>
          </w:tcPr>
          <w:p>
            <w:pPr>
              <w:rPr>
                <w:rFonts w:hint="eastAsia"/>
                <w:bCs/>
                <w:sz w:val="18"/>
                <w:szCs w:val="18"/>
              </w:rPr>
            </w:pPr>
            <w:r>
              <w:rPr>
                <w:bCs/>
                <w:sz w:val="18"/>
                <w:szCs w:val="18"/>
              </w:rPr>
              <w:t>规定时间内完成；能够</w:t>
            </w:r>
            <w:r>
              <w:rPr>
                <w:rFonts w:hint="eastAsia"/>
                <w:bCs/>
                <w:sz w:val="18"/>
                <w:szCs w:val="18"/>
              </w:rPr>
              <w:t>基本</w:t>
            </w:r>
            <w:r>
              <w:rPr>
                <w:bCs/>
                <w:sz w:val="18"/>
                <w:szCs w:val="18"/>
              </w:rPr>
              <w:t>掌握</w:t>
            </w:r>
            <w:r>
              <w:rPr>
                <w:rFonts w:hint="eastAsia"/>
                <w:bCs/>
                <w:sz w:val="18"/>
                <w:szCs w:val="18"/>
              </w:rPr>
              <w:t>结构健康监测的基本概念以及机敏材料的种类。</w:t>
            </w:r>
            <w:r>
              <w:rPr>
                <w:bCs/>
                <w:sz w:val="18"/>
                <w:szCs w:val="18"/>
              </w:rPr>
              <w:t>答题基本规范，基本准确。</w:t>
            </w:r>
          </w:p>
        </w:tc>
        <w:tc>
          <w:tcPr>
            <w:tcW w:w="1559" w:type="dxa"/>
            <w:vAlign w:val="center"/>
          </w:tcPr>
          <w:p>
            <w:pPr>
              <w:rPr>
                <w:rFonts w:hint="eastAsia"/>
                <w:bCs/>
                <w:sz w:val="18"/>
                <w:szCs w:val="18"/>
              </w:rPr>
            </w:pPr>
            <w:r>
              <w:rPr>
                <w:bCs/>
                <w:sz w:val="18"/>
                <w:szCs w:val="18"/>
              </w:rPr>
              <w:t>未完成或未提交测验；不能掌握</w:t>
            </w:r>
            <w:r>
              <w:rPr>
                <w:rFonts w:hint="eastAsia"/>
                <w:bCs/>
                <w:sz w:val="18"/>
                <w:szCs w:val="18"/>
              </w:rPr>
              <w:t>结构健康监测的基本概念以及机敏材料的种类。</w:t>
            </w:r>
            <w:r>
              <w:rPr>
                <w:bCs/>
                <w:sz w:val="18"/>
                <w:szCs w:val="18"/>
              </w:rPr>
              <w:t>基本概念不清楚甚至错误，准确率低。</w:t>
            </w:r>
          </w:p>
        </w:tc>
        <w:tc>
          <w:tcPr>
            <w:tcW w:w="607" w:type="dxa"/>
            <w:vAlign w:val="center"/>
          </w:tcPr>
          <w:p>
            <w:pPr>
              <w:jc w:val="center"/>
              <w:rPr>
                <w:rFonts w:hint="eastAsia"/>
                <w:bCs/>
                <w:sz w:val="18"/>
                <w:szCs w:val="18"/>
              </w:rPr>
            </w:pPr>
            <w:r>
              <w:rPr>
                <w:rFonts w:hint="eastAsia"/>
                <w:bCs/>
                <w:sz w:val="18"/>
                <w:szCs w:val="18"/>
              </w:rPr>
              <w:t>2</w:t>
            </w:r>
          </w:p>
        </w:tc>
      </w:tr>
    </w:tbl>
    <w:p>
      <w:pPr>
        <w:pStyle w:val="59"/>
        <w:spacing w:line="360" w:lineRule="auto"/>
        <w:ind w:firstLine="207" w:firstLineChars="98"/>
        <w:rPr>
          <w:rFonts w:hint="eastAsia" w:ascii="Times New Roman" w:hAnsi="Times New Roman"/>
          <w:b/>
          <w:color w:val="C00000"/>
          <w:szCs w:val="21"/>
          <w:highlight w:val="yellow"/>
        </w:rPr>
      </w:pPr>
      <w:r>
        <w:rPr>
          <w:rFonts w:hint="eastAsia" w:ascii="Times New Roman" w:hAnsi="Times New Roman"/>
          <w:b/>
          <w:szCs w:val="21"/>
        </w:rPr>
        <w:t>2、作业评价标准</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1560"/>
        <w:gridCol w:w="1559"/>
        <w:gridCol w:w="1559"/>
        <w:gridCol w:w="1559"/>
        <w:gridCol w:w="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310" w:type="dxa"/>
            <w:vMerge w:val="restart"/>
            <w:shd w:val="clear" w:color="auto" w:fill="F2F2F2"/>
            <w:vAlign w:val="center"/>
          </w:tcPr>
          <w:p>
            <w:pPr>
              <w:jc w:val="center"/>
              <w:rPr>
                <w:b/>
                <w:color w:val="000000"/>
                <w:sz w:val="18"/>
                <w:szCs w:val="18"/>
              </w:rPr>
            </w:pPr>
            <w:r>
              <w:rPr>
                <w:rFonts w:hint="eastAsia"/>
                <w:b/>
                <w:color w:val="000000"/>
                <w:sz w:val="18"/>
                <w:szCs w:val="18"/>
              </w:rPr>
              <w:t>基本要求</w:t>
            </w:r>
          </w:p>
        </w:tc>
        <w:tc>
          <w:tcPr>
            <w:tcW w:w="6237" w:type="dxa"/>
            <w:gridSpan w:val="4"/>
            <w:shd w:val="clear" w:color="auto" w:fill="F2F2F2"/>
            <w:vAlign w:val="center"/>
          </w:tcPr>
          <w:p>
            <w:pPr>
              <w:jc w:val="center"/>
              <w:rPr>
                <w:b/>
                <w:color w:val="000000"/>
                <w:sz w:val="18"/>
                <w:szCs w:val="18"/>
              </w:rPr>
            </w:pPr>
            <w:r>
              <w:rPr>
                <w:rFonts w:hint="eastAsia"/>
                <w:b/>
                <w:color w:val="000000"/>
                <w:sz w:val="18"/>
                <w:szCs w:val="18"/>
              </w:rPr>
              <w:t>评价标准</w:t>
            </w:r>
          </w:p>
        </w:tc>
        <w:tc>
          <w:tcPr>
            <w:tcW w:w="607" w:type="dxa"/>
            <w:vMerge w:val="restart"/>
            <w:shd w:val="clear" w:color="auto" w:fill="F2F2F2"/>
            <w:vAlign w:val="center"/>
          </w:tcPr>
          <w:p>
            <w:pPr>
              <w:jc w:val="center"/>
              <w:rPr>
                <w:rFonts w:hint="eastAsia"/>
                <w:b/>
                <w:color w:val="000000"/>
                <w:sz w:val="18"/>
                <w:szCs w:val="18"/>
              </w:rPr>
            </w:pPr>
            <w:r>
              <w:rPr>
                <w:rFonts w:hint="eastAsia"/>
                <w:b/>
                <w:color w:val="000000"/>
                <w:sz w:val="18"/>
                <w:szCs w:val="1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310" w:type="dxa"/>
            <w:vMerge w:val="continue"/>
            <w:shd w:val="clear" w:color="auto" w:fill="F2F2F2"/>
          </w:tcPr>
          <w:p>
            <w:pPr>
              <w:spacing w:line="420" w:lineRule="exact"/>
              <w:jc w:val="center"/>
              <w:rPr>
                <w:rFonts w:hint="eastAsia"/>
                <w:b/>
                <w:color w:val="000000"/>
                <w:sz w:val="18"/>
                <w:szCs w:val="18"/>
              </w:rPr>
            </w:pPr>
          </w:p>
        </w:tc>
        <w:tc>
          <w:tcPr>
            <w:tcW w:w="1560" w:type="dxa"/>
            <w:shd w:val="clear" w:color="auto" w:fill="F2F2F2"/>
          </w:tcPr>
          <w:p>
            <w:pPr>
              <w:spacing w:line="420" w:lineRule="exact"/>
              <w:jc w:val="center"/>
              <w:rPr>
                <w:rFonts w:hint="eastAsia"/>
                <w:b/>
                <w:color w:val="000000"/>
                <w:sz w:val="18"/>
                <w:szCs w:val="18"/>
              </w:rPr>
            </w:pPr>
            <w:r>
              <w:rPr>
                <w:rFonts w:hint="eastAsia"/>
                <w:b/>
                <w:color w:val="000000"/>
                <w:sz w:val="18"/>
                <w:szCs w:val="18"/>
              </w:rPr>
              <w:t>90-100分</w:t>
            </w:r>
          </w:p>
        </w:tc>
        <w:tc>
          <w:tcPr>
            <w:tcW w:w="1559" w:type="dxa"/>
            <w:shd w:val="clear" w:color="auto" w:fill="F2F2F2"/>
          </w:tcPr>
          <w:p>
            <w:pPr>
              <w:spacing w:line="420" w:lineRule="exact"/>
              <w:jc w:val="center"/>
              <w:rPr>
                <w:rFonts w:hint="eastAsia"/>
                <w:b/>
                <w:color w:val="000000"/>
                <w:sz w:val="18"/>
                <w:szCs w:val="18"/>
              </w:rPr>
            </w:pPr>
            <w:r>
              <w:rPr>
                <w:rFonts w:hint="eastAsia"/>
                <w:b/>
                <w:color w:val="000000"/>
                <w:sz w:val="18"/>
                <w:szCs w:val="18"/>
              </w:rPr>
              <w:t>75-89分</w:t>
            </w:r>
          </w:p>
        </w:tc>
        <w:tc>
          <w:tcPr>
            <w:tcW w:w="1559" w:type="dxa"/>
            <w:shd w:val="clear" w:color="auto" w:fill="F2F2F2"/>
          </w:tcPr>
          <w:p>
            <w:pPr>
              <w:spacing w:line="420" w:lineRule="exact"/>
              <w:jc w:val="center"/>
              <w:rPr>
                <w:rFonts w:hint="eastAsia"/>
                <w:b/>
                <w:color w:val="000000"/>
                <w:sz w:val="18"/>
                <w:szCs w:val="18"/>
              </w:rPr>
            </w:pPr>
            <w:r>
              <w:rPr>
                <w:rFonts w:hint="eastAsia"/>
                <w:b/>
                <w:color w:val="000000"/>
                <w:sz w:val="18"/>
                <w:szCs w:val="18"/>
              </w:rPr>
              <w:t>60-74分</w:t>
            </w:r>
          </w:p>
        </w:tc>
        <w:tc>
          <w:tcPr>
            <w:tcW w:w="1559" w:type="dxa"/>
            <w:shd w:val="clear" w:color="auto" w:fill="F2F2F2"/>
          </w:tcPr>
          <w:p>
            <w:pPr>
              <w:spacing w:line="420" w:lineRule="exact"/>
              <w:jc w:val="center"/>
              <w:rPr>
                <w:rFonts w:hint="eastAsia"/>
                <w:b/>
                <w:color w:val="000000"/>
                <w:sz w:val="18"/>
                <w:szCs w:val="18"/>
              </w:rPr>
            </w:pPr>
            <w:r>
              <w:rPr>
                <w:rFonts w:hint="eastAsia"/>
                <w:b/>
                <w:color w:val="000000"/>
                <w:sz w:val="18"/>
                <w:szCs w:val="18"/>
              </w:rPr>
              <w:t>0-59分</w:t>
            </w:r>
          </w:p>
        </w:tc>
        <w:tc>
          <w:tcPr>
            <w:tcW w:w="607" w:type="dxa"/>
            <w:vMerge w:val="continue"/>
            <w:shd w:val="clear" w:color="auto" w:fill="F2F2F2"/>
          </w:tcPr>
          <w:p>
            <w:pPr>
              <w:spacing w:line="420" w:lineRule="exact"/>
              <w:jc w:val="center"/>
              <w:rPr>
                <w:b/>
                <w:bCs/>
                <w:color w:val="C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jc w:val="center"/>
              <w:rPr>
                <w:bCs/>
                <w:sz w:val="18"/>
                <w:szCs w:val="18"/>
              </w:rPr>
            </w:pPr>
            <w:r>
              <w:rPr>
                <w:rFonts w:hint="eastAsia"/>
                <w:bCs/>
                <w:sz w:val="18"/>
                <w:szCs w:val="18"/>
              </w:rPr>
              <w:t>智能传感器与传统传感器的区别与联系</w:t>
            </w:r>
            <w:r>
              <w:rPr>
                <w:bCs/>
                <w:sz w:val="18"/>
                <w:szCs w:val="18"/>
              </w:rPr>
              <w:t>。（支撑课程目标1、毕业要求指标点4-1）</w:t>
            </w:r>
          </w:p>
        </w:tc>
        <w:tc>
          <w:tcPr>
            <w:tcW w:w="1560" w:type="dxa"/>
            <w:vAlign w:val="center"/>
          </w:tcPr>
          <w:p>
            <w:pPr>
              <w:rPr>
                <w:bCs/>
                <w:sz w:val="18"/>
                <w:szCs w:val="18"/>
              </w:rPr>
            </w:pPr>
            <w:r>
              <w:rPr>
                <w:bCs/>
                <w:sz w:val="18"/>
                <w:szCs w:val="18"/>
              </w:rPr>
              <w:t>按时交作业；能够</w:t>
            </w:r>
            <w:r>
              <w:rPr>
                <w:rFonts w:hint="eastAsia"/>
                <w:bCs/>
                <w:sz w:val="18"/>
                <w:szCs w:val="18"/>
              </w:rPr>
              <w:t>准确回答智能传感器与传统传感器的区别与联系</w:t>
            </w:r>
            <w:r>
              <w:rPr>
                <w:bCs/>
                <w:sz w:val="18"/>
                <w:szCs w:val="18"/>
              </w:rPr>
              <w:t>。完成作业认真，语言规范，表述清楚。</w:t>
            </w:r>
          </w:p>
        </w:tc>
        <w:tc>
          <w:tcPr>
            <w:tcW w:w="1559" w:type="dxa"/>
            <w:vAlign w:val="center"/>
          </w:tcPr>
          <w:p>
            <w:pPr>
              <w:rPr>
                <w:bCs/>
                <w:sz w:val="18"/>
                <w:szCs w:val="18"/>
              </w:rPr>
            </w:pPr>
            <w:r>
              <w:rPr>
                <w:bCs/>
                <w:sz w:val="18"/>
                <w:szCs w:val="18"/>
              </w:rPr>
              <w:t>按时交作业；能够</w:t>
            </w:r>
            <w:r>
              <w:rPr>
                <w:rFonts w:hint="eastAsia"/>
                <w:bCs/>
                <w:sz w:val="18"/>
                <w:szCs w:val="18"/>
              </w:rPr>
              <w:t>较为准确回答智能传感器与传统传感器的区别与联系</w:t>
            </w:r>
            <w:r>
              <w:rPr>
                <w:bCs/>
                <w:sz w:val="18"/>
                <w:szCs w:val="18"/>
              </w:rPr>
              <w:t>。完成作业较认真，语言较规范，表述较清楚。</w:t>
            </w:r>
          </w:p>
        </w:tc>
        <w:tc>
          <w:tcPr>
            <w:tcW w:w="1559" w:type="dxa"/>
            <w:vAlign w:val="center"/>
          </w:tcPr>
          <w:p>
            <w:pPr>
              <w:rPr>
                <w:bCs/>
                <w:sz w:val="18"/>
                <w:szCs w:val="18"/>
              </w:rPr>
            </w:pPr>
            <w:r>
              <w:rPr>
                <w:bCs/>
                <w:sz w:val="18"/>
                <w:szCs w:val="18"/>
              </w:rPr>
              <w:t>按时交作业；能够</w:t>
            </w:r>
            <w:r>
              <w:rPr>
                <w:rFonts w:hint="eastAsia"/>
                <w:bCs/>
                <w:sz w:val="18"/>
                <w:szCs w:val="18"/>
              </w:rPr>
              <w:t>基本准确回答智能传感器与传统传感器的区别与联系</w:t>
            </w:r>
            <w:r>
              <w:rPr>
                <w:bCs/>
                <w:sz w:val="18"/>
                <w:szCs w:val="18"/>
              </w:rPr>
              <w:t>。语言基本规范，表述基本清楚。</w:t>
            </w:r>
          </w:p>
        </w:tc>
        <w:tc>
          <w:tcPr>
            <w:tcW w:w="1559" w:type="dxa"/>
            <w:vAlign w:val="center"/>
          </w:tcPr>
          <w:p>
            <w:pPr>
              <w:rPr>
                <w:bCs/>
                <w:sz w:val="18"/>
                <w:szCs w:val="18"/>
              </w:rPr>
            </w:pPr>
            <w:r>
              <w:rPr>
                <w:bCs/>
                <w:sz w:val="18"/>
                <w:szCs w:val="18"/>
              </w:rPr>
              <w:t>不能按时</w:t>
            </w:r>
            <w:r>
              <w:rPr>
                <w:rFonts w:hint="eastAsia"/>
                <w:bCs/>
                <w:sz w:val="18"/>
                <w:szCs w:val="18"/>
              </w:rPr>
              <w:t>完成</w:t>
            </w:r>
            <w:r>
              <w:rPr>
                <w:bCs/>
                <w:sz w:val="18"/>
                <w:szCs w:val="18"/>
              </w:rPr>
              <w:t>作业，有抄袭现象；或</w:t>
            </w:r>
            <w:r>
              <w:rPr>
                <w:rFonts w:hint="eastAsia"/>
                <w:bCs/>
                <w:sz w:val="18"/>
                <w:szCs w:val="18"/>
              </w:rPr>
              <w:t>答案不准确</w:t>
            </w:r>
            <w:r>
              <w:rPr>
                <w:bCs/>
                <w:sz w:val="18"/>
                <w:szCs w:val="18"/>
              </w:rPr>
              <w:t>。</w:t>
            </w:r>
          </w:p>
        </w:tc>
        <w:tc>
          <w:tcPr>
            <w:tcW w:w="607" w:type="dxa"/>
            <w:vAlign w:val="center"/>
          </w:tcPr>
          <w:p>
            <w:pPr>
              <w:jc w:val="center"/>
              <w:rPr>
                <w:bCs/>
                <w:sz w:val="18"/>
                <w:szCs w:val="18"/>
              </w:rPr>
            </w:pPr>
            <w:r>
              <w:rPr>
                <w:rFonts w:hint="eastAsia"/>
                <w:bCs/>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bCs/>
                <w:sz w:val="18"/>
                <w:szCs w:val="18"/>
              </w:rPr>
            </w:pPr>
            <w:r>
              <w:rPr>
                <w:rFonts w:hint="eastAsia"/>
                <w:bCs/>
                <w:sz w:val="18"/>
                <w:szCs w:val="18"/>
              </w:rPr>
              <w:t>模糊传感器的基本原理和基本功能。</w:t>
            </w:r>
            <w:r>
              <w:rPr>
                <w:bCs/>
                <w:sz w:val="18"/>
                <w:szCs w:val="18"/>
              </w:rPr>
              <w:t>（支撑课程目标2、毕业要求指标点3-1）</w:t>
            </w:r>
          </w:p>
        </w:tc>
        <w:tc>
          <w:tcPr>
            <w:tcW w:w="1560" w:type="dxa"/>
            <w:vAlign w:val="center"/>
          </w:tcPr>
          <w:p>
            <w:pPr>
              <w:rPr>
                <w:bCs/>
                <w:sz w:val="18"/>
                <w:szCs w:val="18"/>
              </w:rPr>
            </w:pPr>
            <w:r>
              <w:rPr>
                <w:bCs/>
                <w:sz w:val="18"/>
                <w:szCs w:val="18"/>
              </w:rPr>
              <w:t>按时交作业；能够</w:t>
            </w:r>
            <w:r>
              <w:rPr>
                <w:rFonts w:hint="eastAsia"/>
                <w:bCs/>
                <w:sz w:val="18"/>
                <w:szCs w:val="18"/>
              </w:rPr>
              <w:t>准确回答模糊传感器的基本原理和基本功能。</w:t>
            </w:r>
            <w:r>
              <w:rPr>
                <w:bCs/>
                <w:sz w:val="18"/>
                <w:szCs w:val="18"/>
              </w:rPr>
              <w:t>完成作业认真，语言规范，表述清楚。</w:t>
            </w:r>
          </w:p>
        </w:tc>
        <w:tc>
          <w:tcPr>
            <w:tcW w:w="1559" w:type="dxa"/>
            <w:vAlign w:val="center"/>
          </w:tcPr>
          <w:p>
            <w:pPr>
              <w:rPr>
                <w:bCs/>
                <w:sz w:val="18"/>
                <w:szCs w:val="18"/>
              </w:rPr>
            </w:pPr>
            <w:r>
              <w:rPr>
                <w:bCs/>
                <w:sz w:val="18"/>
                <w:szCs w:val="18"/>
              </w:rPr>
              <w:t>按时交作业；能够</w:t>
            </w:r>
            <w:r>
              <w:rPr>
                <w:rFonts w:hint="eastAsia"/>
                <w:bCs/>
                <w:sz w:val="18"/>
                <w:szCs w:val="18"/>
              </w:rPr>
              <w:t>较为准确回答模糊传感器的基本原理和基本功能。</w:t>
            </w:r>
            <w:r>
              <w:rPr>
                <w:bCs/>
                <w:sz w:val="18"/>
                <w:szCs w:val="18"/>
              </w:rPr>
              <w:t>完成作业较认真，语言较规范，表述较清楚。</w:t>
            </w:r>
          </w:p>
        </w:tc>
        <w:tc>
          <w:tcPr>
            <w:tcW w:w="1559" w:type="dxa"/>
            <w:vAlign w:val="center"/>
          </w:tcPr>
          <w:p>
            <w:pPr>
              <w:rPr>
                <w:bCs/>
                <w:sz w:val="18"/>
                <w:szCs w:val="18"/>
              </w:rPr>
            </w:pPr>
            <w:r>
              <w:rPr>
                <w:bCs/>
                <w:sz w:val="18"/>
                <w:szCs w:val="18"/>
              </w:rPr>
              <w:t>按时交作业；能够</w:t>
            </w:r>
            <w:r>
              <w:rPr>
                <w:rFonts w:hint="eastAsia"/>
                <w:bCs/>
                <w:sz w:val="18"/>
                <w:szCs w:val="18"/>
              </w:rPr>
              <w:t>基本准确回答模糊传感器的基本原理和基本功能。</w:t>
            </w:r>
            <w:r>
              <w:rPr>
                <w:bCs/>
                <w:sz w:val="18"/>
                <w:szCs w:val="18"/>
              </w:rPr>
              <w:t>语言基本规范，表述基本清楚。</w:t>
            </w:r>
          </w:p>
        </w:tc>
        <w:tc>
          <w:tcPr>
            <w:tcW w:w="1559" w:type="dxa"/>
            <w:vAlign w:val="center"/>
          </w:tcPr>
          <w:p>
            <w:pPr>
              <w:rPr>
                <w:bCs/>
                <w:sz w:val="18"/>
                <w:szCs w:val="18"/>
              </w:rPr>
            </w:pPr>
            <w:r>
              <w:rPr>
                <w:bCs/>
                <w:sz w:val="18"/>
                <w:szCs w:val="18"/>
              </w:rPr>
              <w:t>不能按时</w:t>
            </w:r>
            <w:r>
              <w:rPr>
                <w:rFonts w:hint="eastAsia"/>
                <w:bCs/>
                <w:sz w:val="18"/>
                <w:szCs w:val="18"/>
              </w:rPr>
              <w:t>完成</w:t>
            </w:r>
            <w:r>
              <w:rPr>
                <w:bCs/>
                <w:sz w:val="18"/>
                <w:szCs w:val="18"/>
              </w:rPr>
              <w:t>作业，有抄袭现象；或</w:t>
            </w:r>
            <w:r>
              <w:rPr>
                <w:rFonts w:hint="eastAsia"/>
                <w:bCs/>
                <w:sz w:val="18"/>
                <w:szCs w:val="18"/>
              </w:rPr>
              <w:t>答案不准确</w:t>
            </w:r>
            <w:r>
              <w:rPr>
                <w:bCs/>
                <w:sz w:val="18"/>
                <w:szCs w:val="18"/>
              </w:rPr>
              <w:t>。</w:t>
            </w:r>
          </w:p>
        </w:tc>
        <w:tc>
          <w:tcPr>
            <w:tcW w:w="607" w:type="dxa"/>
            <w:vAlign w:val="center"/>
          </w:tcPr>
          <w:p>
            <w:pPr>
              <w:jc w:val="center"/>
              <w:rPr>
                <w:bCs/>
                <w:sz w:val="18"/>
                <w:szCs w:val="18"/>
              </w:rPr>
            </w:pPr>
            <w:r>
              <w:rPr>
                <w:rFonts w:hint="eastAsia"/>
                <w:bCs/>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hint="eastAsia"/>
                <w:bCs/>
                <w:sz w:val="18"/>
                <w:szCs w:val="18"/>
              </w:rPr>
            </w:pPr>
            <w:r>
              <w:rPr>
                <w:rFonts w:hint="eastAsia"/>
                <w:color w:val="000000"/>
                <w:sz w:val="18"/>
                <w:szCs w:val="18"/>
              </w:rPr>
              <w:t>ZigBee技术在网络层和应用层的实现方式。</w:t>
            </w:r>
            <w:r>
              <w:rPr>
                <w:bCs/>
                <w:sz w:val="18"/>
                <w:szCs w:val="18"/>
              </w:rPr>
              <w:t>（支撑课程目标3、毕业要求指标点3-2）</w:t>
            </w:r>
          </w:p>
        </w:tc>
        <w:tc>
          <w:tcPr>
            <w:tcW w:w="1560" w:type="dxa"/>
            <w:vAlign w:val="center"/>
          </w:tcPr>
          <w:p>
            <w:pPr>
              <w:rPr>
                <w:rFonts w:hint="eastAsia"/>
                <w:bCs/>
                <w:sz w:val="18"/>
                <w:szCs w:val="18"/>
              </w:rPr>
            </w:pPr>
            <w:r>
              <w:rPr>
                <w:bCs/>
                <w:sz w:val="18"/>
                <w:szCs w:val="18"/>
              </w:rPr>
              <w:t>按时交作业；能够</w:t>
            </w:r>
            <w:r>
              <w:rPr>
                <w:rFonts w:hint="eastAsia"/>
                <w:bCs/>
                <w:sz w:val="18"/>
                <w:szCs w:val="18"/>
              </w:rPr>
              <w:t>准确回答</w:t>
            </w:r>
            <w:r>
              <w:rPr>
                <w:rFonts w:hint="eastAsia"/>
                <w:color w:val="000000"/>
                <w:sz w:val="18"/>
                <w:szCs w:val="18"/>
              </w:rPr>
              <w:t>ZigBee技术在网络层和应用层的实现方式。</w:t>
            </w:r>
            <w:r>
              <w:rPr>
                <w:bCs/>
                <w:sz w:val="18"/>
                <w:szCs w:val="18"/>
              </w:rPr>
              <w:t>完成作业认真，语言规范，表述清楚。</w:t>
            </w:r>
          </w:p>
        </w:tc>
        <w:tc>
          <w:tcPr>
            <w:tcW w:w="1559" w:type="dxa"/>
            <w:vAlign w:val="center"/>
          </w:tcPr>
          <w:p>
            <w:pPr>
              <w:rPr>
                <w:rFonts w:hint="eastAsia"/>
                <w:bCs/>
                <w:sz w:val="18"/>
                <w:szCs w:val="18"/>
              </w:rPr>
            </w:pPr>
            <w:r>
              <w:rPr>
                <w:bCs/>
                <w:sz w:val="18"/>
                <w:szCs w:val="18"/>
              </w:rPr>
              <w:t>按时交作业；能够</w:t>
            </w:r>
            <w:r>
              <w:rPr>
                <w:rFonts w:hint="eastAsia"/>
                <w:bCs/>
                <w:sz w:val="18"/>
                <w:szCs w:val="18"/>
              </w:rPr>
              <w:t>较为准确回答</w:t>
            </w:r>
            <w:r>
              <w:rPr>
                <w:rFonts w:hint="eastAsia"/>
                <w:color w:val="000000"/>
                <w:sz w:val="18"/>
                <w:szCs w:val="18"/>
              </w:rPr>
              <w:t>ZigBee技术在网络层和应用层的实现方式。</w:t>
            </w:r>
            <w:r>
              <w:rPr>
                <w:bCs/>
                <w:sz w:val="18"/>
                <w:szCs w:val="18"/>
              </w:rPr>
              <w:t>完成作业较认真，语言较规范，表述较清楚。</w:t>
            </w:r>
          </w:p>
        </w:tc>
        <w:tc>
          <w:tcPr>
            <w:tcW w:w="1559" w:type="dxa"/>
            <w:vAlign w:val="center"/>
          </w:tcPr>
          <w:p>
            <w:pPr>
              <w:rPr>
                <w:rFonts w:hint="eastAsia"/>
                <w:bCs/>
                <w:sz w:val="18"/>
                <w:szCs w:val="18"/>
              </w:rPr>
            </w:pPr>
            <w:r>
              <w:rPr>
                <w:bCs/>
                <w:sz w:val="18"/>
                <w:szCs w:val="18"/>
              </w:rPr>
              <w:t>按时交作业；能够</w:t>
            </w:r>
            <w:r>
              <w:rPr>
                <w:rFonts w:hint="eastAsia"/>
                <w:bCs/>
                <w:sz w:val="18"/>
                <w:szCs w:val="18"/>
              </w:rPr>
              <w:t>基本准确回答</w:t>
            </w:r>
            <w:r>
              <w:rPr>
                <w:rFonts w:hint="eastAsia"/>
                <w:color w:val="000000"/>
                <w:sz w:val="18"/>
                <w:szCs w:val="18"/>
              </w:rPr>
              <w:t>ZigBee技术在网络层和应用层的实现方式。</w:t>
            </w:r>
            <w:r>
              <w:rPr>
                <w:bCs/>
                <w:sz w:val="18"/>
                <w:szCs w:val="18"/>
              </w:rPr>
              <w:t>语言基本规范，表述基本清楚。</w:t>
            </w:r>
          </w:p>
        </w:tc>
        <w:tc>
          <w:tcPr>
            <w:tcW w:w="1559" w:type="dxa"/>
            <w:vAlign w:val="center"/>
          </w:tcPr>
          <w:p>
            <w:pPr>
              <w:rPr>
                <w:rFonts w:hint="eastAsia"/>
                <w:bCs/>
                <w:sz w:val="18"/>
                <w:szCs w:val="18"/>
              </w:rPr>
            </w:pPr>
            <w:r>
              <w:rPr>
                <w:bCs/>
                <w:sz w:val="18"/>
                <w:szCs w:val="18"/>
              </w:rPr>
              <w:t>不能按时</w:t>
            </w:r>
            <w:r>
              <w:rPr>
                <w:rFonts w:hint="eastAsia"/>
                <w:bCs/>
                <w:sz w:val="18"/>
                <w:szCs w:val="18"/>
              </w:rPr>
              <w:t>完成</w:t>
            </w:r>
            <w:r>
              <w:rPr>
                <w:bCs/>
                <w:sz w:val="18"/>
                <w:szCs w:val="18"/>
              </w:rPr>
              <w:t>作业，有抄袭现象；或</w:t>
            </w:r>
            <w:r>
              <w:rPr>
                <w:rFonts w:hint="eastAsia"/>
                <w:bCs/>
                <w:sz w:val="18"/>
                <w:szCs w:val="18"/>
              </w:rPr>
              <w:t>答案不准确</w:t>
            </w:r>
            <w:r>
              <w:rPr>
                <w:bCs/>
                <w:sz w:val="18"/>
                <w:szCs w:val="18"/>
              </w:rPr>
              <w:t>。</w:t>
            </w:r>
          </w:p>
        </w:tc>
        <w:tc>
          <w:tcPr>
            <w:tcW w:w="607" w:type="dxa"/>
            <w:vAlign w:val="center"/>
          </w:tcPr>
          <w:p>
            <w:pPr>
              <w:jc w:val="center"/>
              <w:rPr>
                <w:rFonts w:hint="eastAsia"/>
                <w:bCs/>
                <w:sz w:val="18"/>
                <w:szCs w:val="18"/>
              </w:rPr>
            </w:pPr>
            <w:r>
              <w:rPr>
                <w:rFonts w:hint="eastAsia"/>
                <w:bCs/>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bCs/>
                <w:sz w:val="18"/>
                <w:szCs w:val="18"/>
              </w:rPr>
            </w:pPr>
            <w:r>
              <w:rPr>
                <w:rFonts w:hint="eastAsia"/>
                <w:bCs/>
                <w:sz w:val="18"/>
                <w:szCs w:val="18"/>
              </w:rPr>
              <w:t>应用锁相环技术，抑制噪声实现高Q值带通滤波的原理和优点。</w:t>
            </w:r>
            <w:r>
              <w:rPr>
                <w:bCs/>
                <w:sz w:val="18"/>
                <w:szCs w:val="18"/>
              </w:rPr>
              <w:t>（支撑课程目标4、毕业要求指标点5-2）</w:t>
            </w:r>
          </w:p>
        </w:tc>
        <w:tc>
          <w:tcPr>
            <w:tcW w:w="1560" w:type="dxa"/>
            <w:vAlign w:val="center"/>
          </w:tcPr>
          <w:p>
            <w:pPr>
              <w:rPr>
                <w:bCs/>
                <w:sz w:val="18"/>
                <w:szCs w:val="18"/>
              </w:rPr>
            </w:pPr>
            <w:r>
              <w:rPr>
                <w:bCs/>
                <w:sz w:val="18"/>
                <w:szCs w:val="18"/>
              </w:rPr>
              <w:t>按时交作业；能够</w:t>
            </w:r>
            <w:r>
              <w:rPr>
                <w:rFonts w:hint="eastAsia"/>
                <w:bCs/>
                <w:sz w:val="18"/>
                <w:szCs w:val="18"/>
              </w:rPr>
              <w:t>准确回答应用锁相环技术，抑制噪声实现高Q值带通滤波的原理和优点。</w:t>
            </w:r>
            <w:r>
              <w:rPr>
                <w:bCs/>
                <w:sz w:val="18"/>
                <w:szCs w:val="18"/>
              </w:rPr>
              <w:t>完成作业认真，语言规范，表述清楚。</w:t>
            </w:r>
          </w:p>
        </w:tc>
        <w:tc>
          <w:tcPr>
            <w:tcW w:w="1559" w:type="dxa"/>
            <w:vAlign w:val="center"/>
          </w:tcPr>
          <w:p>
            <w:pPr>
              <w:rPr>
                <w:bCs/>
                <w:sz w:val="18"/>
                <w:szCs w:val="18"/>
              </w:rPr>
            </w:pPr>
            <w:r>
              <w:rPr>
                <w:bCs/>
                <w:sz w:val="18"/>
                <w:szCs w:val="18"/>
              </w:rPr>
              <w:t>按时交作业；能够</w:t>
            </w:r>
            <w:r>
              <w:rPr>
                <w:rFonts w:hint="eastAsia"/>
                <w:bCs/>
                <w:sz w:val="18"/>
                <w:szCs w:val="18"/>
              </w:rPr>
              <w:t>较为准确回答应用锁相环技术，抑制噪声实现高Q值带通滤波的原理和优点</w:t>
            </w:r>
            <w:r>
              <w:rPr>
                <w:rFonts w:hint="eastAsia"/>
                <w:color w:val="000000"/>
                <w:sz w:val="18"/>
                <w:szCs w:val="18"/>
              </w:rPr>
              <w:t>。</w:t>
            </w:r>
            <w:r>
              <w:rPr>
                <w:bCs/>
                <w:sz w:val="18"/>
                <w:szCs w:val="18"/>
              </w:rPr>
              <w:t>完成作业较认真，语言较规范，表述较清楚。</w:t>
            </w:r>
          </w:p>
        </w:tc>
        <w:tc>
          <w:tcPr>
            <w:tcW w:w="1559" w:type="dxa"/>
            <w:vAlign w:val="center"/>
          </w:tcPr>
          <w:p>
            <w:pPr>
              <w:rPr>
                <w:bCs/>
                <w:sz w:val="18"/>
                <w:szCs w:val="18"/>
              </w:rPr>
            </w:pPr>
            <w:r>
              <w:rPr>
                <w:bCs/>
                <w:sz w:val="18"/>
                <w:szCs w:val="18"/>
              </w:rPr>
              <w:t>按时交作业；能够</w:t>
            </w:r>
            <w:r>
              <w:rPr>
                <w:rFonts w:hint="eastAsia"/>
                <w:bCs/>
                <w:sz w:val="18"/>
                <w:szCs w:val="18"/>
              </w:rPr>
              <w:t>基本准确回答应用锁相环技术，抑制噪声实现高Q值带通滤波的原理和优点。</w:t>
            </w:r>
            <w:r>
              <w:rPr>
                <w:bCs/>
                <w:sz w:val="18"/>
                <w:szCs w:val="18"/>
              </w:rPr>
              <w:t>语言基本规范，表述基本清楚。</w:t>
            </w:r>
          </w:p>
        </w:tc>
        <w:tc>
          <w:tcPr>
            <w:tcW w:w="1559" w:type="dxa"/>
            <w:vAlign w:val="center"/>
          </w:tcPr>
          <w:p>
            <w:pPr>
              <w:rPr>
                <w:bCs/>
                <w:sz w:val="18"/>
                <w:szCs w:val="18"/>
              </w:rPr>
            </w:pPr>
            <w:r>
              <w:rPr>
                <w:bCs/>
                <w:sz w:val="18"/>
                <w:szCs w:val="18"/>
              </w:rPr>
              <w:t>不能按时</w:t>
            </w:r>
            <w:r>
              <w:rPr>
                <w:rFonts w:hint="eastAsia"/>
                <w:bCs/>
                <w:sz w:val="18"/>
                <w:szCs w:val="18"/>
              </w:rPr>
              <w:t>完成</w:t>
            </w:r>
            <w:r>
              <w:rPr>
                <w:bCs/>
                <w:sz w:val="18"/>
                <w:szCs w:val="18"/>
              </w:rPr>
              <w:t>作业，有抄袭现象；或</w:t>
            </w:r>
            <w:r>
              <w:rPr>
                <w:rFonts w:hint="eastAsia"/>
                <w:bCs/>
                <w:sz w:val="18"/>
                <w:szCs w:val="18"/>
              </w:rPr>
              <w:t>答案不准确</w:t>
            </w:r>
            <w:r>
              <w:rPr>
                <w:bCs/>
                <w:sz w:val="18"/>
                <w:szCs w:val="18"/>
              </w:rPr>
              <w:t>。</w:t>
            </w:r>
          </w:p>
        </w:tc>
        <w:tc>
          <w:tcPr>
            <w:tcW w:w="607" w:type="dxa"/>
            <w:vAlign w:val="center"/>
          </w:tcPr>
          <w:p>
            <w:pPr>
              <w:jc w:val="center"/>
              <w:rPr>
                <w:rFonts w:hint="eastAsia"/>
                <w:bCs/>
                <w:sz w:val="18"/>
                <w:szCs w:val="18"/>
              </w:rPr>
            </w:pPr>
            <w:r>
              <w:rPr>
                <w:rFonts w:hint="eastAsia"/>
                <w:bCs/>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bCs/>
                <w:sz w:val="18"/>
                <w:szCs w:val="18"/>
              </w:rPr>
            </w:pPr>
            <w:r>
              <w:rPr>
                <w:rFonts w:hint="eastAsia"/>
                <w:bCs/>
                <w:sz w:val="18"/>
                <w:szCs w:val="18"/>
              </w:rPr>
              <w:t>智能传感器的测试有效性确认中，仪表传感器故障的检测方法有哪些。</w:t>
            </w:r>
            <w:r>
              <w:rPr>
                <w:bCs/>
                <w:sz w:val="18"/>
                <w:szCs w:val="18"/>
              </w:rPr>
              <w:t>（支撑课程目标5、毕业要求指标点7-2）</w:t>
            </w:r>
          </w:p>
        </w:tc>
        <w:tc>
          <w:tcPr>
            <w:tcW w:w="1560" w:type="dxa"/>
            <w:vAlign w:val="center"/>
          </w:tcPr>
          <w:p>
            <w:pPr>
              <w:rPr>
                <w:bCs/>
                <w:sz w:val="18"/>
                <w:szCs w:val="18"/>
              </w:rPr>
            </w:pPr>
            <w:r>
              <w:rPr>
                <w:bCs/>
                <w:sz w:val="18"/>
                <w:szCs w:val="18"/>
              </w:rPr>
              <w:t>按时交作业；能够</w:t>
            </w:r>
            <w:r>
              <w:rPr>
                <w:rFonts w:hint="eastAsia"/>
                <w:bCs/>
                <w:sz w:val="18"/>
                <w:szCs w:val="18"/>
              </w:rPr>
              <w:t>准确回答智能传感器的测试有效性确认中，仪表传感器故障的检测方法。</w:t>
            </w:r>
            <w:r>
              <w:rPr>
                <w:bCs/>
                <w:sz w:val="18"/>
                <w:szCs w:val="18"/>
              </w:rPr>
              <w:t>完成作业认真，语言规范，表述清楚。</w:t>
            </w:r>
          </w:p>
        </w:tc>
        <w:tc>
          <w:tcPr>
            <w:tcW w:w="1559" w:type="dxa"/>
            <w:vAlign w:val="center"/>
          </w:tcPr>
          <w:p>
            <w:pPr>
              <w:rPr>
                <w:bCs/>
                <w:sz w:val="18"/>
                <w:szCs w:val="18"/>
              </w:rPr>
            </w:pPr>
            <w:r>
              <w:rPr>
                <w:bCs/>
                <w:sz w:val="18"/>
                <w:szCs w:val="18"/>
              </w:rPr>
              <w:t>按时交作业；能够</w:t>
            </w:r>
            <w:r>
              <w:rPr>
                <w:rFonts w:hint="eastAsia"/>
                <w:bCs/>
                <w:sz w:val="18"/>
                <w:szCs w:val="18"/>
              </w:rPr>
              <w:t>较为准确回答智能传感器的测试有效性确认中，仪表传感器故障的检测方法</w:t>
            </w:r>
            <w:r>
              <w:rPr>
                <w:rFonts w:hint="eastAsia"/>
                <w:color w:val="000000"/>
                <w:sz w:val="18"/>
                <w:szCs w:val="18"/>
              </w:rPr>
              <w:t>。</w:t>
            </w:r>
            <w:r>
              <w:rPr>
                <w:bCs/>
                <w:sz w:val="18"/>
                <w:szCs w:val="18"/>
              </w:rPr>
              <w:t>完成作业较认真，语言较规范，表述较清楚。</w:t>
            </w:r>
          </w:p>
        </w:tc>
        <w:tc>
          <w:tcPr>
            <w:tcW w:w="1559" w:type="dxa"/>
            <w:vAlign w:val="center"/>
          </w:tcPr>
          <w:p>
            <w:pPr>
              <w:rPr>
                <w:bCs/>
                <w:sz w:val="18"/>
                <w:szCs w:val="18"/>
              </w:rPr>
            </w:pPr>
            <w:r>
              <w:rPr>
                <w:bCs/>
                <w:sz w:val="18"/>
                <w:szCs w:val="18"/>
              </w:rPr>
              <w:t>按时交作业；能够</w:t>
            </w:r>
            <w:r>
              <w:rPr>
                <w:rFonts w:hint="eastAsia"/>
                <w:bCs/>
                <w:sz w:val="18"/>
                <w:szCs w:val="18"/>
              </w:rPr>
              <w:t>基本准确回答智能传感器的测试有效性确认中，仪表传感器故障的检测方法。</w:t>
            </w:r>
            <w:r>
              <w:rPr>
                <w:bCs/>
                <w:sz w:val="18"/>
                <w:szCs w:val="18"/>
              </w:rPr>
              <w:t>语言基本规范，表述基本清楚。</w:t>
            </w:r>
          </w:p>
        </w:tc>
        <w:tc>
          <w:tcPr>
            <w:tcW w:w="1559" w:type="dxa"/>
            <w:vAlign w:val="center"/>
          </w:tcPr>
          <w:p>
            <w:pPr>
              <w:rPr>
                <w:rFonts w:hint="eastAsia"/>
                <w:bCs/>
                <w:sz w:val="18"/>
                <w:szCs w:val="18"/>
              </w:rPr>
            </w:pPr>
            <w:r>
              <w:rPr>
                <w:bCs/>
                <w:sz w:val="18"/>
                <w:szCs w:val="18"/>
              </w:rPr>
              <w:t>不能按时</w:t>
            </w:r>
            <w:r>
              <w:rPr>
                <w:rFonts w:hint="eastAsia"/>
                <w:bCs/>
                <w:sz w:val="18"/>
                <w:szCs w:val="18"/>
              </w:rPr>
              <w:t>完成</w:t>
            </w:r>
            <w:r>
              <w:rPr>
                <w:bCs/>
                <w:sz w:val="18"/>
                <w:szCs w:val="18"/>
              </w:rPr>
              <w:t>作业，有抄袭现象；或</w:t>
            </w:r>
            <w:r>
              <w:rPr>
                <w:rFonts w:hint="eastAsia"/>
                <w:bCs/>
                <w:sz w:val="18"/>
                <w:szCs w:val="18"/>
              </w:rPr>
              <w:t>答案不准确</w:t>
            </w:r>
            <w:r>
              <w:rPr>
                <w:bCs/>
                <w:sz w:val="18"/>
                <w:szCs w:val="18"/>
              </w:rPr>
              <w:t>。</w:t>
            </w:r>
          </w:p>
        </w:tc>
        <w:tc>
          <w:tcPr>
            <w:tcW w:w="607" w:type="dxa"/>
            <w:vAlign w:val="center"/>
          </w:tcPr>
          <w:p>
            <w:pPr>
              <w:jc w:val="center"/>
              <w:rPr>
                <w:rFonts w:hint="eastAsia"/>
                <w:bCs/>
                <w:sz w:val="18"/>
                <w:szCs w:val="18"/>
              </w:rPr>
            </w:pPr>
            <w:r>
              <w:rPr>
                <w:rFonts w:hint="eastAsia"/>
                <w:bCs/>
                <w:sz w:val="18"/>
                <w:szCs w:val="18"/>
              </w:rPr>
              <w:t>2</w:t>
            </w:r>
          </w:p>
        </w:tc>
      </w:tr>
    </w:tbl>
    <w:p>
      <w:pPr>
        <w:pStyle w:val="59"/>
        <w:spacing w:line="360" w:lineRule="auto"/>
        <w:ind w:firstLine="207" w:firstLineChars="98"/>
        <w:rPr>
          <w:rFonts w:hint="eastAsia" w:ascii="Times New Roman" w:hAnsi="Times New Roman"/>
          <w:b/>
          <w:color w:val="C00000"/>
          <w:szCs w:val="21"/>
          <w:highlight w:val="yellow"/>
        </w:rPr>
      </w:pPr>
      <w:r>
        <w:rPr>
          <w:rFonts w:hint="eastAsia" w:ascii="Times New Roman" w:hAnsi="Times New Roman"/>
          <w:b/>
          <w:szCs w:val="21"/>
        </w:rPr>
        <w:t>3、实验教学评价标准</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1560"/>
        <w:gridCol w:w="1559"/>
        <w:gridCol w:w="1559"/>
        <w:gridCol w:w="1559"/>
        <w:gridCol w:w="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310" w:type="dxa"/>
            <w:vMerge w:val="restart"/>
            <w:shd w:val="clear" w:color="auto" w:fill="F2F2F2"/>
            <w:vAlign w:val="center"/>
          </w:tcPr>
          <w:p>
            <w:pPr>
              <w:jc w:val="center"/>
              <w:rPr>
                <w:b/>
                <w:color w:val="000000"/>
                <w:sz w:val="18"/>
                <w:szCs w:val="18"/>
              </w:rPr>
            </w:pPr>
            <w:r>
              <w:rPr>
                <w:rFonts w:hint="eastAsia"/>
                <w:b/>
                <w:color w:val="000000"/>
                <w:sz w:val="18"/>
                <w:szCs w:val="18"/>
              </w:rPr>
              <w:t>基本要求</w:t>
            </w:r>
          </w:p>
        </w:tc>
        <w:tc>
          <w:tcPr>
            <w:tcW w:w="6237" w:type="dxa"/>
            <w:gridSpan w:val="4"/>
            <w:shd w:val="clear" w:color="auto" w:fill="F2F2F2"/>
            <w:vAlign w:val="center"/>
          </w:tcPr>
          <w:p>
            <w:pPr>
              <w:jc w:val="center"/>
              <w:rPr>
                <w:b/>
                <w:color w:val="000000"/>
                <w:sz w:val="18"/>
                <w:szCs w:val="18"/>
              </w:rPr>
            </w:pPr>
            <w:r>
              <w:rPr>
                <w:rFonts w:hint="eastAsia"/>
                <w:b/>
                <w:color w:val="000000"/>
                <w:sz w:val="18"/>
                <w:szCs w:val="18"/>
              </w:rPr>
              <w:t>评价标准</w:t>
            </w:r>
          </w:p>
        </w:tc>
        <w:tc>
          <w:tcPr>
            <w:tcW w:w="607" w:type="dxa"/>
            <w:vMerge w:val="restart"/>
            <w:shd w:val="clear" w:color="auto" w:fill="F2F2F2"/>
            <w:vAlign w:val="center"/>
          </w:tcPr>
          <w:p>
            <w:pPr>
              <w:jc w:val="center"/>
              <w:rPr>
                <w:rFonts w:hint="eastAsia"/>
                <w:b/>
                <w:color w:val="000000"/>
                <w:sz w:val="18"/>
                <w:szCs w:val="18"/>
              </w:rPr>
            </w:pPr>
            <w:r>
              <w:rPr>
                <w:rFonts w:hint="eastAsia"/>
                <w:b/>
                <w:color w:val="000000"/>
                <w:sz w:val="18"/>
                <w:szCs w:val="1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310" w:type="dxa"/>
            <w:vMerge w:val="continue"/>
            <w:shd w:val="clear" w:color="auto" w:fill="F2F2F2"/>
          </w:tcPr>
          <w:p>
            <w:pPr>
              <w:spacing w:line="420" w:lineRule="exact"/>
              <w:jc w:val="center"/>
              <w:rPr>
                <w:rFonts w:hint="eastAsia"/>
                <w:b/>
                <w:color w:val="000000"/>
                <w:sz w:val="18"/>
                <w:szCs w:val="18"/>
              </w:rPr>
            </w:pPr>
          </w:p>
        </w:tc>
        <w:tc>
          <w:tcPr>
            <w:tcW w:w="1560" w:type="dxa"/>
            <w:shd w:val="clear" w:color="auto" w:fill="F2F2F2"/>
          </w:tcPr>
          <w:p>
            <w:pPr>
              <w:spacing w:line="420" w:lineRule="exact"/>
              <w:jc w:val="center"/>
              <w:rPr>
                <w:rFonts w:hint="eastAsia"/>
                <w:b/>
                <w:color w:val="000000"/>
                <w:sz w:val="18"/>
                <w:szCs w:val="18"/>
              </w:rPr>
            </w:pPr>
            <w:r>
              <w:rPr>
                <w:rFonts w:hint="eastAsia"/>
                <w:b/>
                <w:color w:val="000000"/>
                <w:sz w:val="18"/>
                <w:szCs w:val="18"/>
              </w:rPr>
              <w:t>90-100分</w:t>
            </w:r>
          </w:p>
        </w:tc>
        <w:tc>
          <w:tcPr>
            <w:tcW w:w="1559" w:type="dxa"/>
            <w:shd w:val="clear" w:color="auto" w:fill="F2F2F2"/>
          </w:tcPr>
          <w:p>
            <w:pPr>
              <w:spacing w:line="420" w:lineRule="exact"/>
              <w:jc w:val="center"/>
              <w:rPr>
                <w:rFonts w:hint="eastAsia"/>
                <w:b/>
                <w:color w:val="000000"/>
                <w:sz w:val="18"/>
                <w:szCs w:val="18"/>
              </w:rPr>
            </w:pPr>
            <w:r>
              <w:rPr>
                <w:rFonts w:hint="eastAsia"/>
                <w:b/>
                <w:color w:val="000000"/>
                <w:sz w:val="18"/>
                <w:szCs w:val="18"/>
              </w:rPr>
              <w:t>75-89分</w:t>
            </w:r>
          </w:p>
        </w:tc>
        <w:tc>
          <w:tcPr>
            <w:tcW w:w="1559" w:type="dxa"/>
            <w:shd w:val="clear" w:color="auto" w:fill="F2F2F2"/>
          </w:tcPr>
          <w:p>
            <w:pPr>
              <w:spacing w:line="420" w:lineRule="exact"/>
              <w:jc w:val="center"/>
              <w:rPr>
                <w:rFonts w:hint="eastAsia"/>
                <w:b/>
                <w:color w:val="000000"/>
                <w:sz w:val="18"/>
                <w:szCs w:val="18"/>
              </w:rPr>
            </w:pPr>
            <w:r>
              <w:rPr>
                <w:rFonts w:hint="eastAsia"/>
                <w:b/>
                <w:color w:val="000000"/>
                <w:sz w:val="18"/>
                <w:szCs w:val="18"/>
              </w:rPr>
              <w:t>60-74分</w:t>
            </w:r>
          </w:p>
        </w:tc>
        <w:tc>
          <w:tcPr>
            <w:tcW w:w="1559" w:type="dxa"/>
            <w:shd w:val="clear" w:color="auto" w:fill="F2F2F2"/>
          </w:tcPr>
          <w:p>
            <w:pPr>
              <w:spacing w:line="420" w:lineRule="exact"/>
              <w:jc w:val="center"/>
              <w:rPr>
                <w:rFonts w:hint="eastAsia"/>
                <w:b/>
                <w:color w:val="000000"/>
                <w:sz w:val="18"/>
                <w:szCs w:val="18"/>
              </w:rPr>
            </w:pPr>
            <w:r>
              <w:rPr>
                <w:rFonts w:hint="eastAsia"/>
                <w:b/>
                <w:color w:val="000000"/>
                <w:sz w:val="18"/>
                <w:szCs w:val="18"/>
              </w:rPr>
              <w:t>0-59分</w:t>
            </w:r>
          </w:p>
        </w:tc>
        <w:tc>
          <w:tcPr>
            <w:tcW w:w="607" w:type="dxa"/>
            <w:vMerge w:val="continue"/>
            <w:shd w:val="clear" w:color="auto" w:fill="F2F2F2"/>
          </w:tcPr>
          <w:p>
            <w:pPr>
              <w:spacing w:line="420" w:lineRule="exact"/>
              <w:jc w:val="center"/>
              <w:rPr>
                <w:b/>
                <w:bCs/>
                <w:color w:val="C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bCs/>
                <w:sz w:val="18"/>
                <w:szCs w:val="18"/>
              </w:rPr>
            </w:pPr>
            <w:r>
              <w:rPr>
                <w:sz w:val="18"/>
                <w:szCs w:val="18"/>
              </w:rPr>
              <w:t>能够根据实验指导书规定的实验目的与要求，进行</w:t>
            </w:r>
            <w:r>
              <w:rPr>
                <w:rFonts w:hint="eastAsia"/>
                <w:sz w:val="18"/>
                <w:szCs w:val="18"/>
              </w:rPr>
              <w:t>1</w:t>
            </w:r>
            <w:r>
              <w:rPr>
                <w:sz w:val="18"/>
                <w:szCs w:val="18"/>
              </w:rPr>
              <w:t>.</w:t>
            </w:r>
            <w:r>
              <w:rPr>
                <w:rFonts w:hint="eastAsia"/>
                <w:sz w:val="18"/>
                <w:szCs w:val="18"/>
              </w:rPr>
              <w:t>智能传感器的非线性自校正、自校准、自补偿实验；2</w:t>
            </w:r>
            <w:r>
              <w:rPr>
                <w:sz w:val="18"/>
                <w:szCs w:val="18"/>
              </w:rPr>
              <w:t>.</w:t>
            </w:r>
            <w:r>
              <w:rPr>
                <w:rFonts w:hint="eastAsia"/>
              </w:rPr>
              <w:t xml:space="preserve"> </w:t>
            </w:r>
            <w:r>
              <w:rPr>
                <w:rFonts w:hint="eastAsia"/>
                <w:sz w:val="18"/>
                <w:szCs w:val="18"/>
              </w:rPr>
              <w:t>智能传感器的增益自适应控制、自检、自诊断实验；3</w:t>
            </w:r>
            <w:r>
              <w:rPr>
                <w:sz w:val="18"/>
                <w:szCs w:val="18"/>
              </w:rPr>
              <w:t>.</w:t>
            </w:r>
            <w:r>
              <w:rPr>
                <w:rFonts w:hint="eastAsia"/>
              </w:rPr>
              <w:t xml:space="preserve"> </w:t>
            </w:r>
            <w:r>
              <w:rPr>
                <w:rFonts w:hint="eastAsia"/>
                <w:sz w:val="18"/>
                <w:szCs w:val="18"/>
              </w:rPr>
              <w:t>MEMS智能温度传感器。4</w:t>
            </w:r>
            <w:r>
              <w:rPr>
                <w:sz w:val="18"/>
                <w:szCs w:val="18"/>
              </w:rPr>
              <w:t>.</w:t>
            </w:r>
            <w:r>
              <w:rPr>
                <w:rFonts w:hint="eastAsia"/>
              </w:rPr>
              <w:t xml:space="preserve"> </w:t>
            </w:r>
            <w:r>
              <w:rPr>
                <w:rFonts w:hint="eastAsia"/>
                <w:sz w:val="18"/>
                <w:szCs w:val="18"/>
              </w:rPr>
              <w:t>MEMS惯导系统实现对物体角速度和转动的测量。</w:t>
            </w:r>
            <w:r>
              <w:rPr>
                <w:sz w:val="18"/>
                <w:szCs w:val="18"/>
              </w:rPr>
              <w:t>（支撑课程目标2</w:t>
            </w:r>
            <w:r>
              <w:rPr>
                <w:rFonts w:hint="eastAsia"/>
                <w:sz w:val="18"/>
                <w:szCs w:val="18"/>
              </w:rPr>
              <w:t>和4</w:t>
            </w:r>
            <w:r>
              <w:rPr>
                <w:sz w:val="18"/>
                <w:szCs w:val="18"/>
              </w:rPr>
              <w:t>、毕业要求指标点3-1</w:t>
            </w:r>
            <w:r>
              <w:rPr>
                <w:rFonts w:hint="eastAsia"/>
                <w:sz w:val="18"/>
                <w:szCs w:val="18"/>
              </w:rPr>
              <w:t>和5</w:t>
            </w:r>
            <w:r>
              <w:rPr>
                <w:sz w:val="18"/>
                <w:szCs w:val="18"/>
              </w:rPr>
              <w:t>-2）</w:t>
            </w:r>
          </w:p>
        </w:tc>
        <w:tc>
          <w:tcPr>
            <w:tcW w:w="1560" w:type="dxa"/>
            <w:vAlign w:val="center"/>
          </w:tcPr>
          <w:p>
            <w:pPr>
              <w:rPr>
                <w:bCs/>
                <w:sz w:val="18"/>
                <w:szCs w:val="18"/>
              </w:rPr>
            </w:pPr>
            <w:r>
              <w:rPr>
                <w:sz w:val="18"/>
                <w:szCs w:val="18"/>
              </w:rPr>
              <w:t>按照要求完成预习，按照实验安全操作规程进行实验</w:t>
            </w:r>
            <w:r>
              <w:rPr>
                <w:rFonts w:hint="eastAsia"/>
                <w:sz w:val="18"/>
                <w:szCs w:val="18"/>
              </w:rPr>
              <w:t>；</w:t>
            </w:r>
            <w:r>
              <w:rPr>
                <w:sz w:val="18"/>
                <w:szCs w:val="18"/>
              </w:rPr>
              <w:t>实验</w:t>
            </w:r>
            <w:r>
              <w:rPr>
                <w:rFonts w:hint="eastAsia"/>
                <w:sz w:val="18"/>
                <w:szCs w:val="18"/>
              </w:rPr>
              <w:t>方法、</w:t>
            </w:r>
            <w:r>
              <w:rPr>
                <w:sz w:val="18"/>
                <w:szCs w:val="18"/>
              </w:rPr>
              <w:t>步骤与结果正确；实验仪器设备完好。</w:t>
            </w:r>
          </w:p>
        </w:tc>
        <w:tc>
          <w:tcPr>
            <w:tcW w:w="1559" w:type="dxa"/>
            <w:vAlign w:val="center"/>
          </w:tcPr>
          <w:p>
            <w:pPr>
              <w:rPr>
                <w:bCs/>
                <w:sz w:val="18"/>
                <w:szCs w:val="18"/>
              </w:rPr>
            </w:pPr>
            <w:r>
              <w:rPr>
                <w:sz w:val="18"/>
                <w:szCs w:val="18"/>
              </w:rPr>
              <w:t>能够预习，按照实验安全操作规程进行实验，实验</w:t>
            </w:r>
            <w:r>
              <w:rPr>
                <w:rFonts w:hint="eastAsia"/>
                <w:sz w:val="18"/>
                <w:szCs w:val="18"/>
              </w:rPr>
              <w:t>方法、</w:t>
            </w:r>
            <w:r>
              <w:rPr>
                <w:sz w:val="18"/>
                <w:szCs w:val="18"/>
              </w:rPr>
              <w:t>步骤与结果正确；实验仪器设备完好。</w:t>
            </w:r>
          </w:p>
        </w:tc>
        <w:tc>
          <w:tcPr>
            <w:tcW w:w="1559" w:type="dxa"/>
            <w:vAlign w:val="center"/>
          </w:tcPr>
          <w:p>
            <w:pPr>
              <w:rPr>
                <w:bCs/>
                <w:sz w:val="18"/>
                <w:szCs w:val="18"/>
              </w:rPr>
            </w:pPr>
            <w:r>
              <w:rPr>
                <w:sz w:val="18"/>
                <w:szCs w:val="18"/>
              </w:rPr>
              <w:t>按照实验安全操作规程进行实验，实验</w:t>
            </w:r>
            <w:r>
              <w:rPr>
                <w:rFonts w:hint="eastAsia"/>
                <w:sz w:val="18"/>
                <w:szCs w:val="18"/>
              </w:rPr>
              <w:t>方法、</w:t>
            </w:r>
            <w:r>
              <w:rPr>
                <w:sz w:val="18"/>
                <w:szCs w:val="18"/>
              </w:rPr>
              <w:t>步骤与结果基本正确；实验仪器设备完好。</w:t>
            </w:r>
          </w:p>
        </w:tc>
        <w:tc>
          <w:tcPr>
            <w:tcW w:w="1559" w:type="dxa"/>
            <w:vAlign w:val="center"/>
          </w:tcPr>
          <w:p>
            <w:pPr>
              <w:rPr>
                <w:bCs/>
                <w:sz w:val="18"/>
                <w:szCs w:val="18"/>
              </w:rPr>
            </w:pPr>
            <w:r>
              <w:rPr>
                <w:sz w:val="18"/>
                <w:szCs w:val="18"/>
              </w:rPr>
              <w:t>没有按照实验安全操作规程进行实验；或者实验</w:t>
            </w:r>
            <w:r>
              <w:rPr>
                <w:rFonts w:hint="eastAsia"/>
                <w:sz w:val="18"/>
                <w:szCs w:val="18"/>
              </w:rPr>
              <w:t>方法、</w:t>
            </w:r>
            <w:r>
              <w:rPr>
                <w:sz w:val="18"/>
                <w:szCs w:val="18"/>
              </w:rPr>
              <w:t>步骤与结果不正确。</w:t>
            </w:r>
          </w:p>
        </w:tc>
        <w:tc>
          <w:tcPr>
            <w:tcW w:w="607" w:type="dxa"/>
            <w:vAlign w:val="center"/>
          </w:tcPr>
          <w:p>
            <w:pPr>
              <w:jc w:val="center"/>
              <w:rPr>
                <w:bCs/>
                <w:sz w:val="18"/>
                <w:szCs w:val="18"/>
              </w:rPr>
            </w:pPr>
            <w:r>
              <w:rPr>
                <w:rFonts w:hint="eastAsia"/>
                <w:bCs/>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sz w:val="18"/>
                <w:szCs w:val="18"/>
              </w:rPr>
            </w:pPr>
            <w:r>
              <w:rPr>
                <w:sz w:val="18"/>
                <w:szCs w:val="18"/>
              </w:rPr>
              <w:t>能够根据实验结果，撰写实验报告。</w:t>
            </w:r>
          </w:p>
          <w:p>
            <w:pPr>
              <w:rPr>
                <w:bCs/>
                <w:sz w:val="18"/>
                <w:szCs w:val="18"/>
              </w:rPr>
            </w:pPr>
            <w:r>
              <w:rPr>
                <w:sz w:val="18"/>
                <w:szCs w:val="18"/>
              </w:rPr>
              <w:t>（支撑课程目标2</w:t>
            </w:r>
            <w:r>
              <w:rPr>
                <w:rFonts w:hint="eastAsia"/>
                <w:sz w:val="18"/>
                <w:szCs w:val="18"/>
              </w:rPr>
              <w:t>和4</w:t>
            </w:r>
            <w:r>
              <w:rPr>
                <w:sz w:val="18"/>
                <w:szCs w:val="18"/>
              </w:rPr>
              <w:t>、毕业要求指标点3-1</w:t>
            </w:r>
            <w:r>
              <w:rPr>
                <w:rFonts w:hint="eastAsia"/>
                <w:sz w:val="18"/>
                <w:szCs w:val="18"/>
              </w:rPr>
              <w:t>和5</w:t>
            </w:r>
            <w:r>
              <w:rPr>
                <w:sz w:val="18"/>
                <w:szCs w:val="18"/>
              </w:rPr>
              <w:t>-2）</w:t>
            </w:r>
          </w:p>
        </w:tc>
        <w:tc>
          <w:tcPr>
            <w:tcW w:w="1560" w:type="dxa"/>
            <w:vAlign w:val="center"/>
          </w:tcPr>
          <w:p>
            <w:pPr>
              <w:rPr>
                <w:bCs/>
                <w:sz w:val="18"/>
                <w:szCs w:val="18"/>
              </w:rPr>
            </w:pPr>
            <w:r>
              <w:rPr>
                <w:sz w:val="18"/>
                <w:szCs w:val="18"/>
              </w:rPr>
              <w:t>按时交实验报告，实验数据与分析详实、正确；图表清晰，语言规范，符合实验报告要求。</w:t>
            </w:r>
          </w:p>
        </w:tc>
        <w:tc>
          <w:tcPr>
            <w:tcW w:w="1559" w:type="dxa"/>
            <w:vAlign w:val="center"/>
          </w:tcPr>
          <w:p>
            <w:pPr>
              <w:rPr>
                <w:bCs/>
                <w:sz w:val="18"/>
                <w:szCs w:val="18"/>
              </w:rPr>
            </w:pPr>
            <w:r>
              <w:rPr>
                <w:sz w:val="18"/>
                <w:szCs w:val="18"/>
              </w:rPr>
              <w:t>按时交实验报告，实验数据与分析正确；图表清晰，语言规范，符合实验报告要求。</w:t>
            </w:r>
          </w:p>
        </w:tc>
        <w:tc>
          <w:tcPr>
            <w:tcW w:w="1559" w:type="dxa"/>
            <w:vAlign w:val="center"/>
          </w:tcPr>
          <w:p>
            <w:pPr>
              <w:rPr>
                <w:bCs/>
                <w:sz w:val="18"/>
                <w:szCs w:val="18"/>
              </w:rPr>
            </w:pPr>
            <w:r>
              <w:rPr>
                <w:sz w:val="18"/>
                <w:szCs w:val="18"/>
              </w:rPr>
              <w:t>按时交实验报告，实验数据与分析基本正确；图表较清晰，语言较规范，基本符合实验报告要求。</w:t>
            </w:r>
          </w:p>
        </w:tc>
        <w:tc>
          <w:tcPr>
            <w:tcW w:w="1559" w:type="dxa"/>
            <w:vAlign w:val="center"/>
          </w:tcPr>
          <w:p>
            <w:pPr>
              <w:rPr>
                <w:bCs/>
                <w:sz w:val="18"/>
                <w:szCs w:val="18"/>
              </w:rPr>
            </w:pPr>
            <w:r>
              <w:rPr>
                <w:sz w:val="18"/>
                <w:szCs w:val="18"/>
              </w:rPr>
              <w:t>没有按时交实验报告；或者实验数据与分析不正确；或者实验报告不符合要求。</w:t>
            </w:r>
          </w:p>
        </w:tc>
        <w:tc>
          <w:tcPr>
            <w:tcW w:w="607" w:type="dxa"/>
            <w:vAlign w:val="center"/>
          </w:tcPr>
          <w:p>
            <w:pPr>
              <w:jc w:val="center"/>
              <w:rPr>
                <w:bCs/>
                <w:sz w:val="18"/>
                <w:szCs w:val="18"/>
              </w:rPr>
            </w:pPr>
            <w:r>
              <w:rPr>
                <w:rFonts w:hint="eastAsia"/>
                <w:bCs/>
                <w:sz w:val="18"/>
                <w:szCs w:val="18"/>
              </w:rPr>
              <w:t>5</w:t>
            </w:r>
          </w:p>
        </w:tc>
      </w:tr>
    </w:tbl>
    <w:p>
      <w:pPr>
        <w:pStyle w:val="59"/>
        <w:spacing w:line="360" w:lineRule="auto"/>
        <w:ind w:firstLine="207" w:firstLineChars="98"/>
        <w:rPr>
          <w:rFonts w:hint="eastAsia" w:ascii="Times New Roman" w:hAnsi="Times New Roman"/>
          <w:b/>
          <w:szCs w:val="21"/>
        </w:rPr>
      </w:pPr>
      <w:r>
        <w:rPr>
          <w:rFonts w:hint="eastAsia" w:ascii="Times New Roman" w:hAnsi="Times New Roman"/>
          <w:b/>
          <w:szCs w:val="21"/>
        </w:rPr>
        <w:t>4、课程设计评价标准</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1560"/>
        <w:gridCol w:w="1559"/>
        <w:gridCol w:w="1559"/>
        <w:gridCol w:w="1559"/>
        <w:gridCol w:w="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jc w:val="center"/>
        </w:trPr>
        <w:tc>
          <w:tcPr>
            <w:tcW w:w="2310" w:type="dxa"/>
            <w:vMerge w:val="restart"/>
            <w:shd w:val="clear" w:color="auto" w:fill="F2F2F2"/>
            <w:vAlign w:val="center"/>
          </w:tcPr>
          <w:p>
            <w:pPr>
              <w:jc w:val="center"/>
              <w:rPr>
                <w:b/>
                <w:color w:val="000000"/>
                <w:sz w:val="18"/>
                <w:szCs w:val="18"/>
              </w:rPr>
            </w:pPr>
            <w:r>
              <w:rPr>
                <w:rFonts w:hint="eastAsia"/>
                <w:b/>
                <w:color w:val="000000"/>
                <w:sz w:val="18"/>
                <w:szCs w:val="18"/>
              </w:rPr>
              <w:t>基本要求</w:t>
            </w:r>
          </w:p>
        </w:tc>
        <w:tc>
          <w:tcPr>
            <w:tcW w:w="6237" w:type="dxa"/>
            <w:gridSpan w:val="4"/>
            <w:shd w:val="clear" w:color="auto" w:fill="F2F2F2"/>
            <w:vAlign w:val="center"/>
          </w:tcPr>
          <w:p>
            <w:pPr>
              <w:jc w:val="center"/>
              <w:rPr>
                <w:b/>
                <w:color w:val="000000"/>
                <w:sz w:val="18"/>
                <w:szCs w:val="18"/>
              </w:rPr>
            </w:pPr>
            <w:r>
              <w:rPr>
                <w:rFonts w:hint="eastAsia"/>
                <w:b/>
                <w:color w:val="000000"/>
                <w:sz w:val="18"/>
                <w:szCs w:val="18"/>
              </w:rPr>
              <w:t>评价标准</w:t>
            </w:r>
          </w:p>
        </w:tc>
        <w:tc>
          <w:tcPr>
            <w:tcW w:w="607" w:type="dxa"/>
            <w:vMerge w:val="restart"/>
            <w:shd w:val="clear" w:color="auto" w:fill="F2F2F2"/>
            <w:vAlign w:val="center"/>
          </w:tcPr>
          <w:p>
            <w:pPr>
              <w:jc w:val="center"/>
              <w:rPr>
                <w:rFonts w:hint="eastAsia"/>
                <w:b/>
                <w:color w:val="000000"/>
                <w:sz w:val="18"/>
                <w:szCs w:val="18"/>
              </w:rPr>
            </w:pPr>
            <w:r>
              <w:rPr>
                <w:rFonts w:hint="eastAsia"/>
                <w:b/>
                <w:color w:val="000000"/>
                <w:sz w:val="18"/>
                <w:szCs w:val="1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310" w:type="dxa"/>
            <w:vMerge w:val="continue"/>
            <w:shd w:val="clear" w:color="auto" w:fill="F2F2F2"/>
          </w:tcPr>
          <w:p>
            <w:pPr>
              <w:spacing w:line="420" w:lineRule="exact"/>
              <w:jc w:val="center"/>
              <w:rPr>
                <w:rFonts w:hint="eastAsia"/>
                <w:b/>
                <w:color w:val="000000"/>
                <w:sz w:val="18"/>
                <w:szCs w:val="18"/>
              </w:rPr>
            </w:pPr>
          </w:p>
        </w:tc>
        <w:tc>
          <w:tcPr>
            <w:tcW w:w="1560" w:type="dxa"/>
            <w:shd w:val="clear" w:color="auto" w:fill="F2F2F2"/>
          </w:tcPr>
          <w:p>
            <w:pPr>
              <w:spacing w:line="420" w:lineRule="exact"/>
              <w:jc w:val="center"/>
              <w:rPr>
                <w:rFonts w:hint="eastAsia"/>
                <w:b/>
                <w:color w:val="000000"/>
                <w:sz w:val="18"/>
                <w:szCs w:val="18"/>
              </w:rPr>
            </w:pPr>
            <w:r>
              <w:rPr>
                <w:rFonts w:hint="eastAsia"/>
                <w:b/>
                <w:color w:val="000000"/>
                <w:sz w:val="18"/>
                <w:szCs w:val="18"/>
              </w:rPr>
              <w:t>90-100分</w:t>
            </w:r>
          </w:p>
        </w:tc>
        <w:tc>
          <w:tcPr>
            <w:tcW w:w="1559" w:type="dxa"/>
            <w:shd w:val="clear" w:color="auto" w:fill="F2F2F2"/>
          </w:tcPr>
          <w:p>
            <w:pPr>
              <w:spacing w:line="420" w:lineRule="exact"/>
              <w:jc w:val="center"/>
              <w:rPr>
                <w:rFonts w:hint="eastAsia"/>
                <w:b/>
                <w:color w:val="000000"/>
                <w:sz w:val="18"/>
                <w:szCs w:val="18"/>
              </w:rPr>
            </w:pPr>
            <w:r>
              <w:rPr>
                <w:rFonts w:hint="eastAsia"/>
                <w:b/>
                <w:color w:val="000000"/>
                <w:sz w:val="18"/>
                <w:szCs w:val="18"/>
              </w:rPr>
              <w:t>75-89分</w:t>
            </w:r>
          </w:p>
        </w:tc>
        <w:tc>
          <w:tcPr>
            <w:tcW w:w="1559" w:type="dxa"/>
            <w:shd w:val="clear" w:color="auto" w:fill="F2F2F2"/>
          </w:tcPr>
          <w:p>
            <w:pPr>
              <w:spacing w:line="420" w:lineRule="exact"/>
              <w:jc w:val="center"/>
              <w:rPr>
                <w:rFonts w:hint="eastAsia"/>
                <w:b/>
                <w:color w:val="000000"/>
                <w:sz w:val="18"/>
                <w:szCs w:val="18"/>
              </w:rPr>
            </w:pPr>
            <w:r>
              <w:rPr>
                <w:rFonts w:hint="eastAsia"/>
                <w:b/>
                <w:color w:val="000000"/>
                <w:sz w:val="18"/>
                <w:szCs w:val="18"/>
              </w:rPr>
              <w:t>60-74分</w:t>
            </w:r>
          </w:p>
        </w:tc>
        <w:tc>
          <w:tcPr>
            <w:tcW w:w="1559" w:type="dxa"/>
            <w:shd w:val="clear" w:color="auto" w:fill="F2F2F2"/>
          </w:tcPr>
          <w:p>
            <w:pPr>
              <w:spacing w:line="420" w:lineRule="exact"/>
              <w:jc w:val="center"/>
              <w:rPr>
                <w:rFonts w:hint="eastAsia"/>
                <w:b/>
                <w:color w:val="000000"/>
                <w:sz w:val="18"/>
                <w:szCs w:val="18"/>
              </w:rPr>
            </w:pPr>
            <w:r>
              <w:rPr>
                <w:rFonts w:hint="eastAsia"/>
                <w:b/>
                <w:color w:val="000000"/>
                <w:sz w:val="18"/>
                <w:szCs w:val="18"/>
              </w:rPr>
              <w:t>0-59分</w:t>
            </w:r>
          </w:p>
        </w:tc>
        <w:tc>
          <w:tcPr>
            <w:tcW w:w="607" w:type="dxa"/>
            <w:vMerge w:val="continue"/>
            <w:shd w:val="clear" w:color="auto" w:fill="F2F2F2"/>
          </w:tcPr>
          <w:p>
            <w:pPr>
              <w:spacing w:line="420" w:lineRule="exact"/>
              <w:jc w:val="center"/>
              <w:rPr>
                <w:b/>
                <w:bCs/>
                <w:color w:val="C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sz w:val="18"/>
                <w:szCs w:val="18"/>
              </w:rPr>
            </w:pPr>
            <w:r>
              <w:rPr>
                <w:sz w:val="18"/>
                <w:szCs w:val="18"/>
              </w:rPr>
              <w:t>能够完成设计方案的撰写，能够清晰的进行陈述，表达自己的设计思想。</w:t>
            </w:r>
          </w:p>
          <w:p>
            <w:pPr>
              <w:rPr>
                <w:bCs/>
                <w:sz w:val="18"/>
                <w:szCs w:val="18"/>
              </w:rPr>
            </w:pPr>
            <w:r>
              <w:rPr>
                <w:sz w:val="18"/>
                <w:szCs w:val="18"/>
              </w:rPr>
              <w:t>（支撑课程目标4、毕业要求指标点5-2）</w:t>
            </w:r>
          </w:p>
        </w:tc>
        <w:tc>
          <w:tcPr>
            <w:tcW w:w="1560" w:type="dxa"/>
            <w:vAlign w:val="center"/>
          </w:tcPr>
          <w:p>
            <w:pPr>
              <w:rPr>
                <w:bCs/>
                <w:sz w:val="18"/>
                <w:szCs w:val="18"/>
              </w:rPr>
            </w:pPr>
            <w:r>
              <w:rPr>
                <w:sz w:val="18"/>
                <w:szCs w:val="18"/>
              </w:rPr>
              <w:t>设计方案撰写层次清晰，论述正确；方案陈述清晰，PPT制作质量高，回答问题正确。</w:t>
            </w:r>
          </w:p>
        </w:tc>
        <w:tc>
          <w:tcPr>
            <w:tcW w:w="1559" w:type="dxa"/>
            <w:vAlign w:val="center"/>
          </w:tcPr>
          <w:p>
            <w:pPr>
              <w:rPr>
                <w:bCs/>
                <w:sz w:val="18"/>
                <w:szCs w:val="18"/>
              </w:rPr>
            </w:pPr>
            <w:r>
              <w:rPr>
                <w:sz w:val="18"/>
                <w:szCs w:val="18"/>
              </w:rPr>
              <w:t>设计方案撰写论述正确；方案陈述清楚，PPT制作质量较高，回答问题正确。</w:t>
            </w:r>
          </w:p>
        </w:tc>
        <w:tc>
          <w:tcPr>
            <w:tcW w:w="1559" w:type="dxa"/>
            <w:vAlign w:val="center"/>
          </w:tcPr>
          <w:p>
            <w:pPr>
              <w:rPr>
                <w:bCs/>
                <w:sz w:val="18"/>
                <w:szCs w:val="18"/>
              </w:rPr>
            </w:pPr>
            <w:r>
              <w:rPr>
                <w:sz w:val="18"/>
                <w:szCs w:val="18"/>
              </w:rPr>
              <w:t>设计方案撰写论述基本正确；方案陈述基本清楚，PPT制作质量一般，回答问题基本正确。</w:t>
            </w:r>
          </w:p>
        </w:tc>
        <w:tc>
          <w:tcPr>
            <w:tcW w:w="1559" w:type="dxa"/>
            <w:vAlign w:val="center"/>
          </w:tcPr>
          <w:p>
            <w:pPr>
              <w:rPr>
                <w:bCs/>
                <w:sz w:val="18"/>
                <w:szCs w:val="18"/>
              </w:rPr>
            </w:pPr>
            <w:r>
              <w:rPr>
                <w:sz w:val="18"/>
                <w:szCs w:val="18"/>
              </w:rPr>
              <w:t>设计方案撰写有原则性错误；或者方案陈述有原则性错误，回答问题有原则性错误。</w:t>
            </w:r>
          </w:p>
        </w:tc>
        <w:tc>
          <w:tcPr>
            <w:tcW w:w="607" w:type="dxa"/>
            <w:vAlign w:val="center"/>
          </w:tcPr>
          <w:p>
            <w:pPr>
              <w:jc w:val="center"/>
              <w:rPr>
                <w:bCs/>
                <w:color w:val="7030A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sz w:val="18"/>
                <w:szCs w:val="18"/>
              </w:rPr>
            </w:pPr>
            <w:r>
              <w:rPr>
                <w:sz w:val="18"/>
                <w:szCs w:val="18"/>
              </w:rPr>
              <w:t>根据方案设计中到的问题，能够进行文献检索、自主学习，通过阅读理解，解决问题，并完成文献检索报告的撰写。</w:t>
            </w:r>
          </w:p>
          <w:p>
            <w:pPr>
              <w:rPr>
                <w:bCs/>
                <w:sz w:val="18"/>
                <w:szCs w:val="18"/>
              </w:rPr>
            </w:pPr>
            <w:r>
              <w:rPr>
                <w:sz w:val="18"/>
                <w:szCs w:val="18"/>
              </w:rPr>
              <w:t>（支撑课程目标5、毕业要求指标点7-2）</w:t>
            </w:r>
          </w:p>
        </w:tc>
        <w:tc>
          <w:tcPr>
            <w:tcW w:w="1560" w:type="dxa"/>
            <w:vAlign w:val="center"/>
          </w:tcPr>
          <w:p>
            <w:pPr>
              <w:rPr>
                <w:bCs/>
                <w:sz w:val="18"/>
                <w:szCs w:val="18"/>
              </w:rPr>
            </w:pPr>
            <w:r>
              <w:rPr>
                <w:sz w:val="18"/>
                <w:szCs w:val="18"/>
              </w:rPr>
              <w:t>能够正确结合课题设计中的相关问题，通过广泛文献查阅等手段，综合考虑设计需求、方案及具体方法，很好掌握自主获取知识的途径。</w:t>
            </w:r>
          </w:p>
        </w:tc>
        <w:tc>
          <w:tcPr>
            <w:tcW w:w="1559" w:type="dxa"/>
            <w:vAlign w:val="center"/>
          </w:tcPr>
          <w:p>
            <w:pPr>
              <w:rPr>
                <w:bCs/>
                <w:sz w:val="18"/>
                <w:szCs w:val="18"/>
              </w:rPr>
            </w:pPr>
            <w:r>
              <w:rPr>
                <w:sz w:val="18"/>
                <w:szCs w:val="18"/>
              </w:rPr>
              <w:t>能够正确结合课题设计中的相关问题，通过一定的文献查阅等手段，综合考虑设计需求、方案及具体方法，较好掌握自主获取知识的途径。</w:t>
            </w:r>
          </w:p>
        </w:tc>
        <w:tc>
          <w:tcPr>
            <w:tcW w:w="1559" w:type="dxa"/>
            <w:vAlign w:val="center"/>
          </w:tcPr>
          <w:p>
            <w:pPr>
              <w:rPr>
                <w:bCs/>
                <w:sz w:val="18"/>
                <w:szCs w:val="18"/>
              </w:rPr>
            </w:pPr>
            <w:r>
              <w:rPr>
                <w:sz w:val="18"/>
                <w:szCs w:val="18"/>
              </w:rPr>
              <w:t>基本能够结合课题设计中的相关问题，通过初步文献查阅等手段，综合考虑设计需求、方案及具体方法，初步掌握自主获取知识的途径。</w:t>
            </w:r>
          </w:p>
        </w:tc>
        <w:tc>
          <w:tcPr>
            <w:tcW w:w="1559" w:type="dxa"/>
            <w:vAlign w:val="center"/>
          </w:tcPr>
          <w:p>
            <w:pPr>
              <w:rPr>
                <w:bCs/>
                <w:sz w:val="18"/>
                <w:szCs w:val="18"/>
              </w:rPr>
            </w:pPr>
            <w:r>
              <w:rPr>
                <w:sz w:val="18"/>
                <w:szCs w:val="18"/>
              </w:rPr>
              <w:t>未能够展开相关文献查阅等工作，未掌握自主获取知识的途径。</w:t>
            </w:r>
          </w:p>
        </w:tc>
        <w:tc>
          <w:tcPr>
            <w:tcW w:w="607" w:type="dxa"/>
            <w:vAlign w:val="center"/>
          </w:tcPr>
          <w:p>
            <w:pPr>
              <w:jc w:val="center"/>
              <w:rPr>
                <w:bCs/>
                <w:color w:val="7030A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hint="eastAsia"/>
                <w:bCs/>
                <w:color w:val="7030A0"/>
                <w:sz w:val="18"/>
                <w:szCs w:val="18"/>
              </w:rPr>
            </w:pPr>
          </w:p>
        </w:tc>
        <w:tc>
          <w:tcPr>
            <w:tcW w:w="1560" w:type="dxa"/>
            <w:vAlign w:val="center"/>
          </w:tcPr>
          <w:p>
            <w:pPr>
              <w:rPr>
                <w:rFonts w:hint="eastAsia"/>
                <w:bCs/>
                <w:color w:val="7030A0"/>
                <w:sz w:val="18"/>
                <w:szCs w:val="18"/>
              </w:rPr>
            </w:pPr>
          </w:p>
        </w:tc>
        <w:tc>
          <w:tcPr>
            <w:tcW w:w="1559" w:type="dxa"/>
            <w:vAlign w:val="center"/>
          </w:tcPr>
          <w:p>
            <w:pPr>
              <w:rPr>
                <w:rFonts w:hint="eastAsia"/>
                <w:bCs/>
                <w:color w:val="7030A0"/>
                <w:sz w:val="18"/>
                <w:szCs w:val="18"/>
              </w:rPr>
            </w:pPr>
          </w:p>
        </w:tc>
        <w:tc>
          <w:tcPr>
            <w:tcW w:w="1559" w:type="dxa"/>
            <w:vAlign w:val="center"/>
          </w:tcPr>
          <w:p>
            <w:pPr>
              <w:rPr>
                <w:rFonts w:hint="eastAsia"/>
                <w:bCs/>
                <w:color w:val="7030A0"/>
                <w:sz w:val="18"/>
                <w:szCs w:val="18"/>
              </w:rPr>
            </w:pPr>
          </w:p>
        </w:tc>
        <w:tc>
          <w:tcPr>
            <w:tcW w:w="1559" w:type="dxa"/>
            <w:vAlign w:val="center"/>
          </w:tcPr>
          <w:p>
            <w:pPr>
              <w:rPr>
                <w:rFonts w:hint="eastAsia"/>
                <w:bCs/>
                <w:color w:val="7030A0"/>
                <w:sz w:val="18"/>
                <w:szCs w:val="18"/>
              </w:rPr>
            </w:pPr>
          </w:p>
        </w:tc>
        <w:tc>
          <w:tcPr>
            <w:tcW w:w="607" w:type="dxa"/>
            <w:vAlign w:val="center"/>
          </w:tcPr>
          <w:p>
            <w:pPr>
              <w:jc w:val="center"/>
              <w:rPr>
                <w:rFonts w:hint="eastAsia"/>
                <w:bCs/>
                <w:color w:val="7030A0"/>
                <w:sz w:val="18"/>
                <w:szCs w:val="18"/>
              </w:rPr>
            </w:pPr>
          </w:p>
        </w:tc>
      </w:tr>
    </w:tbl>
    <w:p>
      <w:pPr>
        <w:pStyle w:val="59"/>
        <w:spacing w:line="360" w:lineRule="auto"/>
        <w:ind w:firstLine="207" w:firstLineChars="98"/>
        <w:rPr>
          <w:rFonts w:hint="eastAsia" w:ascii="Times New Roman" w:hAnsi="Times New Roman"/>
          <w:b/>
          <w:szCs w:val="21"/>
          <w:highlight w:val="yellow"/>
        </w:rPr>
      </w:pPr>
      <w:r>
        <w:rPr>
          <w:rFonts w:hint="eastAsia" w:ascii="Times New Roman" w:hAnsi="Times New Roman"/>
          <w:b/>
          <w:szCs w:val="21"/>
        </w:rPr>
        <w:t>5、考试评价标准</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1560"/>
        <w:gridCol w:w="1559"/>
        <w:gridCol w:w="1559"/>
        <w:gridCol w:w="1559"/>
        <w:gridCol w:w="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310" w:type="dxa"/>
            <w:vMerge w:val="restart"/>
            <w:shd w:val="clear" w:color="auto" w:fill="F2F2F2"/>
            <w:vAlign w:val="center"/>
          </w:tcPr>
          <w:p>
            <w:pPr>
              <w:jc w:val="center"/>
              <w:rPr>
                <w:b/>
                <w:color w:val="000000"/>
                <w:sz w:val="18"/>
                <w:szCs w:val="18"/>
              </w:rPr>
            </w:pPr>
            <w:r>
              <w:rPr>
                <w:rFonts w:hint="eastAsia"/>
                <w:b/>
                <w:color w:val="000000"/>
                <w:sz w:val="18"/>
                <w:szCs w:val="18"/>
              </w:rPr>
              <w:t>基本要求</w:t>
            </w:r>
          </w:p>
        </w:tc>
        <w:tc>
          <w:tcPr>
            <w:tcW w:w="6237" w:type="dxa"/>
            <w:gridSpan w:val="4"/>
            <w:shd w:val="clear" w:color="auto" w:fill="F2F2F2"/>
            <w:vAlign w:val="center"/>
          </w:tcPr>
          <w:p>
            <w:pPr>
              <w:jc w:val="center"/>
              <w:rPr>
                <w:b/>
                <w:color w:val="000000"/>
                <w:sz w:val="18"/>
                <w:szCs w:val="18"/>
              </w:rPr>
            </w:pPr>
            <w:r>
              <w:rPr>
                <w:rFonts w:hint="eastAsia"/>
                <w:b/>
                <w:color w:val="000000"/>
                <w:sz w:val="18"/>
                <w:szCs w:val="18"/>
              </w:rPr>
              <w:t>评价标准</w:t>
            </w:r>
          </w:p>
        </w:tc>
        <w:tc>
          <w:tcPr>
            <w:tcW w:w="607" w:type="dxa"/>
            <w:vMerge w:val="restart"/>
            <w:shd w:val="clear" w:color="auto" w:fill="F2F2F2"/>
            <w:vAlign w:val="center"/>
          </w:tcPr>
          <w:p>
            <w:pPr>
              <w:jc w:val="center"/>
              <w:rPr>
                <w:rFonts w:hint="eastAsia"/>
                <w:b/>
                <w:color w:val="000000"/>
                <w:sz w:val="18"/>
                <w:szCs w:val="18"/>
              </w:rPr>
            </w:pPr>
            <w:r>
              <w:rPr>
                <w:rFonts w:hint="eastAsia"/>
                <w:b/>
                <w:color w:val="000000"/>
                <w:sz w:val="18"/>
                <w:szCs w:val="1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310" w:type="dxa"/>
            <w:vMerge w:val="continue"/>
            <w:shd w:val="clear" w:color="auto" w:fill="F2F2F2"/>
          </w:tcPr>
          <w:p>
            <w:pPr>
              <w:spacing w:line="420" w:lineRule="exact"/>
              <w:jc w:val="center"/>
              <w:rPr>
                <w:rFonts w:hint="eastAsia"/>
                <w:b/>
                <w:color w:val="000000"/>
                <w:sz w:val="18"/>
                <w:szCs w:val="18"/>
              </w:rPr>
            </w:pPr>
          </w:p>
        </w:tc>
        <w:tc>
          <w:tcPr>
            <w:tcW w:w="1560" w:type="dxa"/>
            <w:shd w:val="clear" w:color="auto" w:fill="F2F2F2"/>
          </w:tcPr>
          <w:p>
            <w:pPr>
              <w:spacing w:line="420" w:lineRule="exact"/>
              <w:jc w:val="center"/>
              <w:rPr>
                <w:rFonts w:hint="eastAsia"/>
                <w:b/>
                <w:color w:val="000000"/>
                <w:sz w:val="18"/>
                <w:szCs w:val="18"/>
              </w:rPr>
            </w:pPr>
            <w:r>
              <w:rPr>
                <w:rFonts w:hint="eastAsia"/>
                <w:b/>
                <w:color w:val="000000"/>
                <w:sz w:val="18"/>
                <w:szCs w:val="18"/>
              </w:rPr>
              <w:t>90-100分</w:t>
            </w:r>
          </w:p>
        </w:tc>
        <w:tc>
          <w:tcPr>
            <w:tcW w:w="1559" w:type="dxa"/>
            <w:shd w:val="clear" w:color="auto" w:fill="F2F2F2"/>
          </w:tcPr>
          <w:p>
            <w:pPr>
              <w:spacing w:line="420" w:lineRule="exact"/>
              <w:jc w:val="center"/>
              <w:rPr>
                <w:rFonts w:hint="eastAsia"/>
                <w:b/>
                <w:color w:val="000000"/>
                <w:sz w:val="18"/>
                <w:szCs w:val="18"/>
              </w:rPr>
            </w:pPr>
            <w:r>
              <w:rPr>
                <w:rFonts w:hint="eastAsia"/>
                <w:b/>
                <w:color w:val="000000"/>
                <w:sz w:val="18"/>
                <w:szCs w:val="18"/>
              </w:rPr>
              <w:t>75-89分</w:t>
            </w:r>
          </w:p>
        </w:tc>
        <w:tc>
          <w:tcPr>
            <w:tcW w:w="1559" w:type="dxa"/>
            <w:shd w:val="clear" w:color="auto" w:fill="F2F2F2"/>
          </w:tcPr>
          <w:p>
            <w:pPr>
              <w:spacing w:line="420" w:lineRule="exact"/>
              <w:jc w:val="center"/>
              <w:rPr>
                <w:rFonts w:hint="eastAsia"/>
                <w:b/>
                <w:color w:val="000000"/>
                <w:sz w:val="18"/>
                <w:szCs w:val="18"/>
              </w:rPr>
            </w:pPr>
            <w:r>
              <w:rPr>
                <w:rFonts w:hint="eastAsia"/>
                <w:b/>
                <w:color w:val="000000"/>
                <w:sz w:val="18"/>
                <w:szCs w:val="18"/>
              </w:rPr>
              <w:t>60-74分</w:t>
            </w:r>
          </w:p>
        </w:tc>
        <w:tc>
          <w:tcPr>
            <w:tcW w:w="1559" w:type="dxa"/>
            <w:shd w:val="clear" w:color="auto" w:fill="F2F2F2"/>
          </w:tcPr>
          <w:p>
            <w:pPr>
              <w:spacing w:line="420" w:lineRule="exact"/>
              <w:jc w:val="center"/>
              <w:rPr>
                <w:rFonts w:hint="eastAsia"/>
                <w:b/>
                <w:color w:val="000000"/>
                <w:sz w:val="18"/>
                <w:szCs w:val="18"/>
              </w:rPr>
            </w:pPr>
            <w:r>
              <w:rPr>
                <w:rFonts w:hint="eastAsia"/>
                <w:b/>
                <w:color w:val="000000"/>
                <w:sz w:val="18"/>
                <w:szCs w:val="18"/>
              </w:rPr>
              <w:t>0-59分</w:t>
            </w:r>
          </w:p>
        </w:tc>
        <w:tc>
          <w:tcPr>
            <w:tcW w:w="607" w:type="dxa"/>
            <w:vMerge w:val="continue"/>
            <w:shd w:val="clear" w:color="auto" w:fill="F2F2F2"/>
          </w:tcPr>
          <w:p>
            <w:pPr>
              <w:spacing w:line="420" w:lineRule="exact"/>
              <w:jc w:val="center"/>
              <w:rPr>
                <w:b/>
                <w:bCs/>
                <w:color w:val="C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sz w:val="18"/>
                <w:szCs w:val="18"/>
              </w:rPr>
            </w:pPr>
            <w:r>
              <w:rPr>
                <w:sz w:val="18"/>
                <w:szCs w:val="18"/>
              </w:rPr>
              <w:t>能够</w:t>
            </w:r>
            <w:r>
              <w:rPr>
                <w:rFonts w:hint="eastAsia"/>
                <w:sz w:val="18"/>
                <w:szCs w:val="18"/>
              </w:rPr>
              <w:t>复述智能传感器的基本概念。</w:t>
            </w:r>
          </w:p>
          <w:p>
            <w:pPr>
              <w:rPr>
                <w:bCs/>
                <w:sz w:val="18"/>
                <w:szCs w:val="18"/>
              </w:rPr>
            </w:pPr>
            <w:r>
              <w:rPr>
                <w:sz w:val="18"/>
                <w:szCs w:val="18"/>
              </w:rPr>
              <w:t>（支撑课程目标1、毕业要求指标点4-1）</w:t>
            </w:r>
          </w:p>
        </w:tc>
        <w:tc>
          <w:tcPr>
            <w:tcW w:w="1560" w:type="dxa"/>
            <w:vAlign w:val="center"/>
          </w:tcPr>
          <w:p>
            <w:pPr>
              <w:rPr>
                <w:bCs/>
                <w:sz w:val="18"/>
                <w:szCs w:val="18"/>
              </w:rPr>
            </w:pPr>
            <w:r>
              <w:rPr>
                <w:sz w:val="18"/>
                <w:szCs w:val="18"/>
              </w:rPr>
              <w:t>能够</w:t>
            </w:r>
            <w:r>
              <w:rPr>
                <w:rFonts w:hint="eastAsia"/>
                <w:sz w:val="18"/>
                <w:szCs w:val="18"/>
              </w:rPr>
              <w:t>准确复述智能传感器的基本概念和特征，内容</w:t>
            </w:r>
            <w:r>
              <w:rPr>
                <w:sz w:val="18"/>
                <w:szCs w:val="18"/>
              </w:rPr>
              <w:t>准确，语言规范。</w:t>
            </w:r>
          </w:p>
        </w:tc>
        <w:tc>
          <w:tcPr>
            <w:tcW w:w="1559" w:type="dxa"/>
            <w:vAlign w:val="center"/>
          </w:tcPr>
          <w:p>
            <w:pPr>
              <w:rPr>
                <w:bCs/>
                <w:sz w:val="18"/>
                <w:szCs w:val="18"/>
              </w:rPr>
            </w:pPr>
            <w:r>
              <w:rPr>
                <w:sz w:val="18"/>
                <w:szCs w:val="18"/>
              </w:rPr>
              <w:t>能够</w:t>
            </w:r>
            <w:r>
              <w:rPr>
                <w:rFonts w:hint="eastAsia"/>
                <w:sz w:val="18"/>
                <w:szCs w:val="18"/>
              </w:rPr>
              <w:t>较为准确复述智能传感器的基本概念和特征，内容</w:t>
            </w:r>
            <w:r>
              <w:rPr>
                <w:sz w:val="18"/>
                <w:szCs w:val="18"/>
              </w:rPr>
              <w:t>准确，语言规范。</w:t>
            </w:r>
          </w:p>
        </w:tc>
        <w:tc>
          <w:tcPr>
            <w:tcW w:w="1559" w:type="dxa"/>
            <w:vAlign w:val="center"/>
          </w:tcPr>
          <w:p>
            <w:pPr>
              <w:rPr>
                <w:bCs/>
                <w:sz w:val="18"/>
                <w:szCs w:val="18"/>
              </w:rPr>
            </w:pPr>
            <w:r>
              <w:rPr>
                <w:sz w:val="18"/>
                <w:szCs w:val="18"/>
              </w:rPr>
              <w:t>能够</w:t>
            </w:r>
            <w:r>
              <w:rPr>
                <w:rFonts w:hint="eastAsia"/>
                <w:sz w:val="18"/>
                <w:szCs w:val="18"/>
              </w:rPr>
              <w:t>基本准确复述智能传感器的基本概念和特征，内容</w:t>
            </w:r>
            <w:r>
              <w:rPr>
                <w:sz w:val="18"/>
                <w:szCs w:val="18"/>
              </w:rPr>
              <w:t>准确，语言规范。</w:t>
            </w:r>
          </w:p>
        </w:tc>
        <w:tc>
          <w:tcPr>
            <w:tcW w:w="1559" w:type="dxa"/>
            <w:vAlign w:val="center"/>
          </w:tcPr>
          <w:p>
            <w:pPr>
              <w:rPr>
                <w:bCs/>
                <w:sz w:val="18"/>
                <w:szCs w:val="18"/>
              </w:rPr>
            </w:pPr>
            <w:r>
              <w:rPr>
                <w:rFonts w:hint="eastAsia"/>
                <w:sz w:val="18"/>
                <w:szCs w:val="18"/>
              </w:rPr>
              <w:t>不</w:t>
            </w:r>
            <w:r>
              <w:rPr>
                <w:sz w:val="18"/>
                <w:szCs w:val="18"/>
              </w:rPr>
              <w:t>能</w:t>
            </w:r>
            <w:r>
              <w:rPr>
                <w:rFonts w:hint="eastAsia"/>
                <w:sz w:val="18"/>
                <w:szCs w:val="18"/>
              </w:rPr>
              <w:t>准确复述智能传感器的基本概念和特征，内容不</w:t>
            </w:r>
            <w:r>
              <w:rPr>
                <w:sz w:val="18"/>
                <w:szCs w:val="18"/>
              </w:rPr>
              <w:t>准确，语言</w:t>
            </w:r>
            <w:r>
              <w:rPr>
                <w:rFonts w:hint="eastAsia"/>
                <w:sz w:val="18"/>
                <w:szCs w:val="18"/>
              </w:rPr>
              <w:t>不</w:t>
            </w:r>
            <w:r>
              <w:rPr>
                <w:sz w:val="18"/>
                <w:szCs w:val="18"/>
              </w:rPr>
              <w:t>规范。</w:t>
            </w:r>
          </w:p>
        </w:tc>
        <w:tc>
          <w:tcPr>
            <w:tcW w:w="607" w:type="dxa"/>
            <w:vAlign w:val="center"/>
          </w:tcPr>
          <w:p>
            <w:pPr>
              <w:jc w:val="center"/>
              <w:rPr>
                <w:bCs/>
                <w:sz w:val="18"/>
                <w:szCs w:val="18"/>
              </w:rPr>
            </w:pPr>
            <w:r>
              <w:rPr>
                <w:rFonts w:hint="eastAsia"/>
                <w:bCs/>
                <w:sz w:val="18"/>
                <w:szCs w:val="18"/>
              </w:rPr>
              <w:t>1</w:t>
            </w:r>
            <w:r>
              <w:rPr>
                <w:bCs/>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sz w:val="18"/>
                <w:szCs w:val="18"/>
              </w:rPr>
            </w:pPr>
            <w:r>
              <w:rPr>
                <w:sz w:val="18"/>
                <w:szCs w:val="18"/>
              </w:rPr>
              <w:t>能够</w:t>
            </w:r>
            <w:r>
              <w:rPr>
                <w:rFonts w:hint="eastAsia"/>
                <w:sz w:val="18"/>
                <w:szCs w:val="18"/>
              </w:rPr>
              <w:t>复述智能传感器的非线性自校正、自校准、自补偿的原理和实现方法。</w:t>
            </w:r>
          </w:p>
          <w:p>
            <w:pPr>
              <w:rPr>
                <w:bCs/>
                <w:sz w:val="18"/>
                <w:szCs w:val="18"/>
              </w:rPr>
            </w:pPr>
            <w:r>
              <w:rPr>
                <w:sz w:val="18"/>
                <w:szCs w:val="18"/>
              </w:rPr>
              <w:t>（支撑课程目标2、毕业要求指标点3-1）</w:t>
            </w:r>
          </w:p>
        </w:tc>
        <w:tc>
          <w:tcPr>
            <w:tcW w:w="1560" w:type="dxa"/>
            <w:vAlign w:val="center"/>
          </w:tcPr>
          <w:p>
            <w:pPr>
              <w:rPr>
                <w:bCs/>
                <w:sz w:val="18"/>
                <w:szCs w:val="18"/>
              </w:rPr>
            </w:pPr>
            <w:r>
              <w:rPr>
                <w:sz w:val="18"/>
                <w:szCs w:val="18"/>
              </w:rPr>
              <w:t>能够</w:t>
            </w:r>
            <w:r>
              <w:rPr>
                <w:rFonts w:hint="eastAsia"/>
                <w:sz w:val="18"/>
                <w:szCs w:val="18"/>
              </w:rPr>
              <w:t>准确复述智能传感器的非线性自校正、自校准、自补偿的原理和实现方法，内容</w:t>
            </w:r>
            <w:r>
              <w:rPr>
                <w:sz w:val="18"/>
                <w:szCs w:val="18"/>
              </w:rPr>
              <w:t>准确，语言规范。</w:t>
            </w:r>
          </w:p>
        </w:tc>
        <w:tc>
          <w:tcPr>
            <w:tcW w:w="1559" w:type="dxa"/>
            <w:vAlign w:val="center"/>
          </w:tcPr>
          <w:p>
            <w:pPr>
              <w:rPr>
                <w:bCs/>
                <w:sz w:val="18"/>
                <w:szCs w:val="18"/>
              </w:rPr>
            </w:pPr>
            <w:r>
              <w:rPr>
                <w:sz w:val="18"/>
                <w:szCs w:val="18"/>
              </w:rPr>
              <w:t>能够</w:t>
            </w:r>
            <w:r>
              <w:rPr>
                <w:rFonts w:hint="eastAsia"/>
                <w:sz w:val="18"/>
                <w:szCs w:val="18"/>
              </w:rPr>
              <w:t>较为准确复述智能传感器的非线性自校正、自校准、自补偿的原理和实现方法，内容</w:t>
            </w:r>
            <w:r>
              <w:rPr>
                <w:sz w:val="18"/>
                <w:szCs w:val="18"/>
              </w:rPr>
              <w:t>准确，语言规范。</w:t>
            </w:r>
          </w:p>
        </w:tc>
        <w:tc>
          <w:tcPr>
            <w:tcW w:w="1559" w:type="dxa"/>
            <w:vAlign w:val="center"/>
          </w:tcPr>
          <w:p>
            <w:pPr>
              <w:rPr>
                <w:bCs/>
                <w:sz w:val="18"/>
                <w:szCs w:val="18"/>
              </w:rPr>
            </w:pPr>
            <w:r>
              <w:rPr>
                <w:sz w:val="18"/>
                <w:szCs w:val="18"/>
              </w:rPr>
              <w:t>能够</w:t>
            </w:r>
            <w:r>
              <w:rPr>
                <w:rFonts w:hint="eastAsia"/>
                <w:sz w:val="18"/>
                <w:szCs w:val="18"/>
              </w:rPr>
              <w:t>基本准确复述智能传感器的非线性自校正、自校准、自补偿的原理和实现方法，内容</w:t>
            </w:r>
            <w:r>
              <w:rPr>
                <w:sz w:val="18"/>
                <w:szCs w:val="18"/>
              </w:rPr>
              <w:t>准确，语言规范。</w:t>
            </w:r>
          </w:p>
        </w:tc>
        <w:tc>
          <w:tcPr>
            <w:tcW w:w="1559" w:type="dxa"/>
            <w:vAlign w:val="center"/>
          </w:tcPr>
          <w:p>
            <w:pPr>
              <w:rPr>
                <w:bCs/>
                <w:sz w:val="18"/>
                <w:szCs w:val="18"/>
              </w:rPr>
            </w:pPr>
            <w:r>
              <w:rPr>
                <w:rFonts w:hint="eastAsia"/>
                <w:sz w:val="18"/>
                <w:szCs w:val="18"/>
              </w:rPr>
              <w:t>不</w:t>
            </w:r>
            <w:r>
              <w:rPr>
                <w:sz w:val="18"/>
                <w:szCs w:val="18"/>
              </w:rPr>
              <w:t>能</w:t>
            </w:r>
            <w:r>
              <w:rPr>
                <w:rFonts w:hint="eastAsia"/>
                <w:sz w:val="18"/>
                <w:szCs w:val="18"/>
              </w:rPr>
              <w:t>准确复述智能传感器的非线性自校正、自校准、自补偿的原理和实现方法，内容不</w:t>
            </w:r>
            <w:r>
              <w:rPr>
                <w:sz w:val="18"/>
                <w:szCs w:val="18"/>
              </w:rPr>
              <w:t>准确，语言</w:t>
            </w:r>
            <w:r>
              <w:rPr>
                <w:rFonts w:hint="eastAsia"/>
                <w:sz w:val="18"/>
                <w:szCs w:val="18"/>
              </w:rPr>
              <w:t>不</w:t>
            </w:r>
            <w:r>
              <w:rPr>
                <w:sz w:val="18"/>
                <w:szCs w:val="18"/>
              </w:rPr>
              <w:t>规范。</w:t>
            </w:r>
          </w:p>
        </w:tc>
        <w:tc>
          <w:tcPr>
            <w:tcW w:w="607" w:type="dxa"/>
            <w:vAlign w:val="center"/>
          </w:tcPr>
          <w:p>
            <w:pPr>
              <w:jc w:val="center"/>
              <w:rPr>
                <w:bCs/>
                <w:sz w:val="18"/>
                <w:szCs w:val="18"/>
              </w:rPr>
            </w:pPr>
            <w:r>
              <w:rPr>
                <w:rFonts w:hint="eastAsia"/>
                <w:bCs/>
                <w:sz w:val="18"/>
                <w:szCs w:val="18"/>
              </w:rPr>
              <w:t>1</w:t>
            </w:r>
            <w:r>
              <w:rPr>
                <w:bCs/>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hint="eastAsia"/>
                <w:bCs/>
                <w:color w:val="7030A0"/>
                <w:sz w:val="18"/>
                <w:szCs w:val="18"/>
              </w:rPr>
            </w:pPr>
            <w:r>
              <w:rPr>
                <w:sz w:val="18"/>
                <w:szCs w:val="18"/>
              </w:rPr>
              <w:t>能够</w:t>
            </w:r>
            <w:r>
              <w:rPr>
                <w:rFonts w:hint="eastAsia"/>
                <w:sz w:val="18"/>
                <w:szCs w:val="18"/>
              </w:rPr>
              <w:t>复述</w:t>
            </w:r>
            <w:r>
              <w:rPr>
                <w:rFonts w:hint="eastAsia"/>
                <w:bCs/>
                <w:sz w:val="18"/>
                <w:szCs w:val="18"/>
              </w:rPr>
              <w:t>IEEE 1451开放智能传感器网络接口标准的目标和分层模块结构的内容。</w:t>
            </w:r>
            <w:r>
              <w:rPr>
                <w:sz w:val="18"/>
                <w:szCs w:val="18"/>
              </w:rPr>
              <w:t>（支撑课程目标3、毕业要求指标点3-2）</w:t>
            </w:r>
          </w:p>
        </w:tc>
        <w:tc>
          <w:tcPr>
            <w:tcW w:w="1560" w:type="dxa"/>
            <w:vAlign w:val="center"/>
          </w:tcPr>
          <w:p>
            <w:pPr>
              <w:rPr>
                <w:rFonts w:hint="eastAsia"/>
                <w:bCs/>
                <w:color w:val="7030A0"/>
                <w:sz w:val="18"/>
                <w:szCs w:val="18"/>
              </w:rPr>
            </w:pPr>
            <w:r>
              <w:rPr>
                <w:sz w:val="18"/>
                <w:szCs w:val="18"/>
              </w:rPr>
              <w:t>能够</w:t>
            </w:r>
            <w:r>
              <w:rPr>
                <w:rFonts w:hint="eastAsia"/>
                <w:sz w:val="18"/>
                <w:szCs w:val="18"/>
              </w:rPr>
              <w:t>准确复述</w:t>
            </w:r>
            <w:r>
              <w:rPr>
                <w:rFonts w:hint="eastAsia"/>
                <w:bCs/>
                <w:sz w:val="18"/>
                <w:szCs w:val="18"/>
              </w:rPr>
              <w:t>IEEE 1451开放智能传感器网络接口标准的目标和分层模块结构的内容</w:t>
            </w:r>
            <w:r>
              <w:rPr>
                <w:rFonts w:hint="eastAsia"/>
                <w:sz w:val="18"/>
                <w:szCs w:val="18"/>
              </w:rPr>
              <w:t>，内容</w:t>
            </w:r>
            <w:r>
              <w:rPr>
                <w:sz w:val="18"/>
                <w:szCs w:val="18"/>
              </w:rPr>
              <w:t>准确，语言规范。</w:t>
            </w:r>
          </w:p>
        </w:tc>
        <w:tc>
          <w:tcPr>
            <w:tcW w:w="1559" w:type="dxa"/>
            <w:vAlign w:val="center"/>
          </w:tcPr>
          <w:p>
            <w:pPr>
              <w:rPr>
                <w:rFonts w:hint="eastAsia"/>
                <w:bCs/>
                <w:color w:val="7030A0"/>
                <w:sz w:val="18"/>
                <w:szCs w:val="18"/>
              </w:rPr>
            </w:pPr>
            <w:r>
              <w:rPr>
                <w:sz w:val="18"/>
                <w:szCs w:val="18"/>
              </w:rPr>
              <w:t>能够</w:t>
            </w:r>
            <w:r>
              <w:rPr>
                <w:rFonts w:hint="eastAsia"/>
                <w:sz w:val="18"/>
                <w:szCs w:val="18"/>
              </w:rPr>
              <w:t>较为准确复述</w:t>
            </w:r>
            <w:r>
              <w:rPr>
                <w:rFonts w:hint="eastAsia"/>
                <w:bCs/>
                <w:sz w:val="18"/>
                <w:szCs w:val="18"/>
              </w:rPr>
              <w:t>IEEE 1451开放智能传感器网络接口标准的目标和分层模块结构的内容</w:t>
            </w:r>
            <w:r>
              <w:rPr>
                <w:rFonts w:hint="eastAsia"/>
                <w:sz w:val="18"/>
                <w:szCs w:val="18"/>
              </w:rPr>
              <w:t>，内容</w:t>
            </w:r>
            <w:r>
              <w:rPr>
                <w:sz w:val="18"/>
                <w:szCs w:val="18"/>
              </w:rPr>
              <w:t>准确，语言规范。</w:t>
            </w:r>
          </w:p>
        </w:tc>
        <w:tc>
          <w:tcPr>
            <w:tcW w:w="1559" w:type="dxa"/>
            <w:vAlign w:val="center"/>
          </w:tcPr>
          <w:p>
            <w:pPr>
              <w:rPr>
                <w:rFonts w:hint="eastAsia"/>
                <w:bCs/>
                <w:color w:val="7030A0"/>
                <w:sz w:val="18"/>
                <w:szCs w:val="18"/>
              </w:rPr>
            </w:pPr>
            <w:r>
              <w:rPr>
                <w:sz w:val="18"/>
                <w:szCs w:val="18"/>
              </w:rPr>
              <w:t>能够</w:t>
            </w:r>
            <w:r>
              <w:rPr>
                <w:rFonts w:hint="eastAsia"/>
                <w:sz w:val="18"/>
                <w:szCs w:val="18"/>
              </w:rPr>
              <w:t>基本准确复述</w:t>
            </w:r>
            <w:r>
              <w:rPr>
                <w:rFonts w:hint="eastAsia"/>
                <w:bCs/>
                <w:sz w:val="18"/>
                <w:szCs w:val="18"/>
              </w:rPr>
              <w:t>IEEE 1451开放智能传感器网络接口标准的目标和分层模块结构的内容</w:t>
            </w:r>
            <w:r>
              <w:rPr>
                <w:rFonts w:hint="eastAsia"/>
                <w:sz w:val="18"/>
                <w:szCs w:val="18"/>
              </w:rPr>
              <w:t>，内容</w:t>
            </w:r>
            <w:r>
              <w:rPr>
                <w:sz w:val="18"/>
                <w:szCs w:val="18"/>
              </w:rPr>
              <w:t>准确，语言规范。</w:t>
            </w:r>
          </w:p>
        </w:tc>
        <w:tc>
          <w:tcPr>
            <w:tcW w:w="1559" w:type="dxa"/>
            <w:vAlign w:val="center"/>
          </w:tcPr>
          <w:p>
            <w:pPr>
              <w:rPr>
                <w:rFonts w:hint="eastAsia"/>
                <w:bCs/>
                <w:color w:val="7030A0"/>
                <w:sz w:val="18"/>
                <w:szCs w:val="18"/>
              </w:rPr>
            </w:pPr>
            <w:r>
              <w:rPr>
                <w:rFonts w:hint="eastAsia"/>
                <w:sz w:val="18"/>
                <w:szCs w:val="18"/>
              </w:rPr>
              <w:t>不</w:t>
            </w:r>
            <w:r>
              <w:rPr>
                <w:sz w:val="18"/>
                <w:szCs w:val="18"/>
              </w:rPr>
              <w:t>能</w:t>
            </w:r>
            <w:r>
              <w:rPr>
                <w:rFonts w:hint="eastAsia"/>
                <w:sz w:val="18"/>
                <w:szCs w:val="18"/>
              </w:rPr>
              <w:t>准确复述</w:t>
            </w:r>
            <w:r>
              <w:rPr>
                <w:rFonts w:hint="eastAsia"/>
                <w:bCs/>
                <w:sz w:val="18"/>
                <w:szCs w:val="18"/>
              </w:rPr>
              <w:t>IEEE 1451开放智能传感器网络接口标准的目标和分层模块结构的内容</w:t>
            </w:r>
            <w:r>
              <w:rPr>
                <w:rFonts w:hint="eastAsia"/>
                <w:sz w:val="18"/>
                <w:szCs w:val="18"/>
              </w:rPr>
              <w:t>，内容不</w:t>
            </w:r>
            <w:r>
              <w:rPr>
                <w:sz w:val="18"/>
                <w:szCs w:val="18"/>
              </w:rPr>
              <w:t>准确，语言</w:t>
            </w:r>
            <w:r>
              <w:rPr>
                <w:rFonts w:hint="eastAsia"/>
                <w:sz w:val="18"/>
                <w:szCs w:val="18"/>
              </w:rPr>
              <w:t>不</w:t>
            </w:r>
            <w:r>
              <w:rPr>
                <w:sz w:val="18"/>
                <w:szCs w:val="18"/>
              </w:rPr>
              <w:t>规范。</w:t>
            </w:r>
          </w:p>
        </w:tc>
        <w:tc>
          <w:tcPr>
            <w:tcW w:w="607" w:type="dxa"/>
            <w:vAlign w:val="center"/>
          </w:tcPr>
          <w:p>
            <w:pPr>
              <w:jc w:val="center"/>
              <w:rPr>
                <w:rFonts w:hint="eastAsia"/>
                <w:bCs/>
                <w:sz w:val="18"/>
                <w:szCs w:val="18"/>
              </w:rPr>
            </w:pPr>
            <w:r>
              <w:rPr>
                <w:rFonts w:hint="eastAsia"/>
                <w:bCs/>
                <w:sz w:val="18"/>
                <w:szCs w:val="18"/>
              </w:rPr>
              <w:t>1</w:t>
            </w:r>
            <w:r>
              <w:rPr>
                <w:bCs/>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hint="eastAsia"/>
                <w:bCs/>
                <w:color w:val="7030A0"/>
                <w:sz w:val="18"/>
                <w:szCs w:val="18"/>
              </w:rPr>
            </w:pPr>
            <w:r>
              <w:rPr>
                <w:sz w:val="18"/>
                <w:szCs w:val="18"/>
              </w:rPr>
              <w:t>能够</w:t>
            </w:r>
            <w:r>
              <w:rPr>
                <w:rFonts w:hint="eastAsia"/>
                <w:sz w:val="18"/>
                <w:szCs w:val="18"/>
              </w:rPr>
              <w:t>复述</w:t>
            </w:r>
            <w:r>
              <w:rPr>
                <w:rFonts w:hint="eastAsia"/>
                <w:bCs/>
                <w:sz w:val="18"/>
                <w:szCs w:val="18"/>
              </w:rPr>
              <w:t>Smart惯导系统中的微陀螺和微加速度计的原理和实现方法。</w:t>
            </w:r>
            <w:r>
              <w:rPr>
                <w:sz w:val="18"/>
                <w:szCs w:val="18"/>
              </w:rPr>
              <w:t>（支撑课程目标4、毕业要求指标点5-2）</w:t>
            </w:r>
          </w:p>
        </w:tc>
        <w:tc>
          <w:tcPr>
            <w:tcW w:w="1560" w:type="dxa"/>
            <w:vAlign w:val="center"/>
          </w:tcPr>
          <w:p>
            <w:pPr>
              <w:rPr>
                <w:rFonts w:hint="eastAsia"/>
                <w:bCs/>
                <w:color w:val="7030A0"/>
                <w:sz w:val="18"/>
                <w:szCs w:val="18"/>
              </w:rPr>
            </w:pPr>
            <w:r>
              <w:rPr>
                <w:sz w:val="18"/>
                <w:szCs w:val="18"/>
              </w:rPr>
              <w:t>能够</w:t>
            </w:r>
            <w:r>
              <w:rPr>
                <w:rFonts w:hint="eastAsia"/>
                <w:sz w:val="18"/>
                <w:szCs w:val="18"/>
              </w:rPr>
              <w:t>准确复述</w:t>
            </w:r>
            <w:r>
              <w:rPr>
                <w:rFonts w:hint="eastAsia"/>
                <w:bCs/>
                <w:sz w:val="18"/>
                <w:szCs w:val="18"/>
              </w:rPr>
              <w:t>Smart惯导系统中的微陀螺和微加速度计的原理和实现方法</w:t>
            </w:r>
            <w:r>
              <w:rPr>
                <w:rFonts w:hint="eastAsia"/>
                <w:sz w:val="18"/>
                <w:szCs w:val="18"/>
              </w:rPr>
              <w:t>，内容</w:t>
            </w:r>
            <w:r>
              <w:rPr>
                <w:sz w:val="18"/>
                <w:szCs w:val="18"/>
              </w:rPr>
              <w:t>准确，语言规范。</w:t>
            </w:r>
          </w:p>
        </w:tc>
        <w:tc>
          <w:tcPr>
            <w:tcW w:w="1559" w:type="dxa"/>
            <w:vAlign w:val="center"/>
          </w:tcPr>
          <w:p>
            <w:pPr>
              <w:rPr>
                <w:rFonts w:hint="eastAsia"/>
                <w:bCs/>
                <w:color w:val="7030A0"/>
                <w:sz w:val="18"/>
                <w:szCs w:val="18"/>
              </w:rPr>
            </w:pPr>
            <w:r>
              <w:rPr>
                <w:sz w:val="18"/>
                <w:szCs w:val="18"/>
              </w:rPr>
              <w:t>能够</w:t>
            </w:r>
            <w:r>
              <w:rPr>
                <w:rFonts w:hint="eastAsia"/>
                <w:sz w:val="18"/>
                <w:szCs w:val="18"/>
              </w:rPr>
              <w:t>较为准确复述</w:t>
            </w:r>
            <w:r>
              <w:rPr>
                <w:rFonts w:hint="eastAsia"/>
                <w:bCs/>
                <w:sz w:val="18"/>
                <w:szCs w:val="18"/>
              </w:rPr>
              <w:t>Smart惯导系统中的微陀螺和微加速度计的原理和实现方法</w:t>
            </w:r>
            <w:r>
              <w:rPr>
                <w:rFonts w:hint="eastAsia"/>
                <w:sz w:val="18"/>
                <w:szCs w:val="18"/>
              </w:rPr>
              <w:t>，内容</w:t>
            </w:r>
            <w:r>
              <w:rPr>
                <w:sz w:val="18"/>
                <w:szCs w:val="18"/>
              </w:rPr>
              <w:t>准确，语言规范。</w:t>
            </w:r>
          </w:p>
        </w:tc>
        <w:tc>
          <w:tcPr>
            <w:tcW w:w="1559" w:type="dxa"/>
            <w:vAlign w:val="center"/>
          </w:tcPr>
          <w:p>
            <w:pPr>
              <w:rPr>
                <w:rFonts w:hint="eastAsia"/>
                <w:bCs/>
                <w:color w:val="7030A0"/>
                <w:sz w:val="18"/>
                <w:szCs w:val="18"/>
              </w:rPr>
            </w:pPr>
            <w:r>
              <w:rPr>
                <w:sz w:val="18"/>
                <w:szCs w:val="18"/>
              </w:rPr>
              <w:t>能够</w:t>
            </w:r>
            <w:r>
              <w:rPr>
                <w:rFonts w:hint="eastAsia"/>
                <w:sz w:val="18"/>
                <w:szCs w:val="18"/>
              </w:rPr>
              <w:t>基本准确复述</w:t>
            </w:r>
            <w:r>
              <w:rPr>
                <w:rFonts w:hint="eastAsia"/>
                <w:bCs/>
                <w:sz w:val="18"/>
                <w:szCs w:val="18"/>
              </w:rPr>
              <w:t>Smart惯导系统中的微陀螺和微加速度计的原理和实现方法</w:t>
            </w:r>
            <w:r>
              <w:rPr>
                <w:rFonts w:hint="eastAsia"/>
                <w:sz w:val="18"/>
                <w:szCs w:val="18"/>
              </w:rPr>
              <w:t>，内容</w:t>
            </w:r>
            <w:r>
              <w:rPr>
                <w:sz w:val="18"/>
                <w:szCs w:val="18"/>
              </w:rPr>
              <w:t>准确，语言规范。</w:t>
            </w:r>
          </w:p>
        </w:tc>
        <w:tc>
          <w:tcPr>
            <w:tcW w:w="1559" w:type="dxa"/>
            <w:vAlign w:val="center"/>
          </w:tcPr>
          <w:p>
            <w:pPr>
              <w:rPr>
                <w:rFonts w:hint="eastAsia"/>
                <w:bCs/>
                <w:color w:val="7030A0"/>
                <w:sz w:val="18"/>
                <w:szCs w:val="18"/>
              </w:rPr>
            </w:pPr>
            <w:r>
              <w:rPr>
                <w:rFonts w:hint="eastAsia"/>
                <w:sz w:val="18"/>
                <w:szCs w:val="18"/>
              </w:rPr>
              <w:t>不</w:t>
            </w:r>
            <w:r>
              <w:rPr>
                <w:sz w:val="18"/>
                <w:szCs w:val="18"/>
              </w:rPr>
              <w:t>能</w:t>
            </w:r>
            <w:r>
              <w:rPr>
                <w:rFonts w:hint="eastAsia"/>
                <w:sz w:val="18"/>
                <w:szCs w:val="18"/>
              </w:rPr>
              <w:t>准确复述</w:t>
            </w:r>
            <w:r>
              <w:rPr>
                <w:rFonts w:hint="eastAsia"/>
                <w:bCs/>
                <w:sz w:val="18"/>
                <w:szCs w:val="18"/>
              </w:rPr>
              <w:t>Smart惯导系统中的微陀螺和微加速度计的原理和实现方法</w:t>
            </w:r>
            <w:r>
              <w:rPr>
                <w:rFonts w:hint="eastAsia"/>
                <w:sz w:val="18"/>
                <w:szCs w:val="18"/>
              </w:rPr>
              <w:t>，内容不</w:t>
            </w:r>
            <w:r>
              <w:rPr>
                <w:sz w:val="18"/>
                <w:szCs w:val="18"/>
              </w:rPr>
              <w:t>准确，语言</w:t>
            </w:r>
            <w:r>
              <w:rPr>
                <w:rFonts w:hint="eastAsia"/>
                <w:sz w:val="18"/>
                <w:szCs w:val="18"/>
              </w:rPr>
              <w:t>不</w:t>
            </w:r>
            <w:r>
              <w:rPr>
                <w:sz w:val="18"/>
                <w:szCs w:val="18"/>
              </w:rPr>
              <w:t>规范。</w:t>
            </w:r>
          </w:p>
        </w:tc>
        <w:tc>
          <w:tcPr>
            <w:tcW w:w="607" w:type="dxa"/>
            <w:vAlign w:val="center"/>
          </w:tcPr>
          <w:p>
            <w:pPr>
              <w:jc w:val="center"/>
              <w:rPr>
                <w:rFonts w:hint="eastAsia"/>
                <w:bCs/>
                <w:sz w:val="18"/>
                <w:szCs w:val="18"/>
              </w:rPr>
            </w:pPr>
            <w:r>
              <w:rPr>
                <w:rFonts w:hint="eastAsia"/>
                <w:bCs/>
                <w:sz w:val="18"/>
                <w:szCs w:val="18"/>
              </w:rPr>
              <w:t>1</w:t>
            </w:r>
            <w:r>
              <w:rPr>
                <w:bCs/>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0" w:type="dxa"/>
            <w:vAlign w:val="center"/>
          </w:tcPr>
          <w:p>
            <w:pPr>
              <w:rPr>
                <w:rFonts w:hint="eastAsia"/>
                <w:sz w:val="18"/>
                <w:szCs w:val="18"/>
              </w:rPr>
            </w:pPr>
            <w:r>
              <w:rPr>
                <w:sz w:val="18"/>
                <w:szCs w:val="18"/>
              </w:rPr>
              <w:t>能够</w:t>
            </w:r>
            <w:r>
              <w:rPr>
                <w:rFonts w:hint="eastAsia"/>
                <w:sz w:val="18"/>
                <w:szCs w:val="18"/>
              </w:rPr>
              <w:t>复述</w:t>
            </w:r>
            <w:r>
              <w:rPr>
                <w:rFonts w:hint="eastAsia"/>
                <w:bCs/>
                <w:sz w:val="18"/>
                <w:szCs w:val="18"/>
              </w:rPr>
              <w:t>智能传感器的测试有效性确认中，仪表传感器故障的检测方法有哪些。</w:t>
            </w:r>
            <w:r>
              <w:rPr>
                <w:sz w:val="18"/>
                <w:szCs w:val="18"/>
              </w:rPr>
              <w:t>（支撑课程目标5、毕业要求指标点7-2）</w:t>
            </w:r>
          </w:p>
        </w:tc>
        <w:tc>
          <w:tcPr>
            <w:tcW w:w="1560" w:type="dxa"/>
            <w:vAlign w:val="center"/>
          </w:tcPr>
          <w:p>
            <w:pPr>
              <w:rPr>
                <w:sz w:val="18"/>
                <w:szCs w:val="18"/>
              </w:rPr>
            </w:pPr>
            <w:r>
              <w:rPr>
                <w:sz w:val="18"/>
                <w:szCs w:val="18"/>
              </w:rPr>
              <w:t>能够</w:t>
            </w:r>
            <w:r>
              <w:rPr>
                <w:rFonts w:hint="eastAsia"/>
                <w:sz w:val="18"/>
                <w:szCs w:val="18"/>
              </w:rPr>
              <w:t>准确复述</w:t>
            </w:r>
            <w:r>
              <w:rPr>
                <w:rFonts w:hint="eastAsia"/>
                <w:bCs/>
                <w:sz w:val="18"/>
                <w:szCs w:val="18"/>
              </w:rPr>
              <w:t>智能传感器的测试有效性确认中，仪表传感器故障的检测方法有哪些</w:t>
            </w:r>
            <w:r>
              <w:rPr>
                <w:rFonts w:hint="eastAsia"/>
                <w:sz w:val="18"/>
                <w:szCs w:val="18"/>
              </w:rPr>
              <w:t>，内容</w:t>
            </w:r>
            <w:r>
              <w:rPr>
                <w:sz w:val="18"/>
                <w:szCs w:val="18"/>
              </w:rPr>
              <w:t>准确，语言规范。</w:t>
            </w:r>
          </w:p>
        </w:tc>
        <w:tc>
          <w:tcPr>
            <w:tcW w:w="1559" w:type="dxa"/>
            <w:vAlign w:val="center"/>
          </w:tcPr>
          <w:p>
            <w:pPr>
              <w:rPr>
                <w:sz w:val="18"/>
                <w:szCs w:val="18"/>
              </w:rPr>
            </w:pPr>
            <w:r>
              <w:rPr>
                <w:sz w:val="18"/>
                <w:szCs w:val="18"/>
              </w:rPr>
              <w:t>能够</w:t>
            </w:r>
            <w:r>
              <w:rPr>
                <w:rFonts w:hint="eastAsia"/>
                <w:sz w:val="18"/>
                <w:szCs w:val="18"/>
              </w:rPr>
              <w:t>较为准确复述</w:t>
            </w:r>
            <w:r>
              <w:rPr>
                <w:rFonts w:hint="eastAsia"/>
                <w:bCs/>
                <w:sz w:val="18"/>
                <w:szCs w:val="18"/>
              </w:rPr>
              <w:t>智能传感器的测试有效性确认中，仪表传感器故障的检测方法有哪些</w:t>
            </w:r>
            <w:r>
              <w:rPr>
                <w:rFonts w:hint="eastAsia"/>
                <w:sz w:val="18"/>
                <w:szCs w:val="18"/>
              </w:rPr>
              <w:t>，内容</w:t>
            </w:r>
            <w:r>
              <w:rPr>
                <w:sz w:val="18"/>
                <w:szCs w:val="18"/>
              </w:rPr>
              <w:t>准确，语言规范。</w:t>
            </w:r>
          </w:p>
        </w:tc>
        <w:tc>
          <w:tcPr>
            <w:tcW w:w="1559" w:type="dxa"/>
            <w:vAlign w:val="center"/>
          </w:tcPr>
          <w:p>
            <w:pPr>
              <w:rPr>
                <w:sz w:val="18"/>
                <w:szCs w:val="18"/>
              </w:rPr>
            </w:pPr>
            <w:r>
              <w:rPr>
                <w:sz w:val="18"/>
                <w:szCs w:val="18"/>
              </w:rPr>
              <w:t>能够</w:t>
            </w:r>
            <w:r>
              <w:rPr>
                <w:rFonts w:hint="eastAsia"/>
                <w:sz w:val="18"/>
                <w:szCs w:val="18"/>
              </w:rPr>
              <w:t>基本准确复述</w:t>
            </w:r>
            <w:r>
              <w:rPr>
                <w:rFonts w:hint="eastAsia"/>
                <w:bCs/>
                <w:sz w:val="18"/>
                <w:szCs w:val="18"/>
              </w:rPr>
              <w:t>智能传感器的测试有效性确认中，仪表传感器故障的检测方法有哪些</w:t>
            </w:r>
            <w:r>
              <w:rPr>
                <w:rFonts w:hint="eastAsia"/>
                <w:sz w:val="18"/>
                <w:szCs w:val="18"/>
              </w:rPr>
              <w:t>，内容</w:t>
            </w:r>
            <w:r>
              <w:rPr>
                <w:sz w:val="18"/>
                <w:szCs w:val="18"/>
              </w:rPr>
              <w:t>准确，语言规范。</w:t>
            </w:r>
          </w:p>
        </w:tc>
        <w:tc>
          <w:tcPr>
            <w:tcW w:w="1559" w:type="dxa"/>
            <w:vAlign w:val="center"/>
          </w:tcPr>
          <w:p>
            <w:pPr>
              <w:rPr>
                <w:rFonts w:hint="eastAsia"/>
                <w:sz w:val="18"/>
                <w:szCs w:val="18"/>
              </w:rPr>
            </w:pPr>
            <w:r>
              <w:rPr>
                <w:rFonts w:hint="eastAsia"/>
                <w:sz w:val="18"/>
                <w:szCs w:val="18"/>
              </w:rPr>
              <w:t>不</w:t>
            </w:r>
            <w:r>
              <w:rPr>
                <w:sz w:val="18"/>
                <w:szCs w:val="18"/>
              </w:rPr>
              <w:t>能</w:t>
            </w:r>
            <w:r>
              <w:rPr>
                <w:rFonts w:hint="eastAsia"/>
                <w:sz w:val="18"/>
                <w:szCs w:val="18"/>
              </w:rPr>
              <w:t>准确复述</w:t>
            </w:r>
            <w:r>
              <w:rPr>
                <w:rFonts w:hint="eastAsia"/>
                <w:bCs/>
                <w:sz w:val="18"/>
                <w:szCs w:val="18"/>
              </w:rPr>
              <w:t>智能传感器的测试有效性确认中，仪表传感器故障的检测方法有哪些</w:t>
            </w:r>
            <w:r>
              <w:rPr>
                <w:rFonts w:hint="eastAsia"/>
                <w:sz w:val="18"/>
                <w:szCs w:val="18"/>
              </w:rPr>
              <w:t>，内容不</w:t>
            </w:r>
            <w:r>
              <w:rPr>
                <w:sz w:val="18"/>
                <w:szCs w:val="18"/>
              </w:rPr>
              <w:t>准确，语言</w:t>
            </w:r>
            <w:r>
              <w:rPr>
                <w:rFonts w:hint="eastAsia"/>
                <w:sz w:val="18"/>
                <w:szCs w:val="18"/>
              </w:rPr>
              <w:t>不</w:t>
            </w:r>
            <w:r>
              <w:rPr>
                <w:sz w:val="18"/>
                <w:szCs w:val="18"/>
              </w:rPr>
              <w:t>规范。</w:t>
            </w:r>
          </w:p>
        </w:tc>
        <w:tc>
          <w:tcPr>
            <w:tcW w:w="607" w:type="dxa"/>
            <w:vAlign w:val="center"/>
          </w:tcPr>
          <w:p>
            <w:pPr>
              <w:jc w:val="center"/>
              <w:rPr>
                <w:rFonts w:hint="eastAsia"/>
                <w:bCs/>
                <w:color w:val="7030A0"/>
                <w:sz w:val="18"/>
                <w:szCs w:val="18"/>
              </w:rPr>
            </w:pPr>
            <w:r>
              <w:rPr>
                <w:rFonts w:hint="eastAsia"/>
                <w:bCs/>
                <w:sz w:val="18"/>
                <w:szCs w:val="18"/>
              </w:rPr>
              <w:t>1</w:t>
            </w:r>
            <w:r>
              <w:rPr>
                <w:bCs/>
                <w:sz w:val="18"/>
                <w:szCs w:val="18"/>
              </w:rPr>
              <w:t>0</w:t>
            </w:r>
          </w:p>
        </w:tc>
      </w:tr>
    </w:tbl>
    <w:p>
      <w:pPr>
        <w:numPr>
          <w:ilvl w:val="0"/>
          <w:numId w:val="16"/>
        </w:numPr>
        <w:spacing w:before="120" w:beforeLines="50" w:after="120" w:afterLines="50" w:line="360" w:lineRule="auto"/>
        <w:rPr>
          <w:rFonts w:hint="eastAsia"/>
          <w:szCs w:val="21"/>
        </w:rPr>
      </w:pPr>
      <w:r>
        <w:rPr>
          <w:szCs w:val="21"/>
        </w:rPr>
        <w:t>参考书目及学习资料</w:t>
      </w:r>
      <w:r>
        <w:rPr>
          <w:rFonts w:hint="eastAsia"/>
          <w:szCs w:val="21"/>
        </w:rPr>
        <w:t>（书名，主编，出版社，出版时间及版次）</w:t>
      </w:r>
    </w:p>
    <w:p>
      <w:pPr>
        <w:spacing w:line="360" w:lineRule="auto"/>
        <w:ind w:firstLine="420"/>
        <w:rPr>
          <w:rFonts w:hint="eastAsia"/>
          <w:color w:val="000000"/>
          <w:szCs w:val="21"/>
        </w:rPr>
      </w:pPr>
      <w:r>
        <w:rPr>
          <w:rFonts w:hint="eastAsia"/>
          <w:color w:val="000000"/>
          <w:szCs w:val="21"/>
        </w:rPr>
        <w:t>[1] 周浩敏、钱政编著.</w:t>
      </w:r>
      <w:r>
        <w:rPr>
          <w:color w:val="000000"/>
          <w:szCs w:val="21"/>
        </w:rPr>
        <w:t xml:space="preserve"> </w:t>
      </w:r>
      <w:r>
        <w:rPr>
          <w:rFonts w:hint="eastAsia"/>
          <w:color w:val="000000"/>
          <w:szCs w:val="21"/>
        </w:rPr>
        <w:t>智能传感技术与系统[M]. 北京：北京航空航天大学出版社，20</w:t>
      </w:r>
      <w:r>
        <w:rPr>
          <w:color w:val="000000"/>
          <w:szCs w:val="21"/>
        </w:rPr>
        <w:t>08</w:t>
      </w:r>
      <w:r>
        <w:rPr>
          <w:rFonts w:hint="eastAsia"/>
          <w:color w:val="000000"/>
          <w:szCs w:val="21"/>
        </w:rPr>
        <w:t>年</w:t>
      </w:r>
      <w:r>
        <w:rPr>
          <w:color w:val="000000"/>
          <w:szCs w:val="21"/>
        </w:rPr>
        <w:t>9</w:t>
      </w:r>
      <w:r>
        <w:rPr>
          <w:rFonts w:hint="eastAsia"/>
          <w:color w:val="000000"/>
          <w:szCs w:val="21"/>
        </w:rPr>
        <w:t xml:space="preserve">月第一版； </w:t>
      </w:r>
    </w:p>
    <w:p>
      <w:pPr>
        <w:spacing w:line="360" w:lineRule="auto"/>
        <w:ind w:firstLine="420"/>
        <w:rPr>
          <w:color w:val="000000"/>
          <w:szCs w:val="21"/>
        </w:rPr>
      </w:pPr>
      <w:r>
        <w:rPr>
          <w:rFonts w:hint="eastAsia"/>
          <w:color w:val="000000"/>
          <w:szCs w:val="21"/>
        </w:rPr>
        <w:t>[2] 刘君华编著.</w:t>
      </w:r>
      <w:r>
        <w:rPr>
          <w:color w:val="000000"/>
          <w:szCs w:val="21"/>
        </w:rPr>
        <w:t xml:space="preserve"> </w:t>
      </w:r>
      <w:r>
        <w:rPr>
          <w:rFonts w:hint="eastAsia"/>
          <w:color w:val="000000"/>
          <w:szCs w:val="21"/>
        </w:rPr>
        <w:t>智能传感器系统[M]. 西安：西安电子科技大学出版社，201</w:t>
      </w:r>
      <w:r>
        <w:rPr>
          <w:color w:val="000000"/>
          <w:szCs w:val="21"/>
        </w:rPr>
        <w:t>0</w:t>
      </w:r>
      <w:r>
        <w:rPr>
          <w:rFonts w:hint="eastAsia"/>
          <w:color w:val="000000"/>
          <w:szCs w:val="21"/>
        </w:rPr>
        <w:t>年</w:t>
      </w:r>
      <w:r>
        <w:rPr>
          <w:color w:val="000000"/>
          <w:szCs w:val="21"/>
        </w:rPr>
        <w:t>5</w:t>
      </w:r>
      <w:r>
        <w:rPr>
          <w:rFonts w:hint="eastAsia"/>
          <w:color w:val="000000"/>
          <w:szCs w:val="21"/>
        </w:rPr>
        <w:t>月第二版；</w:t>
      </w:r>
    </w:p>
    <w:p>
      <w:pPr>
        <w:spacing w:line="360" w:lineRule="auto"/>
        <w:ind w:firstLine="420"/>
        <w:rPr>
          <w:rFonts w:hint="eastAsia"/>
          <w:color w:val="000000"/>
          <w:szCs w:val="21"/>
        </w:rPr>
      </w:pPr>
      <w:r>
        <w:rPr>
          <w:rFonts w:cs="宋体"/>
          <w:kern w:val="0"/>
          <w:szCs w:val="21"/>
        </w:rPr>
        <w:t xml:space="preserve">[3] </w:t>
      </w:r>
      <w:r>
        <w:rPr>
          <w:rFonts w:hint="eastAsia" w:cs="宋体"/>
          <w:kern w:val="0"/>
          <w:szCs w:val="21"/>
        </w:rPr>
        <w:t>李邓华、陈雯柏、彭书华编著</w:t>
      </w:r>
      <w:r>
        <w:rPr>
          <w:rFonts w:hint="eastAsia"/>
          <w:color w:val="000000"/>
          <w:szCs w:val="21"/>
        </w:rPr>
        <w:t>.</w:t>
      </w:r>
      <w:r>
        <w:rPr>
          <w:color w:val="000000"/>
          <w:szCs w:val="21"/>
        </w:rPr>
        <w:t xml:space="preserve"> </w:t>
      </w:r>
      <w:r>
        <w:rPr>
          <w:rFonts w:hint="eastAsia"/>
          <w:color w:val="000000"/>
          <w:szCs w:val="21"/>
        </w:rPr>
        <w:t>智能传感技术[M]. 北京：清华大学出版社，20</w:t>
      </w:r>
      <w:r>
        <w:rPr>
          <w:color w:val="000000"/>
          <w:szCs w:val="21"/>
        </w:rPr>
        <w:t>11</w:t>
      </w:r>
      <w:r>
        <w:rPr>
          <w:rFonts w:hint="eastAsia"/>
          <w:color w:val="000000"/>
          <w:szCs w:val="21"/>
        </w:rPr>
        <w:t>年</w:t>
      </w:r>
      <w:r>
        <w:rPr>
          <w:color w:val="000000"/>
          <w:szCs w:val="21"/>
        </w:rPr>
        <w:t>9</w:t>
      </w:r>
      <w:r>
        <w:rPr>
          <w:rFonts w:hint="eastAsia"/>
          <w:color w:val="000000"/>
          <w:szCs w:val="21"/>
        </w:rPr>
        <w:t>月第一版；</w:t>
      </w:r>
    </w:p>
    <w:p>
      <w:pPr>
        <w:spacing w:line="360" w:lineRule="auto"/>
        <w:ind w:firstLine="420"/>
        <w:rPr>
          <w:rFonts w:hint="eastAsia"/>
          <w:color w:val="000000"/>
          <w:szCs w:val="21"/>
        </w:rPr>
      </w:pPr>
      <w:r>
        <w:rPr>
          <w:rFonts w:hint="eastAsia"/>
          <w:color w:val="000000"/>
          <w:szCs w:val="21"/>
        </w:rPr>
        <w:t>[</w:t>
      </w:r>
      <w:r>
        <w:rPr>
          <w:color w:val="000000"/>
          <w:szCs w:val="21"/>
        </w:rPr>
        <w:t>4</w:t>
      </w:r>
      <w:r>
        <w:rPr>
          <w:rFonts w:hint="eastAsia"/>
          <w:color w:val="000000"/>
          <w:szCs w:val="21"/>
        </w:rPr>
        <w:t>] 何金田、刘晓旻编著.</w:t>
      </w:r>
      <w:r>
        <w:rPr>
          <w:color w:val="000000"/>
          <w:szCs w:val="21"/>
        </w:rPr>
        <w:t xml:space="preserve"> </w:t>
      </w:r>
      <w:r>
        <w:rPr>
          <w:rFonts w:hint="eastAsia"/>
          <w:color w:val="000000"/>
          <w:szCs w:val="21"/>
        </w:rPr>
        <w:t>智能传感器原理、设计与应用[M]. 北京：电子工业出版社，201</w:t>
      </w:r>
      <w:r>
        <w:rPr>
          <w:color w:val="000000"/>
          <w:szCs w:val="21"/>
        </w:rPr>
        <w:t>2</w:t>
      </w:r>
      <w:r>
        <w:rPr>
          <w:rFonts w:hint="eastAsia"/>
          <w:color w:val="000000"/>
          <w:szCs w:val="21"/>
        </w:rPr>
        <w:t>年</w:t>
      </w:r>
      <w:r>
        <w:rPr>
          <w:color w:val="000000"/>
          <w:szCs w:val="21"/>
        </w:rPr>
        <w:t>1</w:t>
      </w:r>
      <w:r>
        <w:rPr>
          <w:rFonts w:hint="eastAsia"/>
          <w:color w:val="000000"/>
          <w:szCs w:val="21"/>
        </w:rPr>
        <w:t>月第一版；</w:t>
      </w:r>
    </w:p>
    <w:p>
      <w:pPr>
        <w:spacing w:line="360" w:lineRule="auto"/>
        <w:ind w:firstLine="420"/>
        <w:rPr>
          <w:color w:val="000000"/>
          <w:szCs w:val="21"/>
        </w:rPr>
      </w:pPr>
      <w:r>
        <w:rPr>
          <w:rFonts w:hint="eastAsia"/>
          <w:color w:val="000000"/>
          <w:szCs w:val="21"/>
        </w:rPr>
        <w:t>[</w:t>
      </w:r>
      <w:r>
        <w:rPr>
          <w:color w:val="000000"/>
          <w:szCs w:val="21"/>
        </w:rPr>
        <w:t>5</w:t>
      </w:r>
      <w:r>
        <w:rPr>
          <w:rFonts w:hint="eastAsia"/>
          <w:color w:val="000000"/>
          <w:szCs w:val="21"/>
        </w:rPr>
        <w:t>] 迈克J</w:t>
      </w:r>
      <w:r>
        <w:rPr>
          <w:color w:val="000000"/>
          <w:szCs w:val="21"/>
        </w:rPr>
        <w:t>.</w:t>
      </w:r>
      <w:r>
        <w:rPr>
          <w:rFonts w:hint="eastAsia"/>
          <w:color w:val="000000"/>
          <w:szCs w:val="21"/>
        </w:rPr>
        <w:t>麦格拉思、</w:t>
      </w:r>
      <w:r>
        <w:t>克莱娜N.斯克奈尔</w:t>
      </w:r>
      <w:r>
        <w:rPr>
          <w:rFonts w:hint="eastAsia"/>
          <w:color w:val="000000"/>
          <w:szCs w:val="21"/>
        </w:rPr>
        <w:t>编著.</w:t>
      </w:r>
      <w:r>
        <w:rPr>
          <w:color w:val="000000"/>
          <w:szCs w:val="21"/>
        </w:rPr>
        <w:t xml:space="preserve"> </w:t>
      </w:r>
      <w:r>
        <w:rPr>
          <w:rFonts w:hint="eastAsia"/>
          <w:color w:val="000000"/>
          <w:szCs w:val="21"/>
        </w:rPr>
        <w:t>智能传感器：医疗、健康和环境的关键应用[M]. 北京：机械工业出版社，201</w:t>
      </w:r>
      <w:r>
        <w:rPr>
          <w:color w:val="000000"/>
          <w:szCs w:val="21"/>
        </w:rPr>
        <w:t>6</w:t>
      </w:r>
      <w:r>
        <w:rPr>
          <w:rFonts w:hint="eastAsia"/>
          <w:color w:val="000000"/>
          <w:szCs w:val="21"/>
        </w:rPr>
        <w:t>年</w:t>
      </w:r>
      <w:r>
        <w:rPr>
          <w:color w:val="000000"/>
          <w:szCs w:val="21"/>
        </w:rPr>
        <w:t>12</w:t>
      </w:r>
      <w:r>
        <w:rPr>
          <w:rFonts w:hint="eastAsia"/>
          <w:color w:val="000000"/>
          <w:szCs w:val="21"/>
        </w:rPr>
        <w:t>月第一版；</w:t>
      </w:r>
    </w:p>
    <w:p>
      <w:pPr>
        <w:spacing w:line="360" w:lineRule="auto"/>
        <w:ind w:firstLine="420"/>
        <w:rPr>
          <w:color w:val="000000"/>
          <w:szCs w:val="21"/>
        </w:rPr>
      </w:pPr>
      <w:r>
        <w:rPr>
          <w:rFonts w:hint="eastAsia"/>
          <w:color w:val="000000"/>
          <w:szCs w:val="21"/>
        </w:rPr>
        <w:t>[</w:t>
      </w:r>
      <w:r>
        <w:rPr>
          <w:color w:val="000000"/>
          <w:szCs w:val="21"/>
        </w:rPr>
        <w:t>6</w:t>
      </w:r>
      <w:r>
        <w:rPr>
          <w:rFonts w:hint="eastAsia"/>
          <w:color w:val="000000"/>
          <w:szCs w:val="21"/>
        </w:rPr>
        <w:t>]</w:t>
      </w:r>
      <w:r>
        <w:rPr>
          <w:color w:val="000000"/>
          <w:szCs w:val="21"/>
        </w:rPr>
        <w:t xml:space="preserve"> </w:t>
      </w:r>
      <w:r>
        <w:rPr>
          <w:rFonts w:hint="eastAsia"/>
          <w:color w:val="000000"/>
          <w:szCs w:val="21"/>
        </w:rPr>
        <w:t>杰拉德.梅杰、米切尔.</w:t>
      </w:r>
      <w:r>
        <w:rPr>
          <w:rFonts w:hint="eastAsia"/>
        </w:rPr>
        <w:t>珀提斯、科菲.马金瓦</w:t>
      </w:r>
      <w:r>
        <w:rPr>
          <w:rFonts w:hint="eastAsia"/>
          <w:color w:val="000000"/>
          <w:szCs w:val="21"/>
        </w:rPr>
        <w:t>编著.</w:t>
      </w:r>
      <w:r>
        <w:rPr>
          <w:color w:val="000000"/>
          <w:szCs w:val="21"/>
        </w:rPr>
        <w:t xml:space="preserve"> </w:t>
      </w:r>
      <w:r>
        <w:rPr>
          <w:rFonts w:hint="eastAsia"/>
          <w:color w:val="000000"/>
          <w:szCs w:val="21"/>
        </w:rPr>
        <w:t>靖向萌译.</w:t>
      </w:r>
      <w:r>
        <w:rPr>
          <w:color w:val="000000"/>
          <w:szCs w:val="21"/>
        </w:rPr>
        <w:t xml:space="preserve"> </w:t>
      </w:r>
      <w:r>
        <w:rPr>
          <w:rFonts w:hint="eastAsia"/>
          <w:color w:val="000000"/>
          <w:szCs w:val="21"/>
        </w:rPr>
        <w:t>智能传感器系统:新兴技术及其应用[M]. 北京：机械工业出版社，201</w:t>
      </w:r>
      <w:r>
        <w:rPr>
          <w:color w:val="000000"/>
          <w:szCs w:val="21"/>
        </w:rPr>
        <w:t>8</w:t>
      </w:r>
      <w:r>
        <w:rPr>
          <w:rFonts w:hint="eastAsia"/>
          <w:color w:val="000000"/>
          <w:szCs w:val="21"/>
        </w:rPr>
        <w:t>年</w:t>
      </w:r>
      <w:r>
        <w:rPr>
          <w:color w:val="000000"/>
          <w:szCs w:val="21"/>
        </w:rPr>
        <w:t>5</w:t>
      </w:r>
      <w:r>
        <w:rPr>
          <w:rFonts w:hint="eastAsia"/>
          <w:color w:val="000000"/>
          <w:szCs w:val="21"/>
        </w:rPr>
        <w:t>月第一版；</w:t>
      </w:r>
    </w:p>
    <w:p>
      <w:pPr>
        <w:spacing w:line="360" w:lineRule="auto"/>
        <w:ind w:left="210" w:leftChars="50" w:hanging="105" w:hangingChars="50"/>
        <w:rPr>
          <w:b/>
          <w:bCs/>
          <w:szCs w:val="21"/>
        </w:rPr>
      </w:pPr>
    </w:p>
    <w:p>
      <w:pPr>
        <w:spacing w:line="360" w:lineRule="auto"/>
        <w:ind w:left="210" w:leftChars="100"/>
        <w:jc w:val="center"/>
        <w:rPr>
          <w:rFonts w:hint="eastAsia" w:eastAsia="宋体"/>
          <w:color w:val="000000"/>
          <w:szCs w:val="21"/>
          <w:lang w:eastAsia="zh-CN"/>
        </w:rPr>
      </w:pPr>
      <w:r>
        <w:rPr>
          <w:rFonts w:hint="eastAsia"/>
          <w:b/>
          <w:bCs/>
          <w:szCs w:val="21"/>
          <w:lang w:val="en-US" w:eastAsia="zh-CN"/>
        </w:rPr>
        <w:t xml:space="preserve">                    </w:t>
      </w:r>
      <w:r>
        <w:rPr>
          <w:rFonts w:hint="eastAsia"/>
          <w:b/>
          <w:bCs/>
          <w:szCs w:val="21"/>
        </w:rPr>
        <w:t>制定人</w:t>
      </w:r>
      <w:r>
        <w:rPr>
          <w:rFonts w:hint="eastAsia"/>
          <w:szCs w:val="21"/>
        </w:rPr>
        <w:t>：</w:t>
      </w:r>
      <w:r>
        <w:rPr>
          <w:rFonts w:hint="eastAsia"/>
          <w:szCs w:val="21"/>
          <w:lang w:eastAsia="zh-CN"/>
        </w:rPr>
        <w:t>刘来</w:t>
      </w:r>
      <w:r>
        <w:rPr>
          <w:rFonts w:hint="eastAsia"/>
          <w:szCs w:val="21"/>
        </w:rPr>
        <w:t xml:space="preserve">     </w:t>
      </w:r>
      <w:r>
        <w:rPr>
          <w:rFonts w:hint="eastAsia"/>
          <w:b/>
          <w:bCs/>
          <w:szCs w:val="21"/>
        </w:rPr>
        <w:t>审定人</w:t>
      </w:r>
      <w:r>
        <w:rPr>
          <w:rFonts w:hint="eastAsia"/>
          <w:szCs w:val="21"/>
        </w:rPr>
        <w:t>：</w:t>
      </w:r>
      <w:r>
        <w:rPr>
          <w:rFonts w:hint="eastAsia"/>
          <w:szCs w:val="21"/>
          <w:lang w:eastAsia="zh-CN"/>
        </w:rPr>
        <w:t>刘文耀</w:t>
      </w:r>
      <w:r>
        <w:rPr>
          <w:rFonts w:hint="eastAsia"/>
          <w:szCs w:val="21"/>
        </w:rPr>
        <w:t xml:space="preserve">      </w:t>
      </w:r>
      <w:r>
        <w:rPr>
          <w:rFonts w:hint="eastAsia"/>
          <w:b/>
          <w:bCs/>
          <w:szCs w:val="21"/>
        </w:rPr>
        <w:t>批准人</w:t>
      </w:r>
      <w:r>
        <w:rPr>
          <w:rFonts w:hint="eastAsia"/>
          <w:szCs w:val="21"/>
        </w:rPr>
        <w:t>：</w:t>
      </w:r>
      <w:r>
        <w:rPr>
          <w:rFonts w:hint="eastAsia"/>
          <w:szCs w:val="21"/>
          <w:lang w:eastAsia="zh-CN"/>
        </w:rPr>
        <w:t>刘文怡</w:t>
      </w:r>
    </w:p>
    <w:p>
      <w:pPr>
        <w:spacing w:line="440" w:lineRule="exact"/>
        <w:ind w:right="480" w:firstLine="5670" w:firstLineChars="2700"/>
        <w:jc w:val="right"/>
        <w:rPr>
          <w:b/>
          <w:spacing w:val="20"/>
          <w:szCs w:val="21"/>
        </w:rPr>
      </w:pPr>
      <w:r>
        <w:rPr>
          <w:rFonts w:hint="eastAsia"/>
          <w:szCs w:val="21"/>
          <w:lang w:val="en-US" w:eastAsia="zh-CN"/>
        </w:rPr>
        <w:t xml:space="preserve">  2021</w:t>
      </w:r>
      <w:r>
        <w:rPr>
          <w:rFonts w:hint="eastAsia"/>
          <w:szCs w:val="21"/>
        </w:rPr>
        <w:t xml:space="preserve">年 </w:t>
      </w:r>
      <w:r>
        <w:rPr>
          <w:rFonts w:hint="eastAsia"/>
          <w:szCs w:val="21"/>
          <w:lang w:val="en-US" w:eastAsia="zh-CN"/>
        </w:rPr>
        <w:t>12</w:t>
      </w:r>
      <w:r>
        <w:rPr>
          <w:rFonts w:hint="eastAsia"/>
          <w:szCs w:val="21"/>
        </w:rPr>
        <w:t xml:space="preserve">月 </w:t>
      </w:r>
      <w:r>
        <w:rPr>
          <w:rFonts w:hint="eastAsia"/>
          <w:szCs w:val="21"/>
          <w:lang w:val="en-US" w:eastAsia="zh-CN"/>
        </w:rPr>
        <w:t>1</w:t>
      </w:r>
      <w:r>
        <w:rPr>
          <w:rFonts w:hint="eastAsia"/>
          <w:szCs w:val="21"/>
        </w:rPr>
        <w:t>日</w:t>
      </w:r>
    </w:p>
    <w:p/>
    <w:p/>
    <w:p/>
    <w:p/>
    <w:p/>
    <w:p/>
    <w:p/>
    <w:p/>
    <w:p/>
    <w:p/>
    <w:p/>
    <w:p/>
    <w:p/>
    <w:p/>
    <w:p/>
    <w:p/>
    <w:p/>
    <w:p/>
    <w:p/>
    <w:p/>
    <w:p/>
    <w:p/>
    <w:p/>
    <w:p/>
    <w:p/>
    <w:p/>
    <w:p/>
    <w:p/>
    <w:p/>
    <w:p/>
    <w:p/>
    <w:p/>
    <w:p/>
    <w:p/>
    <w:p/>
    <w:p/>
    <w:p/>
    <w:p>
      <w:pPr>
        <w:rPr>
          <w:rFonts w:hint="eastAsia"/>
        </w:rPr>
      </w:pPr>
    </w:p>
    <w:p>
      <w:pPr>
        <w:pStyle w:val="9"/>
        <w:rPr>
          <w:rFonts w:hint="eastAsia"/>
        </w:rPr>
      </w:pPr>
    </w:p>
    <w:p>
      <w:pPr>
        <w:pStyle w:val="9"/>
        <w:rPr>
          <w:rFonts w:hint="eastAsia"/>
        </w:rPr>
      </w:pPr>
    </w:p>
    <w:p/>
    <w:p>
      <w:pPr>
        <w:pStyle w:val="18"/>
        <w:spacing w:before="240" w:after="360"/>
        <w:rPr>
          <w:rFonts w:ascii="Times New Roman" w:hAnsi="Times New Roman" w:cs="Times New Roman"/>
        </w:rPr>
      </w:pPr>
      <w:bookmarkStart w:id="66" w:name="_Toc29580"/>
      <w:r>
        <w:rPr>
          <w:rFonts w:hint="eastAsia" w:ascii="Times New Roman" w:hAnsi="Times New Roman" w:cs="Times New Roman"/>
        </w:rPr>
        <w:t>《智能控制理论基础》课程教学大纲</w:t>
      </w:r>
      <w:bookmarkEnd w:id="66"/>
    </w:p>
    <w:p>
      <w:pPr>
        <w:adjustRightInd w:val="0"/>
        <w:snapToGrid w:val="0"/>
        <w:spacing w:before="120" w:beforeLines="50" w:line="360" w:lineRule="auto"/>
        <w:rPr>
          <w:rFonts w:hint="eastAsia" w:eastAsia="黑体"/>
          <w:szCs w:val="21"/>
        </w:rPr>
      </w:pPr>
      <w:r>
        <w:rPr>
          <w:rFonts w:hint="eastAsia" w:eastAsia="黑体"/>
          <w:szCs w:val="21"/>
        </w:rPr>
        <w:t>一、课程基本信息</w:t>
      </w:r>
    </w:p>
    <w:p>
      <w:pPr>
        <w:snapToGrid w:val="0"/>
        <w:spacing w:line="360" w:lineRule="auto"/>
        <w:ind w:firstLine="420" w:firstLineChars="200"/>
        <w:rPr>
          <w:rFonts w:hint="eastAsia" w:eastAsia="黑体"/>
          <w:bCs/>
          <w:szCs w:val="21"/>
        </w:rPr>
      </w:pPr>
      <w:r>
        <w:rPr>
          <w:rFonts w:hint="eastAsia" w:eastAsia="黑体"/>
          <w:bCs/>
          <w:szCs w:val="21"/>
        </w:rPr>
        <w:t>课程名称（中文）：智能控制理论基础</w:t>
      </w:r>
      <w:r>
        <w:rPr>
          <w:rFonts w:eastAsia="黑体"/>
          <w:bCs/>
          <w:szCs w:val="21"/>
        </w:rPr>
        <w:t xml:space="preserve"> </w:t>
      </w:r>
    </w:p>
    <w:p>
      <w:pPr>
        <w:snapToGrid w:val="0"/>
        <w:spacing w:line="360" w:lineRule="auto"/>
        <w:ind w:firstLine="420" w:firstLineChars="200"/>
        <w:rPr>
          <w:rFonts w:eastAsia="黑体"/>
          <w:bCs/>
          <w:szCs w:val="21"/>
        </w:rPr>
      </w:pPr>
      <w:r>
        <w:rPr>
          <w:rFonts w:hint="eastAsia" w:eastAsia="黑体"/>
          <w:bCs/>
          <w:szCs w:val="21"/>
        </w:rPr>
        <w:t>课程名称（英文）：Basic of intelligent control theory</w:t>
      </w:r>
    </w:p>
    <w:p>
      <w:pPr>
        <w:snapToGrid w:val="0"/>
        <w:spacing w:line="360" w:lineRule="auto"/>
        <w:ind w:firstLine="420" w:firstLineChars="200"/>
        <w:rPr>
          <w:rFonts w:eastAsia="黑体"/>
          <w:bCs/>
          <w:szCs w:val="21"/>
        </w:rPr>
      </w:pPr>
      <w:r>
        <w:rPr>
          <w:rFonts w:hint="eastAsia" w:eastAsia="黑体"/>
          <w:bCs/>
          <w:szCs w:val="21"/>
        </w:rPr>
        <w:t>课程代码：Z03060402</w:t>
      </w:r>
      <w:r>
        <w:rPr>
          <w:rFonts w:eastAsia="黑体"/>
          <w:bCs/>
          <w:szCs w:val="21"/>
        </w:rPr>
        <w:t xml:space="preserve"> </w:t>
      </w:r>
      <w:r>
        <w:rPr>
          <w:rFonts w:hint="eastAsia" w:eastAsia="黑体"/>
          <w:bCs/>
          <w:szCs w:val="21"/>
        </w:rPr>
        <w:t xml:space="preserve"> </w:t>
      </w:r>
      <w:r>
        <w:rPr>
          <w:rFonts w:hint="eastAsia" w:eastAsia="黑体"/>
          <w:bCs/>
          <w:szCs w:val="21"/>
        </w:rPr>
        <w:tab/>
      </w:r>
      <w:r>
        <w:rPr>
          <w:rFonts w:hint="eastAsia" w:eastAsia="黑体"/>
          <w:bCs/>
          <w:szCs w:val="21"/>
        </w:rPr>
        <w:tab/>
      </w:r>
      <w:r>
        <w:rPr>
          <w:rFonts w:hint="eastAsia" w:eastAsia="黑体"/>
          <w:bCs/>
          <w:szCs w:val="21"/>
        </w:rPr>
        <w:tab/>
      </w:r>
      <w:r>
        <w:rPr>
          <w:rFonts w:hint="eastAsia" w:eastAsia="黑体"/>
          <w:bCs/>
          <w:szCs w:val="21"/>
        </w:rPr>
        <w:tab/>
      </w:r>
      <w:r>
        <w:rPr>
          <w:rFonts w:hint="eastAsia" w:eastAsia="黑体"/>
          <w:bCs/>
          <w:szCs w:val="21"/>
        </w:rPr>
        <w:tab/>
      </w:r>
      <w:r>
        <w:rPr>
          <w:rFonts w:hint="eastAsia" w:eastAsia="黑体"/>
          <w:bCs/>
          <w:szCs w:val="21"/>
        </w:rPr>
        <w:t>适用层次：本科三年级</w:t>
      </w:r>
    </w:p>
    <w:p>
      <w:pPr>
        <w:snapToGrid w:val="0"/>
        <w:spacing w:line="360" w:lineRule="auto"/>
        <w:ind w:firstLine="420" w:firstLineChars="200"/>
        <w:rPr>
          <w:rFonts w:hint="eastAsia" w:eastAsia="黑体"/>
          <w:bCs/>
          <w:szCs w:val="21"/>
        </w:rPr>
      </w:pPr>
      <w:r>
        <w:rPr>
          <w:rFonts w:hint="eastAsia" w:eastAsia="黑体"/>
          <w:bCs/>
          <w:szCs w:val="21"/>
        </w:rPr>
        <w:t xml:space="preserve">课程类别：专业教育课               </w:t>
      </w:r>
      <w:r>
        <w:rPr>
          <w:rFonts w:hint="eastAsia" w:eastAsia="黑体"/>
          <w:bCs/>
          <w:szCs w:val="21"/>
        </w:rPr>
        <w:tab/>
      </w:r>
      <w:r>
        <w:rPr>
          <w:rFonts w:hint="eastAsia" w:eastAsia="黑体"/>
          <w:bCs/>
          <w:szCs w:val="21"/>
        </w:rPr>
        <w:t xml:space="preserve">    课程性质：专业必修 </w:t>
      </w:r>
    </w:p>
    <w:p>
      <w:pPr>
        <w:snapToGrid w:val="0"/>
        <w:spacing w:line="360" w:lineRule="auto"/>
        <w:ind w:firstLine="420" w:firstLineChars="200"/>
        <w:rPr>
          <w:rFonts w:eastAsia="黑体"/>
          <w:bCs/>
          <w:szCs w:val="21"/>
        </w:rPr>
      </w:pPr>
      <w:r>
        <w:rPr>
          <w:rFonts w:hint="eastAsia" w:eastAsia="黑体"/>
          <w:bCs/>
          <w:szCs w:val="21"/>
        </w:rPr>
        <w:t>适用专业：</w:t>
      </w:r>
      <w:r>
        <w:rPr>
          <w:rFonts w:hint="eastAsia" w:eastAsia="黑体"/>
          <w:bCs/>
          <w:szCs w:val="21"/>
          <w:lang w:eastAsia="zh-CN"/>
        </w:rPr>
        <w:t>智能感知工程</w:t>
      </w:r>
      <w:r>
        <w:rPr>
          <w:rFonts w:hint="eastAsia" w:eastAsia="黑体"/>
          <w:bCs/>
          <w:szCs w:val="21"/>
          <w:lang w:val="en-US" w:eastAsia="zh-CN"/>
        </w:rPr>
        <w:t xml:space="preserve"> </w:t>
      </w:r>
      <w:r>
        <w:rPr>
          <w:rFonts w:hint="eastAsia" w:eastAsia="黑体"/>
          <w:bCs/>
          <w:szCs w:val="21"/>
        </w:rPr>
        <w:t xml:space="preserve">               </w:t>
      </w:r>
      <w:r>
        <w:rPr>
          <w:rFonts w:hint="eastAsia" w:eastAsia="黑体"/>
          <w:bCs/>
          <w:szCs w:val="21"/>
          <w:lang w:val="en-US" w:eastAsia="zh-CN"/>
        </w:rPr>
        <w:t xml:space="preserve"> </w:t>
      </w:r>
      <w:r>
        <w:rPr>
          <w:rFonts w:hint="eastAsia" w:eastAsia="黑体"/>
          <w:bCs/>
          <w:szCs w:val="21"/>
        </w:rPr>
        <w:t xml:space="preserve"> 计划学分：3        </w:t>
      </w:r>
      <w:r>
        <w:rPr>
          <w:rFonts w:hint="eastAsia" w:eastAsia="黑体"/>
          <w:bCs/>
          <w:szCs w:val="21"/>
        </w:rPr>
        <w:tab/>
      </w:r>
      <w:r>
        <w:rPr>
          <w:rFonts w:hint="eastAsia" w:eastAsia="黑体"/>
          <w:bCs/>
          <w:szCs w:val="21"/>
        </w:rPr>
        <w:tab/>
      </w:r>
    </w:p>
    <w:p>
      <w:pPr>
        <w:snapToGrid w:val="0"/>
        <w:spacing w:line="360" w:lineRule="auto"/>
        <w:ind w:firstLine="420" w:firstLineChars="200"/>
        <w:rPr>
          <w:rFonts w:hint="eastAsia" w:eastAsia="黑体"/>
          <w:bCs/>
          <w:szCs w:val="21"/>
        </w:rPr>
      </w:pPr>
      <w:r>
        <w:rPr>
          <w:rFonts w:hint="eastAsia" w:eastAsia="黑体"/>
          <w:bCs/>
          <w:szCs w:val="21"/>
        </w:rPr>
        <w:t xml:space="preserve">计划学时（周数）： 48                  </w:t>
      </w:r>
      <w:r>
        <w:rPr>
          <w:rFonts w:hint="eastAsia" w:eastAsia="黑体"/>
          <w:bCs/>
          <w:szCs w:val="21"/>
          <w:lang w:val="en-US" w:eastAsia="zh-CN"/>
        </w:rPr>
        <w:t xml:space="preserve"> </w:t>
      </w:r>
      <w:r>
        <w:rPr>
          <w:rFonts w:hint="eastAsia" w:eastAsia="黑体"/>
          <w:bCs/>
          <w:szCs w:val="21"/>
        </w:rPr>
        <w:t xml:space="preserve"> 讲课学时：40       实验学时：8</w:t>
      </w:r>
    </w:p>
    <w:p>
      <w:pPr>
        <w:snapToGrid w:val="0"/>
        <w:spacing w:line="360" w:lineRule="auto"/>
        <w:ind w:firstLine="420" w:firstLineChars="200"/>
        <w:rPr>
          <w:rFonts w:hint="eastAsia" w:eastAsia="黑体"/>
          <w:bCs/>
          <w:szCs w:val="21"/>
        </w:rPr>
      </w:pPr>
      <w:r>
        <w:rPr>
          <w:rFonts w:hint="eastAsia" w:eastAsia="黑体"/>
          <w:bCs/>
          <w:szCs w:val="21"/>
        </w:rPr>
        <w:t xml:space="preserve">开课学期：5                       </w:t>
      </w:r>
      <w:r>
        <w:rPr>
          <w:rFonts w:hint="eastAsia" w:eastAsia="黑体"/>
          <w:bCs/>
          <w:szCs w:val="21"/>
        </w:rPr>
        <w:tab/>
      </w:r>
      <w:r>
        <w:rPr>
          <w:rFonts w:hint="eastAsia" w:eastAsia="黑体"/>
          <w:bCs/>
          <w:szCs w:val="21"/>
        </w:rPr>
        <w:tab/>
      </w:r>
      <w:r>
        <w:rPr>
          <w:rFonts w:hint="eastAsia" w:eastAsia="黑体"/>
          <w:bCs/>
          <w:szCs w:val="21"/>
        </w:rPr>
        <w:t xml:space="preserve">考核方式：考试 </w:t>
      </w:r>
    </w:p>
    <w:p>
      <w:pPr>
        <w:snapToGrid w:val="0"/>
        <w:spacing w:line="360" w:lineRule="auto"/>
        <w:ind w:firstLine="420" w:firstLineChars="200"/>
        <w:rPr>
          <w:rFonts w:hint="eastAsia" w:eastAsia="黑体"/>
          <w:bCs/>
          <w:szCs w:val="21"/>
        </w:rPr>
      </w:pPr>
      <w:r>
        <w:rPr>
          <w:rFonts w:hint="eastAsia" w:eastAsia="黑体"/>
          <w:bCs/>
          <w:szCs w:val="21"/>
        </w:rPr>
        <w:t>先修课程：信号与系统，人工智能导论</w:t>
      </w:r>
      <w:r>
        <w:rPr>
          <w:rFonts w:eastAsia="黑体"/>
          <w:bCs/>
          <w:szCs w:val="21"/>
        </w:rPr>
        <w:t xml:space="preserve"> </w:t>
      </w:r>
    </w:p>
    <w:p>
      <w:pPr>
        <w:snapToGrid w:val="0"/>
        <w:spacing w:line="360" w:lineRule="auto"/>
        <w:ind w:firstLine="420" w:firstLineChars="200"/>
        <w:rPr>
          <w:rFonts w:eastAsia="黑体"/>
          <w:bCs/>
          <w:szCs w:val="21"/>
        </w:rPr>
      </w:pPr>
      <w:r>
        <w:rPr>
          <w:rFonts w:hint="eastAsia" w:eastAsia="黑体"/>
          <w:bCs/>
          <w:szCs w:val="21"/>
        </w:rPr>
        <w:t>后续课程：智能机器人技术</w:t>
      </w:r>
    </w:p>
    <w:p>
      <w:pPr>
        <w:snapToGrid w:val="0"/>
        <w:spacing w:line="360" w:lineRule="auto"/>
        <w:ind w:firstLine="420" w:firstLineChars="200"/>
        <w:rPr>
          <w:rFonts w:eastAsia="黑体"/>
          <w:bCs/>
          <w:szCs w:val="21"/>
        </w:rPr>
      </w:pPr>
      <w:r>
        <w:rPr>
          <w:rFonts w:hint="eastAsia" w:eastAsia="黑体"/>
          <w:bCs/>
          <w:szCs w:val="21"/>
        </w:rPr>
        <w:t>制定人：  孟令军，邵星灵                教学基层组织审核人：刘文耀</w:t>
      </w:r>
    </w:p>
    <w:p>
      <w:pPr>
        <w:snapToGrid w:val="0"/>
        <w:spacing w:line="360" w:lineRule="auto"/>
        <w:ind w:firstLine="420" w:firstLineChars="200"/>
        <w:rPr>
          <w:rFonts w:hint="eastAsia" w:eastAsia="黑体"/>
          <w:bCs/>
          <w:szCs w:val="21"/>
        </w:rPr>
      </w:pPr>
      <w:r>
        <w:rPr>
          <w:rFonts w:hint="eastAsia" w:eastAsia="黑体"/>
          <w:bCs/>
          <w:szCs w:val="21"/>
        </w:rPr>
        <w:t>开课学院：仪器与电子学院</w:t>
      </w:r>
      <w:r>
        <w:rPr>
          <w:rFonts w:eastAsia="黑体"/>
          <w:bCs/>
          <w:szCs w:val="21"/>
        </w:rPr>
        <w:t xml:space="preserve"> </w:t>
      </w:r>
      <w:r>
        <w:rPr>
          <w:rFonts w:hint="eastAsia" w:eastAsia="黑体"/>
          <w:bCs/>
          <w:szCs w:val="21"/>
        </w:rPr>
        <w:t xml:space="preserve">         </w:t>
      </w:r>
      <w:r>
        <w:rPr>
          <w:rFonts w:hint="eastAsia" w:eastAsia="黑体"/>
          <w:bCs/>
          <w:szCs w:val="21"/>
        </w:rPr>
        <w:tab/>
      </w:r>
      <w:r>
        <w:rPr>
          <w:rFonts w:hint="eastAsia" w:eastAsia="黑体"/>
          <w:bCs/>
          <w:szCs w:val="21"/>
        </w:rPr>
        <w:tab/>
      </w:r>
      <w:r>
        <w:rPr>
          <w:rFonts w:hint="eastAsia" w:eastAsia="黑体"/>
          <w:bCs/>
          <w:szCs w:val="21"/>
        </w:rPr>
        <w:t>开课学院审核人：刘文怡</w:t>
      </w:r>
    </w:p>
    <w:p>
      <w:pPr>
        <w:adjustRightInd w:val="0"/>
        <w:snapToGrid w:val="0"/>
        <w:spacing w:before="120" w:beforeLines="50" w:line="360" w:lineRule="auto"/>
        <w:rPr>
          <w:rFonts w:hint="eastAsia" w:eastAsia="黑体"/>
          <w:szCs w:val="21"/>
        </w:rPr>
      </w:pPr>
      <w:r>
        <w:rPr>
          <w:rFonts w:hint="eastAsia" w:eastAsia="黑体"/>
          <w:szCs w:val="21"/>
        </w:rPr>
        <w:t>二、课程性质与教学目标</w:t>
      </w:r>
    </w:p>
    <w:p>
      <w:pPr>
        <w:snapToGrid w:val="0"/>
        <w:spacing w:line="360" w:lineRule="auto"/>
        <w:ind w:firstLine="422" w:firstLineChars="200"/>
        <w:rPr>
          <w:rFonts w:hint="eastAsia" w:ascii="宋体" w:hAnsi="宋体"/>
          <w:b/>
          <w:szCs w:val="21"/>
        </w:rPr>
      </w:pPr>
      <w:r>
        <w:rPr>
          <w:rFonts w:hint="eastAsia" w:ascii="宋体" w:hAnsi="宋体"/>
          <w:b/>
          <w:szCs w:val="21"/>
        </w:rPr>
        <w:t>1、课程性质与任务</w:t>
      </w:r>
    </w:p>
    <w:p>
      <w:pPr>
        <w:snapToGrid w:val="0"/>
        <w:spacing w:line="360" w:lineRule="auto"/>
        <w:ind w:firstLine="420" w:firstLineChars="200"/>
        <w:rPr>
          <w:szCs w:val="21"/>
        </w:rPr>
      </w:pPr>
      <w:r>
        <w:rPr>
          <w:rFonts w:hint="eastAsia" w:ascii="宋体" w:hAnsi="宋体"/>
          <w:bCs/>
          <w:color w:val="000000"/>
          <w:szCs w:val="21"/>
        </w:rPr>
        <w:t>本课程是智能感知工程专业的一门专业教育类课程。智能控制技术是近二十年来随着人工智能技术的发展而兴起的一门新兴学科，本课程主要讲述智能控制的基本概念、基本原理、常用的智能控制技术与方法。课程主要内容包括：经典控制与智能控制的基本概念与理论基础、模糊控制理论与模糊控制系统、人工神经元网络基础与神经网络控制等</w:t>
      </w:r>
      <w:r>
        <w:rPr>
          <w:szCs w:val="21"/>
        </w:rPr>
        <w:t>。</w:t>
      </w:r>
    </w:p>
    <w:p>
      <w:pPr>
        <w:snapToGrid w:val="0"/>
        <w:spacing w:line="360" w:lineRule="auto"/>
        <w:ind w:firstLine="420" w:firstLineChars="200"/>
        <w:rPr>
          <w:rFonts w:hint="eastAsia"/>
          <w:szCs w:val="21"/>
        </w:rPr>
      </w:pPr>
      <w:r>
        <w:rPr>
          <w:rFonts w:hint="eastAsia"/>
          <w:szCs w:val="21"/>
        </w:rPr>
        <w:t>通过本课程的学习，可使学生了解智能控制理论领域发展的前沿和成果、基本理论与控制原理、应用场合及发展趋势，掌握智能控制的基本概念、理论基础及其在实际控制系统中的应用方法，开阔视野，扩大知识面，为后续课程的学习和毕业后的从事智能控制领域的工作奠定技术基础。</w:t>
      </w:r>
    </w:p>
    <w:p>
      <w:pPr>
        <w:snapToGrid w:val="0"/>
        <w:spacing w:line="360" w:lineRule="auto"/>
        <w:ind w:firstLine="420" w:firstLineChars="200"/>
        <w:rPr>
          <w:rFonts w:hint="eastAsia"/>
          <w:szCs w:val="21"/>
        </w:rPr>
      </w:pPr>
    </w:p>
    <w:p>
      <w:pPr>
        <w:snapToGrid w:val="0"/>
        <w:spacing w:line="360" w:lineRule="auto"/>
        <w:ind w:firstLine="422" w:firstLineChars="200"/>
        <w:rPr>
          <w:rFonts w:hint="eastAsia" w:ascii="宋体" w:hAnsi="宋体"/>
          <w:b/>
          <w:szCs w:val="21"/>
        </w:rPr>
      </w:pPr>
      <w:r>
        <w:rPr>
          <w:rFonts w:hint="eastAsia" w:ascii="宋体" w:hAnsi="宋体"/>
          <w:b/>
          <w:szCs w:val="21"/>
        </w:rPr>
        <w:t>2、课程</w:t>
      </w:r>
      <w:r>
        <w:rPr>
          <w:rFonts w:ascii="宋体" w:hAnsi="宋体"/>
          <w:b/>
          <w:szCs w:val="21"/>
        </w:rPr>
        <w:t>目标</w:t>
      </w:r>
    </w:p>
    <w:p>
      <w:pPr>
        <w:spacing w:before="140" w:line="360" w:lineRule="auto"/>
        <w:ind w:left="9" w:right="3" w:firstLine="410"/>
        <w:rPr>
          <w:rFonts w:ascii="宋体" w:hAnsi="宋体" w:cs="宋体"/>
          <w:szCs w:val="21"/>
        </w:rPr>
      </w:pPr>
      <w:r>
        <w:rPr>
          <w:rFonts w:ascii="宋体" w:hAnsi="宋体" w:cs="宋体"/>
          <w:szCs w:val="21"/>
        </w:rPr>
        <w:t>课程目标1：</w:t>
      </w:r>
      <w:r>
        <w:rPr>
          <w:rFonts w:hint="eastAsia" w:ascii="宋体" w:hAnsi="宋体" w:cs="宋体"/>
          <w:szCs w:val="21"/>
        </w:rPr>
        <w:t>根据所学经典控制理论知识，</w:t>
      </w:r>
      <w:r>
        <w:rPr>
          <w:rFonts w:ascii="宋体" w:hAnsi="宋体" w:cs="宋体"/>
          <w:szCs w:val="21"/>
        </w:rPr>
        <w:t>能够</w:t>
      </w:r>
      <w:r>
        <w:rPr>
          <w:rFonts w:hint="eastAsia" w:ascii="宋体" w:hAnsi="宋体" w:cs="宋体"/>
          <w:szCs w:val="21"/>
        </w:rPr>
        <w:t>依据实际的工程问题需求来选择合适的控制方法，设计所需要的控制系统</w:t>
      </w:r>
      <w:r>
        <w:rPr>
          <w:rFonts w:ascii="宋体" w:hAnsi="宋体" w:cs="宋体"/>
          <w:szCs w:val="21"/>
        </w:rPr>
        <w:t xml:space="preserve">。（支撑毕业要求指标点 </w:t>
      </w:r>
      <w:r>
        <w:rPr>
          <w:rFonts w:hint="eastAsia" w:ascii="宋体" w:hAnsi="宋体" w:cs="宋体"/>
          <w:szCs w:val="21"/>
        </w:rPr>
        <w:t>1-2</w:t>
      </w:r>
      <w:r>
        <w:rPr>
          <w:rFonts w:ascii="宋体" w:hAnsi="宋体" w:cs="宋体"/>
          <w:szCs w:val="21"/>
        </w:rPr>
        <w:t>）</w:t>
      </w:r>
    </w:p>
    <w:p>
      <w:pPr>
        <w:spacing w:before="140" w:line="360" w:lineRule="auto"/>
        <w:ind w:left="9" w:right="3" w:firstLine="410"/>
        <w:rPr>
          <w:rFonts w:ascii="宋体" w:hAnsi="宋体" w:cs="宋体"/>
          <w:szCs w:val="21"/>
        </w:rPr>
      </w:pPr>
      <w:r>
        <w:rPr>
          <w:rFonts w:ascii="宋体" w:hAnsi="宋体" w:cs="宋体"/>
          <w:szCs w:val="21"/>
        </w:rPr>
        <w:t>课程目标2：</w:t>
      </w:r>
      <w:r>
        <w:rPr>
          <w:rFonts w:hint="eastAsia" w:ascii="宋体" w:hAnsi="宋体" w:cs="宋体"/>
          <w:szCs w:val="21"/>
        </w:rPr>
        <w:t>能够完成满足特定应用需求的经典控制系统的设计，并利用仿真软件完成仿真分析</w:t>
      </w:r>
      <w:r>
        <w:rPr>
          <w:rFonts w:ascii="宋体" w:hAnsi="宋体" w:cs="宋体"/>
          <w:szCs w:val="21"/>
        </w:rPr>
        <w:t xml:space="preserve">。（支撑毕业要求指标点 </w:t>
      </w:r>
      <w:r>
        <w:rPr>
          <w:rFonts w:hint="eastAsia" w:ascii="宋体" w:hAnsi="宋体" w:cs="宋体"/>
          <w:szCs w:val="21"/>
        </w:rPr>
        <w:t>3-1</w:t>
      </w:r>
      <w:r>
        <w:rPr>
          <w:rFonts w:ascii="宋体" w:hAnsi="宋体" w:cs="宋体"/>
          <w:szCs w:val="21"/>
        </w:rPr>
        <w:t>）</w:t>
      </w:r>
    </w:p>
    <w:p>
      <w:pPr>
        <w:spacing w:before="140" w:line="360" w:lineRule="auto"/>
        <w:ind w:left="9" w:right="3" w:firstLine="410"/>
        <w:rPr>
          <w:rFonts w:ascii="宋体" w:hAnsi="宋体" w:cs="宋体"/>
          <w:szCs w:val="21"/>
        </w:rPr>
      </w:pPr>
      <w:r>
        <w:rPr>
          <w:rFonts w:ascii="宋体" w:hAnsi="宋体" w:cs="宋体"/>
          <w:szCs w:val="21"/>
        </w:rPr>
        <w:t>课程目标3：能够使用仿真软件</w:t>
      </w:r>
      <w:r>
        <w:rPr>
          <w:rFonts w:hint="eastAsia" w:ascii="宋体" w:hAnsi="宋体" w:cs="宋体"/>
          <w:szCs w:val="21"/>
        </w:rPr>
        <w:t>完成典型的</w:t>
      </w:r>
      <w:r>
        <w:rPr>
          <w:rFonts w:ascii="宋体" w:hAnsi="宋体" w:cs="宋体"/>
          <w:szCs w:val="21"/>
        </w:rPr>
        <w:t>模糊控制、神经网络控制系统模拟</w:t>
      </w:r>
      <w:r>
        <w:rPr>
          <w:rFonts w:hint="eastAsia" w:ascii="宋体" w:hAnsi="宋体" w:cs="宋体"/>
          <w:szCs w:val="21"/>
        </w:rPr>
        <w:t>与预测，可以对结果进行</w:t>
      </w:r>
      <w:r>
        <w:rPr>
          <w:rFonts w:ascii="宋体" w:hAnsi="宋体" w:cs="宋体"/>
          <w:szCs w:val="21"/>
        </w:rPr>
        <w:t>定量和定性分析。（支撑毕业要求指标点</w:t>
      </w:r>
      <w:r>
        <w:rPr>
          <w:rFonts w:hint="eastAsia" w:ascii="宋体" w:hAnsi="宋体" w:cs="宋体"/>
          <w:szCs w:val="21"/>
        </w:rPr>
        <w:t>5-2</w:t>
      </w:r>
      <w:r>
        <w:rPr>
          <w:rFonts w:ascii="宋体" w:hAnsi="宋体" w:cs="宋体"/>
          <w:szCs w:val="21"/>
        </w:rPr>
        <w:t>）</w:t>
      </w:r>
    </w:p>
    <w:p>
      <w:pPr>
        <w:sectPr>
          <w:pgSz w:w="11907" w:h="16839"/>
          <w:pgMar w:top="1431" w:right="1411" w:bottom="0" w:left="1426" w:header="0" w:footer="0" w:gutter="0"/>
          <w:pgNumType w:fmt="decimal"/>
          <w:cols w:space="720" w:num="1"/>
        </w:sectPr>
      </w:pPr>
    </w:p>
    <w:p>
      <w:pPr>
        <w:adjustRightInd w:val="0"/>
        <w:snapToGrid w:val="0"/>
        <w:spacing w:line="360" w:lineRule="auto"/>
        <w:ind w:firstLine="420" w:firstLineChars="200"/>
        <w:rPr>
          <w:rFonts w:hint="eastAsia" w:hAnsi="宋体"/>
          <w:bCs/>
          <w:szCs w:val="21"/>
          <w:highlight w:val="yellow"/>
        </w:rPr>
      </w:pPr>
      <w:r>
        <w:rPr>
          <w:rFonts w:hint="eastAsia" w:hAnsi="宋体"/>
          <w:bCs/>
          <w:szCs w:val="21"/>
        </w:rPr>
        <w:t>思政目标：智能控制理论是智能控制领域中的重要理论与算法入门基础课程，课程所涉及到的控制技术也是国家战略发展的关键核心技术。通过了解国内外智能控制技术的发展现状和差距，结合我国控制领域的独立自主发展案例，激发学生重视科学技术进步与科技创新，为国民经济发展和国家进步贡献力量的爱国主义和科技强国意识。</w:t>
      </w:r>
    </w:p>
    <w:p>
      <w:pPr>
        <w:adjustRightInd w:val="0"/>
        <w:snapToGrid w:val="0"/>
        <w:spacing w:before="120" w:beforeLines="50" w:line="360" w:lineRule="auto"/>
        <w:rPr>
          <w:rFonts w:hint="eastAsia" w:eastAsia="黑体"/>
          <w:szCs w:val="21"/>
        </w:rPr>
      </w:pPr>
      <w:r>
        <w:rPr>
          <w:rFonts w:hint="eastAsia" w:eastAsia="黑体"/>
          <w:szCs w:val="21"/>
        </w:rPr>
        <w:t>三、课程内容、思政融入点、学时分配及对毕业要求指标点的支撑</w:t>
      </w:r>
    </w:p>
    <w:p>
      <w:pPr>
        <w:adjustRightInd w:val="0"/>
        <w:snapToGrid w:val="0"/>
        <w:spacing w:line="360" w:lineRule="auto"/>
        <w:ind w:firstLine="420" w:firstLineChars="200"/>
        <w:rPr>
          <w:szCs w:val="21"/>
          <w:lang w:bidi="ar"/>
        </w:rPr>
      </w:pPr>
    </w:p>
    <w:p>
      <w:pPr>
        <w:adjustRightInd w:val="0"/>
        <w:snapToGrid w:val="0"/>
        <w:spacing w:line="360" w:lineRule="auto"/>
        <w:ind w:firstLine="420" w:firstLineChars="200"/>
        <w:rPr>
          <w:szCs w:val="21"/>
        </w:rPr>
      </w:pPr>
      <w:r>
        <w:rPr>
          <w:szCs w:val="21"/>
        </w:rPr>
        <w:t>1、本课程为专业</w:t>
      </w:r>
      <w:r>
        <w:rPr>
          <w:rFonts w:hint="eastAsia"/>
          <w:szCs w:val="21"/>
        </w:rPr>
        <w:t>必</w:t>
      </w:r>
      <w:r>
        <w:rPr>
          <w:szCs w:val="21"/>
        </w:rPr>
        <w:t>修课，要求先修</w:t>
      </w:r>
      <w:r>
        <w:rPr>
          <w:rFonts w:hint="eastAsia"/>
          <w:szCs w:val="21"/>
        </w:rPr>
        <w:t>信号与系统</w:t>
      </w:r>
      <w:r>
        <w:rPr>
          <w:szCs w:val="21"/>
        </w:rPr>
        <w:t>及</w:t>
      </w:r>
      <w:r>
        <w:rPr>
          <w:rFonts w:hint="eastAsia"/>
          <w:szCs w:val="21"/>
        </w:rPr>
        <w:t>人工智能导论</w:t>
      </w:r>
      <w:r>
        <w:rPr>
          <w:szCs w:val="21"/>
        </w:rPr>
        <w:t>等课程。教师在教学中应注重基础知识、基本概念和思维方法的传授，同时结合应用实例开展类比式和启发式教学，使学生掌握</w:t>
      </w:r>
      <w:r>
        <w:rPr>
          <w:rFonts w:hint="eastAsia"/>
          <w:szCs w:val="21"/>
        </w:rPr>
        <w:t>常用的智能控制技术中的基本</w:t>
      </w:r>
      <w:r>
        <w:rPr>
          <w:szCs w:val="21"/>
        </w:rPr>
        <w:t>概念</w:t>
      </w:r>
      <w:r>
        <w:rPr>
          <w:rFonts w:hint="eastAsia"/>
          <w:szCs w:val="21"/>
        </w:rPr>
        <w:t>和基础理论</w:t>
      </w:r>
      <w:r>
        <w:rPr>
          <w:szCs w:val="21"/>
        </w:rPr>
        <w:t>，掌握相关设计方法与手段，以培养利用</w:t>
      </w:r>
      <w:r>
        <w:rPr>
          <w:rFonts w:hint="eastAsia"/>
          <w:szCs w:val="21"/>
        </w:rPr>
        <w:t>智能控制</w:t>
      </w:r>
      <w:r>
        <w:rPr>
          <w:szCs w:val="21"/>
        </w:rPr>
        <w:t>技术手段解决工程问题的分析与设计能力。</w:t>
      </w:r>
    </w:p>
    <w:p>
      <w:pPr>
        <w:adjustRightInd w:val="0"/>
        <w:snapToGrid w:val="0"/>
        <w:spacing w:line="360" w:lineRule="auto"/>
        <w:ind w:firstLine="420" w:firstLineChars="200"/>
        <w:rPr>
          <w:szCs w:val="21"/>
        </w:rPr>
      </w:pPr>
      <w:r>
        <w:rPr>
          <w:szCs w:val="21"/>
        </w:rPr>
        <w:t>2、教师通过经典</w:t>
      </w:r>
      <w:r>
        <w:rPr>
          <w:rFonts w:hint="eastAsia"/>
          <w:szCs w:val="21"/>
        </w:rPr>
        <w:t>的应用案例讲解</w:t>
      </w:r>
      <w:r>
        <w:rPr>
          <w:szCs w:val="21"/>
        </w:rPr>
        <w:t>，提高学生</w:t>
      </w:r>
      <w:r>
        <w:rPr>
          <w:rFonts w:hint="eastAsia"/>
          <w:szCs w:val="21"/>
        </w:rPr>
        <w:t>对智能控制技术应用认知</w:t>
      </w:r>
      <w:r>
        <w:rPr>
          <w:szCs w:val="21"/>
        </w:rPr>
        <w:t>。</w:t>
      </w:r>
    </w:p>
    <w:p>
      <w:pPr>
        <w:adjustRightInd w:val="0"/>
        <w:snapToGrid w:val="0"/>
        <w:spacing w:line="360" w:lineRule="auto"/>
        <w:ind w:firstLine="420" w:firstLineChars="200"/>
        <w:rPr>
          <w:szCs w:val="21"/>
        </w:rPr>
      </w:pPr>
      <w:r>
        <w:rPr>
          <w:szCs w:val="21"/>
        </w:rPr>
        <w:t>3、学生通过上机操作，掌握</w:t>
      </w:r>
      <w:r>
        <w:rPr>
          <w:rFonts w:hint="eastAsia"/>
          <w:szCs w:val="21"/>
        </w:rPr>
        <w:t>利用MATLAB</w:t>
      </w:r>
      <w:r>
        <w:rPr>
          <w:szCs w:val="21"/>
        </w:rPr>
        <w:t>软件</w:t>
      </w:r>
      <w:r>
        <w:rPr>
          <w:rFonts w:hint="eastAsia"/>
          <w:szCs w:val="21"/>
        </w:rPr>
        <w:t>进行智能控制仿真</w:t>
      </w:r>
      <w:r>
        <w:rPr>
          <w:szCs w:val="21"/>
        </w:rPr>
        <w:t>的</w:t>
      </w:r>
      <w:r>
        <w:rPr>
          <w:rFonts w:hint="eastAsia"/>
          <w:szCs w:val="21"/>
        </w:rPr>
        <w:t>基本</w:t>
      </w:r>
      <w:r>
        <w:rPr>
          <w:szCs w:val="21"/>
        </w:rPr>
        <w:t>方法，</w:t>
      </w:r>
      <w:r>
        <w:rPr>
          <w:rFonts w:hint="eastAsia"/>
          <w:szCs w:val="21"/>
        </w:rPr>
        <w:t>学</w:t>
      </w:r>
      <w:r>
        <w:rPr>
          <w:szCs w:val="21"/>
        </w:rPr>
        <w:t>会</w:t>
      </w:r>
      <w:r>
        <w:rPr>
          <w:rFonts w:hint="eastAsia"/>
          <w:szCs w:val="21"/>
        </w:rPr>
        <w:t>利用MATLAB软件中的相关工具箱进行智能控制系统仿真</w:t>
      </w:r>
      <w:r>
        <w:rPr>
          <w:szCs w:val="21"/>
        </w:rPr>
        <w:t>设计，掌握</w:t>
      </w:r>
      <w:r>
        <w:rPr>
          <w:rFonts w:hint="eastAsia"/>
          <w:szCs w:val="21"/>
        </w:rPr>
        <w:t>基于MATLAB</w:t>
      </w:r>
      <w:r>
        <w:rPr>
          <w:szCs w:val="21"/>
        </w:rPr>
        <w:t>软件</w:t>
      </w:r>
      <w:r>
        <w:rPr>
          <w:rFonts w:hint="eastAsia"/>
          <w:szCs w:val="21"/>
        </w:rPr>
        <w:t>的仿真程序</w:t>
      </w:r>
      <w:r>
        <w:rPr>
          <w:szCs w:val="21"/>
        </w:rPr>
        <w:t>设计</w:t>
      </w:r>
      <w:r>
        <w:rPr>
          <w:rFonts w:hint="eastAsia"/>
          <w:szCs w:val="21"/>
        </w:rPr>
        <w:t>方法</w:t>
      </w:r>
      <w:r>
        <w:rPr>
          <w:szCs w:val="21"/>
        </w:rPr>
        <w:t>。</w:t>
      </w:r>
    </w:p>
    <w:p>
      <w:pPr>
        <w:adjustRightInd w:val="0"/>
        <w:snapToGrid w:val="0"/>
        <w:spacing w:line="360" w:lineRule="auto"/>
        <w:ind w:firstLine="420" w:firstLineChars="200"/>
        <w:rPr>
          <w:szCs w:val="21"/>
        </w:rPr>
      </w:pPr>
      <w:r>
        <w:rPr>
          <w:rFonts w:hint="eastAsia"/>
          <w:szCs w:val="21"/>
        </w:rPr>
        <w:t>4</w:t>
      </w:r>
      <w:r>
        <w:rPr>
          <w:szCs w:val="21"/>
        </w:rPr>
        <w:t>、本课程</w:t>
      </w:r>
      <w:r>
        <w:rPr>
          <w:rFonts w:hint="eastAsia"/>
          <w:szCs w:val="21"/>
        </w:rPr>
        <w:t>在讲授过程中，需要利用多媒体技术，让学生深入理解和学习智能控制技术，</w:t>
      </w:r>
      <w:r>
        <w:rPr>
          <w:szCs w:val="21"/>
        </w:rPr>
        <w:t>要求在CAI教室进行授课。</w:t>
      </w:r>
    </w:p>
    <w:p>
      <w:pPr>
        <w:adjustRightInd w:val="0"/>
        <w:snapToGrid w:val="0"/>
        <w:spacing w:line="360" w:lineRule="auto"/>
        <w:ind w:firstLine="420" w:firstLineChars="200"/>
        <w:rPr>
          <w:szCs w:val="21"/>
        </w:rPr>
      </w:pPr>
      <w:r>
        <w:rPr>
          <w:szCs w:val="21"/>
        </w:rPr>
        <w:t>深度和广度说明：对</w:t>
      </w:r>
      <w:r>
        <w:rPr>
          <w:rFonts w:hint="eastAsia"/>
          <w:szCs w:val="21"/>
        </w:rPr>
        <w:t>智能控制基本理论及概念</w:t>
      </w:r>
      <w:r>
        <w:rPr>
          <w:szCs w:val="21"/>
        </w:rPr>
        <w:t>只做简单介绍，对</w:t>
      </w:r>
      <w:r>
        <w:rPr>
          <w:rFonts w:hint="eastAsia"/>
          <w:szCs w:val="21"/>
        </w:rPr>
        <w:t>经典控制理论、模糊控制、人工神经网络控制技术</w:t>
      </w:r>
      <w:r>
        <w:rPr>
          <w:szCs w:val="21"/>
        </w:rPr>
        <w:t>要深入讲解，</w:t>
      </w:r>
      <w:r>
        <w:rPr>
          <w:rFonts w:hint="eastAsia"/>
          <w:szCs w:val="21"/>
        </w:rPr>
        <w:t>模糊控制和人工神经网络控制技术</w:t>
      </w:r>
      <w:r>
        <w:rPr>
          <w:szCs w:val="21"/>
        </w:rPr>
        <w:t>的掌握和使用是重点。</w:t>
      </w:r>
    </w:p>
    <w:p>
      <w:pPr>
        <w:adjustRightInd w:val="0"/>
        <w:snapToGrid w:val="0"/>
        <w:spacing w:line="360" w:lineRule="auto"/>
        <w:ind w:firstLine="420" w:firstLineChars="200"/>
        <w:rPr>
          <w:szCs w:val="21"/>
        </w:rPr>
      </w:pPr>
      <w:r>
        <w:rPr>
          <w:szCs w:val="21"/>
        </w:rPr>
        <w:t>偏差说明：为了鼓励教师引入个人授课风格或者适应技术发展的紧迫性，本课程允许教师授课内容做适当调整，最大正偏差为10%，不允许负偏差。正偏差通过压缩同等内容的学时数来完成。特殊情况，最大正偏差和置换偏差累计可达到20%，但在开课前要申请专业责任人批准。（正偏差指大纲知识点不变，新增知识点；负偏差是大纲知识点减少；置换偏差是指大纲中部分知识点被其它类似知识点替换）。</w:t>
      </w:r>
    </w:p>
    <w:p>
      <w:pPr>
        <w:adjustRightInd w:val="0"/>
        <w:snapToGrid w:val="0"/>
        <w:spacing w:line="360" w:lineRule="auto"/>
        <w:rPr>
          <w:szCs w:val="21"/>
          <w:lang w:bidi="ar"/>
        </w:rPr>
      </w:pPr>
    </w:p>
    <w:p>
      <w:pPr>
        <w:jc w:val="center"/>
        <w:rPr>
          <w:rFonts w:hint="eastAsia"/>
          <w:b/>
          <w:bCs/>
          <w:sz w:val="18"/>
          <w:szCs w:val="18"/>
        </w:rPr>
      </w:pPr>
      <w:r>
        <w:rPr>
          <w:rFonts w:hint="eastAsia"/>
          <w:b/>
          <w:bCs/>
          <w:sz w:val="18"/>
          <w:szCs w:val="18"/>
        </w:rPr>
        <w:t>表3.1课程内容、学时分配及对毕业要求指标点的支撑</w:t>
      </w:r>
    </w:p>
    <w:tbl>
      <w:tblPr>
        <w:tblStyle w:val="19"/>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0"/>
        <w:gridCol w:w="5824"/>
        <w:gridCol w:w="532"/>
        <w:gridCol w:w="588"/>
        <w:gridCol w:w="567"/>
        <w:gridCol w:w="620"/>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315" w:type="pct"/>
            <w:shd w:val="clear" w:color="auto" w:fill="D9D9D9"/>
            <w:vAlign w:val="center"/>
          </w:tcPr>
          <w:p>
            <w:pPr>
              <w:snapToGrid w:val="0"/>
              <w:jc w:val="center"/>
              <w:rPr>
                <w:rFonts w:hint="eastAsia"/>
                <w:b/>
                <w:sz w:val="18"/>
                <w:szCs w:val="18"/>
              </w:rPr>
            </w:pPr>
            <w:r>
              <w:rPr>
                <w:rFonts w:hint="eastAsia"/>
                <w:b/>
                <w:sz w:val="18"/>
                <w:szCs w:val="18"/>
              </w:rPr>
              <w:t>序号</w:t>
            </w:r>
          </w:p>
        </w:tc>
        <w:tc>
          <w:tcPr>
            <w:tcW w:w="3111" w:type="pct"/>
            <w:shd w:val="clear" w:color="auto" w:fill="D9D9D9"/>
            <w:vAlign w:val="center"/>
          </w:tcPr>
          <w:p>
            <w:pPr>
              <w:snapToGrid w:val="0"/>
              <w:jc w:val="center"/>
              <w:rPr>
                <w:b/>
                <w:sz w:val="18"/>
                <w:szCs w:val="18"/>
              </w:rPr>
            </w:pPr>
            <w:r>
              <w:rPr>
                <w:rFonts w:hint="eastAsia"/>
                <w:b/>
                <w:sz w:val="18"/>
                <w:szCs w:val="18"/>
              </w:rPr>
              <w:t>内            容</w:t>
            </w:r>
          </w:p>
        </w:tc>
        <w:tc>
          <w:tcPr>
            <w:tcW w:w="284" w:type="pct"/>
            <w:shd w:val="clear" w:color="auto" w:fill="D9D9D9"/>
            <w:vAlign w:val="center"/>
          </w:tcPr>
          <w:p>
            <w:pPr>
              <w:snapToGrid w:val="0"/>
              <w:jc w:val="center"/>
              <w:rPr>
                <w:b/>
                <w:sz w:val="18"/>
                <w:szCs w:val="18"/>
              </w:rPr>
            </w:pPr>
            <w:r>
              <w:rPr>
                <w:b/>
                <w:sz w:val="18"/>
                <w:szCs w:val="18"/>
              </w:rPr>
              <w:t>讲课</w:t>
            </w:r>
          </w:p>
        </w:tc>
        <w:tc>
          <w:tcPr>
            <w:tcW w:w="314" w:type="pct"/>
            <w:shd w:val="clear" w:color="auto" w:fill="D9D9D9"/>
            <w:vAlign w:val="center"/>
          </w:tcPr>
          <w:p>
            <w:pPr>
              <w:snapToGrid w:val="0"/>
              <w:jc w:val="center"/>
              <w:rPr>
                <w:b/>
                <w:sz w:val="18"/>
                <w:szCs w:val="18"/>
              </w:rPr>
            </w:pPr>
            <w:r>
              <w:rPr>
                <w:b/>
                <w:sz w:val="18"/>
                <w:szCs w:val="18"/>
              </w:rPr>
              <w:t>实验</w:t>
            </w:r>
          </w:p>
        </w:tc>
        <w:tc>
          <w:tcPr>
            <w:tcW w:w="303" w:type="pct"/>
            <w:shd w:val="clear" w:color="auto" w:fill="D9D9D9"/>
            <w:vAlign w:val="center"/>
          </w:tcPr>
          <w:p>
            <w:pPr>
              <w:snapToGrid w:val="0"/>
              <w:jc w:val="center"/>
              <w:rPr>
                <w:b/>
                <w:sz w:val="18"/>
                <w:szCs w:val="18"/>
              </w:rPr>
            </w:pPr>
            <w:r>
              <w:rPr>
                <w:rFonts w:hint="eastAsia"/>
                <w:b/>
                <w:sz w:val="18"/>
                <w:szCs w:val="18"/>
              </w:rPr>
              <w:t>小计</w:t>
            </w:r>
          </w:p>
        </w:tc>
        <w:tc>
          <w:tcPr>
            <w:tcW w:w="331" w:type="pct"/>
            <w:shd w:val="clear" w:color="auto" w:fill="D9D9D9"/>
            <w:vAlign w:val="center"/>
          </w:tcPr>
          <w:p>
            <w:pPr>
              <w:snapToGrid w:val="0"/>
              <w:jc w:val="center"/>
              <w:rPr>
                <w:b/>
                <w:sz w:val="18"/>
                <w:szCs w:val="18"/>
              </w:rPr>
            </w:pPr>
            <w:r>
              <w:rPr>
                <w:b/>
                <w:sz w:val="18"/>
                <w:szCs w:val="18"/>
              </w:rPr>
              <w:t>支撑课程目标</w:t>
            </w:r>
          </w:p>
        </w:tc>
        <w:tc>
          <w:tcPr>
            <w:tcW w:w="338" w:type="pct"/>
            <w:shd w:val="clear" w:color="auto" w:fill="D9D9D9"/>
            <w:vAlign w:val="center"/>
          </w:tcPr>
          <w:p>
            <w:pPr>
              <w:snapToGrid w:val="0"/>
              <w:jc w:val="center"/>
              <w:rPr>
                <w:b/>
                <w:sz w:val="18"/>
                <w:szCs w:val="18"/>
              </w:rPr>
            </w:pPr>
            <w:r>
              <w:rPr>
                <w:b/>
                <w:sz w:val="18"/>
                <w:szCs w:val="18"/>
              </w:rPr>
              <w:t>支撑指标点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 w:type="pct"/>
            <w:vAlign w:val="center"/>
          </w:tcPr>
          <w:p>
            <w:pPr>
              <w:spacing w:line="280" w:lineRule="exact"/>
              <w:jc w:val="center"/>
              <w:rPr>
                <w:rFonts w:hint="eastAsia"/>
                <w:sz w:val="18"/>
                <w:szCs w:val="18"/>
              </w:rPr>
            </w:pPr>
            <w:r>
              <w:rPr>
                <w:rFonts w:hint="eastAsia"/>
                <w:sz w:val="18"/>
                <w:szCs w:val="18"/>
              </w:rPr>
              <w:t>1</w:t>
            </w:r>
          </w:p>
        </w:tc>
        <w:tc>
          <w:tcPr>
            <w:tcW w:w="3111" w:type="pct"/>
          </w:tcPr>
          <w:p>
            <w:pPr>
              <w:spacing w:line="280" w:lineRule="exact"/>
              <w:rPr>
                <w:rFonts w:hint="eastAsia"/>
                <w:b/>
                <w:bCs/>
                <w:sz w:val="18"/>
                <w:szCs w:val="18"/>
              </w:rPr>
            </w:pPr>
            <w:r>
              <w:rPr>
                <w:rFonts w:hint="eastAsia"/>
                <w:b/>
                <w:bCs/>
                <w:szCs w:val="21"/>
              </w:rPr>
              <w:t xml:space="preserve">1 </w:t>
            </w:r>
            <w:r>
              <w:rPr>
                <w:rFonts w:hint="eastAsia" w:eastAsia="黑体"/>
                <w:snapToGrid w:val="0"/>
                <w:kern w:val="0"/>
                <w:szCs w:val="21"/>
              </w:rPr>
              <w:t>绪论</w:t>
            </w:r>
          </w:p>
          <w:p>
            <w:pPr>
              <w:spacing w:line="280" w:lineRule="exact"/>
              <w:ind w:left="210" w:leftChars="100"/>
              <w:rPr>
                <w:rFonts w:hint="eastAsia"/>
                <w:sz w:val="18"/>
                <w:szCs w:val="18"/>
              </w:rPr>
            </w:pPr>
            <w:r>
              <w:rPr>
                <w:rFonts w:hint="eastAsia"/>
                <w:sz w:val="18"/>
                <w:szCs w:val="18"/>
              </w:rPr>
              <w:t>1.1 本课程在专业课程体系中的地位和作用介绍；</w:t>
            </w:r>
          </w:p>
          <w:p>
            <w:pPr>
              <w:spacing w:line="280" w:lineRule="exact"/>
              <w:ind w:left="210" w:leftChars="100"/>
              <w:rPr>
                <w:rFonts w:hint="eastAsia"/>
                <w:sz w:val="18"/>
                <w:szCs w:val="18"/>
              </w:rPr>
            </w:pPr>
            <w:r>
              <w:rPr>
                <w:rFonts w:hint="eastAsia"/>
                <w:sz w:val="18"/>
                <w:szCs w:val="18"/>
              </w:rPr>
              <w:t>1.2 课程内容、学习方法、讲授方式、评价方式介绍；</w:t>
            </w:r>
          </w:p>
          <w:p>
            <w:pPr>
              <w:spacing w:line="280" w:lineRule="exact"/>
              <w:ind w:left="210" w:leftChars="100"/>
              <w:rPr>
                <w:rFonts w:hint="eastAsia"/>
                <w:sz w:val="18"/>
                <w:szCs w:val="18"/>
              </w:rPr>
            </w:pPr>
            <w:r>
              <w:rPr>
                <w:rFonts w:hint="eastAsia"/>
                <w:sz w:val="18"/>
                <w:szCs w:val="18"/>
              </w:rPr>
              <w:t>1.3 智能控制技术的基本概念、系统组成、发展历程；（难点、重点）</w:t>
            </w:r>
          </w:p>
          <w:p>
            <w:pPr>
              <w:spacing w:line="280" w:lineRule="exact"/>
              <w:ind w:left="210" w:leftChars="100"/>
              <w:rPr>
                <w:sz w:val="18"/>
                <w:szCs w:val="18"/>
              </w:rPr>
            </w:pPr>
            <w:r>
              <w:rPr>
                <w:rFonts w:hint="eastAsia"/>
                <w:sz w:val="18"/>
                <w:szCs w:val="18"/>
              </w:rPr>
              <w:t>1.4 MATLAB软件仿真介绍</w:t>
            </w:r>
          </w:p>
        </w:tc>
        <w:tc>
          <w:tcPr>
            <w:tcW w:w="284" w:type="pct"/>
            <w:vAlign w:val="center"/>
          </w:tcPr>
          <w:p>
            <w:pPr>
              <w:jc w:val="center"/>
            </w:pPr>
            <w:r>
              <w:rPr>
                <w:rFonts w:hint="eastAsia" w:cs="Calibri"/>
                <w:b/>
                <w:sz w:val="18"/>
                <w:szCs w:val="18"/>
              </w:rPr>
              <w:t>6</w:t>
            </w:r>
          </w:p>
        </w:tc>
        <w:tc>
          <w:tcPr>
            <w:tcW w:w="314" w:type="pct"/>
            <w:vAlign w:val="center"/>
          </w:tcPr>
          <w:p>
            <w:pPr>
              <w:spacing w:line="280" w:lineRule="exact"/>
              <w:jc w:val="center"/>
              <w:rPr>
                <w:rFonts w:cs="Calibri"/>
                <w:b/>
                <w:sz w:val="18"/>
                <w:szCs w:val="18"/>
              </w:rPr>
            </w:pPr>
            <w:r>
              <w:rPr>
                <w:rFonts w:hint="eastAsia" w:cs="Calibri"/>
                <w:b/>
                <w:sz w:val="18"/>
                <w:szCs w:val="18"/>
              </w:rPr>
              <w:t>0</w:t>
            </w:r>
          </w:p>
        </w:tc>
        <w:tc>
          <w:tcPr>
            <w:tcW w:w="303" w:type="pct"/>
            <w:vAlign w:val="center"/>
          </w:tcPr>
          <w:p>
            <w:pPr>
              <w:spacing w:line="280" w:lineRule="exact"/>
              <w:jc w:val="center"/>
              <w:rPr>
                <w:rFonts w:hint="eastAsia" w:cs="Calibri"/>
                <w:b/>
                <w:sz w:val="18"/>
                <w:szCs w:val="18"/>
              </w:rPr>
            </w:pPr>
            <w:r>
              <w:rPr>
                <w:rFonts w:cs="Calibri"/>
                <w:b/>
                <w:sz w:val="18"/>
                <w:szCs w:val="18"/>
              </w:rPr>
              <w:t>6</w:t>
            </w:r>
          </w:p>
        </w:tc>
        <w:tc>
          <w:tcPr>
            <w:tcW w:w="331" w:type="pct"/>
            <w:vAlign w:val="center"/>
          </w:tcPr>
          <w:p>
            <w:pPr>
              <w:spacing w:line="280" w:lineRule="exact"/>
              <w:jc w:val="center"/>
              <w:rPr>
                <w:rFonts w:hint="eastAsia" w:cs="Calibri"/>
                <w:b/>
                <w:sz w:val="18"/>
                <w:szCs w:val="18"/>
              </w:rPr>
            </w:pPr>
            <w:r>
              <w:rPr>
                <w:rFonts w:hint="eastAsia" w:cs="Calibri"/>
                <w:b/>
                <w:sz w:val="18"/>
                <w:szCs w:val="18"/>
              </w:rPr>
              <w:t>1</w:t>
            </w:r>
          </w:p>
        </w:tc>
        <w:tc>
          <w:tcPr>
            <w:tcW w:w="338" w:type="pct"/>
            <w:vAlign w:val="center"/>
          </w:tcPr>
          <w:p>
            <w:pPr>
              <w:spacing w:line="280" w:lineRule="exact"/>
              <w:jc w:val="center"/>
              <w:rPr>
                <w:rFonts w:cs="Calibri"/>
                <w:b/>
                <w:sz w:val="18"/>
                <w:szCs w:val="18"/>
              </w:rPr>
            </w:pPr>
            <w:r>
              <w:rPr>
                <w:rFonts w:hint="eastAsia" w:cs="Calibri"/>
                <w:b/>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 w:type="pct"/>
            <w:vAlign w:val="center"/>
          </w:tcPr>
          <w:p>
            <w:pPr>
              <w:spacing w:line="280" w:lineRule="exact"/>
              <w:jc w:val="center"/>
              <w:rPr>
                <w:rFonts w:hint="eastAsia"/>
                <w:sz w:val="18"/>
                <w:szCs w:val="18"/>
              </w:rPr>
            </w:pPr>
            <w:r>
              <w:rPr>
                <w:rFonts w:hint="eastAsia"/>
                <w:sz w:val="18"/>
                <w:szCs w:val="18"/>
              </w:rPr>
              <w:t>2</w:t>
            </w:r>
          </w:p>
        </w:tc>
        <w:tc>
          <w:tcPr>
            <w:tcW w:w="3111" w:type="pct"/>
          </w:tcPr>
          <w:p>
            <w:pPr>
              <w:spacing w:line="280" w:lineRule="exact"/>
              <w:rPr>
                <w:b/>
                <w:bCs/>
                <w:sz w:val="18"/>
                <w:szCs w:val="18"/>
              </w:rPr>
            </w:pPr>
            <w:r>
              <w:rPr>
                <w:rFonts w:hint="eastAsia"/>
                <w:b/>
                <w:bCs/>
                <w:sz w:val="18"/>
                <w:szCs w:val="18"/>
              </w:rPr>
              <w:t>2 经典控制理论基础</w:t>
            </w:r>
          </w:p>
          <w:p>
            <w:pPr>
              <w:spacing w:line="280" w:lineRule="exact"/>
              <w:ind w:left="210" w:leftChars="100"/>
              <w:rPr>
                <w:rFonts w:hint="eastAsia"/>
                <w:sz w:val="18"/>
                <w:szCs w:val="18"/>
              </w:rPr>
            </w:pPr>
            <w:r>
              <w:rPr>
                <w:rFonts w:hint="eastAsia"/>
                <w:sz w:val="18"/>
                <w:szCs w:val="18"/>
              </w:rPr>
              <w:t>2.1 自动控制的一般概念</w:t>
            </w:r>
          </w:p>
          <w:p>
            <w:pPr>
              <w:spacing w:line="280" w:lineRule="exact"/>
              <w:ind w:left="210" w:leftChars="100"/>
              <w:rPr>
                <w:sz w:val="18"/>
                <w:szCs w:val="18"/>
              </w:rPr>
            </w:pPr>
            <w:r>
              <w:rPr>
                <w:rFonts w:hint="eastAsia"/>
                <w:sz w:val="18"/>
                <w:szCs w:val="18"/>
              </w:rPr>
              <w:t>2.2 控制系统的数学模型</w:t>
            </w:r>
          </w:p>
          <w:p>
            <w:pPr>
              <w:spacing w:line="280" w:lineRule="exact"/>
              <w:ind w:left="210" w:leftChars="100"/>
              <w:rPr>
                <w:rFonts w:hint="eastAsia"/>
                <w:sz w:val="18"/>
                <w:szCs w:val="18"/>
              </w:rPr>
            </w:pPr>
            <w:r>
              <w:rPr>
                <w:rFonts w:hint="eastAsia"/>
                <w:sz w:val="18"/>
                <w:szCs w:val="18"/>
              </w:rPr>
              <w:t>2.3 线性系统的时域分析法（重点、难点）</w:t>
            </w:r>
          </w:p>
          <w:p>
            <w:pPr>
              <w:spacing w:line="280" w:lineRule="exact"/>
              <w:ind w:left="210" w:leftChars="100"/>
              <w:rPr>
                <w:sz w:val="18"/>
                <w:szCs w:val="18"/>
              </w:rPr>
            </w:pPr>
            <w:r>
              <w:rPr>
                <w:rFonts w:hint="eastAsia"/>
                <w:sz w:val="18"/>
                <w:szCs w:val="18"/>
              </w:rPr>
              <w:t>2.4 线性系统的频域分析法（重点、难点）</w:t>
            </w:r>
          </w:p>
          <w:p>
            <w:pPr>
              <w:spacing w:line="280" w:lineRule="exact"/>
              <w:ind w:left="210" w:leftChars="100"/>
              <w:rPr>
                <w:sz w:val="18"/>
                <w:szCs w:val="18"/>
              </w:rPr>
            </w:pPr>
            <w:r>
              <w:rPr>
                <w:rFonts w:hint="eastAsia"/>
                <w:sz w:val="18"/>
                <w:szCs w:val="18"/>
              </w:rPr>
              <w:t>2.</w:t>
            </w:r>
            <w:r>
              <w:rPr>
                <w:sz w:val="18"/>
                <w:szCs w:val="18"/>
              </w:rPr>
              <w:t>5</w:t>
            </w:r>
            <w:r>
              <w:rPr>
                <w:rFonts w:hint="eastAsia"/>
                <w:sz w:val="18"/>
                <w:szCs w:val="18"/>
              </w:rPr>
              <w:t xml:space="preserve"> 基于M</w:t>
            </w:r>
            <w:r>
              <w:rPr>
                <w:sz w:val="18"/>
                <w:szCs w:val="18"/>
              </w:rPr>
              <w:t>ATLAB的控制系统数学建模与转换</w:t>
            </w:r>
            <w:r>
              <w:rPr>
                <w:rFonts w:hint="eastAsia"/>
                <w:sz w:val="18"/>
                <w:szCs w:val="18"/>
              </w:rPr>
              <w:t>（重点、难点）</w:t>
            </w:r>
          </w:p>
          <w:p>
            <w:pPr>
              <w:spacing w:line="280" w:lineRule="exact"/>
              <w:ind w:left="210" w:leftChars="100"/>
              <w:rPr>
                <w:rFonts w:hint="eastAsia"/>
                <w:sz w:val="18"/>
                <w:szCs w:val="18"/>
                <w:highlight w:val="yellow"/>
              </w:rPr>
            </w:pPr>
            <w:r>
              <w:rPr>
                <w:rFonts w:hint="eastAsia"/>
                <w:sz w:val="18"/>
                <w:szCs w:val="18"/>
              </w:rPr>
              <w:t>2.</w:t>
            </w:r>
            <w:r>
              <w:rPr>
                <w:sz w:val="18"/>
                <w:szCs w:val="18"/>
              </w:rPr>
              <w:t>6</w:t>
            </w:r>
            <w:r>
              <w:rPr>
                <w:rFonts w:hint="eastAsia"/>
                <w:sz w:val="18"/>
                <w:szCs w:val="18"/>
              </w:rPr>
              <w:t xml:space="preserve"> 基于M</w:t>
            </w:r>
            <w:r>
              <w:rPr>
                <w:sz w:val="18"/>
                <w:szCs w:val="18"/>
              </w:rPr>
              <w:t>ATLAB的时</w:t>
            </w:r>
            <w:r>
              <w:rPr>
                <w:rFonts w:hint="eastAsia"/>
                <w:sz w:val="18"/>
                <w:szCs w:val="18"/>
              </w:rPr>
              <w:t>/频域</w:t>
            </w:r>
            <w:r>
              <w:rPr>
                <w:sz w:val="18"/>
                <w:szCs w:val="18"/>
              </w:rPr>
              <w:t>响应</w:t>
            </w:r>
            <w:r>
              <w:rPr>
                <w:rFonts w:hint="eastAsia"/>
                <w:sz w:val="18"/>
                <w:szCs w:val="18"/>
              </w:rPr>
              <w:t>分析（重点、难点）</w:t>
            </w:r>
          </w:p>
        </w:tc>
        <w:tc>
          <w:tcPr>
            <w:tcW w:w="284" w:type="pct"/>
            <w:vAlign w:val="center"/>
          </w:tcPr>
          <w:p>
            <w:pPr>
              <w:spacing w:line="280" w:lineRule="exact"/>
              <w:jc w:val="center"/>
              <w:rPr>
                <w:rFonts w:hint="eastAsia" w:cs="Calibri"/>
                <w:b/>
                <w:sz w:val="18"/>
                <w:szCs w:val="18"/>
              </w:rPr>
            </w:pPr>
            <w:r>
              <w:rPr>
                <w:rFonts w:hint="eastAsia" w:cs="Calibri"/>
                <w:b/>
                <w:sz w:val="18"/>
                <w:szCs w:val="18"/>
              </w:rPr>
              <w:t>18</w:t>
            </w:r>
          </w:p>
        </w:tc>
        <w:tc>
          <w:tcPr>
            <w:tcW w:w="314" w:type="pct"/>
            <w:vAlign w:val="center"/>
          </w:tcPr>
          <w:p>
            <w:pPr>
              <w:spacing w:line="280" w:lineRule="exact"/>
              <w:jc w:val="center"/>
              <w:rPr>
                <w:rFonts w:hint="eastAsia" w:cs="Calibri"/>
                <w:b/>
                <w:sz w:val="18"/>
                <w:szCs w:val="18"/>
              </w:rPr>
            </w:pPr>
            <w:r>
              <w:rPr>
                <w:rFonts w:cs="Calibri"/>
                <w:b/>
                <w:sz w:val="18"/>
                <w:szCs w:val="18"/>
              </w:rPr>
              <w:t>4</w:t>
            </w:r>
          </w:p>
        </w:tc>
        <w:tc>
          <w:tcPr>
            <w:tcW w:w="303" w:type="pct"/>
            <w:vAlign w:val="center"/>
          </w:tcPr>
          <w:p>
            <w:pPr>
              <w:spacing w:line="280" w:lineRule="exact"/>
              <w:jc w:val="center"/>
              <w:rPr>
                <w:rFonts w:hint="eastAsia" w:cs="Calibri"/>
                <w:b/>
                <w:sz w:val="18"/>
                <w:szCs w:val="18"/>
              </w:rPr>
            </w:pPr>
            <w:r>
              <w:rPr>
                <w:rFonts w:cs="Calibri"/>
                <w:b/>
                <w:sz w:val="18"/>
                <w:szCs w:val="18"/>
              </w:rPr>
              <w:t>20</w:t>
            </w:r>
          </w:p>
        </w:tc>
        <w:tc>
          <w:tcPr>
            <w:tcW w:w="331" w:type="pct"/>
            <w:vAlign w:val="center"/>
          </w:tcPr>
          <w:p>
            <w:pPr>
              <w:spacing w:line="280" w:lineRule="exact"/>
              <w:jc w:val="center"/>
              <w:rPr>
                <w:rFonts w:cs="Calibri"/>
                <w:b/>
                <w:sz w:val="18"/>
                <w:szCs w:val="18"/>
              </w:rPr>
            </w:pPr>
            <w:r>
              <w:rPr>
                <w:rFonts w:hint="eastAsia" w:cs="Calibri"/>
                <w:b/>
                <w:sz w:val="18"/>
                <w:szCs w:val="18"/>
              </w:rPr>
              <w:t>2、3</w:t>
            </w:r>
          </w:p>
        </w:tc>
        <w:tc>
          <w:tcPr>
            <w:tcW w:w="338" w:type="pct"/>
            <w:vAlign w:val="center"/>
          </w:tcPr>
          <w:p>
            <w:pPr>
              <w:spacing w:line="280" w:lineRule="exact"/>
              <w:jc w:val="center"/>
              <w:rPr>
                <w:rFonts w:cs="Calibri"/>
                <w:b/>
                <w:sz w:val="18"/>
                <w:szCs w:val="18"/>
              </w:rPr>
            </w:pPr>
            <w:r>
              <w:rPr>
                <w:rFonts w:hint="eastAsia" w:cs="Calibri"/>
                <w:b/>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 w:type="pct"/>
            <w:vAlign w:val="center"/>
          </w:tcPr>
          <w:p>
            <w:pPr>
              <w:spacing w:line="280" w:lineRule="exact"/>
              <w:jc w:val="center"/>
              <w:rPr>
                <w:rFonts w:hint="eastAsia"/>
                <w:sz w:val="18"/>
                <w:szCs w:val="18"/>
              </w:rPr>
            </w:pPr>
            <w:r>
              <w:rPr>
                <w:rFonts w:hint="eastAsia"/>
                <w:sz w:val="18"/>
                <w:szCs w:val="18"/>
              </w:rPr>
              <w:t>3</w:t>
            </w:r>
          </w:p>
        </w:tc>
        <w:tc>
          <w:tcPr>
            <w:tcW w:w="3111" w:type="pct"/>
          </w:tcPr>
          <w:p>
            <w:pPr>
              <w:spacing w:line="280" w:lineRule="exact"/>
              <w:rPr>
                <w:b/>
                <w:bCs/>
                <w:sz w:val="18"/>
                <w:szCs w:val="18"/>
              </w:rPr>
            </w:pPr>
            <w:r>
              <w:rPr>
                <w:rFonts w:hint="eastAsia"/>
                <w:b/>
                <w:bCs/>
                <w:sz w:val="18"/>
                <w:szCs w:val="18"/>
              </w:rPr>
              <w:t>3 模糊控制</w:t>
            </w:r>
          </w:p>
          <w:p>
            <w:pPr>
              <w:spacing w:line="280" w:lineRule="exact"/>
              <w:ind w:left="210" w:leftChars="100"/>
              <w:rPr>
                <w:sz w:val="18"/>
                <w:szCs w:val="18"/>
              </w:rPr>
            </w:pPr>
            <w:r>
              <w:rPr>
                <w:rFonts w:hint="eastAsia"/>
                <w:sz w:val="18"/>
                <w:szCs w:val="18"/>
              </w:rPr>
              <w:t>3.1 模糊控制技术简介</w:t>
            </w:r>
          </w:p>
          <w:p>
            <w:pPr>
              <w:spacing w:line="280" w:lineRule="exact"/>
              <w:ind w:left="210" w:leftChars="100"/>
              <w:rPr>
                <w:rFonts w:hint="eastAsia"/>
                <w:sz w:val="18"/>
                <w:szCs w:val="18"/>
              </w:rPr>
            </w:pPr>
            <w:r>
              <w:rPr>
                <w:rFonts w:hint="eastAsia"/>
                <w:sz w:val="18"/>
                <w:szCs w:val="18"/>
              </w:rPr>
              <w:t>3.2 模糊控制理论基础（重点，难点）</w:t>
            </w:r>
          </w:p>
          <w:p>
            <w:pPr>
              <w:spacing w:line="280" w:lineRule="exact"/>
              <w:ind w:left="210" w:leftChars="100"/>
              <w:rPr>
                <w:rFonts w:hint="eastAsia"/>
                <w:sz w:val="18"/>
                <w:szCs w:val="18"/>
              </w:rPr>
            </w:pPr>
            <w:r>
              <w:rPr>
                <w:rFonts w:hint="eastAsia"/>
                <w:sz w:val="18"/>
                <w:szCs w:val="18"/>
              </w:rPr>
              <w:t>3.3 模糊控制的基本原理（重点）</w:t>
            </w:r>
          </w:p>
          <w:p>
            <w:pPr>
              <w:spacing w:line="280" w:lineRule="exact"/>
              <w:ind w:left="210" w:leftChars="100"/>
              <w:rPr>
                <w:rFonts w:hint="eastAsia"/>
                <w:sz w:val="18"/>
                <w:szCs w:val="18"/>
              </w:rPr>
            </w:pPr>
            <w:r>
              <w:rPr>
                <w:rFonts w:hint="eastAsia"/>
                <w:sz w:val="18"/>
                <w:szCs w:val="18"/>
              </w:rPr>
              <w:t>3.4 模糊控制器的设计方法</w:t>
            </w:r>
          </w:p>
          <w:p>
            <w:pPr>
              <w:spacing w:line="280" w:lineRule="exact"/>
              <w:ind w:left="210" w:leftChars="100"/>
              <w:rPr>
                <w:sz w:val="18"/>
                <w:szCs w:val="18"/>
              </w:rPr>
            </w:pPr>
            <w:r>
              <w:rPr>
                <w:rFonts w:hint="eastAsia"/>
                <w:sz w:val="18"/>
                <w:szCs w:val="18"/>
              </w:rPr>
              <w:t>3.</w:t>
            </w:r>
            <w:r>
              <w:rPr>
                <w:sz w:val="18"/>
                <w:szCs w:val="18"/>
              </w:rPr>
              <w:t>5</w:t>
            </w:r>
            <w:r>
              <w:rPr>
                <w:rFonts w:hint="eastAsia"/>
                <w:sz w:val="18"/>
                <w:szCs w:val="18"/>
              </w:rPr>
              <w:t xml:space="preserve"> 模糊控制的MATLAB仿真（难点）</w:t>
            </w:r>
          </w:p>
          <w:p>
            <w:pPr>
              <w:spacing w:line="280" w:lineRule="exact"/>
              <w:ind w:firstLine="180" w:firstLineChars="100"/>
              <w:rPr>
                <w:rFonts w:hint="eastAsia"/>
                <w:sz w:val="18"/>
                <w:szCs w:val="18"/>
                <w:highlight w:val="yellow"/>
              </w:rPr>
            </w:pPr>
          </w:p>
        </w:tc>
        <w:tc>
          <w:tcPr>
            <w:tcW w:w="284" w:type="pct"/>
            <w:vAlign w:val="center"/>
          </w:tcPr>
          <w:p>
            <w:pPr>
              <w:spacing w:line="280" w:lineRule="exact"/>
              <w:jc w:val="center"/>
              <w:rPr>
                <w:rFonts w:cs="Calibri"/>
                <w:b/>
                <w:sz w:val="18"/>
                <w:szCs w:val="18"/>
              </w:rPr>
            </w:pPr>
            <w:r>
              <w:rPr>
                <w:rFonts w:cs="Calibri"/>
                <w:b/>
                <w:sz w:val="18"/>
                <w:szCs w:val="18"/>
              </w:rPr>
              <w:t>8</w:t>
            </w:r>
          </w:p>
        </w:tc>
        <w:tc>
          <w:tcPr>
            <w:tcW w:w="314" w:type="pct"/>
            <w:vAlign w:val="center"/>
          </w:tcPr>
          <w:p>
            <w:pPr>
              <w:spacing w:line="280" w:lineRule="exact"/>
              <w:jc w:val="center"/>
              <w:rPr>
                <w:rFonts w:cs="Calibri"/>
                <w:b/>
                <w:sz w:val="18"/>
                <w:szCs w:val="18"/>
              </w:rPr>
            </w:pPr>
            <w:r>
              <w:rPr>
                <w:rFonts w:cs="Calibri"/>
                <w:b/>
                <w:sz w:val="18"/>
                <w:szCs w:val="18"/>
              </w:rPr>
              <w:t>2</w:t>
            </w:r>
          </w:p>
        </w:tc>
        <w:tc>
          <w:tcPr>
            <w:tcW w:w="303" w:type="pct"/>
            <w:vAlign w:val="center"/>
          </w:tcPr>
          <w:p>
            <w:pPr>
              <w:spacing w:line="280" w:lineRule="exact"/>
              <w:jc w:val="center"/>
              <w:rPr>
                <w:rFonts w:hint="eastAsia" w:cs="Calibri"/>
                <w:b/>
                <w:sz w:val="18"/>
                <w:szCs w:val="18"/>
              </w:rPr>
            </w:pPr>
            <w:r>
              <w:rPr>
                <w:rFonts w:cs="Calibri"/>
                <w:b/>
                <w:sz w:val="18"/>
                <w:szCs w:val="18"/>
              </w:rPr>
              <w:t>10</w:t>
            </w:r>
          </w:p>
        </w:tc>
        <w:tc>
          <w:tcPr>
            <w:tcW w:w="331" w:type="pct"/>
            <w:vAlign w:val="center"/>
          </w:tcPr>
          <w:p>
            <w:pPr>
              <w:spacing w:line="280" w:lineRule="exact"/>
              <w:jc w:val="center"/>
              <w:rPr>
                <w:rFonts w:hint="eastAsia" w:cs="Calibri"/>
                <w:b/>
                <w:sz w:val="18"/>
                <w:szCs w:val="18"/>
              </w:rPr>
            </w:pPr>
            <w:r>
              <w:rPr>
                <w:rFonts w:hint="eastAsia" w:cs="Calibri"/>
                <w:b/>
                <w:sz w:val="18"/>
                <w:szCs w:val="18"/>
              </w:rPr>
              <w:t>1</w:t>
            </w:r>
          </w:p>
        </w:tc>
        <w:tc>
          <w:tcPr>
            <w:tcW w:w="338" w:type="pct"/>
            <w:vAlign w:val="center"/>
          </w:tcPr>
          <w:p>
            <w:pPr>
              <w:spacing w:line="280" w:lineRule="exact"/>
              <w:jc w:val="center"/>
              <w:rPr>
                <w:rFonts w:hint="default" w:eastAsia="宋体" w:cs="Calibri"/>
                <w:b/>
                <w:sz w:val="18"/>
                <w:szCs w:val="18"/>
                <w:lang w:val="en-US" w:eastAsia="zh-CN"/>
              </w:rPr>
            </w:pPr>
            <w:r>
              <w:rPr>
                <w:rFonts w:hint="eastAsia" w:cs="Calibri"/>
                <w:b/>
                <w:sz w:val="18"/>
                <w:szCs w:val="18"/>
              </w:rPr>
              <w:t>3</w:t>
            </w:r>
            <w:r>
              <w:rPr>
                <w:rFonts w:hint="eastAsia" w:cs="Calibri"/>
                <w:b/>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 w:type="pct"/>
            <w:vAlign w:val="center"/>
          </w:tcPr>
          <w:p>
            <w:pPr>
              <w:spacing w:line="280" w:lineRule="exact"/>
              <w:jc w:val="center"/>
              <w:rPr>
                <w:rFonts w:hint="eastAsia"/>
                <w:sz w:val="18"/>
                <w:szCs w:val="18"/>
              </w:rPr>
            </w:pPr>
            <w:r>
              <w:rPr>
                <w:rFonts w:hint="eastAsia"/>
                <w:sz w:val="18"/>
                <w:szCs w:val="18"/>
              </w:rPr>
              <w:t>4</w:t>
            </w:r>
          </w:p>
        </w:tc>
        <w:tc>
          <w:tcPr>
            <w:tcW w:w="3111" w:type="pct"/>
          </w:tcPr>
          <w:p>
            <w:pPr>
              <w:spacing w:line="280" w:lineRule="exact"/>
              <w:rPr>
                <w:b/>
                <w:bCs/>
                <w:sz w:val="18"/>
                <w:szCs w:val="18"/>
              </w:rPr>
            </w:pPr>
            <w:r>
              <w:rPr>
                <w:rFonts w:hint="eastAsia"/>
                <w:b/>
                <w:bCs/>
                <w:sz w:val="18"/>
                <w:szCs w:val="18"/>
              </w:rPr>
              <w:t>4</w:t>
            </w:r>
            <w:r>
              <w:rPr>
                <w:b/>
                <w:bCs/>
                <w:sz w:val="18"/>
                <w:szCs w:val="18"/>
              </w:rPr>
              <w:t xml:space="preserve"> </w:t>
            </w:r>
            <w:r>
              <w:rPr>
                <w:rFonts w:hint="eastAsia"/>
                <w:b/>
                <w:bCs/>
                <w:sz w:val="18"/>
                <w:szCs w:val="18"/>
              </w:rPr>
              <w:t>神经网络控制</w:t>
            </w:r>
          </w:p>
          <w:p>
            <w:pPr>
              <w:spacing w:line="280" w:lineRule="exact"/>
              <w:ind w:left="210" w:leftChars="100"/>
              <w:rPr>
                <w:rFonts w:hint="eastAsia"/>
                <w:sz w:val="18"/>
                <w:szCs w:val="18"/>
              </w:rPr>
            </w:pPr>
            <w:r>
              <w:rPr>
                <w:sz w:val="18"/>
                <w:szCs w:val="18"/>
              </w:rPr>
              <w:t>4</w:t>
            </w:r>
            <w:r>
              <w:rPr>
                <w:rFonts w:hint="eastAsia"/>
                <w:sz w:val="18"/>
                <w:szCs w:val="18"/>
              </w:rPr>
              <w:t>.1 神经网络的发展简介</w:t>
            </w:r>
          </w:p>
          <w:p>
            <w:pPr>
              <w:spacing w:line="280" w:lineRule="exact"/>
              <w:ind w:firstLine="180" w:firstLineChars="100"/>
              <w:rPr>
                <w:rFonts w:hint="eastAsia"/>
                <w:sz w:val="18"/>
                <w:szCs w:val="18"/>
              </w:rPr>
            </w:pPr>
            <w:r>
              <w:rPr>
                <w:rFonts w:hint="eastAsia"/>
                <w:sz w:val="18"/>
                <w:szCs w:val="18"/>
              </w:rPr>
              <w:t>4.</w:t>
            </w:r>
            <w:r>
              <w:rPr>
                <w:sz w:val="18"/>
                <w:szCs w:val="18"/>
              </w:rPr>
              <w:t>2</w:t>
            </w:r>
            <w:r>
              <w:rPr>
                <w:rFonts w:hint="eastAsia"/>
                <w:sz w:val="18"/>
                <w:szCs w:val="18"/>
              </w:rPr>
              <w:t xml:space="preserve"> 神经网络的理论基础（重点，难点）</w:t>
            </w:r>
          </w:p>
          <w:p>
            <w:pPr>
              <w:spacing w:line="280" w:lineRule="exact"/>
              <w:ind w:firstLine="180" w:firstLineChars="100"/>
              <w:rPr>
                <w:sz w:val="18"/>
                <w:szCs w:val="18"/>
              </w:rPr>
            </w:pPr>
            <w:r>
              <w:rPr>
                <w:rFonts w:hint="eastAsia"/>
                <w:sz w:val="18"/>
                <w:szCs w:val="18"/>
              </w:rPr>
              <w:t>4.</w:t>
            </w:r>
            <w:r>
              <w:rPr>
                <w:sz w:val="18"/>
                <w:szCs w:val="18"/>
              </w:rPr>
              <w:t>3</w:t>
            </w:r>
            <w:r>
              <w:rPr>
                <w:rFonts w:hint="eastAsia"/>
                <w:sz w:val="18"/>
                <w:szCs w:val="18"/>
              </w:rPr>
              <w:t xml:space="preserve"> 典型神经网络的特点</w:t>
            </w:r>
          </w:p>
          <w:p>
            <w:pPr>
              <w:spacing w:line="280" w:lineRule="exact"/>
              <w:ind w:firstLine="180" w:firstLineChars="100"/>
              <w:rPr>
                <w:sz w:val="18"/>
                <w:szCs w:val="18"/>
              </w:rPr>
            </w:pPr>
            <w:r>
              <w:rPr>
                <w:rFonts w:hint="eastAsia"/>
                <w:sz w:val="18"/>
                <w:szCs w:val="18"/>
              </w:rPr>
              <w:t>4</w:t>
            </w:r>
            <w:r>
              <w:rPr>
                <w:sz w:val="18"/>
                <w:szCs w:val="18"/>
              </w:rPr>
              <w:t>.4 神经网络自适应控制设计</w:t>
            </w:r>
          </w:p>
          <w:p>
            <w:pPr>
              <w:spacing w:line="280" w:lineRule="exact"/>
              <w:ind w:firstLine="180" w:firstLineChars="100"/>
              <w:rPr>
                <w:sz w:val="18"/>
                <w:szCs w:val="18"/>
                <w:highlight w:val="yellow"/>
              </w:rPr>
            </w:pPr>
            <w:r>
              <w:rPr>
                <w:rFonts w:hint="eastAsia"/>
                <w:sz w:val="18"/>
                <w:szCs w:val="18"/>
              </w:rPr>
              <w:t>4</w:t>
            </w:r>
            <w:r>
              <w:rPr>
                <w:sz w:val="18"/>
                <w:szCs w:val="18"/>
              </w:rPr>
              <w:t>.5 神经网络控制的</w:t>
            </w:r>
            <w:r>
              <w:rPr>
                <w:rFonts w:hint="eastAsia"/>
                <w:sz w:val="18"/>
                <w:szCs w:val="18"/>
              </w:rPr>
              <w:t>MATLAB仿真（难点）</w:t>
            </w:r>
          </w:p>
        </w:tc>
        <w:tc>
          <w:tcPr>
            <w:tcW w:w="284" w:type="pct"/>
            <w:vAlign w:val="center"/>
          </w:tcPr>
          <w:p>
            <w:pPr>
              <w:spacing w:line="280" w:lineRule="exact"/>
              <w:jc w:val="center"/>
              <w:rPr>
                <w:rFonts w:cs="Calibri"/>
                <w:b/>
                <w:sz w:val="18"/>
                <w:szCs w:val="18"/>
              </w:rPr>
            </w:pPr>
            <w:r>
              <w:rPr>
                <w:rFonts w:cs="Calibri"/>
                <w:b/>
                <w:sz w:val="18"/>
                <w:szCs w:val="18"/>
              </w:rPr>
              <w:t>8</w:t>
            </w:r>
          </w:p>
        </w:tc>
        <w:tc>
          <w:tcPr>
            <w:tcW w:w="314" w:type="pct"/>
            <w:vAlign w:val="center"/>
          </w:tcPr>
          <w:p>
            <w:pPr>
              <w:spacing w:line="280" w:lineRule="exact"/>
              <w:jc w:val="center"/>
              <w:rPr>
                <w:rFonts w:cs="Calibri"/>
                <w:b/>
                <w:sz w:val="18"/>
                <w:szCs w:val="18"/>
              </w:rPr>
            </w:pPr>
            <w:r>
              <w:rPr>
                <w:rFonts w:cs="Calibri"/>
                <w:b/>
                <w:sz w:val="18"/>
                <w:szCs w:val="18"/>
              </w:rPr>
              <w:t>2</w:t>
            </w:r>
          </w:p>
        </w:tc>
        <w:tc>
          <w:tcPr>
            <w:tcW w:w="303" w:type="pct"/>
            <w:vAlign w:val="center"/>
          </w:tcPr>
          <w:p>
            <w:pPr>
              <w:spacing w:line="280" w:lineRule="exact"/>
              <w:jc w:val="center"/>
              <w:rPr>
                <w:rFonts w:cs="Calibri"/>
                <w:b/>
                <w:sz w:val="18"/>
                <w:szCs w:val="18"/>
              </w:rPr>
            </w:pPr>
            <w:r>
              <w:rPr>
                <w:rFonts w:cs="Calibri"/>
                <w:b/>
                <w:sz w:val="18"/>
                <w:szCs w:val="18"/>
              </w:rPr>
              <w:t>10</w:t>
            </w:r>
          </w:p>
        </w:tc>
        <w:tc>
          <w:tcPr>
            <w:tcW w:w="331" w:type="pct"/>
            <w:vAlign w:val="center"/>
          </w:tcPr>
          <w:p>
            <w:pPr>
              <w:spacing w:line="280" w:lineRule="exact"/>
              <w:jc w:val="center"/>
              <w:rPr>
                <w:rFonts w:hint="eastAsia" w:cs="Calibri"/>
                <w:b/>
                <w:sz w:val="18"/>
                <w:szCs w:val="18"/>
              </w:rPr>
            </w:pPr>
            <w:r>
              <w:rPr>
                <w:rFonts w:hint="eastAsia" w:cs="Calibri"/>
                <w:b/>
                <w:sz w:val="18"/>
                <w:szCs w:val="18"/>
              </w:rPr>
              <w:t>1</w:t>
            </w:r>
          </w:p>
        </w:tc>
        <w:tc>
          <w:tcPr>
            <w:tcW w:w="338" w:type="pct"/>
            <w:vAlign w:val="center"/>
          </w:tcPr>
          <w:p>
            <w:pPr>
              <w:spacing w:line="280" w:lineRule="exact"/>
              <w:jc w:val="center"/>
              <w:rPr>
                <w:rFonts w:hint="default" w:eastAsia="宋体" w:cs="Calibri"/>
                <w:b/>
                <w:sz w:val="18"/>
                <w:szCs w:val="18"/>
                <w:lang w:val="en-US" w:eastAsia="zh-CN"/>
              </w:rPr>
            </w:pPr>
            <w:r>
              <w:rPr>
                <w:rFonts w:hint="eastAsia" w:cs="Calibri"/>
                <w:b/>
                <w:sz w:val="18"/>
                <w:szCs w:val="18"/>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315" w:type="pct"/>
            <w:vAlign w:val="center"/>
          </w:tcPr>
          <w:p>
            <w:pPr>
              <w:spacing w:line="280" w:lineRule="exact"/>
              <w:jc w:val="center"/>
              <w:rPr>
                <w:b/>
                <w:sz w:val="18"/>
                <w:szCs w:val="18"/>
              </w:rPr>
            </w:pPr>
            <w:r>
              <w:rPr>
                <w:b/>
                <w:sz w:val="18"/>
                <w:szCs w:val="18"/>
              </w:rPr>
              <w:t>合 计</w:t>
            </w:r>
          </w:p>
        </w:tc>
        <w:tc>
          <w:tcPr>
            <w:tcW w:w="3111" w:type="pct"/>
            <w:vAlign w:val="center"/>
          </w:tcPr>
          <w:p>
            <w:pPr>
              <w:spacing w:line="280" w:lineRule="exact"/>
              <w:jc w:val="center"/>
              <w:rPr>
                <w:rFonts w:cs="Calibri"/>
                <w:b/>
                <w:sz w:val="18"/>
                <w:szCs w:val="18"/>
              </w:rPr>
            </w:pPr>
            <w:r>
              <w:rPr>
                <w:rFonts w:hint="eastAsia" w:cs="Calibri"/>
                <w:b/>
                <w:sz w:val="18"/>
                <w:szCs w:val="18"/>
              </w:rPr>
              <w:t>/</w:t>
            </w:r>
          </w:p>
        </w:tc>
        <w:tc>
          <w:tcPr>
            <w:tcW w:w="284" w:type="pct"/>
            <w:vAlign w:val="center"/>
          </w:tcPr>
          <w:p>
            <w:pPr>
              <w:spacing w:line="280" w:lineRule="exact"/>
              <w:jc w:val="center"/>
              <w:rPr>
                <w:rFonts w:cs="Calibri"/>
                <w:b/>
                <w:sz w:val="18"/>
                <w:szCs w:val="18"/>
              </w:rPr>
            </w:pPr>
            <w:r>
              <w:rPr>
                <w:rFonts w:hint="eastAsia" w:cs="Calibri"/>
                <w:b/>
                <w:sz w:val="18"/>
                <w:szCs w:val="18"/>
              </w:rPr>
              <w:t>40</w:t>
            </w:r>
          </w:p>
        </w:tc>
        <w:tc>
          <w:tcPr>
            <w:tcW w:w="314" w:type="pct"/>
            <w:vAlign w:val="center"/>
          </w:tcPr>
          <w:p>
            <w:pPr>
              <w:spacing w:line="280" w:lineRule="exact"/>
              <w:jc w:val="center"/>
              <w:rPr>
                <w:rFonts w:cs="Calibri"/>
                <w:b/>
                <w:sz w:val="18"/>
                <w:szCs w:val="18"/>
              </w:rPr>
            </w:pPr>
            <w:r>
              <w:rPr>
                <w:rFonts w:hint="eastAsia" w:cs="Calibri"/>
                <w:b/>
                <w:sz w:val="18"/>
                <w:szCs w:val="18"/>
              </w:rPr>
              <w:t>8</w:t>
            </w:r>
          </w:p>
        </w:tc>
        <w:tc>
          <w:tcPr>
            <w:tcW w:w="303" w:type="pct"/>
            <w:vAlign w:val="center"/>
          </w:tcPr>
          <w:p>
            <w:pPr>
              <w:spacing w:line="280" w:lineRule="exact"/>
              <w:jc w:val="center"/>
              <w:rPr>
                <w:rFonts w:cs="Calibri"/>
                <w:b/>
                <w:sz w:val="18"/>
                <w:szCs w:val="18"/>
              </w:rPr>
            </w:pPr>
            <w:r>
              <w:rPr>
                <w:rFonts w:hint="eastAsia" w:cs="Calibri"/>
                <w:b/>
                <w:sz w:val="18"/>
                <w:szCs w:val="18"/>
              </w:rPr>
              <w:t>48</w:t>
            </w:r>
          </w:p>
        </w:tc>
        <w:tc>
          <w:tcPr>
            <w:tcW w:w="331" w:type="pct"/>
            <w:vAlign w:val="center"/>
          </w:tcPr>
          <w:p>
            <w:pPr>
              <w:spacing w:line="280" w:lineRule="exact"/>
              <w:jc w:val="center"/>
              <w:rPr>
                <w:rFonts w:cs="Calibri"/>
                <w:b/>
                <w:sz w:val="18"/>
                <w:szCs w:val="18"/>
              </w:rPr>
            </w:pPr>
            <w:r>
              <w:rPr>
                <w:rFonts w:hint="eastAsia" w:cs="Calibri"/>
                <w:b/>
                <w:sz w:val="18"/>
                <w:szCs w:val="18"/>
              </w:rPr>
              <w:t>/</w:t>
            </w:r>
          </w:p>
        </w:tc>
        <w:tc>
          <w:tcPr>
            <w:tcW w:w="338" w:type="pct"/>
            <w:vAlign w:val="center"/>
          </w:tcPr>
          <w:p>
            <w:pPr>
              <w:spacing w:line="280" w:lineRule="exact"/>
              <w:jc w:val="center"/>
              <w:rPr>
                <w:rFonts w:cs="Calibri"/>
                <w:b/>
                <w:sz w:val="18"/>
                <w:szCs w:val="18"/>
              </w:rPr>
            </w:pPr>
            <w:r>
              <w:rPr>
                <w:rFonts w:hint="eastAsia" w:cs="Calibri"/>
                <w:b/>
                <w:sz w:val="18"/>
                <w:szCs w:val="18"/>
              </w:rPr>
              <w:t>/</w:t>
            </w:r>
          </w:p>
        </w:tc>
      </w:tr>
    </w:tbl>
    <w:p>
      <w:pPr>
        <w:spacing w:before="120" w:beforeLines="50"/>
        <w:jc w:val="center"/>
        <w:rPr>
          <w:rFonts w:hint="eastAsia"/>
          <w:b/>
          <w:bCs/>
          <w:sz w:val="18"/>
          <w:szCs w:val="18"/>
        </w:rPr>
      </w:pPr>
    </w:p>
    <w:p>
      <w:pPr>
        <w:spacing w:before="120" w:beforeLines="50"/>
        <w:jc w:val="center"/>
        <w:rPr>
          <w:rFonts w:hint="eastAsia"/>
          <w:b/>
          <w:bCs/>
          <w:sz w:val="18"/>
          <w:szCs w:val="18"/>
        </w:rPr>
      </w:pPr>
      <w:r>
        <w:rPr>
          <w:rFonts w:hint="eastAsia"/>
          <w:b/>
          <w:bCs/>
          <w:sz w:val="18"/>
          <w:szCs w:val="18"/>
        </w:rPr>
        <w:t>表3.2 课程内容与思政融入点对应关系</w:t>
      </w:r>
    </w:p>
    <w:tbl>
      <w:tblPr>
        <w:tblStyle w:val="19"/>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3707"/>
        <w:gridCol w:w="4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7" w:type="pct"/>
            <w:vAlign w:val="center"/>
          </w:tcPr>
          <w:p>
            <w:pPr>
              <w:spacing w:line="360" w:lineRule="auto"/>
              <w:jc w:val="center"/>
              <w:rPr>
                <w:rFonts w:hint="eastAsia" w:ascii="宋体" w:hAnsi="宋体" w:cs="宋体"/>
                <w:b/>
                <w:kern w:val="0"/>
                <w:sz w:val="18"/>
                <w:szCs w:val="18"/>
              </w:rPr>
            </w:pPr>
            <w:r>
              <w:rPr>
                <w:rFonts w:hint="eastAsia" w:ascii="宋体" w:hAnsi="宋体" w:cs="宋体"/>
                <w:b/>
                <w:kern w:val="0"/>
                <w:sz w:val="18"/>
                <w:szCs w:val="18"/>
              </w:rPr>
              <w:t>序号</w:t>
            </w:r>
          </w:p>
        </w:tc>
        <w:tc>
          <w:tcPr>
            <w:tcW w:w="1980" w:type="pct"/>
            <w:vAlign w:val="center"/>
          </w:tcPr>
          <w:p>
            <w:pPr>
              <w:spacing w:line="360" w:lineRule="auto"/>
              <w:jc w:val="center"/>
              <w:rPr>
                <w:rFonts w:hint="eastAsia" w:ascii="宋体" w:hAnsi="宋体" w:cs="宋体"/>
                <w:b/>
                <w:kern w:val="0"/>
                <w:sz w:val="18"/>
                <w:szCs w:val="18"/>
              </w:rPr>
            </w:pPr>
            <w:r>
              <w:rPr>
                <w:rFonts w:hint="eastAsia" w:ascii="宋体" w:hAnsi="宋体" w:cs="宋体"/>
                <w:b/>
                <w:kern w:val="0"/>
                <w:sz w:val="18"/>
                <w:szCs w:val="18"/>
              </w:rPr>
              <w:t>知识点</w:t>
            </w:r>
          </w:p>
        </w:tc>
        <w:tc>
          <w:tcPr>
            <w:tcW w:w="2652" w:type="pct"/>
            <w:vAlign w:val="center"/>
          </w:tcPr>
          <w:p>
            <w:pPr>
              <w:spacing w:line="360" w:lineRule="auto"/>
              <w:jc w:val="center"/>
              <w:rPr>
                <w:rFonts w:hint="eastAsia" w:ascii="宋体" w:hAnsi="宋体" w:cs="宋体"/>
                <w:b/>
                <w:kern w:val="0"/>
                <w:sz w:val="18"/>
                <w:szCs w:val="18"/>
              </w:rPr>
            </w:pPr>
            <w:r>
              <w:rPr>
                <w:rFonts w:hint="eastAsia" w:ascii="宋体" w:hAnsi="宋体" w:cs="宋体"/>
                <w:b/>
                <w:kern w:val="0"/>
                <w:sz w:val="18"/>
                <w:szCs w:val="18"/>
              </w:rPr>
              <w:t>思政融入点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367" w:type="pct"/>
            <w:vAlign w:val="center"/>
          </w:tcPr>
          <w:p>
            <w:pPr>
              <w:snapToGrid w:val="0"/>
              <w:jc w:val="center"/>
              <w:rPr>
                <w:rFonts w:eastAsia="黑体"/>
                <w:b/>
                <w:kern w:val="0"/>
                <w:sz w:val="20"/>
                <w:szCs w:val="21"/>
              </w:rPr>
            </w:pPr>
            <w:r>
              <w:rPr>
                <w:rFonts w:hint="eastAsia" w:eastAsia="黑体"/>
                <w:b/>
                <w:kern w:val="0"/>
                <w:sz w:val="20"/>
                <w:szCs w:val="21"/>
              </w:rPr>
              <w:t>1</w:t>
            </w:r>
          </w:p>
        </w:tc>
        <w:tc>
          <w:tcPr>
            <w:tcW w:w="1980" w:type="pct"/>
            <w:vAlign w:val="center"/>
          </w:tcPr>
          <w:p>
            <w:pPr>
              <w:snapToGrid w:val="0"/>
              <w:ind w:left="105" w:leftChars="50"/>
              <w:jc w:val="left"/>
              <w:rPr>
                <w:kern w:val="0"/>
                <w:sz w:val="20"/>
              </w:rPr>
            </w:pPr>
            <w:r>
              <w:rPr>
                <w:rFonts w:hint="eastAsia"/>
                <w:sz w:val="18"/>
                <w:szCs w:val="18"/>
              </w:rPr>
              <w:t>智能控制技术的发展历程、发展现状及发展方向</w:t>
            </w:r>
          </w:p>
        </w:tc>
        <w:tc>
          <w:tcPr>
            <w:tcW w:w="2652" w:type="pct"/>
            <w:vAlign w:val="center"/>
          </w:tcPr>
          <w:p>
            <w:pPr>
              <w:snapToGrid w:val="0"/>
              <w:jc w:val="left"/>
              <w:rPr>
                <w:rFonts w:eastAsia="黑体"/>
                <w:b/>
                <w:kern w:val="0"/>
                <w:sz w:val="20"/>
                <w:szCs w:val="21"/>
              </w:rPr>
            </w:pPr>
            <w:r>
              <w:rPr>
                <w:rFonts w:hint="eastAsia"/>
                <w:sz w:val="18"/>
                <w:szCs w:val="18"/>
              </w:rPr>
              <w:t>科学素养：通过学习智能控制技术对国家的战略重要性，对比分析国内外发展现状，了解我国控制领域老一辈科学家的奋斗经历，激发学生的使命感和责任感。通过阐述相关应用需求和背景，提高学生学习的积极性和主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367" w:type="pct"/>
            <w:vAlign w:val="center"/>
          </w:tcPr>
          <w:p>
            <w:pPr>
              <w:snapToGrid w:val="0"/>
              <w:jc w:val="center"/>
              <w:rPr>
                <w:rFonts w:eastAsia="黑体"/>
                <w:b/>
                <w:kern w:val="0"/>
                <w:sz w:val="20"/>
                <w:szCs w:val="21"/>
              </w:rPr>
            </w:pPr>
            <w:r>
              <w:rPr>
                <w:rFonts w:hint="eastAsia" w:eastAsia="黑体"/>
                <w:b/>
                <w:kern w:val="0"/>
                <w:sz w:val="20"/>
                <w:szCs w:val="21"/>
              </w:rPr>
              <w:t>2</w:t>
            </w:r>
          </w:p>
        </w:tc>
        <w:tc>
          <w:tcPr>
            <w:tcW w:w="1980" w:type="pct"/>
            <w:vAlign w:val="center"/>
          </w:tcPr>
          <w:p>
            <w:pPr>
              <w:snapToGrid w:val="0"/>
              <w:ind w:left="105" w:leftChars="50"/>
              <w:jc w:val="left"/>
              <w:rPr>
                <w:sz w:val="18"/>
                <w:szCs w:val="18"/>
              </w:rPr>
            </w:pPr>
            <w:r>
              <w:rPr>
                <w:rFonts w:hint="eastAsia"/>
                <w:sz w:val="18"/>
                <w:szCs w:val="18"/>
              </w:rPr>
              <w:t>模糊控制与神经网络控制技术</w:t>
            </w:r>
          </w:p>
        </w:tc>
        <w:tc>
          <w:tcPr>
            <w:tcW w:w="2652" w:type="pct"/>
            <w:vAlign w:val="center"/>
          </w:tcPr>
          <w:p>
            <w:pPr>
              <w:snapToGrid w:val="0"/>
              <w:jc w:val="left"/>
              <w:rPr>
                <w:rFonts w:eastAsia="黑体"/>
                <w:b/>
                <w:kern w:val="0"/>
                <w:sz w:val="20"/>
                <w:szCs w:val="21"/>
              </w:rPr>
            </w:pPr>
            <w:r>
              <w:rPr>
                <w:rFonts w:hint="eastAsia"/>
                <w:sz w:val="18"/>
                <w:szCs w:val="18"/>
              </w:rPr>
              <w:t>家国情怀：以我国无人机的控制发展为例，了解我国在控制理论算法的创造与创新性，激发学生的技术钻研和爱国奉献精神。</w:t>
            </w:r>
          </w:p>
        </w:tc>
      </w:tr>
    </w:tbl>
    <w:p>
      <w:pPr>
        <w:adjustRightInd w:val="0"/>
        <w:snapToGrid w:val="0"/>
        <w:spacing w:before="120" w:beforeLines="50" w:line="360" w:lineRule="auto"/>
        <w:rPr>
          <w:rFonts w:hint="eastAsia" w:eastAsia="黑体"/>
          <w:szCs w:val="21"/>
        </w:rPr>
      </w:pPr>
    </w:p>
    <w:p>
      <w:pPr>
        <w:adjustRightInd w:val="0"/>
        <w:snapToGrid w:val="0"/>
        <w:spacing w:before="120" w:beforeLines="50" w:line="360" w:lineRule="auto"/>
        <w:rPr>
          <w:rFonts w:hint="eastAsia" w:eastAsia="黑体"/>
          <w:szCs w:val="21"/>
        </w:rPr>
      </w:pPr>
      <w:r>
        <w:rPr>
          <w:rFonts w:hint="eastAsia" w:eastAsia="黑体"/>
          <w:szCs w:val="21"/>
        </w:rPr>
        <w:t>四、本课程开设的实验项目</w:t>
      </w:r>
    </w:p>
    <w:tbl>
      <w:tblPr>
        <w:tblStyle w:val="19"/>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9"/>
        <w:gridCol w:w="3962"/>
        <w:gridCol w:w="724"/>
        <w:gridCol w:w="887"/>
        <w:gridCol w:w="840"/>
        <w:gridCol w:w="966"/>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384" w:type="pct"/>
            <w:shd w:val="clear" w:color="auto" w:fill="F2F2F2"/>
            <w:vAlign w:val="center"/>
          </w:tcPr>
          <w:p>
            <w:pPr>
              <w:snapToGrid w:val="0"/>
              <w:jc w:val="center"/>
              <w:rPr>
                <w:b/>
                <w:sz w:val="18"/>
                <w:szCs w:val="18"/>
              </w:rPr>
            </w:pPr>
            <w:r>
              <w:rPr>
                <w:rFonts w:hint="eastAsia"/>
                <w:b/>
                <w:sz w:val="18"/>
                <w:szCs w:val="18"/>
              </w:rPr>
              <w:t>编号</w:t>
            </w:r>
          </w:p>
        </w:tc>
        <w:tc>
          <w:tcPr>
            <w:tcW w:w="2117" w:type="pct"/>
            <w:shd w:val="clear" w:color="auto" w:fill="F2F2F2"/>
            <w:vAlign w:val="center"/>
          </w:tcPr>
          <w:p>
            <w:pPr>
              <w:snapToGrid w:val="0"/>
              <w:jc w:val="center"/>
              <w:rPr>
                <w:b/>
                <w:sz w:val="18"/>
                <w:szCs w:val="18"/>
              </w:rPr>
            </w:pPr>
            <w:r>
              <w:rPr>
                <w:rFonts w:hint="eastAsia"/>
                <w:b/>
                <w:sz w:val="18"/>
                <w:szCs w:val="18"/>
              </w:rPr>
              <w:t>实验项目名称</w:t>
            </w:r>
          </w:p>
        </w:tc>
        <w:tc>
          <w:tcPr>
            <w:tcW w:w="387" w:type="pct"/>
            <w:shd w:val="clear" w:color="auto" w:fill="F2F2F2"/>
            <w:vAlign w:val="center"/>
          </w:tcPr>
          <w:p>
            <w:pPr>
              <w:snapToGrid w:val="0"/>
              <w:jc w:val="center"/>
              <w:rPr>
                <w:b/>
                <w:sz w:val="18"/>
                <w:szCs w:val="18"/>
              </w:rPr>
            </w:pPr>
            <w:r>
              <w:rPr>
                <w:rFonts w:hint="eastAsia"/>
                <w:b/>
                <w:sz w:val="18"/>
                <w:szCs w:val="18"/>
              </w:rPr>
              <w:t>学时</w:t>
            </w:r>
          </w:p>
        </w:tc>
        <w:tc>
          <w:tcPr>
            <w:tcW w:w="474" w:type="pct"/>
            <w:shd w:val="clear" w:color="auto" w:fill="F2F2F2"/>
            <w:vAlign w:val="center"/>
          </w:tcPr>
          <w:p>
            <w:pPr>
              <w:snapToGrid w:val="0"/>
              <w:jc w:val="center"/>
              <w:rPr>
                <w:b/>
                <w:sz w:val="18"/>
                <w:szCs w:val="18"/>
              </w:rPr>
            </w:pPr>
            <w:r>
              <w:rPr>
                <w:rFonts w:hint="eastAsia"/>
                <w:b/>
                <w:sz w:val="18"/>
                <w:szCs w:val="18"/>
              </w:rPr>
              <w:t>类型</w:t>
            </w:r>
          </w:p>
        </w:tc>
        <w:tc>
          <w:tcPr>
            <w:tcW w:w="449" w:type="pct"/>
            <w:shd w:val="clear" w:color="auto" w:fill="F2F2F2"/>
            <w:vAlign w:val="center"/>
          </w:tcPr>
          <w:p>
            <w:pPr>
              <w:snapToGrid w:val="0"/>
              <w:jc w:val="center"/>
              <w:rPr>
                <w:b/>
                <w:sz w:val="18"/>
                <w:szCs w:val="18"/>
              </w:rPr>
            </w:pPr>
            <w:r>
              <w:rPr>
                <w:rFonts w:hint="eastAsia"/>
                <w:b/>
                <w:sz w:val="18"/>
                <w:szCs w:val="18"/>
              </w:rPr>
              <w:t>要求</w:t>
            </w:r>
          </w:p>
        </w:tc>
        <w:tc>
          <w:tcPr>
            <w:tcW w:w="516" w:type="pct"/>
            <w:shd w:val="clear" w:color="auto" w:fill="F2F2F2"/>
            <w:vAlign w:val="center"/>
          </w:tcPr>
          <w:p>
            <w:pPr>
              <w:snapToGrid w:val="0"/>
              <w:jc w:val="center"/>
              <w:rPr>
                <w:b/>
                <w:sz w:val="18"/>
                <w:szCs w:val="18"/>
              </w:rPr>
            </w:pPr>
            <w:r>
              <w:rPr>
                <w:rFonts w:hint="eastAsia"/>
                <w:b/>
                <w:sz w:val="18"/>
                <w:szCs w:val="18"/>
              </w:rPr>
              <w:t>支撑课程目标</w:t>
            </w:r>
          </w:p>
        </w:tc>
        <w:tc>
          <w:tcPr>
            <w:tcW w:w="671" w:type="pct"/>
            <w:shd w:val="clear" w:color="auto" w:fill="F2F2F2"/>
            <w:vAlign w:val="center"/>
          </w:tcPr>
          <w:p>
            <w:pPr>
              <w:snapToGrid w:val="0"/>
              <w:jc w:val="center"/>
              <w:rPr>
                <w:rFonts w:hint="eastAsia"/>
                <w:b/>
                <w:sz w:val="18"/>
                <w:szCs w:val="18"/>
              </w:rPr>
            </w:pPr>
            <w:r>
              <w:rPr>
                <w:rFonts w:hint="eastAsia"/>
                <w:b/>
                <w:sz w:val="18"/>
                <w:szCs w:val="18"/>
              </w:rPr>
              <w:t>支撑的毕业要求指标点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84" w:type="pct"/>
            <w:vAlign w:val="center"/>
          </w:tcPr>
          <w:p>
            <w:pPr>
              <w:snapToGrid w:val="0"/>
              <w:jc w:val="center"/>
              <w:rPr>
                <w:bCs/>
                <w:sz w:val="18"/>
                <w:szCs w:val="18"/>
              </w:rPr>
            </w:pPr>
            <w:r>
              <w:rPr>
                <w:rFonts w:hint="eastAsia"/>
                <w:bCs/>
                <w:sz w:val="18"/>
                <w:szCs w:val="18"/>
              </w:rPr>
              <w:t>1</w:t>
            </w:r>
          </w:p>
        </w:tc>
        <w:tc>
          <w:tcPr>
            <w:tcW w:w="2117" w:type="pct"/>
            <w:vAlign w:val="center"/>
          </w:tcPr>
          <w:p>
            <w:pPr>
              <w:snapToGrid w:val="0"/>
              <w:rPr>
                <w:bCs/>
                <w:sz w:val="18"/>
                <w:szCs w:val="18"/>
              </w:rPr>
            </w:pPr>
            <w:r>
              <w:rPr>
                <w:rFonts w:hint="eastAsia"/>
                <w:bCs/>
                <w:sz w:val="18"/>
                <w:szCs w:val="18"/>
              </w:rPr>
              <w:t>基于M</w:t>
            </w:r>
            <w:r>
              <w:rPr>
                <w:bCs/>
                <w:sz w:val="18"/>
                <w:szCs w:val="18"/>
              </w:rPr>
              <w:t>ATLAB的控制系统时</w:t>
            </w:r>
            <w:r>
              <w:rPr>
                <w:rFonts w:hint="eastAsia"/>
                <w:bCs/>
                <w:sz w:val="18"/>
                <w:szCs w:val="18"/>
              </w:rPr>
              <w:t>/频</w:t>
            </w:r>
            <w:r>
              <w:rPr>
                <w:bCs/>
                <w:sz w:val="18"/>
                <w:szCs w:val="18"/>
              </w:rPr>
              <w:t>域分析</w:t>
            </w:r>
          </w:p>
        </w:tc>
        <w:tc>
          <w:tcPr>
            <w:tcW w:w="387" w:type="pct"/>
            <w:vAlign w:val="center"/>
          </w:tcPr>
          <w:p>
            <w:pPr>
              <w:snapToGrid w:val="0"/>
              <w:jc w:val="center"/>
              <w:rPr>
                <w:rFonts w:hint="eastAsia"/>
                <w:bCs/>
                <w:sz w:val="18"/>
                <w:szCs w:val="18"/>
              </w:rPr>
            </w:pPr>
            <w:r>
              <w:rPr>
                <w:rFonts w:hint="eastAsia"/>
                <w:bCs/>
                <w:sz w:val="18"/>
                <w:szCs w:val="18"/>
              </w:rPr>
              <w:t>2</w:t>
            </w:r>
          </w:p>
        </w:tc>
        <w:tc>
          <w:tcPr>
            <w:tcW w:w="474" w:type="pct"/>
            <w:vAlign w:val="center"/>
          </w:tcPr>
          <w:p>
            <w:pPr>
              <w:snapToGrid w:val="0"/>
              <w:jc w:val="center"/>
              <w:rPr>
                <w:bCs/>
                <w:sz w:val="18"/>
                <w:szCs w:val="18"/>
              </w:rPr>
            </w:pPr>
            <w:r>
              <w:rPr>
                <w:rFonts w:hAnsi="宋体"/>
                <w:bCs/>
                <w:sz w:val="18"/>
                <w:szCs w:val="18"/>
              </w:rPr>
              <w:t>验证性</w:t>
            </w:r>
          </w:p>
        </w:tc>
        <w:tc>
          <w:tcPr>
            <w:tcW w:w="449" w:type="pct"/>
            <w:vAlign w:val="center"/>
          </w:tcPr>
          <w:p>
            <w:pPr>
              <w:snapToGrid w:val="0"/>
              <w:jc w:val="center"/>
              <w:rPr>
                <w:bCs/>
                <w:sz w:val="18"/>
                <w:szCs w:val="18"/>
              </w:rPr>
            </w:pPr>
            <w:r>
              <w:rPr>
                <w:rFonts w:hint="eastAsia" w:hAnsi="宋体"/>
                <w:bCs/>
                <w:sz w:val="18"/>
                <w:szCs w:val="18"/>
              </w:rPr>
              <w:t>必做</w:t>
            </w:r>
          </w:p>
        </w:tc>
        <w:tc>
          <w:tcPr>
            <w:tcW w:w="516" w:type="pct"/>
            <w:vAlign w:val="center"/>
          </w:tcPr>
          <w:p>
            <w:pPr>
              <w:snapToGrid w:val="0"/>
              <w:jc w:val="center"/>
              <w:rPr>
                <w:rFonts w:hint="eastAsia"/>
                <w:bCs/>
                <w:sz w:val="18"/>
                <w:szCs w:val="18"/>
              </w:rPr>
            </w:pPr>
            <w:r>
              <w:rPr>
                <w:rFonts w:hint="eastAsia"/>
                <w:bCs/>
                <w:sz w:val="18"/>
                <w:szCs w:val="18"/>
              </w:rPr>
              <w:t>3</w:t>
            </w:r>
          </w:p>
        </w:tc>
        <w:tc>
          <w:tcPr>
            <w:tcW w:w="671" w:type="pct"/>
            <w:vAlign w:val="center"/>
          </w:tcPr>
          <w:p>
            <w:pPr>
              <w:snapToGrid w:val="0"/>
              <w:jc w:val="center"/>
              <w:rPr>
                <w:rFonts w:hint="eastAsia"/>
                <w:b/>
                <w:sz w:val="18"/>
                <w:szCs w:val="18"/>
              </w:rPr>
            </w:pPr>
            <w:r>
              <w:rPr>
                <w:rFonts w:hint="eastAsia"/>
                <w:bCs/>
                <w:sz w:val="18"/>
                <w:szCs w:val="18"/>
              </w:rPr>
              <w:t>3-1、5-2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84" w:type="pct"/>
            <w:vAlign w:val="center"/>
          </w:tcPr>
          <w:p>
            <w:pPr>
              <w:snapToGrid w:val="0"/>
              <w:jc w:val="center"/>
              <w:rPr>
                <w:rFonts w:hint="eastAsia"/>
                <w:bCs/>
                <w:sz w:val="18"/>
                <w:szCs w:val="18"/>
              </w:rPr>
            </w:pPr>
            <w:r>
              <w:rPr>
                <w:rFonts w:hint="eastAsia"/>
                <w:bCs/>
                <w:sz w:val="18"/>
                <w:szCs w:val="18"/>
              </w:rPr>
              <w:t>2</w:t>
            </w:r>
          </w:p>
        </w:tc>
        <w:tc>
          <w:tcPr>
            <w:tcW w:w="2117" w:type="pct"/>
            <w:vAlign w:val="center"/>
          </w:tcPr>
          <w:p>
            <w:pPr>
              <w:snapToGrid w:val="0"/>
              <w:rPr>
                <w:rFonts w:hint="eastAsia"/>
                <w:bCs/>
                <w:sz w:val="18"/>
                <w:szCs w:val="18"/>
              </w:rPr>
            </w:pPr>
            <w:r>
              <w:rPr>
                <w:rFonts w:hint="eastAsia"/>
                <w:bCs/>
                <w:sz w:val="18"/>
                <w:szCs w:val="18"/>
              </w:rPr>
              <w:t>基于M</w:t>
            </w:r>
            <w:r>
              <w:rPr>
                <w:bCs/>
                <w:sz w:val="18"/>
                <w:szCs w:val="18"/>
              </w:rPr>
              <w:t>ATLAB的</w:t>
            </w:r>
            <w:r>
              <w:rPr>
                <w:rFonts w:hint="eastAsia"/>
                <w:bCs/>
                <w:sz w:val="18"/>
                <w:szCs w:val="18"/>
              </w:rPr>
              <w:t>P</w:t>
            </w:r>
            <w:r>
              <w:rPr>
                <w:bCs/>
                <w:sz w:val="18"/>
                <w:szCs w:val="18"/>
              </w:rPr>
              <w:t>ID控制器设计与分析</w:t>
            </w:r>
          </w:p>
        </w:tc>
        <w:tc>
          <w:tcPr>
            <w:tcW w:w="387" w:type="pct"/>
            <w:vAlign w:val="center"/>
          </w:tcPr>
          <w:p>
            <w:pPr>
              <w:snapToGrid w:val="0"/>
              <w:jc w:val="center"/>
              <w:rPr>
                <w:rFonts w:hint="eastAsia"/>
                <w:bCs/>
                <w:sz w:val="18"/>
                <w:szCs w:val="18"/>
              </w:rPr>
            </w:pPr>
            <w:r>
              <w:rPr>
                <w:rFonts w:hint="eastAsia"/>
                <w:bCs/>
                <w:sz w:val="18"/>
                <w:szCs w:val="18"/>
              </w:rPr>
              <w:t>2</w:t>
            </w:r>
          </w:p>
        </w:tc>
        <w:tc>
          <w:tcPr>
            <w:tcW w:w="474" w:type="pct"/>
            <w:vAlign w:val="center"/>
          </w:tcPr>
          <w:p>
            <w:pPr>
              <w:snapToGrid w:val="0"/>
              <w:jc w:val="center"/>
              <w:rPr>
                <w:bCs/>
                <w:sz w:val="18"/>
                <w:szCs w:val="18"/>
              </w:rPr>
            </w:pPr>
            <w:r>
              <w:rPr>
                <w:rFonts w:hAnsi="宋体"/>
                <w:bCs/>
                <w:sz w:val="18"/>
                <w:szCs w:val="18"/>
              </w:rPr>
              <w:t>验证性</w:t>
            </w:r>
          </w:p>
        </w:tc>
        <w:tc>
          <w:tcPr>
            <w:tcW w:w="449" w:type="pct"/>
            <w:vAlign w:val="center"/>
          </w:tcPr>
          <w:p>
            <w:pPr>
              <w:snapToGrid w:val="0"/>
              <w:jc w:val="center"/>
              <w:rPr>
                <w:rFonts w:hint="eastAsia"/>
                <w:bCs/>
                <w:sz w:val="18"/>
                <w:szCs w:val="18"/>
              </w:rPr>
            </w:pPr>
            <w:r>
              <w:rPr>
                <w:rFonts w:hint="eastAsia" w:hAnsi="宋体"/>
                <w:bCs/>
                <w:sz w:val="18"/>
                <w:szCs w:val="18"/>
              </w:rPr>
              <w:t>必做</w:t>
            </w:r>
          </w:p>
        </w:tc>
        <w:tc>
          <w:tcPr>
            <w:tcW w:w="516" w:type="pct"/>
            <w:vAlign w:val="center"/>
          </w:tcPr>
          <w:p>
            <w:pPr>
              <w:snapToGrid w:val="0"/>
              <w:jc w:val="center"/>
              <w:rPr>
                <w:rFonts w:hint="eastAsia"/>
                <w:bCs/>
                <w:sz w:val="18"/>
                <w:szCs w:val="18"/>
              </w:rPr>
            </w:pPr>
            <w:r>
              <w:rPr>
                <w:rFonts w:hint="eastAsia"/>
                <w:bCs/>
                <w:sz w:val="18"/>
                <w:szCs w:val="18"/>
              </w:rPr>
              <w:t>3</w:t>
            </w:r>
          </w:p>
        </w:tc>
        <w:tc>
          <w:tcPr>
            <w:tcW w:w="671" w:type="pct"/>
            <w:vAlign w:val="center"/>
          </w:tcPr>
          <w:p>
            <w:pPr>
              <w:snapToGrid w:val="0"/>
              <w:jc w:val="center"/>
              <w:rPr>
                <w:rFonts w:hint="eastAsia"/>
                <w:b/>
                <w:sz w:val="18"/>
                <w:szCs w:val="18"/>
              </w:rPr>
            </w:pPr>
            <w:r>
              <w:rPr>
                <w:rFonts w:hint="eastAsia"/>
                <w:bCs/>
                <w:sz w:val="18"/>
                <w:szCs w:val="18"/>
              </w:rPr>
              <w:t>3-1、5-2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84" w:type="pct"/>
            <w:vAlign w:val="center"/>
          </w:tcPr>
          <w:p>
            <w:pPr>
              <w:snapToGrid w:val="0"/>
              <w:jc w:val="center"/>
              <w:rPr>
                <w:rFonts w:hint="eastAsia"/>
                <w:bCs/>
                <w:sz w:val="18"/>
                <w:szCs w:val="18"/>
              </w:rPr>
            </w:pPr>
            <w:r>
              <w:rPr>
                <w:rFonts w:hint="eastAsia"/>
                <w:bCs/>
                <w:sz w:val="18"/>
                <w:szCs w:val="18"/>
              </w:rPr>
              <w:t>3</w:t>
            </w:r>
          </w:p>
        </w:tc>
        <w:tc>
          <w:tcPr>
            <w:tcW w:w="2117" w:type="pct"/>
            <w:vAlign w:val="center"/>
          </w:tcPr>
          <w:p>
            <w:pPr>
              <w:snapToGrid w:val="0"/>
              <w:rPr>
                <w:bCs/>
                <w:sz w:val="18"/>
                <w:szCs w:val="18"/>
              </w:rPr>
            </w:pPr>
            <w:r>
              <w:rPr>
                <w:rFonts w:hint="eastAsia"/>
                <w:bCs/>
                <w:sz w:val="18"/>
                <w:szCs w:val="18"/>
              </w:rPr>
              <w:t>基于模糊控制的水箱液位控制系统设计与仿真</w:t>
            </w:r>
          </w:p>
        </w:tc>
        <w:tc>
          <w:tcPr>
            <w:tcW w:w="387" w:type="pct"/>
            <w:vAlign w:val="center"/>
          </w:tcPr>
          <w:p>
            <w:pPr>
              <w:snapToGrid w:val="0"/>
              <w:jc w:val="center"/>
              <w:rPr>
                <w:rFonts w:hint="eastAsia"/>
                <w:bCs/>
                <w:sz w:val="18"/>
                <w:szCs w:val="18"/>
              </w:rPr>
            </w:pPr>
            <w:r>
              <w:rPr>
                <w:rFonts w:hint="eastAsia"/>
                <w:bCs/>
                <w:sz w:val="18"/>
                <w:szCs w:val="18"/>
              </w:rPr>
              <w:t>2</w:t>
            </w:r>
          </w:p>
        </w:tc>
        <w:tc>
          <w:tcPr>
            <w:tcW w:w="474" w:type="pct"/>
            <w:vAlign w:val="center"/>
          </w:tcPr>
          <w:p>
            <w:pPr>
              <w:snapToGrid w:val="0"/>
              <w:jc w:val="center"/>
              <w:rPr>
                <w:bCs/>
                <w:sz w:val="18"/>
                <w:szCs w:val="18"/>
              </w:rPr>
            </w:pPr>
            <w:r>
              <w:rPr>
                <w:rFonts w:hAnsi="宋体"/>
                <w:bCs/>
                <w:sz w:val="18"/>
                <w:szCs w:val="18"/>
              </w:rPr>
              <w:t>验证性</w:t>
            </w:r>
          </w:p>
        </w:tc>
        <w:tc>
          <w:tcPr>
            <w:tcW w:w="449" w:type="pct"/>
            <w:vAlign w:val="center"/>
          </w:tcPr>
          <w:p>
            <w:pPr>
              <w:snapToGrid w:val="0"/>
              <w:jc w:val="center"/>
              <w:rPr>
                <w:bCs/>
                <w:sz w:val="18"/>
                <w:szCs w:val="18"/>
              </w:rPr>
            </w:pPr>
            <w:r>
              <w:rPr>
                <w:rFonts w:hint="eastAsia" w:hAnsi="宋体"/>
                <w:bCs/>
                <w:sz w:val="18"/>
                <w:szCs w:val="18"/>
              </w:rPr>
              <w:t>必做</w:t>
            </w:r>
          </w:p>
        </w:tc>
        <w:tc>
          <w:tcPr>
            <w:tcW w:w="516" w:type="pct"/>
            <w:vAlign w:val="center"/>
          </w:tcPr>
          <w:p>
            <w:pPr>
              <w:snapToGrid w:val="0"/>
              <w:jc w:val="center"/>
              <w:rPr>
                <w:rFonts w:hint="eastAsia" w:eastAsia="黑体"/>
                <w:bCs/>
                <w:sz w:val="18"/>
                <w:szCs w:val="18"/>
              </w:rPr>
            </w:pPr>
            <w:r>
              <w:rPr>
                <w:rFonts w:hint="eastAsia" w:eastAsia="黑体"/>
                <w:bCs/>
                <w:sz w:val="18"/>
                <w:szCs w:val="18"/>
              </w:rPr>
              <w:t>3</w:t>
            </w:r>
          </w:p>
        </w:tc>
        <w:tc>
          <w:tcPr>
            <w:tcW w:w="671" w:type="pct"/>
            <w:vAlign w:val="center"/>
          </w:tcPr>
          <w:p>
            <w:pPr>
              <w:snapToGrid w:val="0"/>
              <w:jc w:val="center"/>
              <w:rPr>
                <w:bCs/>
                <w:sz w:val="18"/>
                <w:szCs w:val="18"/>
              </w:rPr>
            </w:pPr>
            <w:r>
              <w:rPr>
                <w:rFonts w:hint="eastAsia"/>
                <w:bCs/>
                <w:sz w:val="18"/>
                <w:szCs w:val="18"/>
              </w:rPr>
              <w:t>3-1、5-2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84" w:type="pct"/>
            <w:vAlign w:val="center"/>
          </w:tcPr>
          <w:p>
            <w:pPr>
              <w:snapToGrid w:val="0"/>
              <w:jc w:val="center"/>
              <w:rPr>
                <w:bCs/>
                <w:sz w:val="18"/>
                <w:szCs w:val="18"/>
              </w:rPr>
            </w:pPr>
            <w:r>
              <w:rPr>
                <w:rFonts w:hint="eastAsia"/>
                <w:bCs/>
                <w:sz w:val="18"/>
                <w:szCs w:val="18"/>
              </w:rPr>
              <w:t>4</w:t>
            </w:r>
          </w:p>
        </w:tc>
        <w:tc>
          <w:tcPr>
            <w:tcW w:w="2117" w:type="pct"/>
            <w:vAlign w:val="center"/>
          </w:tcPr>
          <w:p>
            <w:pPr>
              <w:adjustRightInd w:val="0"/>
              <w:snapToGrid w:val="0"/>
              <w:rPr>
                <w:rFonts w:hint="eastAsia"/>
                <w:b/>
                <w:bCs/>
                <w:szCs w:val="21"/>
                <w:lang w:bidi="ar"/>
              </w:rPr>
            </w:pPr>
            <w:r>
              <w:rPr>
                <w:rFonts w:hint="eastAsia"/>
                <w:bCs/>
                <w:sz w:val="18"/>
                <w:szCs w:val="18"/>
              </w:rPr>
              <w:t>B</w:t>
            </w:r>
            <w:r>
              <w:rPr>
                <w:bCs/>
                <w:sz w:val="18"/>
                <w:szCs w:val="18"/>
              </w:rPr>
              <w:t>P神经网络设计与</w:t>
            </w:r>
            <w:r>
              <w:rPr>
                <w:rFonts w:hint="eastAsia"/>
                <w:bCs/>
                <w:sz w:val="18"/>
                <w:szCs w:val="18"/>
              </w:rPr>
              <w:t>仿真</w:t>
            </w:r>
          </w:p>
        </w:tc>
        <w:tc>
          <w:tcPr>
            <w:tcW w:w="387" w:type="pct"/>
            <w:vAlign w:val="center"/>
          </w:tcPr>
          <w:p>
            <w:pPr>
              <w:snapToGrid w:val="0"/>
              <w:jc w:val="center"/>
              <w:rPr>
                <w:rFonts w:hint="eastAsia"/>
                <w:bCs/>
                <w:sz w:val="18"/>
                <w:szCs w:val="18"/>
              </w:rPr>
            </w:pPr>
            <w:r>
              <w:rPr>
                <w:rFonts w:hint="eastAsia"/>
                <w:bCs/>
                <w:sz w:val="18"/>
                <w:szCs w:val="18"/>
              </w:rPr>
              <w:t>2</w:t>
            </w:r>
          </w:p>
        </w:tc>
        <w:tc>
          <w:tcPr>
            <w:tcW w:w="474" w:type="pct"/>
            <w:vAlign w:val="center"/>
          </w:tcPr>
          <w:p>
            <w:pPr>
              <w:snapToGrid w:val="0"/>
              <w:jc w:val="center"/>
              <w:rPr>
                <w:bCs/>
                <w:sz w:val="18"/>
                <w:szCs w:val="18"/>
              </w:rPr>
            </w:pPr>
            <w:r>
              <w:rPr>
                <w:rFonts w:hAnsi="宋体"/>
                <w:bCs/>
                <w:sz w:val="18"/>
                <w:szCs w:val="18"/>
              </w:rPr>
              <w:t>验证性</w:t>
            </w:r>
          </w:p>
        </w:tc>
        <w:tc>
          <w:tcPr>
            <w:tcW w:w="449" w:type="pct"/>
            <w:vAlign w:val="center"/>
          </w:tcPr>
          <w:p>
            <w:pPr>
              <w:snapToGrid w:val="0"/>
              <w:jc w:val="center"/>
              <w:rPr>
                <w:rFonts w:hint="eastAsia"/>
                <w:bCs/>
                <w:sz w:val="18"/>
                <w:szCs w:val="18"/>
              </w:rPr>
            </w:pPr>
            <w:r>
              <w:rPr>
                <w:rFonts w:hint="eastAsia" w:hAnsi="宋体"/>
                <w:bCs/>
                <w:sz w:val="18"/>
                <w:szCs w:val="18"/>
              </w:rPr>
              <w:t>必做</w:t>
            </w:r>
          </w:p>
        </w:tc>
        <w:tc>
          <w:tcPr>
            <w:tcW w:w="516" w:type="pct"/>
            <w:vAlign w:val="center"/>
          </w:tcPr>
          <w:p>
            <w:pPr>
              <w:snapToGrid w:val="0"/>
              <w:jc w:val="center"/>
              <w:rPr>
                <w:rFonts w:hint="eastAsia" w:eastAsia="黑体"/>
                <w:bCs/>
                <w:sz w:val="18"/>
                <w:szCs w:val="18"/>
              </w:rPr>
            </w:pPr>
            <w:r>
              <w:rPr>
                <w:rFonts w:hint="eastAsia" w:eastAsia="黑体"/>
                <w:bCs/>
                <w:sz w:val="18"/>
                <w:szCs w:val="18"/>
              </w:rPr>
              <w:t>3</w:t>
            </w:r>
          </w:p>
        </w:tc>
        <w:tc>
          <w:tcPr>
            <w:tcW w:w="671" w:type="pct"/>
            <w:vAlign w:val="center"/>
          </w:tcPr>
          <w:p>
            <w:pPr>
              <w:snapToGrid w:val="0"/>
              <w:jc w:val="center"/>
              <w:rPr>
                <w:rFonts w:hint="eastAsia"/>
                <w:bCs/>
                <w:sz w:val="18"/>
                <w:szCs w:val="18"/>
              </w:rPr>
            </w:pPr>
            <w:r>
              <w:rPr>
                <w:rFonts w:hint="eastAsia"/>
                <w:bCs/>
                <w:sz w:val="18"/>
                <w:szCs w:val="18"/>
              </w:rPr>
              <w:t>3-1、5-2</w:t>
            </w:r>
          </w:p>
        </w:tc>
      </w:tr>
    </w:tbl>
    <w:p>
      <w:pPr>
        <w:adjustRightInd w:val="0"/>
        <w:snapToGrid w:val="0"/>
        <w:spacing w:line="360" w:lineRule="auto"/>
        <w:ind w:firstLine="420" w:firstLineChars="200"/>
        <w:rPr>
          <w:rFonts w:hint="eastAsia"/>
          <w:szCs w:val="21"/>
          <w:lang w:bidi="ar"/>
        </w:rPr>
      </w:pPr>
    </w:p>
    <w:p>
      <w:pPr>
        <w:adjustRightInd w:val="0"/>
        <w:snapToGrid w:val="0"/>
        <w:spacing w:line="360" w:lineRule="auto"/>
        <w:ind w:firstLine="420" w:firstLineChars="200"/>
        <w:rPr>
          <w:rFonts w:hint="eastAsia"/>
          <w:szCs w:val="21"/>
          <w:lang w:bidi="ar"/>
        </w:rPr>
      </w:pPr>
      <w:r>
        <w:rPr>
          <w:rFonts w:hint="eastAsia"/>
          <w:szCs w:val="21"/>
          <w:lang w:bidi="ar"/>
        </w:rPr>
        <w:t>实验环节主要是上机操作，要求保证上机条件，具备MATLAB编程软件工具；要求学生熟炼掌握利用MATLAB软件实现智能控制算法仿真的基本使用方法；掌握在MATLAB环境下排查常见语法错误的方法；动手实现有代表性控制功能的编程；预习并上机实现所要求的代码编程。</w:t>
      </w:r>
    </w:p>
    <w:p>
      <w:pPr>
        <w:adjustRightInd w:val="0"/>
        <w:snapToGrid w:val="0"/>
        <w:spacing w:line="360" w:lineRule="auto"/>
        <w:ind w:firstLine="420" w:firstLineChars="200"/>
        <w:rPr>
          <w:rFonts w:hint="eastAsia"/>
          <w:szCs w:val="21"/>
          <w:lang w:bidi="ar"/>
        </w:rPr>
      </w:pPr>
      <w:r>
        <w:rPr>
          <w:rFonts w:hint="eastAsia"/>
          <w:szCs w:val="21"/>
          <w:lang w:bidi="ar"/>
        </w:rPr>
        <w:t>8个学时共完成4个实验，均为正常课内实验。</w:t>
      </w:r>
    </w:p>
    <w:p>
      <w:pPr>
        <w:adjustRightInd w:val="0"/>
        <w:snapToGrid w:val="0"/>
        <w:spacing w:line="360" w:lineRule="auto"/>
        <w:ind w:firstLine="420" w:firstLineChars="200"/>
        <w:rPr>
          <w:rFonts w:hint="eastAsia"/>
          <w:szCs w:val="21"/>
          <w:lang w:bidi="ar"/>
        </w:rPr>
      </w:pPr>
      <w:r>
        <w:rPr>
          <w:rFonts w:hint="eastAsia"/>
          <w:szCs w:val="21"/>
          <w:lang w:bidi="ar"/>
        </w:rPr>
        <w:t>在实验过程中要注重培养学生的诚信意识、创新意识和坚持精神等，通过实验使学生能够理论联系实际，灵活运用所学知识，严谨认真，精益求精，养成良好的设计习惯。</w:t>
      </w:r>
    </w:p>
    <w:p>
      <w:pPr>
        <w:adjustRightInd w:val="0"/>
        <w:snapToGrid w:val="0"/>
        <w:spacing w:line="360" w:lineRule="auto"/>
        <w:ind w:firstLine="422" w:firstLineChars="200"/>
        <w:rPr>
          <w:bCs/>
          <w:sz w:val="18"/>
          <w:szCs w:val="18"/>
        </w:rPr>
      </w:pPr>
      <w:r>
        <w:rPr>
          <w:rFonts w:hint="eastAsia"/>
          <w:b/>
          <w:bCs/>
          <w:szCs w:val="21"/>
          <w:lang w:bidi="ar"/>
        </w:rPr>
        <w:t>实验一：基于M</w:t>
      </w:r>
      <w:r>
        <w:rPr>
          <w:b/>
          <w:bCs/>
          <w:szCs w:val="21"/>
          <w:lang w:bidi="ar"/>
        </w:rPr>
        <w:t>ATLAB的控制系统时</w:t>
      </w:r>
      <w:r>
        <w:rPr>
          <w:rFonts w:hint="eastAsia"/>
          <w:b/>
          <w:bCs/>
          <w:szCs w:val="21"/>
          <w:lang w:bidi="ar"/>
        </w:rPr>
        <w:t>/频</w:t>
      </w:r>
      <w:r>
        <w:rPr>
          <w:b/>
          <w:bCs/>
          <w:szCs w:val="21"/>
          <w:lang w:bidi="ar"/>
        </w:rPr>
        <w:t>域分析</w:t>
      </w:r>
    </w:p>
    <w:p>
      <w:pPr>
        <w:adjustRightInd w:val="0"/>
        <w:snapToGrid w:val="0"/>
        <w:spacing w:line="360" w:lineRule="auto"/>
        <w:ind w:firstLine="420" w:firstLineChars="200"/>
        <w:rPr>
          <w:szCs w:val="21"/>
          <w:lang w:bidi="ar"/>
        </w:rPr>
      </w:pPr>
      <w:r>
        <w:rPr>
          <w:rFonts w:hint="eastAsia"/>
          <w:szCs w:val="21"/>
          <w:lang w:bidi="ar"/>
        </w:rPr>
        <w:t>实验目的：学会在MATLAB仿真环境下通过典型的激励信号，利用阶跃响应分析和频域响应分析法对给定的开环系统传递函数进行动态、静态与稳定裕度等常见指标的计算与评估；</w:t>
      </w:r>
    </w:p>
    <w:p>
      <w:pPr>
        <w:adjustRightInd w:val="0"/>
        <w:snapToGrid w:val="0"/>
        <w:spacing w:line="360" w:lineRule="auto"/>
        <w:ind w:firstLine="420" w:firstLineChars="200"/>
        <w:rPr>
          <w:szCs w:val="21"/>
          <w:lang w:bidi="ar"/>
        </w:rPr>
      </w:pPr>
      <w:r>
        <w:rPr>
          <w:rFonts w:hint="eastAsia"/>
          <w:szCs w:val="21"/>
          <w:lang w:bidi="ar"/>
        </w:rPr>
        <w:t>实验原理：利用MATLAB常用指令与函数完成控制系统的时/频域指标计算与分析；</w:t>
      </w:r>
    </w:p>
    <w:p>
      <w:pPr>
        <w:adjustRightInd w:val="0"/>
        <w:snapToGrid w:val="0"/>
        <w:spacing w:line="360" w:lineRule="auto"/>
        <w:ind w:firstLine="420" w:firstLineChars="200"/>
        <w:rPr>
          <w:rFonts w:hint="eastAsia"/>
          <w:szCs w:val="21"/>
          <w:lang w:bidi="ar"/>
        </w:rPr>
      </w:pPr>
      <w:r>
        <w:rPr>
          <w:rFonts w:hint="eastAsia"/>
          <w:szCs w:val="21"/>
          <w:lang w:bidi="ar"/>
        </w:rPr>
        <w:t>实验设备：计算机，MATLAB 软件</w:t>
      </w:r>
    </w:p>
    <w:p>
      <w:pPr>
        <w:adjustRightInd w:val="0"/>
        <w:snapToGrid w:val="0"/>
        <w:spacing w:line="360" w:lineRule="auto"/>
        <w:ind w:firstLine="420" w:firstLineChars="200"/>
        <w:rPr>
          <w:rFonts w:hint="eastAsia"/>
          <w:szCs w:val="21"/>
          <w:highlight w:val="yellow"/>
          <w:lang w:bidi="ar"/>
        </w:rPr>
      </w:pPr>
      <w:r>
        <w:rPr>
          <w:rFonts w:hint="eastAsia"/>
          <w:szCs w:val="21"/>
          <w:lang w:bidi="ar"/>
        </w:rPr>
        <w:t>实验安排：教师介绍MATLAB控制模型建立与分析的仿真操作；学生基于此实现给定控制系统的典型指标计算。</w:t>
      </w:r>
    </w:p>
    <w:p>
      <w:pPr>
        <w:adjustRightInd w:val="0"/>
        <w:snapToGrid w:val="0"/>
        <w:spacing w:line="360" w:lineRule="auto"/>
        <w:ind w:firstLine="420" w:firstLineChars="200"/>
        <w:rPr>
          <w:rFonts w:hint="eastAsia"/>
          <w:szCs w:val="21"/>
          <w:lang w:bidi="ar"/>
        </w:rPr>
      </w:pPr>
      <w:r>
        <w:rPr>
          <w:rFonts w:hint="eastAsia"/>
          <w:szCs w:val="21"/>
          <w:lang w:bidi="ar"/>
        </w:rPr>
        <w:t>实验报告要求：写出设计方案和实验步骤； 对实验结果进行分析和解释； 写出实验的体会与疑 问。</w:t>
      </w:r>
    </w:p>
    <w:p>
      <w:pPr>
        <w:adjustRightInd w:val="0"/>
        <w:snapToGrid w:val="0"/>
        <w:spacing w:line="360" w:lineRule="auto"/>
        <w:ind w:firstLine="422" w:firstLineChars="200"/>
        <w:rPr>
          <w:bCs/>
          <w:sz w:val="18"/>
          <w:szCs w:val="18"/>
        </w:rPr>
      </w:pPr>
      <w:r>
        <w:rPr>
          <w:rFonts w:hint="eastAsia"/>
          <w:b/>
          <w:bCs/>
          <w:szCs w:val="21"/>
          <w:lang w:bidi="ar"/>
        </w:rPr>
        <w:t>实验二 ：基于M</w:t>
      </w:r>
      <w:r>
        <w:rPr>
          <w:b/>
          <w:bCs/>
          <w:szCs w:val="21"/>
          <w:lang w:bidi="ar"/>
        </w:rPr>
        <w:t>ATLAB的</w:t>
      </w:r>
      <w:r>
        <w:rPr>
          <w:rFonts w:hint="eastAsia"/>
          <w:b/>
          <w:bCs/>
          <w:szCs w:val="21"/>
          <w:lang w:bidi="ar"/>
        </w:rPr>
        <w:t>P</w:t>
      </w:r>
      <w:r>
        <w:rPr>
          <w:b/>
          <w:bCs/>
          <w:szCs w:val="21"/>
          <w:lang w:bidi="ar"/>
        </w:rPr>
        <w:t>ID控制器设计与分析</w:t>
      </w:r>
    </w:p>
    <w:p>
      <w:pPr>
        <w:adjustRightInd w:val="0"/>
        <w:snapToGrid w:val="0"/>
        <w:spacing w:line="360" w:lineRule="auto"/>
        <w:ind w:firstLine="420" w:firstLineChars="200"/>
        <w:rPr>
          <w:rFonts w:hint="eastAsia"/>
          <w:szCs w:val="21"/>
          <w:lang w:bidi="ar"/>
        </w:rPr>
      </w:pPr>
      <w:r>
        <w:rPr>
          <w:rFonts w:hint="eastAsia"/>
          <w:szCs w:val="21"/>
          <w:lang w:bidi="ar"/>
        </w:rPr>
        <w:t>实验目的：学会利用MATLAB</w:t>
      </w:r>
      <w:r>
        <w:rPr>
          <w:szCs w:val="21"/>
          <w:lang w:bidi="ar"/>
        </w:rPr>
        <w:t>/SIMULINK工具箱实现线性系统的</w:t>
      </w:r>
      <w:r>
        <w:rPr>
          <w:rFonts w:hint="eastAsia"/>
          <w:szCs w:val="21"/>
          <w:lang w:bidi="ar"/>
        </w:rPr>
        <w:t>P</w:t>
      </w:r>
      <w:r>
        <w:rPr>
          <w:szCs w:val="21"/>
          <w:lang w:bidi="ar"/>
        </w:rPr>
        <w:t>ID控制器设计，掌握</w:t>
      </w:r>
      <w:r>
        <w:rPr>
          <w:rFonts w:hint="eastAsia"/>
          <w:szCs w:val="21"/>
          <w:lang w:bidi="ar"/>
        </w:rPr>
        <w:t>P</w:t>
      </w:r>
      <w:r>
        <w:rPr>
          <w:szCs w:val="21"/>
          <w:lang w:bidi="ar"/>
        </w:rPr>
        <w:t>ID参数整定的方法和规律</w:t>
      </w:r>
      <w:r>
        <w:rPr>
          <w:rFonts w:hint="eastAsia"/>
          <w:szCs w:val="21"/>
          <w:lang w:bidi="ar"/>
        </w:rPr>
        <w:t>；</w:t>
      </w:r>
    </w:p>
    <w:p>
      <w:pPr>
        <w:adjustRightInd w:val="0"/>
        <w:snapToGrid w:val="0"/>
        <w:spacing w:line="360" w:lineRule="auto"/>
        <w:ind w:firstLine="420" w:firstLineChars="200"/>
        <w:rPr>
          <w:szCs w:val="21"/>
          <w:lang w:bidi="ar"/>
        </w:rPr>
      </w:pPr>
      <w:r>
        <w:rPr>
          <w:rFonts w:hint="eastAsia"/>
          <w:szCs w:val="21"/>
          <w:lang w:bidi="ar"/>
        </w:rPr>
        <w:t>实验原理：根据P</w:t>
      </w:r>
      <w:r>
        <w:rPr>
          <w:szCs w:val="21"/>
          <w:lang w:bidi="ar"/>
        </w:rPr>
        <w:t>ID控制器设计原理，</w:t>
      </w:r>
      <w:r>
        <w:rPr>
          <w:rFonts w:hint="eastAsia"/>
          <w:szCs w:val="21"/>
          <w:lang w:bidi="ar"/>
        </w:rPr>
        <w:t>对给定线性系统设计相应控制器，并进行仿真验证与性能评价；</w:t>
      </w:r>
    </w:p>
    <w:p>
      <w:pPr>
        <w:adjustRightInd w:val="0"/>
        <w:snapToGrid w:val="0"/>
        <w:spacing w:line="360" w:lineRule="auto"/>
        <w:ind w:firstLine="420" w:firstLineChars="200"/>
        <w:rPr>
          <w:rFonts w:hint="eastAsia"/>
          <w:szCs w:val="21"/>
          <w:lang w:bidi="ar"/>
        </w:rPr>
      </w:pPr>
      <w:r>
        <w:rPr>
          <w:rFonts w:hint="eastAsia"/>
          <w:szCs w:val="21"/>
          <w:lang w:bidi="ar"/>
        </w:rPr>
        <w:t>实验设备：计算机，MATLAB 软件</w:t>
      </w:r>
    </w:p>
    <w:p>
      <w:pPr>
        <w:adjustRightInd w:val="0"/>
        <w:snapToGrid w:val="0"/>
        <w:spacing w:line="360" w:lineRule="auto"/>
        <w:ind w:firstLine="420" w:firstLineChars="200"/>
        <w:rPr>
          <w:rFonts w:hint="eastAsia"/>
          <w:szCs w:val="21"/>
          <w:lang w:bidi="ar"/>
        </w:rPr>
      </w:pPr>
      <w:r>
        <w:rPr>
          <w:rFonts w:hint="eastAsia"/>
          <w:szCs w:val="21"/>
          <w:lang w:bidi="ar"/>
        </w:rPr>
        <w:t>实验安排：教师介绍MATLAB</w:t>
      </w:r>
      <w:r>
        <w:rPr>
          <w:szCs w:val="21"/>
          <w:lang w:bidi="ar"/>
        </w:rPr>
        <w:t>/SIMULINK</w:t>
      </w:r>
      <w:r>
        <w:rPr>
          <w:rFonts w:hint="eastAsia"/>
          <w:szCs w:val="21"/>
          <w:lang w:bidi="ar"/>
        </w:rPr>
        <w:t xml:space="preserve"> 自带P</w:t>
      </w:r>
      <w:r>
        <w:rPr>
          <w:szCs w:val="21"/>
          <w:lang w:bidi="ar"/>
        </w:rPr>
        <w:t>ID</w:t>
      </w:r>
      <w:r>
        <w:rPr>
          <w:rFonts w:hint="eastAsia"/>
          <w:szCs w:val="21"/>
          <w:lang w:bidi="ar"/>
        </w:rPr>
        <w:t>工具箱的基本操作； 学生基于此实现给定线性系统P</w:t>
      </w:r>
      <w:r>
        <w:rPr>
          <w:szCs w:val="21"/>
          <w:lang w:bidi="ar"/>
        </w:rPr>
        <w:t>ID</w:t>
      </w:r>
      <w:r>
        <w:rPr>
          <w:rFonts w:hint="eastAsia"/>
          <w:szCs w:val="21"/>
          <w:lang w:bidi="ar"/>
        </w:rPr>
        <w:t>控制器的设计及仿真运行。</w:t>
      </w:r>
    </w:p>
    <w:p>
      <w:pPr>
        <w:adjustRightInd w:val="0"/>
        <w:snapToGrid w:val="0"/>
        <w:spacing w:line="360" w:lineRule="auto"/>
        <w:ind w:firstLine="420" w:firstLineChars="200"/>
        <w:rPr>
          <w:rFonts w:hint="eastAsia"/>
          <w:szCs w:val="21"/>
          <w:lang w:bidi="ar"/>
        </w:rPr>
      </w:pPr>
      <w:r>
        <w:rPr>
          <w:rFonts w:hint="eastAsia"/>
          <w:szCs w:val="21"/>
          <w:lang w:bidi="ar"/>
        </w:rPr>
        <w:t>实验报告要求：写出设计方案和实验步骤； 对实验结果进行分析和解释； 写出实验的体会与疑 问。</w:t>
      </w:r>
    </w:p>
    <w:p>
      <w:pPr>
        <w:adjustRightInd w:val="0"/>
        <w:snapToGrid w:val="0"/>
        <w:spacing w:line="360" w:lineRule="auto"/>
        <w:rPr>
          <w:rFonts w:hint="eastAsia"/>
          <w:b/>
          <w:bCs/>
          <w:szCs w:val="21"/>
          <w:lang w:bidi="ar"/>
        </w:rPr>
      </w:pPr>
    </w:p>
    <w:p>
      <w:pPr>
        <w:adjustRightInd w:val="0"/>
        <w:snapToGrid w:val="0"/>
        <w:spacing w:line="360" w:lineRule="auto"/>
        <w:ind w:firstLine="422" w:firstLineChars="200"/>
        <w:rPr>
          <w:b/>
          <w:bCs/>
          <w:szCs w:val="21"/>
          <w:lang w:bidi="ar"/>
        </w:rPr>
      </w:pPr>
      <w:r>
        <w:rPr>
          <w:rFonts w:hint="eastAsia"/>
          <w:b/>
          <w:bCs/>
          <w:szCs w:val="21"/>
          <w:lang w:bidi="ar"/>
        </w:rPr>
        <w:t>实验三 ：基于模糊控制的水箱液位控制系统设计与仿真</w:t>
      </w:r>
    </w:p>
    <w:p>
      <w:pPr>
        <w:adjustRightInd w:val="0"/>
        <w:snapToGrid w:val="0"/>
        <w:spacing w:line="360" w:lineRule="auto"/>
        <w:ind w:firstLine="420" w:firstLineChars="200"/>
        <w:rPr>
          <w:rFonts w:hint="eastAsia"/>
          <w:szCs w:val="21"/>
          <w:lang w:bidi="ar"/>
        </w:rPr>
      </w:pPr>
      <w:r>
        <w:rPr>
          <w:rFonts w:hint="eastAsia"/>
          <w:szCs w:val="21"/>
          <w:lang w:bidi="ar"/>
        </w:rPr>
        <w:t>实验目的：学会利用MATLAB软件的模糊控制工具箱实现模糊推理和模糊控制系统仿真，完成基于模糊控制的水箱液位控制器的设计与仿真。</w:t>
      </w:r>
    </w:p>
    <w:p>
      <w:pPr>
        <w:adjustRightInd w:val="0"/>
        <w:snapToGrid w:val="0"/>
        <w:spacing w:line="360" w:lineRule="auto"/>
        <w:ind w:firstLine="420" w:firstLineChars="200"/>
        <w:rPr>
          <w:szCs w:val="21"/>
          <w:lang w:bidi="ar"/>
        </w:rPr>
      </w:pPr>
      <w:r>
        <w:rPr>
          <w:rFonts w:hint="eastAsia"/>
          <w:szCs w:val="21"/>
          <w:lang w:bidi="ar"/>
        </w:rPr>
        <w:t>实验原理：利用MATLAB-模糊控制工具箱完成模糊推理和水箱液位的模糊控制仿真</w:t>
      </w:r>
    </w:p>
    <w:p>
      <w:pPr>
        <w:adjustRightInd w:val="0"/>
        <w:snapToGrid w:val="0"/>
        <w:spacing w:line="360" w:lineRule="auto"/>
        <w:ind w:firstLine="420" w:firstLineChars="200"/>
        <w:rPr>
          <w:rFonts w:hint="eastAsia"/>
          <w:szCs w:val="21"/>
          <w:lang w:bidi="ar"/>
        </w:rPr>
      </w:pPr>
      <w:r>
        <w:rPr>
          <w:rFonts w:hint="eastAsia"/>
          <w:szCs w:val="21"/>
          <w:lang w:bidi="ar"/>
        </w:rPr>
        <w:t>实验设备：计算机，MATLAB 软件</w:t>
      </w:r>
    </w:p>
    <w:p>
      <w:pPr>
        <w:adjustRightInd w:val="0"/>
        <w:snapToGrid w:val="0"/>
        <w:spacing w:line="360" w:lineRule="auto"/>
        <w:ind w:firstLine="420" w:firstLineChars="200"/>
        <w:rPr>
          <w:rFonts w:hint="eastAsia"/>
          <w:szCs w:val="21"/>
          <w:lang w:bidi="ar"/>
        </w:rPr>
      </w:pPr>
      <w:r>
        <w:rPr>
          <w:rFonts w:hint="eastAsia"/>
          <w:szCs w:val="21"/>
          <w:lang w:bidi="ar"/>
        </w:rPr>
        <w:t>实验安排：教师介绍MATLAB 自带的模糊逻辑工具箱与模糊控制仿真操作； 学生基于此实现水箱液位模糊控制系统设计及仿真运行。</w:t>
      </w:r>
    </w:p>
    <w:p>
      <w:pPr>
        <w:adjustRightInd w:val="0"/>
        <w:snapToGrid w:val="0"/>
        <w:spacing w:line="360" w:lineRule="auto"/>
        <w:ind w:firstLine="420" w:firstLineChars="200"/>
        <w:rPr>
          <w:rFonts w:hint="eastAsia"/>
          <w:szCs w:val="21"/>
          <w:lang w:bidi="ar"/>
        </w:rPr>
      </w:pPr>
      <w:r>
        <w:rPr>
          <w:rFonts w:hint="eastAsia"/>
          <w:szCs w:val="21"/>
          <w:lang w:bidi="ar"/>
        </w:rPr>
        <w:t>实验报告要求：写出设计方案和实验步骤； 对实验结果进行分析和解释； 写出实验的体会与疑 问。</w:t>
      </w:r>
    </w:p>
    <w:p>
      <w:pPr>
        <w:adjustRightInd w:val="0"/>
        <w:snapToGrid w:val="0"/>
        <w:spacing w:line="360" w:lineRule="auto"/>
        <w:ind w:firstLine="420" w:firstLineChars="200"/>
        <w:rPr>
          <w:rFonts w:hint="eastAsia"/>
          <w:szCs w:val="21"/>
          <w:lang w:bidi="ar"/>
        </w:rPr>
      </w:pPr>
    </w:p>
    <w:p>
      <w:pPr>
        <w:adjustRightInd w:val="0"/>
        <w:snapToGrid w:val="0"/>
        <w:spacing w:line="360" w:lineRule="auto"/>
        <w:ind w:firstLine="422" w:firstLineChars="200"/>
        <w:rPr>
          <w:b/>
          <w:bCs/>
          <w:szCs w:val="21"/>
          <w:lang w:bidi="ar"/>
        </w:rPr>
      </w:pPr>
      <w:r>
        <w:rPr>
          <w:rFonts w:hint="eastAsia"/>
          <w:b/>
          <w:bCs/>
          <w:szCs w:val="21"/>
          <w:lang w:bidi="ar"/>
        </w:rPr>
        <w:t>实验四： B</w:t>
      </w:r>
      <w:r>
        <w:rPr>
          <w:b/>
          <w:bCs/>
          <w:szCs w:val="21"/>
          <w:lang w:bidi="ar"/>
        </w:rPr>
        <w:t>P神经网络设计与</w:t>
      </w:r>
      <w:r>
        <w:rPr>
          <w:rFonts w:hint="eastAsia"/>
          <w:b/>
          <w:bCs/>
          <w:szCs w:val="21"/>
          <w:lang w:bidi="ar"/>
        </w:rPr>
        <w:t>仿真</w:t>
      </w:r>
    </w:p>
    <w:p>
      <w:pPr>
        <w:adjustRightInd w:val="0"/>
        <w:snapToGrid w:val="0"/>
        <w:spacing w:line="360" w:lineRule="auto"/>
        <w:ind w:firstLine="420" w:firstLineChars="200"/>
        <w:rPr>
          <w:rFonts w:hint="eastAsia"/>
          <w:szCs w:val="21"/>
          <w:lang w:bidi="ar"/>
        </w:rPr>
      </w:pPr>
      <w:r>
        <w:rPr>
          <w:rFonts w:hint="eastAsia"/>
          <w:szCs w:val="21"/>
          <w:lang w:bidi="ar"/>
        </w:rPr>
        <w:t>实验目的： 学会利用MATLAB软件中的神经网络工具箱进行人工神经网络的模型建立和训练，利用BP神经网络完成一个正弦函数的逼近仿真。</w:t>
      </w:r>
    </w:p>
    <w:p>
      <w:pPr>
        <w:adjustRightInd w:val="0"/>
        <w:snapToGrid w:val="0"/>
        <w:spacing w:line="360" w:lineRule="auto"/>
        <w:ind w:firstLine="420" w:firstLineChars="200"/>
        <w:rPr>
          <w:rFonts w:hint="eastAsia"/>
          <w:szCs w:val="21"/>
          <w:lang w:bidi="ar"/>
        </w:rPr>
      </w:pPr>
      <w:r>
        <w:rPr>
          <w:rFonts w:hint="eastAsia"/>
          <w:szCs w:val="21"/>
          <w:lang w:bidi="ar"/>
        </w:rPr>
        <w:t>实验原理： MATLAB-神经网络工具箱的基本操作，搭建BP神经网络，进行数据训练，并完成对一个正弦信号的逼近仿真。</w:t>
      </w:r>
    </w:p>
    <w:p>
      <w:pPr>
        <w:adjustRightInd w:val="0"/>
        <w:snapToGrid w:val="0"/>
        <w:spacing w:line="360" w:lineRule="auto"/>
        <w:ind w:firstLine="420" w:firstLineChars="200"/>
        <w:rPr>
          <w:rFonts w:hint="eastAsia"/>
          <w:szCs w:val="21"/>
          <w:lang w:bidi="ar"/>
        </w:rPr>
      </w:pPr>
      <w:r>
        <w:rPr>
          <w:rFonts w:hint="eastAsia"/>
          <w:szCs w:val="21"/>
          <w:lang w:bidi="ar"/>
        </w:rPr>
        <w:t>实验设备： 计算机，MATLAB 软件</w:t>
      </w:r>
    </w:p>
    <w:p>
      <w:pPr>
        <w:adjustRightInd w:val="0"/>
        <w:snapToGrid w:val="0"/>
        <w:spacing w:line="360" w:lineRule="auto"/>
        <w:ind w:firstLine="420" w:firstLineChars="200"/>
        <w:rPr>
          <w:rFonts w:hint="eastAsia"/>
          <w:szCs w:val="21"/>
          <w:lang w:bidi="ar"/>
        </w:rPr>
      </w:pPr>
      <w:r>
        <w:rPr>
          <w:rFonts w:hint="eastAsia"/>
          <w:szCs w:val="21"/>
          <w:lang w:bidi="ar"/>
        </w:rPr>
        <w:t>实验安排： 教师介绍MATLAB软件的神经网络工具箱及使用方法、BP神经网络及预测原理，并进行演示； 学生完成BP神经网络的搭建、训练，并实现一个正弦信号的逼近仿真。</w:t>
      </w:r>
    </w:p>
    <w:p>
      <w:pPr>
        <w:adjustRightInd w:val="0"/>
        <w:snapToGrid w:val="0"/>
        <w:spacing w:line="360" w:lineRule="auto"/>
        <w:ind w:firstLine="420" w:firstLineChars="200"/>
        <w:rPr>
          <w:rFonts w:hint="eastAsia"/>
          <w:szCs w:val="21"/>
          <w:lang w:bidi="ar"/>
        </w:rPr>
      </w:pPr>
      <w:r>
        <w:rPr>
          <w:rFonts w:hint="eastAsia"/>
          <w:szCs w:val="21"/>
          <w:lang w:bidi="ar"/>
        </w:rPr>
        <w:t>实验报告要求： 写出设计方案和流程图； 对实验结果进行分析和解释； 写出实验的体会与疑问。</w:t>
      </w:r>
    </w:p>
    <w:p>
      <w:pPr>
        <w:adjustRightInd w:val="0"/>
        <w:snapToGrid w:val="0"/>
        <w:spacing w:line="360" w:lineRule="auto"/>
        <w:ind w:firstLine="420" w:firstLineChars="200"/>
        <w:rPr>
          <w:rFonts w:hint="eastAsia"/>
          <w:szCs w:val="21"/>
          <w:lang w:bidi="ar"/>
        </w:rPr>
        <w:sectPr>
          <w:pgSz w:w="11907" w:h="16839"/>
          <w:pgMar w:top="1431" w:right="1336" w:bottom="0" w:left="1426" w:header="0" w:footer="0" w:gutter="0"/>
          <w:pgNumType w:fmt="decimal"/>
          <w:cols w:space="720" w:num="1"/>
        </w:sectPr>
      </w:pPr>
    </w:p>
    <w:p>
      <w:pPr>
        <w:adjustRightInd w:val="0"/>
        <w:snapToGrid w:val="0"/>
        <w:spacing w:before="156" w:beforeLines="50" w:line="360" w:lineRule="auto"/>
        <w:rPr>
          <w:rFonts w:hint="eastAsia" w:eastAsia="黑体"/>
          <w:szCs w:val="21"/>
        </w:rPr>
      </w:pPr>
      <w:r>
        <w:rPr>
          <w:rFonts w:hint="eastAsia" w:eastAsia="黑体"/>
          <w:szCs w:val="21"/>
        </w:rPr>
        <w:t>五、达成课程目标的途径和措施</w:t>
      </w:r>
    </w:p>
    <w:p>
      <w:pPr>
        <w:adjustRightInd w:val="0"/>
        <w:snapToGrid w:val="0"/>
        <w:spacing w:line="360" w:lineRule="auto"/>
        <w:ind w:firstLine="420" w:firstLineChars="200"/>
        <w:rPr>
          <w:rFonts w:hint="eastAsia"/>
          <w:szCs w:val="21"/>
          <w:lang w:bidi="ar"/>
        </w:rPr>
      </w:pPr>
      <w:r>
        <w:rPr>
          <w:rFonts w:hint="eastAsia"/>
          <w:szCs w:val="21"/>
          <w:lang w:bidi="ar"/>
        </w:rPr>
        <w:t>1、学生通过课程学习，学会常用的智能控制技术和方法，能根据实际需求选择合适的智能控制技术，能运用和选择MATLAB软件中的相关工具箱来完成基于智能控制的编程与仿真。</w:t>
      </w:r>
    </w:p>
    <w:p>
      <w:pPr>
        <w:adjustRightInd w:val="0"/>
        <w:snapToGrid w:val="0"/>
        <w:spacing w:line="360" w:lineRule="auto"/>
        <w:ind w:firstLine="420" w:firstLineChars="200"/>
        <w:rPr>
          <w:rFonts w:hint="eastAsia"/>
          <w:szCs w:val="21"/>
          <w:lang w:bidi="ar"/>
        </w:rPr>
      </w:pPr>
      <w:r>
        <w:rPr>
          <w:rFonts w:hint="eastAsia"/>
          <w:szCs w:val="21"/>
          <w:lang w:bidi="ar"/>
        </w:rPr>
        <w:t>2、本课程是一门侧重理论基础，同时具有一定实践性的课程，要求学生在充分认识和熟悉智能控制理论的基础上，通过实验环节把所学的内容巩固和掌握，要求在教学方法上，充分利用各种媒体教学手段，采取课堂教学、多媒体课件、验证性实验、课外分组实验方式有机结合，教学和实验交替进行，提高教学效率。</w:t>
      </w:r>
    </w:p>
    <w:p>
      <w:pPr>
        <w:adjustRightInd w:val="0"/>
        <w:snapToGrid w:val="0"/>
        <w:spacing w:line="360" w:lineRule="auto"/>
        <w:ind w:firstLine="420" w:firstLineChars="200"/>
        <w:rPr>
          <w:rFonts w:hint="eastAsia"/>
          <w:szCs w:val="21"/>
          <w:lang w:bidi="ar"/>
        </w:rPr>
      </w:pPr>
      <w:r>
        <w:rPr>
          <w:rFonts w:hint="eastAsia"/>
          <w:szCs w:val="21"/>
          <w:lang w:bidi="ar"/>
        </w:rPr>
        <w:t>3、为了提高学生的学习兴趣，并取得良好的教学效果，教师在知识讲解的过程中要充分利用问题引导、案例分析等多种教学方法，以进一步提高教学质量。</w:t>
      </w:r>
    </w:p>
    <w:p>
      <w:pPr>
        <w:adjustRightInd w:val="0"/>
        <w:snapToGrid w:val="0"/>
        <w:spacing w:before="156" w:beforeLines="50" w:line="360" w:lineRule="auto"/>
        <w:rPr>
          <w:rFonts w:hint="eastAsia" w:eastAsia="黑体"/>
          <w:szCs w:val="21"/>
        </w:rPr>
      </w:pPr>
      <w:r>
        <w:rPr>
          <w:rFonts w:hint="eastAsia" w:eastAsia="黑体"/>
          <w:szCs w:val="21"/>
        </w:rPr>
        <w:t>六、考核方式</w:t>
      </w:r>
    </w:p>
    <w:p>
      <w:pPr>
        <w:adjustRightInd w:val="0"/>
        <w:snapToGrid w:val="0"/>
        <w:spacing w:line="360" w:lineRule="auto"/>
        <w:ind w:firstLine="422" w:firstLineChars="200"/>
        <w:rPr>
          <w:rFonts w:hint="eastAsia"/>
          <w:b/>
          <w:bCs/>
          <w:szCs w:val="21"/>
          <w:lang w:bidi="ar"/>
        </w:rPr>
      </w:pPr>
      <w:r>
        <w:rPr>
          <w:rFonts w:hint="eastAsia"/>
          <w:b/>
          <w:bCs/>
          <w:szCs w:val="21"/>
          <w:lang w:bidi="ar"/>
        </w:rPr>
        <w:t>1、评价环节</w:t>
      </w:r>
    </w:p>
    <w:p>
      <w:pPr>
        <w:adjustRightInd w:val="0"/>
        <w:snapToGrid w:val="0"/>
        <w:spacing w:line="360" w:lineRule="auto"/>
        <w:ind w:firstLine="420" w:firstLineChars="200"/>
        <w:rPr>
          <w:rFonts w:hint="eastAsia"/>
          <w:szCs w:val="21"/>
          <w:lang w:bidi="ar"/>
        </w:rPr>
      </w:pPr>
      <w:r>
        <w:rPr>
          <w:rFonts w:hint="eastAsia"/>
          <w:szCs w:val="21"/>
          <w:lang w:bidi="ar"/>
        </w:rPr>
        <w:t>课程考核方式包括期末考试</w:t>
      </w:r>
      <w:r>
        <w:rPr>
          <w:szCs w:val="21"/>
        </w:rPr>
        <w:t>、实验、作业</w:t>
      </w:r>
      <w:r>
        <w:rPr>
          <w:rFonts w:hint="eastAsia"/>
          <w:szCs w:val="21"/>
          <w:lang w:bidi="ar"/>
        </w:rPr>
        <w:t>等，所有考核环节均需覆盖到所有学生。</w:t>
      </w:r>
    </w:p>
    <w:p>
      <w:pPr>
        <w:adjustRightInd w:val="0"/>
        <w:snapToGrid w:val="0"/>
        <w:spacing w:line="360" w:lineRule="auto"/>
        <w:ind w:firstLine="422" w:firstLineChars="200"/>
        <w:rPr>
          <w:rFonts w:hint="eastAsia"/>
          <w:b/>
          <w:bCs/>
          <w:szCs w:val="21"/>
          <w:lang w:bidi="ar"/>
        </w:rPr>
      </w:pPr>
      <w:r>
        <w:rPr>
          <w:rFonts w:hint="eastAsia"/>
          <w:b/>
          <w:bCs/>
          <w:szCs w:val="21"/>
          <w:lang w:bidi="ar"/>
        </w:rPr>
        <w:t>2、定量评价</w:t>
      </w:r>
    </w:p>
    <w:p>
      <w:pPr>
        <w:adjustRightInd w:val="0"/>
        <w:snapToGrid w:val="0"/>
        <w:spacing w:line="360" w:lineRule="auto"/>
        <w:ind w:firstLine="420" w:firstLineChars="200"/>
        <w:rPr>
          <w:rFonts w:hint="eastAsia"/>
          <w:szCs w:val="21"/>
          <w:lang w:bidi="ar"/>
        </w:rPr>
      </w:pPr>
      <w:r>
        <w:rPr>
          <w:rFonts w:hint="eastAsia"/>
          <w:szCs w:val="21"/>
          <w:lang w:bidi="ar"/>
        </w:rPr>
        <w:t>本课程包含3个分课程目标，有</w:t>
      </w:r>
      <w:r>
        <w:rPr>
          <w:rFonts w:hint="eastAsia"/>
          <w:szCs w:val="21"/>
          <w:lang w:val="en-US" w:eastAsia="zh-CN" w:bidi="ar"/>
        </w:rPr>
        <w:t>4</w:t>
      </w:r>
      <w:r>
        <w:rPr>
          <w:rFonts w:hint="eastAsia"/>
          <w:szCs w:val="21"/>
          <w:lang w:bidi="ar"/>
        </w:rPr>
        <w:t>个考核环节，各考核方式对课程目标达成评价的权重占比分配如下表6.1。教师每个环节出题或布置作业时，要尽量做到按照以上比例布局，并对照完成合理化审查。</w:t>
      </w:r>
    </w:p>
    <w:p>
      <w:pPr>
        <w:jc w:val="center"/>
        <w:rPr>
          <w:rFonts w:hint="eastAsia"/>
          <w:b/>
          <w:bCs/>
          <w:sz w:val="18"/>
          <w:szCs w:val="18"/>
        </w:rPr>
      </w:pPr>
      <w:r>
        <w:rPr>
          <w:b/>
          <w:bCs/>
          <w:sz w:val="18"/>
          <w:szCs w:val="18"/>
        </w:rPr>
        <w:t>表</w:t>
      </w:r>
      <w:r>
        <w:rPr>
          <w:rFonts w:hint="eastAsia"/>
          <w:b/>
          <w:bCs/>
          <w:sz w:val="18"/>
          <w:szCs w:val="18"/>
        </w:rPr>
        <w:t xml:space="preserve">6.1   </w:t>
      </w:r>
      <w:r>
        <w:rPr>
          <w:b/>
          <w:bCs/>
          <w:sz w:val="18"/>
          <w:szCs w:val="18"/>
        </w:rPr>
        <w:t>各考核方式对课程目标达成评价的</w:t>
      </w:r>
      <w:r>
        <w:rPr>
          <w:rFonts w:hint="eastAsia"/>
          <w:b/>
          <w:bCs/>
          <w:sz w:val="18"/>
          <w:szCs w:val="18"/>
        </w:rPr>
        <w:t>权重</w:t>
      </w:r>
      <w:r>
        <w:rPr>
          <w:b/>
          <w:bCs/>
          <w:sz w:val="18"/>
          <w:szCs w:val="18"/>
        </w:rPr>
        <w:t>占比分配</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1"/>
        <w:gridCol w:w="1498"/>
        <w:gridCol w:w="1376"/>
        <w:gridCol w:w="1788"/>
        <w:gridCol w:w="1487"/>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79" w:type="pct"/>
            <w:vMerge w:val="restart"/>
            <w:noWrap w:val="0"/>
            <w:vAlign w:val="center"/>
          </w:tcPr>
          <w:p>
            <w:pPr>
              <w:snapToGrid w:val="0"/>
              <w:jc w:val="center"/>
              <w:rPr>
                <w:b/>
                <w:sz w:val="18"/>
                <w:szCs w:val="18"/>
              </w:rPr>
            </w:pPr>
            <w:r>
              <w:rPr>
                <w:b/>
                <w:kern w:val="0"/>
                <w:sz w:val="18"/>
                <w:szCs w:val="18"/>
              </w:rPr>
              <w:t>课程目标</w:t>
            </w:r>
          </w:p>
        </w:tc>
        <w:tc>
          <w:tcPr>
            <w:tcW w:w="3312" w:type="pct"/>
            <w:gridSpan w:val="4"/>
            <w:noWrap w:val="0"/>
            <w:vAlign w:val="center"/>
          </w:tcPr>
          <w:p>
            <w:pPr>
              <w:snapToGrid w:val="0"/>
              <w:jc w:val="center"/>
              <w:rPr>
                <w:rFonts w:hint="eastAsia"/>
                <w:b/>
                <w:sz w:val="18"/>
                <w:szCs w:val="18"/>
              </w:rPr>
            </w:pPr>
            <w:r>
              <w:rPr>
                <w:rFonts w:hint="eastAsia"/>
                <w:b/>
                <w:sz w:val="18"/>
                <w:szCs w:val="18"/>
              </w:rPr>
              <w:t>考核方式以及成绩占比</w:t>
            </w:r>
            <w:r>
              <w:rPr>
                <w:position w:val="-12"/>
              </w:rPr>
              <w:object>
                <v:shape id="_x0000_i1166" o:spt="75" type="#_x0000_t75" style="height:16.1pt;width:13.35pt;" o:ole="t" filled="f" o:preferrelative="t" stroked="f" coordsize="21600,21600">
                  <v:path/>
                  <v:fill on="f" focussize="0,0"/>
                  <v:stroke on="f"/>
                  <v:imagedata r:id="rId300" o:title=""/>
                  <o:lock v:ext="edit" aspectratio="t"/>
                  <w10:wrap type="none"/>
                  <w10:anchorlock/>
                </v:shape>
                <o:OLEObject Type="Embed" ProgID="Equation.3" ShapeID="_x0000_i1166" DrawAspect="Content" ObjectID="_1468075866" r:id="rId308">
                  <o:LockedField>false</o:LockedField>
                </o:OLEObject>
              </w:object>
            </w:r>
            <w:r>
              <w:rPr>
                <w:rFonts w:hint="eastAsia"/>
                <w:b/>
                <w:sz w:val="18"/>
                <w:szCs w:val="18"/>
              </w:rPr>
              <w:t>（%）</w:t>
            </w:r>
          </w:p>
        </w:tc>
        <w:tc>
          <w:tcPr>
            <w:tcW w:w="809" w:type="pct"/>
            <w:vMerge w:val="restart"/>
            <w:noWrap w:val="0"/>
            <w:vAlign w:val="center"/>
          </w:tcPr>
          <w:p>
            <w:pPr>
              <w:snapToGrid w:val="0"/>
              <w:jc w:val="center"/>
              <w:rPr>
                <w:b/>
                <w:kern w:val="0"/>
                <w:sz w:val="18"/>
                <w:szCs w:val="18"/>
              </w:rPr>
            </w:pPr>
            <w:r>
              <w:rPr>
                <w:b/>
                <w:kern w:val="0"/>
                <w:sz w:val="18"/>
                <w:szCs w:val="18"/>
              </w:rPr>
              <w:t>分课程</w:t>
            </w:r>
          </w:p>
          <w:p>
            <w:pPr>
              <w:snapToGrid w:val="0"/>
              <w:jc w:val="center"/>
              <w:rPr>
                <w:rFonts w:hint="eastAsia"/>
                <w:b/>
                <w:i/>
                <w:kern w:val="0"/>
                <w:sz w:val="18"/>
                <w:szCs w:val="18"/>
              </w:rPr>
            </w:pPr>
            <w:r>
              <w:rPr>
                <w:b/>
                <w:kern w:val="0"/>
                <w:sz w:val="18"/>
                <w:szCs w:val="18"/>
              </w:rPr>
              <w:t>目标权重</w:t>
            </w:r>
            <w:r>
              <w:rPr>
                <w:b/>
                <w:i/>
                <w:kern w:val="0"/>
                <w:sz w:val="18"/>
                <w:szCs w:val="18"/>
              </w:rPr>
              <w:t>P</w:t>
            </w:r>
            <w:r>
              <w:rPr>
                <w:b/>
                <w:i/>
                <w:kern w:val="0"/>
                <w:sz w:val="18"/>
                <w:szCs w:val="18"/>
                <w:vertAlign w:val="subscript"/>
              </w:rPr>
              <w:t>i</w:t>
            </w:r>
          </w:p>
          <w:p>
            <w:pPr>
              <w:snapToGrid w:val="0"/>
              <w:jc w:val="center"/>
              <w:rPr>
                <w:kern w:val="0"/>
                <w:sz w:val="18"/>
                <w:szCs w:val="18"/>
              </w:rPr>
            </w:pPr>
            <w:r>
              <w:rPr>
                <w:rFonts w:hint="eastAsia"/>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pct"/>
            <w:vMerge w:val="continue"/>
            <w:noWrap w:val="0"/>
            <w:vAlign w:val="center"/>
          </w:tcPr>
          <w:p>
            <w:pPr>
              <w:widowControl/>
              <w:snapToGrid w:val="0"/>
              <w:jc w:val="center"/>
              <w:rPr>
                <w:b/>
                <w:kern w:val="0"/>
                <w:sz w:val="18"/>
                <w:szCs w:val="18"/>
              </w:rPr>
            </w:pPr>
          </w:p>
        </w:tc>
        <w:tc>
          <w:tcPr>
            <w:tcW w:w="807" w:type="pct"/>
            <w:noWrap w:val="0"/>
            <w:vAlign w:val="center"/>
          </w:tcPr>
          <w:p>
            <w:pPr>
              <w:widowControl/>
              <w:snapToGrid w:val="0"/>
              <w:jc w:val="center"/>
              <w:rPr>
                <w:rFonts w:hint="eastAsia"/>
                <w:b/>
                <w:kern w:val="0"/>
                <w:sz w:val="18"/>
                <w:szCs w:val="18"/>
              </w:rPr>
            </w:pPr>
            <w:r>
              <w:rPr>
                <w:rFonts w:hint="eastAsia"/>
                <w:b/>
                <w:kern w:val="0"/>
                <w:sz w:val="18"/>
                <w:szCs w:val="18"/>
              </w:rPr>
              <w:t>随堂考核</w:t>
            </w:r>
          </w:p>
          <w:p>
            <w:pPr>
              <w:widowControl/>
              <w:snapToGrid w:val="0"/>
              <w:jc w:val="center"/>
              <w:rPr>
                <w:rFonts w:hint="eastAsia"/>
                <w:b/>
                <w:kern w:val="0"/>
                <w:sz w:val="18"/>
                <w:szCs w:val="18"/>
              </w:rPr>
            </w:pPr>
            <w:r>
              <w:rPr>
                <w:rFonts w:hint="eastAsia"/>
                <w:b/>
                <w:kern w:val="0"/>
                <w:sz w:val="18"/>
                <w:szCs w:val="18"/>
              </w:rPr>
              <w:t>（1）</w:t>
            </w:r>
          </w:p>
        </w:tc>
        <w:tc>
          <w:tcPr>
            <w:tcW w:w="741" w:type="pct"/>
            <w:noWrap w:val="0"/>
            <w:vAlign w:val="center"/>
          </w:tcPr>
          <w:p>
            <w:pPr>
              <w:widowControl/>
              <w:snapToGrid w:val="0"/>
              <w:jc w:val="center"/>
              <w:rPr>
                <w:b/>
                <w:kern w:val="0"/>
                <w:sz w:val="18"/>
                <w:szCs w:val="18"/>
              </w:rPr>
            </w:pPr>
            <w:r>
              <w:rPr>
                <w:rFonts w:hint="eastAsia"/>
                <w:b/>
                <w:kern w:val="0"/>
                <w:sz w:val="18"/>
                <w:szCs w:val="18"/>
              </w:rPr>
              <w:t>作业</w:t>
            </w:r>
          </w:p>
          <w:p>
            <w:pPr>
              <w:widowControl/>
              <w:snapToGrid w:val="0"/>
              <w:jc w:val="center"/>
              <w:rPr>
                <w:rFonts w:hint="eastAsia"/>
                <w:b/>
                <w:kern w:val="0"/>
                <w:sz w:val="18"/>
                <w:szCs w:val="18"/>
              </w:rPr>
            </w:pPr>
            <w:r>
              <w:rPr>
                <w:rFonts w:hint="eastAsia"/>
                <w:b/>
                <w:kern w:val="0"/>
                <w:sz w:val="18"/>
                <w:szCs w:val="18"/>
              </w:rPr>
              <w:t>（2）</w:t>
            </w:r>
          </w:p>
        </w:tc>
        <w:tc>
          <w:tcPr>
            <w:tcW w:w="963" w:type="pct"/>
            <w:noWrap w:val="0"/>
            <w:vAlign w:val="center"/>
          </w:tcPr>
          <w:p>
            <w:pPr>
              <w:widowControl/>
              <w:snapToGrid w:val="0"/>
              <w:jc w:val="center"/>
              <w:rPr>
                <w:b/>
                <w:kern w:val="0"/>
                <w:sz w:val="18"/>
                <w:szCs w:val="18"/>
              </w:rPr>
            </w:pPr>
            <w:r>
              <w:rPr>
                <w:rFonts w:hint="eastAsia"/>
                <w:b/>
                <w:kern w:val="0"/>
                <w:sz w:val="18"/>
                <w:szCs w:val="18"/>
              </w:rPr>
              <w:t>课内实验</w:t>
            </w:r>
          </w:p>
          <w:p>
            <w:pPr>
              <w:widowControl/>
              <w:snapToGrid w:val="0"/>
              <w:jc w:val="center"/>
              <w:rPr>
                <w:rFonts w:hint="eastAsia"/>
                <w:b/>
                <w:kern w:val="0"/>
                <w:sz w:val="18"/>
                <w:szCs w:val="18"/>
              </w:rPr>
            </w:pPr>
            <w:r>
              <w:rPr>
                <w:rFonts w:hint="eastAsia"/>
                <w:b/>
                <w:kern w:val="0"/>
                <w:sz w:val="18"/>
                <w:szCs w:val="18"/>
              </w:rPr>
              <w:t>（3）</w:t>
            </w:r>
          </w:p>
        </w:tc>
        <w:tc>
          <w:tcPr>
            <w:tcW w:w="801" w:type="pct"/>
            <w:noWrap w:val="0"/>
            <w:vAlign w:val="center"/>
          </w:tcPr>
          <w:p>
            <w:pPr>
              <w:widowControl/>
              <w:snapToGrid w:val="0"/>
              <w:jc w:val="center"/>
              <w:rPr>
                <w:b/>
                <w:kern w:val="0"/>
                <w:sz w:val="18"/>
                <w:szCs w:val="18"/>
              </w:rPr>
            </w:pPr>
            <w:r>
              <w:rPr>
                <w:b/>
                <w:kern w:val="0"/>
                <w:sz w:val="18"/>
                <w:szCs w:val="18"/>
              </w:rPr>
              <w:t>期末考试</w:t>
            </w:r>
          </w:p>
          <w:p>
            <w:pPr>
              <w:widowControl/>
              <w:snapToGrid w:val="0"/>
              <w:jc w:val="center"/>
              <w:rPr>
                <w:rFonts w:hint="eastAsia"/>
                <w:b/>
                <w:kern w:val="0"/>
                <w:sz w:val="18"/>
                <w:szCs w:val="18"/>
              </w:rPr>
            </w:pPr>
            <w:r>
              <w:rPr>
                <w:rFonts w:hint="eastAsia"/>
                <w:b/>
                <w:kern w:val="0"/>
                <w:sz w:val="18"/>
                <w:szCs w:val="18"/>
              </w:rPr>
              <w:t>（4）</w:t>
            </w:r>
          </w:p>
        </w:tc>
        <w:tc>
          <w:tcPr>
            <w:tcW w:w="809"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pct"/>
            <w:noWrap w:val="0"/>
            <w:vAlign w:val="center"/>
          </w:tcPr>
          <w:p>
            <w:pPr>
              <w:widowControl/>
              <w:snapToGrid w:val="0"/>
              <w:jc w:val="center"/>
              <w:rPr>
                <w:kern w:val="0"/>
                <w:sz w:val="18"/>
                <w:szCs w:val="18"/>
              </w:rPr>
            </w:pPr>
            <w:r>
              <w:rPr>
                <w:kern w:val="0"/>
                <w:sz w:val="18"/>
                <w:szCs w:val="18"/>
              </w:rPr>
              <w:t>1</w:t>
            </w:r>
          </w:p>
        </w:tc>
        <w:tc>
          <w:tcPr>
            <w:tcW w:w="807" w:type="pct"/>
            <w:noWrap w:val="0"/>
            <w:vAlign w:val="center"/>
          </w:tcPr>
          <w:p>
            <w:pPr>
              <w:jc w:val="center"/>
              <w:rPr>
                <w:sz w:val="18"/>
                <w:szCs w:val="18"/>
              </w:rPr>
            </w:pPr>
            <w:r>
              <w:rPr>
                <w:rFonts w:hint="eastAsia"/>
                <w:sz w:val="18"/>
                <w:szCs w:val="18"/>
                <w:lang w:bidi="ar"/>
              </w:rPr>
              <w:t>5</w:t>
            </w:r>
          </w:p>
        </w:tc>
        <w:tc>
          <w:tcPr>
            <w:tcW w:w="741" w:type="pct"/>
            <w:noWrap w:val="0"/>
            <w:vAlign w:val="center"/>
          </w:tcPr>
          <w:p>
            <w:pPr>
              <w:jc w:val="center"/>
              <w:rPr>
                <w:rFonts w:hint="eastAsia"/>
                <w:sz w:val="18"/>
                <w:szCs w:val="18"/>
              </w:rPr>
            </w:pPr>
            <w:r>
              <w:rPr>
                <w:rFonts w:hint="eastAsia"/>
                <w:sz w:val="18"/>
                <w:szCs w:val="18"/>
                <w:lang w:bidi="ar"/>
              </w:rPr>
              <w:t>5</w:t>
            </w:r>
          </w:p>
        </w:tc>
        <w:tc>
          <w:tcPr>
            <w:tcW w:w="963" w:type="pct"/>
            <w:noWrap w:val="0"/>
            <w:vAlign w:val="center"/>
          </w:tcPr>
          <w:p>
            <w:pPr>
              <w:jc w:val="center"/>
              <w:rPr>
                <w:sz w:val="18"/>
                <w:szCs w:val="18"/>
              </w:rPr>
            </w:pPr>
            <w:r>
              <w:rPr>
                <w:rFonts w:hint="eastAsia"/>
                <w:sz w:val="18"/>
                <w:szCs w:val="18"/>
                <w:lang w:bidi="ar"/>
              </w:rPr>
              <w:t>5</w:t>
            </w:r>
          </w:p>
        </w:tc>
        <w:tc>
          <w:tcPr>
            <w:tcW w:w="801" w:type="pct"/>
            <w:noWrap w:val="0"/>
            <w:vAlign w:val="center"/>
          </w:tcPr>
          <w:p>
            <w:pPr>
              <w:jc w:val="center"/>
              <w:rPr>
                <w:sz w:val="18"/>
                <w:szCs w:val="18"/>
              </w:rPr>
            </w:pPr>
            <w:r>
              <w:rPr>
                <w:rFonts w:hint="eastAsia"/>
                <w:sz w:val="18"/>
                <w:szCs w:val="18"/>
                <w:lang w:bidi="ar"/>
              </w:rPr>
              <w:t>35</w:t>
            </w:r>
          </w:p>
        </w:tc>
        <w:tc>
          <w:tcPr>
            <w:tcW w:w="809" w:type="pct"/>
            <w:noWrap w:val="0"/>
            <w:vAlign w:val="center"/>
          </w:tcPr>
          <w:p>
            <w:pPr>
              <w:snapToGrid w:val="0"/>
              <w:jc w:val="center"/>
              <w:rPr>
                <w:sz w:val="18"/>
                <w:szCs w:val="18"/>
              </w:rPr>
            </w:pPr>
            <w:r>
              <w:rPr>
                <w:rFonts w:hint="eastAsia"/>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pct"/>
            <w:noWrap w:val="0"/>
            <w:vAlign w:val="center"/>
          </w:tcPr>
          <w:p>
            <w:pPr>
              <w:widowControl/>
              <w:snapToGrid w:val="0"/>
              <w:jc w:val="center"/>
              <w:rPr>
                <w:kern w:val="0"/>
                <w:sz w:val="18"/>
                <w:szCs w:val="18"/>
              </w:rPr>
            </w:pPr>
            <w:r>
              <w:rPr>
                <w:kern w:val="0"/>
                <w:sz w:val="18"/>
                <w:szCs w:val="18"/>
              </w:rPr>
              <w:t>2</w:t>
            </w:r>
          </w:p>
        </w:tc>
        <w:tc>
          <w:tcPr>
            <w:tcW w:w="807" w:type="pct"/>
            <w:noWrap w:val="0"/>
            <w:vAlign w:val="center"/>
          </w:tcPr>
          <w:p>
            <w:pPr>
              <w:jc w:val="center"/>
              <w:rPr>
                <w:sz w:val="18"/>
                <w:szCs w:val="18"/>
              </w:rPr>
            </w:pPr>
            <w:r>
              <w:rPr>
                <w:rFonts w:hint="eastAsia"/>
                <w:sz w:val="18"/>
                <w:szCs w:val="18"/>
                <w:lang w:bidi="ar"/>
              </w:rPr>
              <w:t>3</w:t>
            </w:r>
          </w:p>
        </w:tc>
        <w:tc>
          <w:tcPr>
            <w:tcW w:w="741" w:type="pct"/>
            <w:noWrap w:val="0"/>
            <w:vAlign w:val="center"/>
          </w:tcPr>
          <w:p>
            <w:pPr>
              <w:jc w:val="center"/>
              <w:rPr>
                <w:rFonts w:hint="eastAsia"/>
                <w:sz w:val="18"/>
                <w:szCs w:val="18"/>
              </w:rPr>
            </w:pPr>
            <w:r>
              <w:rPr>
                <w:rFonts w:hint="eastAsia"/>
                <w:sz w:val="18"/>
                <w:szCs w:val="18"/>
                <w:lang w:bidi="ar"/>
              </w:rPr>
              <w:t>3</w:t>
            </w:r>
          </w:p>
        </w:tc>
        <w:tc>
          <w:tcPr>
            <w:tcW w:w="963" w:type="pct"/>
            <w:noWrap w:val="0"/>
            <w:vAlign w:val="center"/>
          </w:tcPr>
          <w:p>
            <w:pPr>
              <w:jc w:val="center"/>
              <w:rPr>
                <w:sz w:val="18"/>
                <w:szCs w:val="18"/>
              </w:rPr>
            </w:pPr>
            <w:r>
              <w:rPr>
                <w:rFonts w:hint="eastAsia"/>
                <w:sz w:val="18"/>
                <w:szCs w:val="18"/>
              </w:rPr>
              <w:t>3</w:t>
            </w:r>
          </w:p>
        </w:tc>
        <w:tc>
          <w:tcPr>
            <w:tcW w:w="801" w:type="pct"/>
            <w:noWrap w:val="0"/>
            <w:vAlign w:val="center"/>
          </w:tcPr>
          <w:p>
            <w:pPr>
              <w:jc w:val="center"/>
              <w:rPr>
                <w:rFonts w:hint="eastAsia"/>
                <w:sz w:val="18"/>
                <w:szCs w:val="18"/>
              </w:rPr>
            </w:pPr>
            <w:r>
              <w:rPr>
                <w:rFonts w:hint="eastAsia"/>
                <w:sz w:val="18"/>
                <w:szCs w:val="18"/>
              </w:rPr>
              <w:t>25</w:t>
            </w:r>
          </w:p>
        </w:tc>
        <w:tc>
          <w:tcPr>
            <w:tcW w:w="809" w:type="pct"/>
            <w:noWrap w:val="0"/>
            <w:vAlign w:val="center"/>
          </w:tcPr>
          <w:p>
            <w:pPr>
              <w:snapToGrid w:val="0"/>
              <w:jc w:val="center"/>
              <w:rPr>
                <w:sz w:val="18"/>
                <w:szCs w:val="18"/>
              </w:rPr>
            </w:pPr>
            <w:r>
              <w:rPr>
                <w:rFonts w:hint="eastAsia"/>
                <w:sz w:val="18"/>
                <w:szCs w:val="18"/>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pct"/>
            <w:noWrap w:val="0"/>
            <w:vAlign w:val="center"/>
          </w:tcPr>
          <w:p>
            <w:pPr>
              <w:widowControl/>
              <w:snapToGrid w:val="0"/>
              <w:jc w:val="center"/>
              <w:rPr>
                <w:rFonts w:hint="eastAsia"/>
                <w:kern w:val="0"/>
                <w:sz w:val="18"/>
                <w:szCs w:val="18"/>
              </w:rPr>
            </w:pPr>
            <w:r>
              <w:rPr>
                <w:rFonts w:hint="eastAsia"/>
                <w:kern w:val="0"/>
                <w:sz w:val="18"/>
                <w:szCs w:val="18"/>
              </w:rPr>
              <w:t>3</w:t>
            </w:r>
          </w:p>
        </w:tc>
        <w:tc>
          <w:tcPr>
            <w:tcW w:w="807" w:type="pct"/>
            <w:noWrap w:val="0"/>
            <w:vAlign w:val="center"/>
          </w:tcPr>
          <w:p>
            <w:pPr>
              <w:jc w:val="center"/>
              <w:rPr>
                <w:sz w:val="18"/>
                <w:szCs w:val="18"/>
              </w:rPr>
            </w:pPr>
            <w:r>
              <w:rPr>
                <w:rFonts w:hint="eastAsia"/>
                <w:sz w:val="18"/>
                <w:szCs w:val="18"/>
                <w:lang w:bidi="ar"/>
              </w:rPr>
              <w:t>2</w:t>
            </w:r>
          </w:p>
        </w:tc>
        <w:tc>
          <w:tcPr>
            <w:tcW w:w="741" w:type="pct"/>
            <w:noWrap w:val="0"/>
            <w:vAlign w:val="center"/>
          </w:tcPr>
          <w:p>
            <w:pPr>
              <w:jc w:val="center"/>
              <w:rPr>
                <w:rFonts w:hint="eastAsia"/>
                <w:sz w:val="18"/>
                <w:szCs w:val="18"/>
              </w:rPr>
            </w:pPr>
            <w:r>
              <w:rPr>
                <w:rFonts w:hint="eastAsia"/>
                <w:sz w:val="18"/>
                <w:szCs w:val="18"/>
                <w:lang w:bidi="ar"/>
              </w:rPr>
              <w:t>2</w:t>
            </w:r>
          </w:p>
        </w:tc>
        <w:tc>
          <w:tcPr>
            <w:tcW w:w="963" w:type="pct"/>
            <w:noWrap w:val="0"/>
            <w:vAlign w:val="center"/>
          </w:tcPr>
          <w:p>
            <w:pPr>
              <w:jc w:val="center"/>
              <w:rPr>
                <w:sz w:val="18"/>
                <w:szCs w:val="18"/>
              </w:rPr>
            </w:pPr>
            <w:r>
              <w:rPr>
                <w:rFonts w:hint="eastAsia"/>
                <w:sz w:val="18"/>
                <w:szCs w:val="18"/>
                <w:lang w:bidi="ar"/>
              </w:rPr>
              <w:t>2</w:t>
            </w:r>
          </w:p>
        </w:tc>
        <w:tc>
          <w:tcPr>
            <w:tcW w:w="801" w:type="pct"/>
            <w:noWrap w:val="0"/>
            <w:vAlign w:val="center"/>
          </w:tcPr>
          <w:p>
            <w:pPr>
              <w:jc w:val="center"/>
              <w:rPr>
                <w:rFonts w:hint="eastAsia"/>
                <w:sz w:val="18"/>
                <w:szCs w:val="18"/>
              </w:rPr>
            </w:pPr>
            <w:r>
              <w:rPr>
                <w:rFonts w:hint="eastAsia"/>
                <w:sz w:val="18"/>
                <w:szCs w:val="18"/>
              </w:rPr>
              <w:t>10</w:t>
            </w:r>
          </w:p>
        </w:tc>
        <w:tc>
          <w:tcPr>
            <w:tcW w:w="809" w:type="pct"/>
            <w:noWrap w:val="0"/>
            <w:vAlign w:val="center"/>
          </w:tcPr>
          <w:p>
            <w:pPr>
              <w:snapToGrid w:val="0"/>
              <w:jc w:val="center"/>
              <w:rPr>
                <w:sz w:val="18"/>
                <w:szCs w:val="18"/>
              </w:rPr>
            </w:pPr>
            <w:r>
              <w:rPr>
                <w:rFonts w:hint="eastAsia"/>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pct"/>
            <w:noWrap w:val="0"/>
            <w:vAlign w:val="center"/>
          </w:tcPr>
          <w:p>
            <w:pPr>
              <w:widowControl/>
              <w:snapToGrid w:val="0"/>
              <w:jc w:val="center"/>
              <w:rPr>
                <w:kern w:val="0"/>
                <w:sz w:val="18"/>
                <w:szCs w:val="18"/>
              </w:rPr>
            </w:pPr>
            <w:r>
              <w:rPr>
                <w:rFonts w:hint="eastAsia"/>
                <w:kern w:val="0"/>
                <w:sz w:val="18"/>
                <w:szCs w:val="18"/>
              </w:rPr>
              <w:t>考核环节成绩比例合计（%）</w:t>
            </w:r>
          </w:p>
        </w:tc>
        <w:tc>
          <w:tcPr>
            <w:tcW w:w="807" w:type="pct"/>
            <w:noWrap w:val="0"/>
            <w:vAlign w:val="center"/>
          </w:tcPr>
          <w:p>
            <w:pPr>
              <w:jc w:val="center"/>
              <w:rPr>
                <w:sz w:val="18"/>
                <w:szCs w:val="18"/>
              </w:rPr>
            </w:pPr>
            <w:r>
              <w:rPr>
                <w:rFonts w:hint="eastAsia"/>
                <w:sz w:val="18"/>
                <w:szCs w:val="18"/>
                <w:lang w:bidi="ar"/>
              </w:rPr>
              <w:t>10</w:t>
            </w:r>
          </w:p>
        </w:tc>
        <w:tc>
          <w:tcPr>
            <w:tcW w:w="741" w:type="pct"/>
            <w:noWrap w:val="0"/>
            <w:vAlign w:val="center"/>
          </w:tcPr>
          <w:p>
            <w:pPr>
              <w:jc w:val="center"/>
              <w:rPr>
                <w:sz w:val="18"/>
                <w:szCs w:val="18"/>
              </w:rPr>
            </w:pPr>
            <w:r>
              <w:rPr>
                <w:rFonts w:hint="eastAsia"/>
                <w:sz w:val="18"/>
                <w:szCs w:val="18"/>
                <w:lang w:bidi="ar"/>
              </w:rPr>
              <w:t>10</w:t>
            </w:r>
          </w:p>
        </w:tc>
        <w:tc>
          <w:tcPr>
            <w:tcW w:w="963" w:type="pct"/>
            <w:noWrap w:val="0"/>
            <w:vAlign w:val="center"/>
          </w:tcPr>
          <w:p>
            <w:pPr>
              <w:jc w:val="center"/>
              <w:rPr>
                <w:sz w:val="18"/>
                <w:szCs w:val="18"/>
              </w:rPr>
            </w:pPr>
            <w:r>
              <w:rPr>
                <w:rFonts w:hint="eastAsia"/>
                <w:sz w:val="18"/>
                <w:szCs w:val="18"/>
                <w:lang w:bidi="ar"/>
              </w:rPr>
              <w:t>10</w:t>
            </w:r>
          </w:p>
        </w:tc>
        <w:tc>
          <w:tcPr>
            <w:tcW w:w="801" w:type="pct"/>
            <w:noWrap w:val="0"/>
            <w:vAlign w:val="center"/>
          </w:tcPr>
          <w:p>
            <w:pPr>
              <w:jc w:val="center"/>
              <w:rPr>
                <w:sz w:val="18"/>
                <w:szCs w:val="18"/>
              </w:rPr>
            </w:pPr>
            <w:r>
              <w:rPr>
                <w:rFonts w:hint="eastAsia"/>
                <w:sz w:val="18"/>
                <w:szCs w:val="18"/>
                <w:lang w:bidi="ar"/>
              </w:rPr>
              <w:t>70</w:t>
            </w:r>
          </w:p>
        </w:tc>
        <w:tc>
          <w:tcPr>
            <w:tcW w:w="809" w:type="pct"/>
            <w:noWrap w:val="0"/>
            <w:vAlign w:val="center"/>
          </w:tcPr>
          <w:p>
            <w:pPr>
              <w:snapToGrid w:val="0"/>
              <w:jc w:val="center"/>
              <w:rPr>
                <w:sz w:val="18"/>
                <w:szCs w:val="18"/>
              </w:rPr>
            </w:pPr>
            <w:r>
              <w:rPr>
                <w:rFonts w:hint="eastAsia"/>
                <w:sz w:val="18"/>
                <w:szCs w:val="18"/>
              </w:rPr>
              <w:t>1</w:t>
            </w:r>
            <w:r>
              <w:rPr>
                <w:sz w:val="18"/>
                <w:szCs w:val="18"/>
              </w:rPr>
              <w:t>00</w:t>
            </w:r>
          </w:p>
        </w:tc>
      </w:tr>
    </w:tbl>
    <w:p>
      <w:pPr>
        <w:adjustRightInd w:val="0"/>
        <w:snapToGrid w:val="0"/>
        <w:spacing w:line="360" w:lineRule="auto"/>
        <w:rPr>
          <w:szCs w:val="21"/>
          <w:lang w:bidi="ar"/>
        </w:rPr>
      </w:pPr>
    </w:p>
    <w:p>
      <w:pPr>
        <w:adjustRightInd w:val="0"/>
        <w:snapToGrid w:val="0"/>
        <w:spacing w:line="360" w:lineRule="auto"/>
        <w:ind w:firstLine="420" w:firstLineChars="200"/>
        <w:rPr>
          <w:rFonts w:hint="eastAsia"/>
          <w:szCs w:val="21"/>
          <w:lang w:bidi="ar"/>
        </w:rPr>
      </w:pPr>
      <w:r>
        <w:rPr>
          <w:rFonts w:hint="eastAsia"/>
          <w:szCs w:val="21"/>
          <w:lang w:bidi="ar"/>
        </w:rPr>
        <w:t xml:space="preserve">第i个分课程目标的达成度Ai ： </w:t>
      </w:r>
    </w:p>
    <w:p>
      <w:pPr>
        <w:adjustRightInd w:val="0"/>
        <w:snapToGrid w:val="0"/>
        <w:spacing w:line="360" w:lineRule="auto"/>
        <w:ind w:firstLine="420" w:firstLineChars="200"/>
        <w:rPr>
          <w:rFonts w:hint="eastAsia"/>
          <w:szCs w:val="21"/>
          <w:lang w:bidi="ar"/>
        </w:rPr>
      </w:pPr>
      <w:r>
        <w:rPr>
          <w:rFonts w:hint="eastAsia"/>
          <w:szCs w:val="21"/>
          <w:lang w:bidi="ar"/>
        </w:rPr>
        <w:object>
          <v:shape id="_x0000_i1167" o:spt="75" type="#_x0000_t75" style="height:20pt;width:105.5pt;" o:ole="t" filled="f" o:preferrelative="t" stroked="f" coordsize="21600,21600">
            <v:path/>
            <v:fill on="f" focussize="0,0"/>
            <v:stroke on="f" joinstyle="miter"/>
            <v:imagedata r:id="rId296" o:title=""/>
            <o:lock v:ext="edit" aspectratio="t"/>
            <w10:wrap type="none"/>
            <w10:anchorlock/>
          </v:shape>
          <o:OLEObject Type="Embed" ProgID="Equation.DSMT4" ShapeID="_x0000_i1167" DrawAspect="Content" ObjectID="_1468075867" r:id="rId309">
            <o:LockedField>false</o:LockedField>
          </o:OLEObject>
        </w:object>
      </w:r>
      <w:r>
        <w:rPr>
          <w:rFonts w:hint="eastAsia"/>
          <w:szCs w:val="21"/>
          <w:lang w:bidi="ar"/>
        </w:rPr>
        <w:t xml:space="preserve">                                    </w:t>
      </w:r>
      <w:r>
        <w:rPr>
          <w:rFonts w:hint="eastAsia"/>
          <w:szCs w:val="21"/>
          <w:lang w:bidi="ar"/>
        </w:rPr>
        <w:tab/>
      </w:r>
      <w:r>
        <w:rPr>
          <w:rFonts w:hint="eastAsia"/>
          <w:szCs w:val="21"/>
          <w:lang w:bidi="ar"/>
        </w:rPr>
        <w:tab/>
      </w:r>
      <w:r>
        <w:rPr>
          <w:rFonts w:hint="eastAsia"/>
          <w:szCs w:val="21"/>
          <w:lang w:bidi="ar"/>
        </w:rPr>
        <w:tab/>
      </w:r>
      <w:r>
        <w:rPr>
          <w:rFonts w:hint="eastAsia"/>
          <w:szCs w:val="21"/>
          <w:lang w:bidi="ar"/>
        </w:rPr>
        <w:tab/>
      </w:r>
      <w:r>
        <w:rPr>
          <w:rFonts w:hint="eastAsia"/>
          <w:szCs w:val="21"/>
          <w:lang w:bidi="ar"/>
        </w:rPr>
        <w:t>6-1</w:t>
      </w:r>
    </w:p>
    <w:p>
      <w:pPr>
        <w:adjustRightInd w:val="0"/>
        <w:snapToGrid w:val="0"/>
        <w:spacing w:line="360" w:lineRule="auto"/>
        <w:ind w:firstLine="420" w:firstLineChars="200"/>
        <w:rPr>
          <w:rFonts w:hint="eastAsia"/>
          <w:szCs w:val="21"/>
          <w:lang w:bidi="ar"/>
        </w:rPr>
      </w:pPr>
      <w:r>
        <w:rPr>
          <w:rFonts w:hint="eastAsia"/>
          <w:szCs w:val="21"/>
          <w:lang w:bidi="ar"/>
        </w:rPr>
        <w:t>总课程目标达成度A，由多个分课程目标再根据权重加权求和：</w:t>
      </w:r>
    </w:p>
    <w:p>
      <w:pPr>
        <w:adjustRightInd w:val="0"/>
        <w:snapToGrid w:val="0"/>
        <w:spacing w:line="360" w:lineRule="auto"/>
        <w:ind w:firstLine="420" w:firstLineChars="200"/>
        <w:rPr>
          <w:rFonts w:hint="eastAsia"/>
          <w:szCs w:val="21"/>
          <w:lang w:bidi="ar"/>
        </w:rPr>
      </w:pPr>
      <w:r>
        <w:rPr>
          <w:rFonts w:hint="eastAsia"/>
          <w:szCs w:val="21"/>
          <w:lang w:bidi="ar"/>
        </w:rPr>
        <w:object>
          <v:shape id="_x0000_i1168" o:spt="75" type="#_x0000_t75" style="height:20pt;width:62.5pt;" o:ole="t" filled="f" o:preferrelative="t" stroked="f" coordsize="21600,21600">
            <v:path/>
            <v:fill on="f" focussize="0,0"/>
            <v:stroke on="f" joinstyle="miter"/>
            <v:imagedata r:id="rId298" o:title=""/>
            <o:lock v:ext="edit" aspectratio="t"/>
            <w10:wrap type="none"/>
            <w10:anchorlock/>
          </v:shape>
          <o:OLEObject Type="Embed" ProgID="Equation.DSMT4" ShapeID="_x0000_i1168" DrawAspect="Content" ObjectID="_1468075868" r:id="rId310">
            <o:LockedField>false</o:LockedField>
          </o:OLEObject>
        </w:object>
      </w:r>
      <w:r>
        <w:rPr>
          <w:rFonts w:hint="eastAsia"/>
          <w:szCs w:val="21"/>
          <w:lang w:bidi="ar"/>
        </w:rPr>
        <w:t xml:space="preserve">                                      </w:t>
      </w:r>
      <w:r>
        <w:rPr>
          <w:rFonts w:hint="eastAsia"/>
          <w:szCs w:val="21"/>
          <w:lang w:bidi="ar"/>
        </w:rPr>
        <w:tab/>
      </w:r>
      <w:r>
        <w:rPr>
          <w:rFonts w:hint="eastAsia"/>
          <w:szCs w:val="21"/>
          <w:lang w:bidi="ar"/>
        </w:rPr>
        <w:tab/>
      </w:r>
      <w:r>
        <w:rPr>
          <w:rFonts w:hint="eastAsia"/>
          <w:szCs w:val="21"/>
          <w:lang w:bidi="ar"/>
        </w:rPr>
        <w:tab/>
      </w:r>
      <w:r>
        <w:rPr>
          <w:rFonts w:hint="eastAsia"/>
          <w:szCs w:val="21"/>
          <w:lang w:bidi="ar"/>
        </w:rPr>
        <w:tab/>
      </w:r>
      <w:r>
        <w:rPr>
          <w:rFonts w:hint="eastAsia"/>
          <w:szCs w:val="21"/>
          <w:lang w:bidi="ar"/>
        </w:rPr>
        <w:tab/>
      </w:r>
      <w:r>
        <w:rPr>
          <w:rFonts w:hint="eastAsia"/>
          <w:szCs w:val="21"/>
          <w:lang w:bidi="ar"/>
        </w:rPr>
        <w:tab/>
      </w:r>
      <w:r>
        <w:rPr>
          <w:rFonts w:hint="eastAsia"/>
          <w:szCs w:val="21"/>
          <w:lang w:bidi="ar"/>
        </w:rPr>
        <w:t>6-2</w:t>
      </w:r>
    </w:p>
    <w:p>
      <w:pPr>
        <w:adjustRightInd w:val="0"/>
        <w:snapToGrid w:val="0"/>
        <w:spacing w:line="360" w:lineRule="auto"/>
        <w:ind w:firstLine="420" w:firstLineChars="200"/>
        <w:rPr>
          <w:rFonts w:hint="eastAsia"/>
          <w:szCs w:val="21"/>
          <w:lang w:bidi="ar"/>
        </w:rPr>
      </w:pPr>
      <w:r>
        <w:rPr>
          <w:rFonts w:hint="eastAsia"/>
          <w:szCs w:val="21"/>
          <w:lang w:bidi="ar"/>
        </w:rPr>
        <w:t>其中：k表示不同的考核方式，i表示不同的分课程目标；</w:t>
      </w:r>
    </w:p>
    <w:p>
      <w:pPr>
        <w:adjustRightInd w:val="0"/>
        <w:snapToGrid w:val="0"/>
        <w:spacing w:line="360" w:lineRule="auto"/>
        <w:ind w:firstLine="420" w:firstLineChars="200"/>
        <w:rPr>
          <w:rFonts w:hint="eastAsia"/>
          <w:szCs w:val="21"/>
          <w:lang w:bidi="ar"/>
        </w:rPr>
      </w:pPr>
      <w:r>
        <w:rPr>
          <w:rFonts w:hint="eastAsia"/>
          <w:szCs w:val="21"/>
          <w:lang w:bidi="ar"/>
        </w:rPr>
        <w:object>
          <v:shape id="_x0000_i1169" o:spt="75" type="#_x0000_t75" style="height:16pt;width:13.5pt;" o:ole="t" filled="f" o:preferrelative="t" stroked="f" coordsize="21600,21600">
            <v:path/>
            <v:fill on="f" focussize="0,0"/>
            <v:stroke on="f" joinstyle="miter"/>
            <v:imagedata r:id="rId300" o:title=""/>
            <o:lock v:ext="edit" aspectratio="t"/>
            <w10:wrap type="none"/>
            <w10:anchorlock/>
          </v:shape>
          <o:OLEObject Type="Embed" ProgID="Equation.3" ShapeID="_x0000_i1169" DrawAspect="Content" ObjectID="_1468075869" r:id="rId311">
            <o:LockedField>false</o:LockedField>
          </o:OLEObject>
        </w:object>
      </w:r>
      <w:r>
        <w:rPr>
          <w:rFonts w:hint="eastAsia"/>
          <w:szCs w:val="21"/>
          <w:lang w:bidi="ar"/>
        </w:rPr>
        <w:t>表示第i个课程目标中第k种考核方式在总成绩中的占比；</w:t>
      </w:r>
    </w:p>
    <w:p>
      <w:pPr>
        <w:adjustRightInd w:val="0"/>
        <w:snapToGrid w:val="0"/>
        <w:spacing w:line="360" w:lineRule="auto"/>
        <w:ind w:firstLine="420" w:firstLineChars="200"/>
        <w:rPr>
          <w:rFonts w:hint="eastAsia"/>
          <w:szCs w:val="21"/>
          <w:lang w:bidi="ar"/>
        </w:rPr>
      </w:pPr>
      <w:r>
        <w:rPr>
          <w:rFonts w:hint="eastAsia"/>
          <w:szCs w:val="21"/>
          <w:lang w:bidi="ar"/>
        </w:rPr>
        <w:object>
          <v:shape id="_x0000_i1170" o:spt="75" type="#_x0000_t75" style="height:15pt;width:10.5pt;" o:ole="t" filled="f" o:preferrelative="t" stroked="f" coordsize="21600,21600">
            <v:path/>
            <v:fill on="f" focussize="0,0"/>
            <v:stroke on="f" joinstyle="miter"/>
            <v:imagedata r:id="rId155" o:title=""/>
            <o:lock v:ext="edit" aspectratio="t"/>
            <w10:wrap type="none"/>
            <w10:anchorlock/>
          </v:shape>
          <o:OLEObject Type="Embed" ProgID="Equation.3" ShapeID="_x0000_i1170" DrawAspect="Content" ObjectID="_1468075870" r:id="rId312">
            <o:LockedField>false</o:LockedField>
          </o:OLEObject>
        </w:object>
      </w:r>
      <w:r>
        <w:rPr>
          <w:rFonts w:hint="eastAsia"/>
          <w:szCs w:val="21"/>
          <w:lang w:bidi="ar"/>
        </w:rPr>
        <w:t>表示第i个课程目标在课程总评价中的占比；</w:t>
      </w:r>
    </w:p>
    <w:p>
      <w:pPr>
        <w:adjustRightInd w:val="0"/>
        <w:snapToGrid w:val="0"/>
        <w:spacing w:line="360" w:lineRule="auto"/>
        <w:ind w:firstLine="420" w:firstLineChars="200"/>
        <w:rPr>
          <w:rFonts w:hint="eastAsia"/>
          <w:szCs w:val="21"/>
          <w:lang w:bidi="ar"/>
        </w:rPr>
      </w:pPr>
      <w:r>
        <w:rPr>
          <w:rFonts w:hint="eastAsia"/>
          <w:szCs w:val="21"/>
          <w:lang w:bidi="ar"/>
        </w:rPr>
        <w:t>Gik表示第k种考核方式支撑第i个课程目标的达成度（第k种考核方式支撑第i个课程目标的学生得分平均值除以第k种考核方式支撑第i个课程目标的总分值）。</w:t>
      </w:r>
    </w:p>
    <w:p>
      <w:pPr>
        <w:adjustRightInd w:val="0"/>
        <w:snapToGrid w:val="0"/>
        <w:spacing w:line="360" w:lineRule="auto"/>
        <w:ind w:firstLine="422" w:firstLineChars="200"/>
        <w:rPr>
          <w:rFonts w:hint="eastAsia"/>
          <w:b/>
          <w:bCs/>
          <w:szCs w:val="21"/>
          <w:lang w:bidi="ar"/>
        </w:rPr>
      </w:pPr>
      <w:r>
        <w:rPr>
          <w:rFonts w:hint="eastAsia"/>
          <w:b/>
          <w:bCs/>
          <w:szCs w:val="21"/>
          <w:lang w:bidi="ar"/>
        </w:rPr>
        <w:t>3、定性评价</w:t>
      </w:r>
    </w:p>
    <w:p>
      <w:pPr>
        <w:adjustRightInd w:val="0"/>
        <w:snapToGrid w:val="0"/>
        <w:spacing w:line="360" w:lineRule="auto"/>
        <w:ind w:firstLine="420" w:firstLineChars="200"/>
        <w:rPr>
          <w:rFonts w:hint="eastAsia"/>
          <w:szCs w:val="21"/>
          <w:lang w:bidi="ar"/>
        </w:rPr>
      </w:pPr>
      <w:r>
        <w:rPr>
          <w:rFonts w:hint="eastAsia"/>
          <w:szCs w:val="21"/>
          <w:lang w:bidi="ar"/>
        </w:rPr>
        <w:t>针对每门课的课程目标，直接设计问题，并要求学生明确给出目标能力达到的程度“很好（0.95）、较好（0.75）、中（0.60）、较差（0.45）、很差（0.25）”，根据各区段统计比例与括号中的目标分值加权后求和得出定性评价的结果。</w:t>
      </w:r>
    </w:p>
    <w:p>
      <w:pPr>
        <w:adjustRightInd w:val="0"/>
        <w:snapToGrid w:val="0"/>
        <w:spacing w:line="360" w:lineRule="auto"/>
        <w:ind w:firstLine="422" w:firstLineChars="200"/>
        <w:rPr>
          <w:b/>
          <w:bCs/>
          <w:szCs w:val="21"/>
          <w:lang w:bidi="ar"/>
        </w:rPr>
      </w:pPr>
      <w:r>
        <w:rPr>
          <w:rFonts w:hint="eastAsia"/>
          <w:b/>
          <w:bCs/>
          <w:szCs w:val="21"/>
          <w:lang w:bidi="ar"/>
        </w:rPr>
        <w:t>4、定性评价和定量评价结果的综合</w:t>
      </w:r>
    </w:p>
    <w:p>
      <w:pPr>
        <w:adjustRightInd w:val="0"/>
        <w:snapToGrid w:val="0"/>
        <w:spacing w:line="360" w:lineRule="auto"/>
        <w:ind w:firstLine="420" w:firstLineChars="200"/>
        <w:rPr>
          <w:rFonts w:hint="eastAsia"/>
          <w:szCs w:val="21"/>
          <w:lang w:bidi="ar"/>
        </w:rPr>
      </w:pPr>
      <w:r>
        <w:rPr>
          <w:rFonts w:hint="eastAsia"/>
          <w:szCs w:val="21"/>
          <w:lang w:bidi="ar"/>
        </w:rPr>
        <w:t>同一课程目标的评价，取定性评价和定量评价的平均值，作为最终评价结果。</w:t>
      </w:r>
    </w:p>
    <w:p>
      <w:pPr>
        <w:adjustRightInd w:val="0"/>
        <w:snapToGrid w:val="0"/>
        <w:spacing w:before="156" w:beforeLines="50" w:line="360" w:lineRule="auto"/>
        <w:rPr>
          <w:rFonts w:hint="eastAsia" w:eastAsia="黑体"/>
          <w:szCs w:val="21"/>
        </w:rPr>
      </w:pPr>
      <w:r>
        <w:rPr>
          <w:rFonts w:hint="eastAsia" w:eastAsia="黑体"/>
          <w:szCs w:val="21"/>
        </w:rPr>
        <w:t>七、评价标准：</w:t>
      </w:r>
    </w:p>
    <w:p>
      <w:pPr>
        <w:adjustRightInd w:val="0"/>
        <w:snapToGrid w:val="0"/>
        <w:spacing w:line="360" w:lineRule="auto"/>
        <w:ind w:firstLine="420" w:firstLineChars="200"/>
        <w:rPr>
          <w:rFonts w:hint="eastAsia"/>
          <w:szCs w:val="21"/>
          <w:lang w:bidi="ar"/>
        </w:rPr>
      </w:pPr>
      <w:r>
        <w:rPr>
          <w:rFonts w:hint="eastAsia"/>
          <w:szCs w:val="21"/>
          <w:lang w:bidi="ar"/>
        </w:rPr>
        <w:t>本课程允许教师在各评价环节根据具体情况采取多样化、个性化的考核手段，其评价标准应当在《SIE-CT-01：授课计划》中明确并向学生公布，教学过程中的考核评价应当严格按照标准完成。</w:t>
      </w:r>
    </w:p>
    <w:p>
      <w:pPr>
        <w:adjustRightInd w:val="0"/>
        <w:snapToGrid w:val="0"/>
        <w:spacing w:before="156" w:beforeLines="50" w:line="360" w:lineRule="auto"/>
        <w:rPr>
          <w:rFonts w:hint="eastAsia" w:eastAsia="黑体"/>
          <w:szCs w:val="21"/>
        </w:rPr>
      </w:pPr>
      <w:r>
        <w:rPr>
          <w:rFonts w:hint="eastAsia" w:eastAsia="黑体"/>
          <w:szCs w:val="21"/>
        </w:rPr>
        <w:t>八、课程目标达成评价结果用于持续改进</w:t>
      </w:r>
    </w:p>
    <w:p>
      <w:pPr>
        <w:adjustRightInd w:val="0"/>
        <w:snapToGrid w:val="0"/>
        <w:spacing w:line="360" w:lineRule="auto"/>
        <w:ind w:firstLine="420" w:firstLineChars="200"/>
        <w:rPr>
          <w:rFonts w:hint="eastAsia"/>
          <w:szCs w:val="21"/>
          <w:lang w:bidi="ar"/>
        </w:rPr>
      </w:pPr>
      <w:r>
        <w:rPr>
          <w:rFonts w:hint="eastAsia"/>
          <w:szCs w:val="21"/>
          <w:lang w:bidi="ar"/>
        </w:rPr>
        <w:t>课程目标达成评价结果将用于后续教学过程的持续改进。</w:t>
      </w:r>
    </w:p>
    <w:p>
      <w:pPr>
        <w:adjustRightInd w:val="0"/>
        <w:snapToGrid w:val="0"/>
        <w:spacing w:line="360" w:lineRule="auto"/>
        <w:ind w:firstLine="420" w:firstLineChars="200"/>
        <w:rPr>
          <w:rFonts w:hint="eastAsia"/>
          <w:szCs w:val="21"/>
          <w:lang w:bidi="ar"/>
        </w:rPr>
      </w:pPr>
      <w:r>
        <w:rPr>
          <w:rFonts w:hint="eastAsia"/>
          <w:szCs w:val="21"/>
          <w:lang w:bidi="ar"/>
        </w:rPr>
        <w:t>针对课程目标达成评价中发现的问题与不足，重点是达成值相对较低的项，在本次授课总结中应由授课教师分析具体原因，并给出改进建议。后续任课教师应当针对以前的问题和建议，在授课计划中做好落实改进计划，并在授课过程中予以落实。</w:t>
      </w:r>
    </w:p>
    <w:p>
      <w:pPr>
        <w:adjustRightInd w:val="0"/>
        <w:snapToGrid w:val="0"/>
        <w:spacing w:before="156" w:beforeLines="50" w:line="360" w:lineRule="auto"/>
        <w:rPr>
          <w:rFonts w:hint="eastAsia" w:eastAsia="黑体"/>
          <w:szCs w:val="21"/>
        </w:rPr>
      </w:pPr>
      <w:r>
        <w:rPr>
          <w:rFonts w:hint="eastAsia" w:eastAsia="黑体"/>
          <w:szCs w:val="21"/>
        </w:rPr>
        <w:t>九、覆盖课程目标达成评价的知识点及权重</w:t>
      </w:r>
    </w:p>
    <w:p>
      <w:pPr>
        <w:jc w:val="center"/>
        <w:rPr>
          <w:rFonts w:hint="eastAsia" w:eastAsia="黑体"/>
          <w:szCs w:val="21"/>
          <w:highlight w:val="yellow"/>
        </w:rPr>
      </w:pPr>
      <w:r>
        <w:rPr>
          <w:b/>
          <w:bCs/>
          <w:sz w:val="18"/>
          <w:szCs w:val="18"/>
        </w:rPr>
        <w:t>表</w:t>
      </w:r>
      <w:r>
        <w:rPr>
          <w:rFonts w:hint="eastAsia"/>
          <w:b/>
          <w:bCs/>
          <w:sz w:val="18"/>
          <w:szCs w:val="18"/>
        </w:rPr>
        <w:t xml:space="preserve">9.1   </w:t>
      </w:r>
      <w:r>
        <w:rPr>
          <w:b/>
          <w:bCs/>
          <w:sz w:val="18"/>
          <w:szCs w:val="18"/>
        </w:rPr>
        <w:t>各考核方式对课程目标达成评价的</w:t>
      </w:r>
      <w:r>
        <w:rPr>
          <w:rFonts w:hint="eastAsia"/>
          <w:b/>
          <w:bCs/>
          <w:sz w:val="18"/>
          <w:szCs w:val="18"/>
        </w:rPr>
        <w:t>权重</w:t>
      </w:r>
      <w:r>
        <w:rPr>
          <w:b/>
          <w:bCs/>
          <w:sz w:val="18"/>
          <w:szCs w:val="18"/>
        </w:rPr>
        <w:t>占比分配</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5"/>
        <w:gridCol w:w="1666"/>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5" w:type="pct"/>
            <w:tcBorders>
              <w:bottom w:val="single" w:color="auto" w:sz="4" w:space="0"/>
              <w:right w:val="single" w:color="auto" w:sz="4" w:space="0"/>
            </w:tcBorders>
            <w:vAlign w:val="center"/>
          </w:tcPr>
          <w:p>
            <w:pPr>
              <w:jc w:val="center"/>
              <w:rPr>
                <w:sz w:val="18"/>
                <w:szCs w:val="18"/>
                <w:highlight w:val="yellow"/>
              </w:rPr>
            </w:pPr>
            <w:r>
              <w:rPr>
                <w:rFonts w:hint="eastAsia" w:cs="宋体"/>
                <w:sz w:val="18"/>
                <w:szCs w:val="18"/>
                <w:lang w:bidi="ar"/>
              </w:rPr>
              <w:t>知识点</w:t>
            </w:r>
          </w:p>
        </w:tc>
        <w:tc>
          <w:tcPr>
            <w:tcW w:w="897" w:type="pct"/>
            <w:tcBorders>
              <w:left w:val="single" w:color="auto" w:sz="4" w:space="0"/>
              <w:bottom w:val="single" w:color="auto" w:sz="4" w:space="0"/>
              <w:right w:val="single" w:color="auto" w:sz="4" w:space="0"/>
            </w:tcBorders>
            <w:vAlign w:val="center"/>
          </w:tcPr>
          <w:p>
            <w:pPr>
              <w:jc w:val="center"/>
              <w:rPr>
                <w:sz w:val="18"/>
                <w:szCs w:val="18"/>
              </w:rPr>
            </w:pPr>
            <w:r>
              <w:rPr>
                <w:rFonts w:hint="eastAsia" w:cs="宋体"/>
                <w:sz w:val="18"/>
                <w:szCs w:val="18"/>
                <w:lang w:bidi="ar"/>
              </w:rPr>
              <w:t>权重</w:t>
            </w:r>
          </w:p>
        </w:tc>
        <w:tc>
          <w:tcPr>
            <w:tcW w:w="1047" w:type="pct"/>
            <w:tcBorders>
              <w:left w:val="single" w:color="auto" w:sz="4" w:space="0"/>
              <w:bottom w:val="single" w:color="auto" w:sz="4" w:space="0"/>
            </w:tcBorders>
            <w:vAlign w:val="center"/>
          </w:tcPr>
          <w:p>
            <w:pPr>
              <w:jc w:val="center"/>
              <w:rPr>
                <w:sz w:val="18"/>
                <w:szCs w:val="18"/>
              </w:rPr>
            </w:pPr>
            <w:r>
              <w:rPr>
                <w:rFonts w:hint="eastAsia" w:cs="宋体"/>
                <w:sz w:val="18"/>
                <w:szCs w:val="18"/>
                <w:lang w:bidi="ar"/>
              </w:rPr>
              <w:t>支撑课程目标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5" w:type="dxa"/>
            <w:tcBorders>
              <w:top w:val="single" w:color="auto" w:sz="4" w:space="0"/>
              <w:bottom w:val="single" w:color="auto" w:sz="4" w:space="0"/>
              <w:right w:val="single" w:color="auto" w:sz="4" w:space="0"/>
            </w:tcBorders>
            <w:vAlign w:val="center"/>
          </w:tcPr>
          <w:p>
            <w:pPr>
              <w:rPr>
                <w:snapToGrid w:val="0"/>
                <w:kern w:val="0"/>
                <w:sz w:val="18"/>
                <w:szCs w:val="18"/>
              </w:rPr>
            </w:pPr>
            <w:r>
              <w:rPr>
                <w:rFonts w:hint="eastAsia"/>
                <w:sz w:val="18"/>
                <w:szCs w:val="18"/>
              </w:rPr>
              <w:t>1、智能控制技术的特点、基本概念与原理</w:t>
            </w:r>
          </w:p>
        </w:tc>
        <w:tc>
          <w:tcPr>
            <w:tcW w:w="166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0.</w:t>
            </w:r>
            <w:r>
              <w:rPr>
                <w:sz w:val="18"/>
                <w:szCs w:val="18"/>
              </w:rPr>
              <w:t>10</w:t>
            </w:r>
          </w:p>
        </w:tc>
        <w:tc>
          <w:tcPr>
            <w:tcW w:w="1945" w:type="dxa"/>
            <w:tcBorders>
              <w:top w:val="single" w:color="auto" w:sz="4" w:space="0"/>
              <w:left w:val="single" w:color="auto" w:sz="4" w:space="0"/>
              <w:bottom w:val="single" w:color="auto" w:sz="4" w:space="0"/>
            </w:tcBorders>
            <w:vAlign w:val="center"/>
          </w:tcPr>
          <w:p>
            <w:pPr>
              <w:jc w:val="center"/>
              <w:rPr>
                <w:sz w:val="18"/>
                <w:szCs w:val="18"/>
              </w:rPr>
            </w:pPr>
            <w:r>
              <w:rPr>
                <w:rFonts w:hint="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5" w:type="dxa"/>
            <w:tcBorders>
              <w:top w:val="single" w:color="auto" w:sz="4" w:space="0"/>
              <w:bottom w:val="single" w:color="auto" w:sz="4" w:space="0"/>
              <w:right w:val="single" w:color="auto" w:sz="4" w:space="0"/>
            </w:tcBorders>
            <w:vAlign w:val="center"/>
          </w:tcPr>
          <w:p>
            <w:pPr>
              <w:rPr>
                <w:snapToGrid w:val="0"/>
                <w:kern w:val="0"/>
                <w:sz w:val="18"/>
                <w:szCs w:val="18"/>
              </w:rPr>
            </w:pPr>
            <w:r>
              <w:rPr>
                <w:rFonts w:hint="eastAsia"/>
                <w:sz w:val="18"/>
                <w:szCs w:val="18"/>
              </w:rPr>
              <w:t>2、MATLAB仿真软件的使用；</w:t>
            </w:r>
          </w:p>
        </w:tc>
        <w:tc>
          <w:tcPr>
            <w:tcW w:w="1666"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8"/>
                <w:szCs w:val="18"/>
              </w:rPr>
            </w:pPr>
            <w:r>
              <w:rPr>
                <w:rFonts w:hint="eastAsia"/>
                <w:sz w:val="18"/>
                <w:szCs w:val="18"/>
              </w:rPr>
              <w:t>0.</w:t>
            </w:r>
            <w:r>
              <w:rPr>
                <w:sz w:val="18"/>
                <w:szCs w:val="18"/>
              </w:rPr>
              <w:t>1</w:t>
            </w:r>
            <w:r>
              <w:rPr>
                <w:rFonts w:hint="eastAsia"/>
                <w:sz w:val="18"/>
                <w:szCs w:val="18"/>
              </w:rPr>
              <w:t>0</w:t>
            </w:r>
          </w:p>
        </w:tc>
        <w:tc>
          <w:tcPr>
            <w:tcW w:w="1945" w:type="dxa"/>
            <w:tcBorders>
              <w:top w:val="single" w:color="auto" w:sz="4" w:space="0"/>
              <w:left w:val="single" w:color="auto" w:sz="4" w:space="0"/>
              <w:bottom w:val="single" w:color="auto" w:sz="4" w:space="0"/>
            </w:tcBorders>
            <w:vAlign w:val="center"/>
          </w:tcPr>
          <w:p>
            <w:pPr>
              <w:jc w:val="center"/>
              <w:rPr>
                <w:sz w:val="18"/>
                <w:szCs w:val="18"/>
              </w:rPr>
            </w:pPr>
            <w:r>
              <w:rPr>
                <w:rFonts w:hint="eastAsia"/>
                <w:sz w:val="18"/>
                <w:szCs w:val="1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5" w:type="dxa"/>
            <w:tcBorders>
              <w:top w:val="single" w:color="auto" w:sz="4" w:space="0"/>
              <w:bottom w:val="single" w:color="auto" w:sz="4" w:space="0"/>
              <w:right w:val="single" w:color="auto" w:sz="4" w:space="0"/>
            </w:tcBorders>
            <w:vAlign w:val="center"/>
          </w:tcPr>
          <w:p>
            <w:pPr>
              <w:rPr>
                <w:kern w:val="0"/>
                <w:sz w:val="18"/>
                <w:szCs w:val="18"/>
              </w:rPr>
            </w:pPr>
            <w:r>
              <w:rPr>
                <w:rFonts w:hint="eastAsia"/>
                <w:sz w:val="18"/>
                <w:szCs w:val="18"/>
              </w:rPr>
              <w:t>3、经典控制理论；</w:t>
            </w:r>
          </w:p>
        </w:tc>
        <w:tc>
          <w:tcPr>
            <w:tcW w:w="166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0.30</w:t>
            </w:r>
          </w:p>
        </w:tc>
        <w:tc>
          <w:tcPr>
            <w:tcW w:w="1945" w:type="dxa"/>
            <w:tcBorders>
              <w:top w:val="single" w:color="auto" w:sz="4" w:space="0"/>
              <w:left w:val="single" w:color="auto" w:sz="4" w:space="0"/>
              <w:bottom w:val="single" w:color="auto" w:sz="4" w:space="0"/>
            </w:tcBorders>
            <w:vAlign w:val="center"/>
          </w:tcPr>
          <w:p>
            <w:pPr>
              <w:jc w:val="center"/>
              <w:rPr>
                <w:sz w:val="18"/>
                <w:szCs w:val="18"/>
              </w:rPr>
            </w:pPr>
            <w:r>
              <w:rPr>
                <w:rFonts w:hint="eastAsia"/>
                <w:sz w:val="18"/>
                <w:szCs w:val="1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5" w:type="dxa"/>
            <w:tcBorders>
              <w:top w:val="single" w:color="auto" w:sz="4" w:space="0"/>
              <w:bottom w:val="single" w:color="auto" w:sz="4" w:space="0"/>
              <w:right w:val="single" w:color="auto" w:sz="4" w:space="0"/>
            </w:tcBorders>
            <w:vAlign w:val="center"/>
          </w:tcPr>
          <w:p>
            <w:pPr>
              <w:rPr>
                <w:kern w:val="0"/>
                <w:sz w:val="18"/>
                <w:szCs w:val="18"/>
              </w:rPr>
            </w:pPr>
            <w:r>
              <w:rPr>
                <w:rFonts w:hint="eastAsia"/>
                <w:sz w:val="18"/>
                <w:szCs w:val="18"/>
              </w:rPr>
              <w:t>4、模糊控制理论基础；</w:t>
            </w:r>
          </w:p>
        </w:tc>
        <w:tc>
          <w:tcPr>
            <w:tcW w:w="166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0.15</w:t>
            </w:r>
          </w:p>
        </w:tc>
        <w:tc>
          <w:tcPr>
            <w:tcW w:w="1945" w:type="dxa"/>
            <w:tcBorders>
              <w:top w:val="single" w:color="auto" w:sz="4" w:space="0"/>
              <w:left w:val="single" w:color="auto" w:sz="4" w:space="0"/>
              <w:bottom w:val="single" w:color="auto" w:sz="4" w:space="0"/>
            </w:tcBorders>
            <w:vAlign w:val="center"/>
          </w:tcPr>
          <w:p>
            <w:pPr>
              <w:jc w:val="center"/>
              <w:rPr>
                <w:sz w:val="18"/>
                <w:szCs w:val="18"/>
              </w:rPr>
            </w:pPr>
            <w:r>
              <w:rPr>
                <w:rFonts w:hint="eastAsia"/>
                <w:sz w:val="18"/>
                <w:szCs w:val="1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5" w:type="dxa"/>
            <w:tcBorders>
              <w:top w:val="single" w:color="auto" w:sz="4" w:space="0"/>
              <w:bottom w:val="single" w:color="auto" w:sz="4" w:space="0"/>
              <w:right w:val="single" w:color="auto" w:sz="4" w:space="0"/>
            </w:tcBorders>
            <w:vAlign w:val="center"/>
          </w:tcPr>
          <w:p>
            <w:pPr>
              <w:rPr>
                <w:kern w:val="0"/>
                <w:sz w:val="18"/>
                <w:szCs w:val="18"/>
              </w:rPr>
            </w:pPr>
            <w:r>
              <w:rPr>
                <w:rFonts w:hint="eastAsia"/>
                <w:sz w:val="18"/>
                <w:szCs w:val="18"/>
              </w:rPr>
              <w:t>5、模糊控制器；</w:t>
            </w:r>
          </w:p>
        </w:tc>
        <w:tc>
          <w:tcPr>
            <w:tcW w:w="166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0.10</w:t>
            </w:r>
          </w:p>
        </w:tc>
        <w:tc>
          <w:tcPr>
            <w:tcW w:w="1945" w:type="dxa"/>
            <w:tcBorders>
              <w:top w:val="single" w:color="auto" w:sz="4" w:space="0"/>
              <w:left w:val="single" w:color="auto" w:sz="4" w:space="0"/>
              <w:bottom w:val="single" w:color="auto" w:sz="4" w:space="0"/>
            </w:tcBorders>
            <w:vAlign w:val="center"/>
          </w:tcPr>
          <w:p>
            <w:pPr>
              <w:jc w:val="center"/>
              <w:rPr>
                <w:sz w:val="18"/>
                <w:szCs w:val="18"/>
              </w:rPr>
            </w:pPr>
            <w:r>
              <w:rPr>
                <w:rFonts w:hint="eastAsia"/>
                <w:sz w:val="18"/>
                <w:szCs w:val="1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5" w:type="dxa"/>
            <w:tcBorders>
              <w:top w:val="single" w:color="auto" w:sz="4" w:space="0"/>
              <w:bottom w:val="single" w:color="auto" w:sz="4" w:space="0"/>
              <w:right w:val="single" w:color="auto" w:sz="4" w:space="0"/>
            </w:tcBorders>
            <w:vAlign w:val="center"/>
          </w:tcPr>
          <w:p>
            <w:pPr>
              <w:rPr>
                <w:kern w:val="0"/>
                <w:sz w:val="18"/>
                <w:szCs w:val="18"/>
              </w:rPr>
            </w:pPr>
            <w:r>
              <w:rPr>
                <w:rFonts w:hint="eastAsia"/>
                <w:sz w:val="18"/>
                <w:szCs w:val="18"/>
              </w:rPr>
              <w:t>6、人工神经网络基础；</w:t>
            </w:r>
          </w:p>
        </w:tc>
        <w:tc>
          <w:tcPr>
            <w:tcW w:w="1666"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8"/>
                <w:szCs w:val="18"/>
              </w:rPr>
            </w:pPr>
            <w:r>
              <w:rPr>
                <w:rFonts w:hint="eastAsia"/>
                <w:sz w:val="18"/>
                <w:szCs w:val="18"/>
              </w:rPr>
              <w:t>0.15</w:t>
            </w:r>
          </w:p>
        </w:tc>
        <w:tc>
          <w:tcPr>
            <w:tcW w:w="1945" w:type="dxa"/>
            <w:tcBorders>
              <w:top w:val="single" w:color="auto" w:sz="4" w:space="0"/>
              <w:left w:val="single" w:color="auto" w:sz="4" w:space="0"/>
              <w:bottom w:val="single" w:color="auto" w:sz="4" w:space="0"/>
            </w:tcBorders>
            <w:vAlign w:val="center"/>
          </w:tcPr>
          <w:p>
            <w:pPr>
              <w:jc w:val="center"/>
              <w:rPr>
                <w:sz w:val="18"/>
                <w:szCs w:val="18"/>
              </w:rPr>
            </w:pPr>
            <w:r>
              <w:rPr>
                <w:rFonts w:hint="eastAsia"/>
                <w:sz w:val="18"/>
                <w:szCs w:val="1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5" w:type="dxa"/>
            <w:tcBorders>
              <w:top w:val="single" w:color="auto" w:sz="4" w:space="0"/>
              <w:right w:val="single" w:color="auto" w:sz="4" w:space="0"/>
            </w:tcBorders>
            <w:vAlign w:val="center"/>
          </w:tcPr>
          <w:p>
            <w:pPr>
              <w:rPr>
                <w:kern w:val="0"/>
                <w:sz w:val="18"/>
                <w:szCs w:val="18"/>
              </w:rPr>
            </w:pPr>
            <w:r>
              <w:rPr>
                <w:rFonts w:hint="eastAsia"/>
                <w:sz w:val="18"/>
                <w:szCs w:val="18"/>
              </w:rPr>
              <w:t>7、人工神经网络控制器。</w:t>
            </w:r>
          </w:p>
        </w:tc>
        <w:tc>
          <w:tcPr>
            <w:tcW w:w="1666" w:type="dxa"/>
            <w:tcBorders>
              <w:top w:val="single" w:color="auto" w:sz="4" w:space="0"/>
              <w:left w:val="single" w:color="auto" w:sz="4" w:space="0"/>
              <w:right w:val="single" w:color="auto" w:sz="4" w:space="0"/>
            </w:tcBorders>
            <w:vAlign w:val="center"/>
          </w:tcPr>
          <w:p>
            <w:pPr>
              <w:jc w:val="center"/>
              <w:rPr>
                <w:rFonts w:hint="eastAsia"/>
                <w:sz w:val="18"/>
                <w:szCs w:val="18"/>
              </w:rPr>
            </w:pPr>
            <w:r>
              <w:rPr>
                <w:rFonts w:hint="eastAsia"/>
                <w:sz w:val="18"/>
                <w:szCs w:val="18"/>
              </w:rPr>
              <w:t>0.</w:t>
            </w:r>
            <w:r>
              <w:rPr>
                <w:sz w:val="18"/>
                <w:szCs w:val="18"/>
              </w:rPr>
              <w:t>1</w:t>
            </w:r>
            <w:r>
              <w:rPr>
                <w:rFonts w:hint="eastAsia"/>
                <w:sz w:val="18"/>
                <w:szCs w:val="18"/>
              </w:rPr>
              <w:t>0</w:t>
            </w:r>
          </w:p>
        </w:tc>
        <w:tc>
          <w:tcPr>
            <w:tcW w:w="1945" w:type="dxa"/>
            <w:tcBorders>
              <w:top w:val="single" w:color="auto" w:sz="4" w:space="0"/>
              <w:left w:val="single" w:color="auto" w:sz="4" w:space="0"/>
            </w:tcBorders>
            <w:vAlign w:val="center"/>
          </w:tcPr>
          <w:p>
            <w:pPr>
              <w:jc w:val="center"/>
              <w:rPr>
                <w:sz w:val="18"/>
                <w:szCs w:val="18"/>
              </w:rPr>
            </w:pPr>
            <w:r>
              <w:rPr>
                <w:rFonts w:hint="eastAsia"/>
                <w:sz w:val="18"/>
                <w:szCs w:val="18"/>
              </w:rPr>
              <w:t>2、3</w:t>
            </w:r>
          </w:p>
        </w:tc>
      </w:tr>
    </w:tbl>
    <w:p>
      <w:pPr>
        <w:adjustRightInd w:val="0"/>
        <w:snapToGrid w:val="0"/>
        <w:spacing w:line="360" w:lineRule="auto"/>
        <w:ind w:firstLine="420" w:firstLineChars="200"/>
        <w:rPr>
          <w:rFonts w:hint="eastAsia"/>
          <w:szCs w:val="21"/>
          <w:highlight w:val="yellow"/>
          <w:lang w:bidi="ar"/>
        </w:rPr>
      </w:pPr>
    </w:p>
    <w:p>
      <w:pPr>
        <w:adjustRightInd w:val="0"/>
        <w:snapToGrid w:val="0"/>
        <w:spacing w:line="360" w:lineRule="auto"/>
        <w:ind w:firstLine="420" w:firstLineChars="200"/>
        <w:rPr>
          <w:szCs w:val="21"/>
          <w:highlight w:val="yellow"/>
          <w:lang w:bidi="ar"/>
        </w:rPr>
      </w:pPr>
      <w:r>
        <w:rPr>
          <w:rFonts w:hint="eastAsia"/>
          <w:szCs w:val="21"/>
          <w:lang w:bidi="ar"/>
        </w:rPr>
        <w:t>学生可以依据仪器与电子学院相关文件，以允许的第二课堂成果折算单项成绩，与对应知识点加权累计达到</w:t>
      </w:r>
      <w:r>
        <w:rPr>
          <w:szCs w:val="21"/>
          <w:lang w:bidi="ar"/>
        </w:rPr>
        <w:t>75</w:t>
      </w:r>
      <w:r>
        <w:rPr>
          <w:rFonts w:hint="eastAsia"/>
          <w:szCs w:val="21"/>
          <w:lang w:bidi="ar"/>
        </w:rPr>
        <w:t>分（含）以上，且对所有课程目标的支撑不能有缺项，即可申请本门课程免修。</w:t>
      </w:r>
    </w:p>
    <w:p>
      <w:pPr>
        <w:adjustRightInd w:val="0"/>
        <w:snapToGrid w:val="0"/>
        <w:spacing w:before="156" w:beforeLines="50" w:line="360" w:lineRule="auto"/>
        <w:rPr>
          <w:rFonts w:hint="eastAsia" w:eastAsia="黑体"/>
          <w:szCs w:val="21"/>
        </w:rPr>
      </w:pPr>
      <w:r>
        <w:rPr>
          <w:rFonts w:hint="eastAsia" w:eastAsia="黑体"/>
          <w:szCs w:val="21"/>
        </w:rPr>
        <w:t>八、参考书目及学习资料</w:t>
      </w:r>
    </w:p>
    <w:p>
      <w:pPr>
        <w:numPr>
          <w:ilvl w:val="0"/>
          <w:numId w:val="17"/>
        </w:numPr>
        <w:spacing w:line="360" w:lineRule="auto"/>
        <w:ind w:firstLine="420"/>
        <w:rPr>
          <w:rFonts w:hint="eastAsia" w:hAnsi="宋体"/>
          <w:color w:val="000000"/>
          <w:szCs w:val="21"/>
        </w:rPr>
      </w:pPr>
      <w:r>
        <w:fldChar w:fldCharType="begin"/>
      </w:r>
      <w:r>
        <w:instrText xml:space="preserve"> HYPERLINK "http://search.dangdang.com/?key2=%D1%EE%E6%BC&amp;medium=01&amp;category_path=01.00.00.00.00.00" \t "http://product.dangdang.com/_blank" </w:instrText>
      </w:r>
      <w:r>
        <w:fldChar w:fldCharType="separate"/>
      </w:r>
      <w:r>
        <w:rPr>
          <w:rFonts w:hint="eastAsia" w:hAnsi="宋体"/>
          <w:color w:val="000000"/>
          <w:szCs w:val="21"/>
        </w:rPr>
        <w:t>杨婕</w:t>
      </w:r>
      <w:r>
        <w:rPr>
          <w:rFonts w:hint="eastAsia" w:hAnsi="宋体"/>
          <w:color w:val="000000"/>
          <w:szCs w:val="21"/>
        </w:rPr>
        <w:fldChar w:fldCharType="end"/>
      </w:r>
      <w:r>
        <w:rPr>
          <w:rFonts w:hint="eastAsia" w:hAnsi="宋体"/>
          <w:color w:val="000000"/>
          <w:szCs w:val="21"/>
        </w:rPr>
        <w:t>，等编著。现代与智能控制技术。天津：天津大学出版社，2013年1月；</w:t>
      </w:r>
    </w:p>
    <w:p>
      <w:pPr>
        <w:numPr>
          <w:ilvl w:val="0"/>
          <w:numId w:val="17"/>
        </w:numPr>
        <w:spacing w:line="360" w:lineRule="auto"/>
        <w:ind w:firstLine="420"/>
        <w:rPr>
          <w:rFonts w:hint="eastAsia" w:hAnsi="宋体"/>
          <w:color w:val="000000"/>
          <w:szCs w:val="21"/>
        </w:rPr>
      </w:pPr>
      <w:r>
        <w:rPr>
          <w:rFonts w:hint="eastAsia"/>
          <w:color w:val="000000"/>
          <w:szCs w:val="21"/>
        </w:rPr>
        <w:t>刘金琨编著。</w:t>
      </w:r>
      <w:r>
        <w:rPr>
          <w:rFonts w:hint="eastAsia" w:hAnsi="宋体"/>
          <w:color w:val="000000"/>
          <w:szCs w:val="21"/>
        </w:rPr>
        <w:t>智能控制（第5版）。北京：电子工业</w:t>
      </w:r>
      <w:r>
        <w:rPr>
          <w:rFonts w:hAnsi="宋体"/>
          <w:color w:val="000000"/>
          <w:szCs w:val="21"/>
        </w:rPr>
        <w:t>出版社</w:t>
      </w:r>
      <w:r>
        <w:rPr>
          <w:rFonts w:hint="eastAsia" w:hAnsi="宋体"/>
          <w:color w:val="000000"/>
          <w:szCs w:val="21"/>
        </w:rPr>
        <w:t>，</w:t>
      </w:r>
      <w:r>
        <w:rPr>
          <w:rFonts w:hint="eastAsia"/>
          <w:color w:val="000000"/>
          <w:szCs w:val="21"/>
        </w:rPr>
        <w:t>2021</w:t>
      </w:r>
      <w:r>
        <w:rPr>
          <w:rFonts w:hint="eastAsia" w:hAnsi="宋体"/>
          <w:color w:val="000000"/>
          <w:szCs w:val="21"/>
        </w:rPr>
        <w:t>年4月；</w:t>
      </w:r>
    </w:p>
    <w:p>
      <w:pPr>
        <w:numPr>
          <w:ilvl w:val="0"/>
          <w:numId w:val="17"/>
        </w:numPr>
        <w:spacing w:line="360" w:lineRule="auto"/>
        <w:ind w:firstLine="420"/>
        <w:rPr>
          <w:rFonts w:hint="eastAsia" w:hAnsi="宋体"/>
          <w:color w:val="000000"/>
          <w:szCs w:val="21"/>
        </w:rPr>
      </w:pPr>
      <w:r>
        <w:rPr>
          <w:rFonts w:hint="eastAsia"/>
          <w:color w:val="000000"/>
          <w:szCs w:val="21"/>
        </w:rPr>
        <w:t>刘金琨编著。智能控制——理论基础、算法设计与应用</w:t>
      </w:r>
      <w:r>
        <w:rPr>
          <w:rFonts w:hint="eastAsia" w:hAnsi="宋体"/>
          <w:color w:val="000000"/>
          <w:szCs w:val="21"/>
        </w:rPr>
        <w:t>. 北京：清华大学</w:t>
      </w:r>
      <w:r>
        <w:rPr>
          <w:rFonts w:hAnsi="宋体"/>
          <w:color w:val="000000"/>
          <w:szCs w:val="21"/>
        </w:rPr>
        <w:t>出版社</w:t>
      </w:r>
      <w:r>
        <w:rPr>
          <w:rFonts w:hint="eastAsia" w:hAnsi="宋体"/>
          <w:color w:val="000000"/>
          <w:szCs w:val="21"/>
        </w:rPr>
        <w:t>，</w:t>
      </w:r>
      <w:r>
        <w:rPr>
          <w:rFonts w:hint="eastAsia"/>
          <w:color w:val="000000"/>
          <w:szCs w:val="21"/>
        </w:rPr>
        <w:t>2019</w:t>
      </w:r>
      <w:r>
        <w:rPr>
          <w:rFonts w:hint="eastAsia" w:hAnsi="宋体"/>
          <w:color w:val="000000"/>
          <w:szCs w:val="21"/>
        </w:rPr>
        <w:t>年12月；</w:t>
      </w:r>
    </w:p>
    <w:p>
      <w:pPr>
        <w:numPr>
          <w:ilvl w:val="0"/>
          <w:numId w:val="17"/>
        </w:numPr>
        <w:spacing w:line="360" w:lineRule="auto"/>
        <w:ind w:firstLine="420"/>
        <w:rPr>
          <w:rFonts w:hint="eastAsia" w:hAnsi="宋体"/>
          <w:color w:val="000000"/>
          <w:szCs w:val="21"/>
        </w:rPr>
      </w:pPr>
      <w:r>
        <w:rPr>
          <w:rFonts w:hint="eastAsia" w:hAnsi="宋体"/>
          <w:color w:val="000000"/>
          <w:szCs w:val="21"/>
        </w:rPr>
        <w:t>刘杰 等编著。 智能控制与MATLAB实用技术。北京：科学出版社，2021年1月；</w:t>
      </w:r>
    </w:p>
    <w:p>
      <w:pPr>
        <w:numPr>
          <w:ilvl w:val="0"/>
          <w:numId w:val="17"/>
        </w:numPr>
        <w:spacing w:line="360" w:lineRule="auto"/>
        <w:ind w:firstLine="420"/>
        <w:rPr>
          <w:rFonts w:hint="eastAsia" w:hAnsi="宋体"/>
          <w:color w:val="000000"/>
          <w:szCs w:val="21"/>
        </w:rPr>
      </w:pPr>
      <w:r>
        <w:rPr>
          <w:rFonts w:hint="eastAsia" w:hAnsi="宋体"/>
          <w:color w:val="000000"/>
          <w:szCs w:val="21"/>
        </w:rPr>
        <w:t>韦巍、何衍。智能控制基础[M].  北京:  清华大学出版社, 2018 年。</w:t>
      </w:r>
    </w:p>
    <w:p>
      <w:pPr>
        <w:numPr>
          <w:ilvl w:val="0"/>
          <w:numId w:val="17"/>
        </w:numPr>
        <w:spacing w:line="360" w:lineRule="auto"/>
        <w:ind w:firstLine="420"/>
        <w:rPr>
          <w:rFonts w:hint="eastAsia" w:hAnsi="宋体"/>
          <w:color w:val="000000"/>
          <w:szCs w:val="21"/>
        </w:rPr>
      </w:pPr>
      <w:r>
        <w:fldChar w:fldCharType="begin"/>
      </w:r>
      <w:r>
        <w:instrText xml:space="preserve"> HYPERLINK "https://www.amazon.com/s/ref=dp_byline_sr_book_1?ie=UTF8&amp;field-author=Clarence+W.+de+Silva&amp;text=Clarence+W.+de+Silva&amp;sort=relevancerank&amp;search-alias=books" </w:instrText>
      </w:r>
      <w:r>
        <w:fldChar w:fldCharType="separate"/>
      </w:r>
      <w:r>
        <w:rPr>
          <w:rFonts w:hint="eastAsia" w:hAnsi="宋体"/>
          <w:color w:val="000000"/>
          <w:szCs w:val="21"/>
        </w:rPr>
        <w:t>Clarence W. de Silva</w:t>
      </w:r>
      <w:r>
        <w:rPr>
          <w:rFonts w:hint="eastAsia" w:hAnsi="宋体"/>
          <w:color w:val="000000"/>
          <w:szCs w:val="21"/>
        </w:rPr>
        <w:fldChar w:fldCharType="end"/>
      </w:r>
      <w:r>
        <w:rPr>
          <w:rFonts w:hint="eastAsia" w:hAnsi="宋体"/>
          <w:color w:val="000000"/>
          <w:szCs w:val="21"/>
        </w:rPr>
        <w:t>. Intelligent Control: Fuzzy Logic Applications (Mechatronics). CRC Press，Oct. 1995. </w:t>
      </w:r>
    </w:p>
    <w:p>
      <w:pPr>
        <w:numPr>
          <w:ilvl w:val="0"/>
          <w:numId w:val="17"/>
        </w:numPr>
        <w:spacing w:line="360" w:lineRule="auto"/>
        <w:ind w:firstLine="420"/>
        <w:rPr>
          <w:rFonts w:hint="eastAsia" w:hAnsi="宋体"/>
          <w:color w:val="000000"/>
          <w:szCs w:val="21"/>
        </w:rPr>
      </w:pPr>
      <w:r>
        <w:rPr>
          <w:rFonts w:hint="eastAsia" w:hAnsi="宋体"/>
          <w:color w:val="000000"/>
          <w:szCs w:val="21"/>
        </w:rPr>
        <w:t>Rob Hyde, Filippos Filippidis. Intelligent Control: Disruptive Technologies. London, RIBA Publishing, Sept. 2021.</w:t>
      </w:r>
    </w:p>
    <w:p>
      <w:pPr>
        <w:spacing w:line="360" w:lineRule="auto"/>
        <w:ind w:left="210" w:leftChars="50" w:hanging="105" w:hangingChars="50"/>
        <w:rPr>
          <w:b/>
          <w:bCs/>
          <w:szCs w:val="21"/>
        </w:rPr>
      </w:pPr>
    </w:p>
    <w:p>
      <w:pPr>
        <w:spacing w:line="360" w:lineRule="auto"/>
        <w:ind w:left="210" w:leftChars="100"/>
        <w:jc w:val="center"/>
        <w:rPr>
          <w:rFonts w:hint="eastAsia" w:eastAsia="宋体"/>
          <w:szCs w:val="21"/>
          <w:lang w:eastAsia="zh-CN"/>
        </w:rPr>
      </w:pPr>
      <w:r>
        <w:rPr>
          <w:rFonts w:hint="eastAsia"/>
          <w:b/>
          <w:bCs/>
          <w:szCs w:val="21"/>
          <w:lang w:val="en-US" w:eastAsia="zh-CN"/>
        </w:rPr>
        <w:t xml:space="preserve">       </w:t>
      </w:r>
      <w:r>
        <w:rPr>
          <w:rFonts w:hint="eastAsia"/>
          <w:b/>
          <w:bCs/>
          <w:szCs w:val="21"/>
        </w:rPr>
        <w:t>制定人</w:t>
      </w:r>
      <w:r>
        <w:rPr>
          <w:rFonts w:hint="eastAsia"/>
          <w:szCs w:val="21"/>
        </w:rPr>
        <w:t xml:space="preserve">： 孟令军，邵灵星     </w:t>
      </w:r>
      <w:r>
        <w:rPr>
          <w:rFonts w:hint="eastAsia"/>
          <w:b/>
          <w:bCs/>
          <w:szCs w:val="21"/>
        </w:rPr>
        <w:t>审定人</w:t>
      </w:r>
      <w:r>
        <w:rPr>
          <w:rFonts w:hint="eastAsia"/>
          <w:szCs w:val="21"/>
        </w:rPr>
        <w:t>：</w:t>
      </w:r>
      <w:r>
        <w:rPr>
          <w:rFonts w:hint="eastAsia"/>
          <w:szCs w:val="21"/>
          <w:lang w:eastAsia="zh-CN"/>
        </w:rPr>
        <w:t>刘文耀</w:t>
      </w:r>
      <w:r>
        <w:rPr>
          <w:rFonts w:hint="eastAsia"/>
          <w:szCs w:val="21"/>
        </w:rPr>
        <w:t xml:space="preserve">       </w:t>
      </w:r>
      <w:r>
        <w:rPr>
          <w:rFonts w:hint="eastAsia"/>
          <w:b/>
          <w:bCs/>
          <w:szCs w:val="21"/>
        </w:rPr>
        <w:t>批准人</w:t>
      </w:r>
      <w:r>
        <w:rPr>
          <w:rFonts w:hint="eastAsia"/>
          <w:szCs w:val="21"/>
        </w:rPr>
        <w:t>：</w:t>
      </w:r>
      <w:r>
        <w:rPr>
          <w:rFonts w:hint="eastAsia"/>
          <w:szCs w:val="21"/>
          <w:lang w:eastAsia="zh-CN"/>
        </w:rPr>
        <w:t>刘文怡</w:t>
      </w:r>
    </w:p>
    <w:p>
      <w:pPr>
        <w:spacing w:line="440" w:lineRule="exact"/>
        <w:ind w:right="480" w:firstLine="5670" w:firstLineChars="2700"/>
        <w:jc w:val="right"/>
        <w:rPr>
          <w:b/>
          <w:spacing w:val="20"/>
          <w:szCs w:val="21"/>
        </w:rPr>
      </w:pPr>
      <w:r>
        <w:rPr>
          <w:rFonts w:hint="eastAsia"/>
          <w:szCs w:val="21"/>
        </w:rPr>
        <w:t>2021年 12 月 1 日</w:t>
      </w:r>
    </w:p>
    <w:p/>
    <w:p/>
    <w:p/>
    <w:p/>
    <w:p/>
    <w:p/>
    <w:p/>
    <w:p/>
    <w:p/>
    <w:p/>
    <w:p/>
    <w:p/>
    <w:p/>
    <w:p/>
    <w:p/>
    <w:p/>
    <w:p/>
    <w:p/>
    <w:p/>
    <w:p/>
    <w:p/>
    <w:p/>
    <w:p/>
    <w:p/>
    <w:p/>
    <w:p/>
    <w:p/>
    <w:p/>
    <w:p/>
    <w:p>
      <w:pPr>
        <w:pStyle w:val="18"/>
        <w:spacing w:before="312" w:after="468"/>
        <w:rPr>
          <w:rFonts w:ascii="Times New Roman" w:hAnsi="Times New Roman" w:cs="Times New Roman"/>
        </w:rPr>
      </w:pPr>
      <w:bookmarkStart w:id="67" w:name="_Toc12814"/>
      <w:r>
        <w:rPr>
          <w:rFonts w:hint="eastAsia" w:ascii="Times New Roman" w:hAnsi="Times New Roman" w:cs="Times New Roman"/>
        </w:rPr>
        <w:t>《数据结构与算法分析》课程教学大纲</w:t>
      </w:r>
      <w:bookmarkEnd w:id="67"/>
    </w:p>
    <w:p>
      <w:pPr>
        <w:adjustRightInd w:val="0"/>
        <w:snapToGrid w:val="0"/>
        <w:spacing w:before="156" w:beforeLines="50" w:line="360" w:lineRule="auto"/>
        <w:rPr>
          <w:rFonts w:eastAsia="黑体"/>
          <w:szCs w:val="21"/>
        </w:rPr>
      </w:pPr>
      <w:r>
        <w:rPr>
          <w:rFonts w:hint="eastAsia" w:eastAsia="黑体"/>
          <w:szCs w:val="21"/>
        </w:rPr>
        <w:t>一、课程基本信息</w:t>
      </w:r>
    </w:p>
    <w:p>
      <w:pPr>
        <w:snapToGrid w:val="0"/>
        <w:spacing w:line="360" w:lineRule="auto"/>
        <w:ind w:firstLine="420" w:firstLineChars="200"/>
        <w:rPr>
          <w:rFonts w:eastAsia="黑体"/>
          <w:bCs/>
          <w:szCs w:val="21"/>
        </w:rPr>
      </w:pPr>
      <w:r>
        <w:rPr>
          <w:rFonts w:hint="eastAsia" w:eastAsia="黑体"/>
          <w:bCs/>
          <w:szCs w:val="21"/>
        </w:rPr>
        <w:t>课程名称（中文）：数据结构与算法分析</w:t>
      </w:r>
      <w:r>
        <w:rPr>
          <w:rFonts w:eastAsia="黑体"/>
          <w:bCs/>
          <w:szCs w:val="21"/>
        </w:rPr>
        <w:t xml:space="preserve"> </w:t>
      </w:r>
    </w:p>
    <w:p>
      <w:pPr>
        <w:snapToGrid w:val="0"/>
        <w:spacing w:line="360" w:lineRule="auto"/>
        <w:ind w:firstLine="420" w:firstLineChars="200"/>
        <w:rPr>
          <w:rFonts w:eastAsia="黑体"/>
          <w:bCs/>
          <w:szCs w:val="21"/>
        </w:rPr>
      </w:pPr>
      <w:r>
        <w:rPr>
          <w:rFonts w:hint="eastAsia" w:eastAsia="黑体"/>
          <w:bCs/>
          <w:szCs w:val="21"/>
        </w:rPr>
        <w:t>课程名称（英文）：D</w:t>
      </w:r>
      <w:r>
        <w:rPr>
          <w:rFonts w:eastAsia="黑体"/>
          <w:bCs/>
          <w:szCs w:val="21"/>
        </w:rPr>
        <w:t xml:space="preserve">ata Structures And Algrithm Analysis </w:t>
      </w:r>
    </w:p>
    <w:p>
      <w:pPr>
        <w:snapToGrid w:val="0"/>
        <w:spacing w:line="360" w:lineRule="auto"/>
        <w:ind w:firstLine="420" w:firstLineChars="200"/>
        <w:rPr>
          <w:rFonts w:eastAsia="黑体"/>
          <w:bCs/>
          <w:szCs w:val="21"/>
        </w:rPr>
      </w:pPr>
      <w:r>
        <w:rPr>
          <w:rFonts w:hint="eastAsia" w:eastAsia="黑体"/>
          <w:bCs/>
          <w:szCs w:val="21"/>
        </w:rPr>
        <w:t>课程代码：</w:t>
      </w:r>
      <w:r>
        <w:rPr>
          <w:rFonts w:eastAsia="黑体"/>
          <w:bCs/>
          <w:szCs w:val="21"/>
        </w:rPr>
        <w:t xml:space="preserve">Z003060404  </w:t>
      </w:r>
      <w:r>
        <w:rPr>
          <w:rFonts w:eastAsia="黑体"/>
          <w:bCs/>
          <w:szCs w:val="21"/>
        </w:rPr>
        <w:tab/>
      </w:r>
      <w:r>
        <w:rPr>
          <w:rFonts w:eastAsia="黑体"/>
          <w:bCs/>
          <w:szCs w:val="21"/>
        </w:rPr>
        <w:tab/>
      </w:r>
      <w:r>
        <w:rPr>
          <w:rFonts w:eastAsia="黑体"/>
          <w:bCs/>
          <w:szCs w:val="21"/>
        </w:rPr>
        <w:tab/>
      </w:r>
      <w:r>
        <w:rPr>
          <w:rFonts w:eastAsia="黑体"/>
          <w:bCs/>
          <w:szCs w:val="21"/>
        </w:rPr>
        <w:tab/>
      </w:r>
      <w:r>
        <w:rPr>
          <w:rFonts w:eastAsia="黑体"/>
          <w:bCs/>
          <w:szCs w:val="21"/>
        </w:rPr>
        <w:tab/>
      </w:r>
      <w:r>
        <w:rPr>
          <w:rFonts w:hint="eastAsia" w:eastAsia="黑体"/>
          <w:bCs/>
          <w:szCs w:val="21"/>
        </w:rPr>
        <w:t>适用层次：本科</w:t>
      </w:r>
    </w:p>
    <w:p>
      <w:pPr>
        <w:snapToGrid w:val="0"/>
        <w:spacing w:line="360" w:lineRule="auto"/>
        <w:ind w:firstLine="420" w:firstLineChars="200"/>
        <w:rPr>
          <w:rFonts w:eastAsia="黑体"/>
          <w:bCs/>
          <w:szCs w:val="21"/>
        </w:rPr>
      </w:pPr>
      <w:r>
        <w:rPr>
          <w:rFonts w:hint="eastAsia" w:eastAsia="黑体"/>
          <w:bCs/>
          <w:szCs w:val="21"/>
        </w:rPr>
        <w:t>课程类别：专业类教育课程</w:t>
      </w:r>
      <w:r>
        <w:rPr>
          <w:rFonts w:eastAsia="黑体"/>
          <w:bCs/>
          <w:szCs w:val="21"/>
        </w:rPr>
        <w:t xml:space="preserve">               </w:t>
      </w:r>
      <w:r>
        <w:rPr>
          <w:rFonts w:eastAsia="黑体"/>
          <w:bCs/>
          <w:szCs w:val="21"/>
        </w:rPr>
        <w:tab/>
      </w:r>
      <w:r>
        <w:rPr>
          <w:rFonts w:hint="eastAsia" w:eastAsia="黑体"/>
          <w:bCs/>
          <w:szCs w:val="21"/>
        </w:rPr>
        <w:t>课程性质：</w:t>
      </w:r>
      <w:r>
        <w:rPr>
          <w:rFonts w:eastAsia="黑体"/>
          <w:bCs/>
          <w:szCs w:val="21"/>
        </w:rPr>
        <w:t>必</w:t>
      </w:r>
      <w:r>
        <w:rPr>
          <w:rFonts w:hint="eastAsia" w:eastAsia="黑体"/>
          <w:bCs/>
          <w:szCs w:val="21"/>
        </w:rPr>
        <w:t>修</w:t>
      </w:r>
      <w:r>
        <w:rPr>
          <w:rFonts w:eastAsia="黑体"/>
          <w:bCs/>
          <w:szCs w:val="21"/>
        </w:rPr>
        <w:t xml:space="preserve"> </w:t>
      </w:r>
    </w:p>
    <w:p>
      <w:pPr>
        <w:snapToGrid w:val="0"/>
        <w:spacing w:line="360" w:lineRule="auto"/>
        <w:ind w:firstLine="420" w:firstLineChars="200"/>
        <w:rPr>
          <w:rFonts w:eastAsia="黑体"/>
          <w:bCs/>
          <w:szCs w:val="21"/>
        </w:rPr>
      </w:pPr>
      <w:r>
        <w:rPr>
          <w:rFonts w:hint="eastAsia" w:eastAsia="黑体"/>
          <w:bCs/>
          <w:szCs w:val="21"/>
        </w:rPr>
        <w:t>适用专业：智能感知工程</w:t>
      </w:r>
      <w:r>
        <w:rPr>
          <w:rFonts w:eastAsia="黑体"/>
          <w:bCs/>
          <w:szCs w:val="21"/>
        </w:rPr>
        <w:t xml:space="preserve">          </w:t>
      </w:r>
      <w:r>
        <w:rPr>
          <w:rFonts w:eastAsia="黑体"/>
          <w:bCs/>
          <w:szCs w:val="21"/>
        </w:rPr>
        <w:tab/>
      </w:r>
      <w:r>
        <w:rPr>
          <w:rFonts w:eastAsia="黑体"/>
          <w:bCs/>
          <w:szCs w:val="21"/>
        </w:rPr>
        <w:tab/>
      </w:r>
      <w:r>
        <w:rPr>
          <w:rFonts w:hint="eastAsia" w:eastAsia="黑体"/>
          <w:bCs/>
          <w:szCs w:val="21"/>
        </w:rPr>
        <w:t>计划学分：</w:t>
      </w:r>
      <w:r>
        <w:rPr>
          <w:rFonts w:eastAsia="黑体"/>
          <w:bCs/>
          <w:szCs w:val="21"/>
        </w:rPr>
        <w:t>2</w:t>
      </w:r>
    </w:p>
    <w:p>
      <w:pPr>
        <w:snapToGrid w:val="0"/>
        <w:spacing w:line="360" w:lineRule="auto"/>
        <w:ind w:firstLine="420" w:firstLineChars="200"/>
        <w:rPr>
          <w:rFonts w:eastAsia="黑体"/>
          <w:bCs/>
          <w:szCs w:val="21"/>
        </w:rPr>
      </w:pPr>
      <w:r>
        <w:rPr>
          <w:rFonts w:hint="eastAsia" w:eastAsia="黑体"/>
          <w:bCs/>
          <w:szCs w:val="21"/>
        </w:rPr>
        <w:t>计划学时（周数）：</w:t>
      </w:r>
      <w:r>
        <w:rPr>
          <w:rFonts w:eastAsia="黑体"/>
          <w:bCs/>
          <w:szCs w:val="21"/>
        </w:rPr>
        <w:t xml:space="preserve"> 32         </w:t>
      </w:r>
      <w:r>
        <w:rPr>
          <w:rFonts w:eastAsia="黑体"/>
          <w:bCs/>
          <w:szCs w:val="21"/>
        </w:rPr>
        <w:tab/>
      </w:r>
      <w:r>
        <w:rPr>
          <w:rFonts w:eastAsia="黑体"/>
          <w:bCs/>
          <w:szCs w:val="21"/>
        </w:rPr>
        <w:tab/>
      </w:r>
      <w:r>
        <w:rPr>
          <w:rFonts w:eastAsia="黑体"/>
          <w:bCs/>
          <w:szCs w:val="21"/>
        </w:rPr>
        <w:tab/>
      </w:r>
      <w:r>
        <w:rPr>
          <w:rFonts w:hint="eastAsia" w:eastAsia="黑体"/>
          <w:bCs/>
          <w:szCs w:val="21"/>
        </w:rPr>
        <w:t>讲课学时：</w:t>
      </w:r>
      <w:r>
        <w:rPr>
          <w:rFonts w:eastAsia="黑体"/>
          <w:bCs/>
          <w:szCs w:val="21"/>
        </w:rPr>
        <w:t xml:space="preserve">24      </w:t>
      </w:r>
      <w:r>
        <w:rPr>
          <w:rFonts w:hint="eastAsia" w:eastAsia="黑体"/>
          <w:bCs/>
          <w:szCs w:val="21"/>
        </w:rPr>
        <w:t>实验学时：</w:t>
      </w:r>
      <w:r>
        <w:rPr>
          <w:rFonts w:eastAsia="黑体"/>
          <w:bCs/>
          <w:szCs w:val="21"/>
        </w:rPr>
        <w:t>8</w:t>
      </w:r>
    </w:p>
    <w:p>
      <w:pPr>
        <w:snapToGrid w:val="0"/>
        <w:spacing w:line="360" w:lineRule="auto"/>
        <w:ind w:firstLine="420" w:firstLineChars="200"/>
        <w:rPr>
          <w:rFonts w:eastAsia="黑体"/>
          <w:bCs/>
          <w:szCs w:val="21"/>
        </w:rPr>
      </w:pPr>
      <w:r>
        <w:rPr>
          <w:rFonts w:hint="eastAsia" w:eastAsia="黑体"/>
          <w:bCs/>
          <w:szCs w:val="21"/>
        </w:rPr>
        <w:t>开课学期：</w:t>
      </w:r>
      <w:r>
        <w:rPr>
          <w:rFonts w:eastAsia="黑体"/>
          <w:bCs/>
          <w:szCs w:val="21"/>
        </w:rPr>
        <w:t xml:space="preserve">4                       </w:t>
      </w:r>
      <w:r>
        <w:rPr>
          <w:rFonts w:eastAsia="黑体"/>
          <w:bCs/>
          <w:szCs w:val="21"/>
        </w:rPr>
        <w:tab/>
      </w:r>
      <w:r>
        <w:rPr>
          <w:rFonts w:eastAsia="黑体"/>
          <w:bCs/>
          <w:szCs w:val="21"/>
        </w:rPr>
        <w:tab/>
      </w:r>
      <w:r>
        <w:rPr>
          <w:rFonts w:hint="eastAsia" w:eastAsia="黑体"/>
          <w:bCs/>
          <w:szCs w:val="21"/>
        </w:rPr>
        <w:t>考核方式：考试</w:t>
      </w:r>
      <w:r>
        <w:rPr>
          <w:rFonts w:eastAsia="黑体"/>
          <w:bCs/>
          <w:szCs w:val="21"/>
        </w:rPr>
        <w:t xml:space="preserve"> </w:t>
      </w:r>
    </w:p>
    <w:p>
      <w:pPr>
        <w:snapToGrid w:val="0"/>
        <w:spacing w:line="360" w:lineRule="auto"/>
        <w:ind w:firstLine="420" w:firstLineChars="200"/>
        <w:rPr>
          <w:rFonts w:eastAsia="黑体"/>
          <w:bCs/>
          <w:szCs w:val="21"/>
        </w:rPr>
      </w:pPr>
      <w:r>
        <w:rPr>
          <w:rFonts w:hint="eastAsia" w:eastAsia="黑体"/>
          <w:bCs/>
          <w:szCs w:val="21"/>
        </w:rPr>
        <w:t>先修课程：C语言程序设计</w:t>
      </w:r>
    </w:p>
    <w:p>
      <w:pPr>
        <w:snapToGrid w:val="0"/>
        <w:spacing w:line="360" w:lineRule="auto"/>
        <w:ind w:firstLine="420" w:firstLineChars="200"/>
        <w:rPr>
          <w:rFonts w:eastAsia="黑体"/>
          <w:bCs/>
          <w:szCs w:val="21"/>
        </w:rPr>
      </w:pPr>
      <w:r>
        <w:rPr>
          <w:rFonts w:hint="eastAsia" w:eastAsia="黑体"/>
          <w:bCs/>
          <w:szCs w:val="21"/>
        </w:rPr>
        <w:t>后续课程：视觉感知和图像处理</w:t>
      </w:r>
    </w:p>
    <w:p>
      <w:pPr>
        <w:snapToGrid w:val="0"/>
        <w:spacing w:line="360" w:lineRule="auto"/>
        <w:ind w:firstLine="420" w:firstLineChars="200"/>
        <w:rPr>
          <w:rFonts w:eastAsia="黑体"/>
          <w:bCs/>
          <w:szCs w:val="21"/>
        </w:rPr>
      </w:pPr>
      <w:r>
        <w:rPr>
          <w:rFonts w:hint="eastAsia" w:eastAsia="黑体"/>
          <w:bCs/>
          <w:szCs w:val="21"/>
        </w:rPr>
        <w:t>制定人：</w:t>
      </w:r>
      <w:r>
        <w:rPr>
          <w:rFonts w:eastAsia="黑体"/>
          <w:bCs/>
          <w:szCs w:val="21"/>
        </w:rPr>
        <w:t xml:space="preserve">  甄国涌                 </w:t>
      </w:r>
      <w:r>
        <w:rPr>
          <w:rFonts w:eastAsia="黑体"/>
          <w:bCs/>
          <w:szCs w:val="21"/>
        </w:rPr>
        <w:tab/>
      </w:r>
      <w:r>
        <w:rPr>
          <w:rFonts w:eastAsia="黑体"/>
          <w:bCs/>
          <w:szCs w:val="21"/>
        </w:rPr>
        <w:tab/>
      </w:r>
      <w:r>
        <w:rPr>
          <w:rFonts w:hint="eastAsia" w:eastAsia="黑体"/>
          <w:bCs/>
          <w:szCs w:val="21"/>
        </w:rPr>
        <w:t>教学基层组织审核人：刘文耀</w:t>
      </w:r>
    </w:p>
    <w:p>
      <w:pPr>
        <w:snapToGrid w:val="0"/>
        <w:spacing w:line="360" w:lineRule="auto"/>
        <w:ind w:firstLine="420" w:firstLineChars="200"/>
        <w:rPr>
          <w:rFonts w:eastAsia="黑体"/>
          <w:bCs/>
          <w:szCs w:val="21"/>
        </w:rPr>
      </w:pPr>
      <w:r>
        <w:rPr>
          <w:rFonts w:hint="eastAsia" w:eastAsia="黑体"/>
          <w:bCs/>
          <w:szCs w:val="21"/>
        </w:rPr>
        <w:t>开课学院：仪器与电子学院</w:t>
      </w:r>
      <w:r>
        <w:rPr>
          <w:rFonts w:eastAsia="黑体"/>
          <w:bCs/>
          <w:szCs w:val="21"/>
        </w:rPr>
        <w:t xml:space="preserve">          </w:t>
      </w:r>
      <w:r>
        <w:rPr>
          <w:rFonts w:eastAsia="黑体"/>
          <w:bCs/>
          <w:szCs w:val="21"/>
        </w:rPr>
        <w:tab/>
      </w:r>
      <w:r>
        <w:rPr>
          <w:rFonts w:eastAsia="黑体"/>
          <w:bCs/>
          <w:szCs w:val="21"/>
        </w:rPr>
        <w:tab/>
      </w:r>
      <w:r>
        <w:rPr>
          <w:rFonts w:hint="eastAsia" w:eastAsia="黑体"/>
          <w:bCs/>
          <w:szCs w:val="21"/>
        </w:rPr>
        <w:t>开课学院审核人：刘文怡</w:t>
      </w:r>
    </w:p>
    <w:p>
      <w:pPr>
        <w:adjustRightInd w:val="0"/>
        <w:snapToGrid w:val="0"/>
        <w:spacing w:before="156" w:beforeLines="50" w:line="360" w:lineRule="auto"/>
        <w:rPr>
          <w:rFonts w:eastAsia="黑体"/>
          <w:szCs w:val="21"/>
        </w:rPr>
      </w:pPr>
      <w:r>
        <w:rPr>
          <w:rFonts w:hint="eastAsia" w:eastAsia="黑体"/>
          <w:szCs w:val="21"/>
        </w:rPr>
        <w:t>二、课程性质与教学目标</w:t>
      </w:r>
    </w:p>
    <w:p>
      <w:pPr>
        <w:snapToGrid w:val="0"/>
        <w:spacing w:line="360" w:lineRule="auto"/>
        <w:ind w:firstLine="422" w:firstLineChars="200"/>
        <w:rPr>
          <w:rFonts w:ascii="宋体" w:hAnsi="宋体"/>
          <w:b/>
          <w:color w:val="000000"/>
          <w:szCs w:val="21"/>
        </w:rPr>
      </w:pPr>
      <w:r>
        <w:rPr>
          <w:rFonts w:hint="eastAsia" w:ascii="宋体" w:hAnsi="宋体"/>
          <w:b/>
          <w:color w:val="000000"/>
          <w:szCs w:val="21"/>
        </w:rPr>
        <w:t>1、课程性质与任务</w:t>
      </w:r>
    </w:p>
    <w:p>
      <w:pPr>
        <w:adjustRightInd w:val="0"/>
        <w:snapToGrid w:val="0"/>
        <w:spacing w:line="360" w:lineRule="auto"/>
        <w:ind w:firstLine="420" w:firstLineChars="200"/>
        <w:rPr>
          <w:szCs w:val="21"/>
        </w:rPr>
      </w:pPr>
      <w:r>
        <w:rPr>
          <w:rFonts w:hint="eastAsia"/>
          <w:szCs w:val="21"/>
        </w:rPr>
        <w:t>本课程属于专业基础必修课。本课程通过模型分析，数据抽象建立计算机程序设计的相关概念。以数据结构中逻辑结构、存储结构和相应的处理算法三个方面为重点，以C程序语言为描述工具，介绍常用的数据结构实现和处理算法的分析。通过本课程的学习，使学生在程序设计方面的能力得到提升。</w:t>
      </w:r>
    </w:p>
    <w:p>
      <w:pPr>
        <w:snapToGrid w:val="0"/>
        <w:spacing w:line="360" w:lineRule="auto"/>
        <w:ind w:firstLine="422" w:firstLineChars="200"/>
        <w:rPr>
          <w:rFonts w:ascii="宋体" w:hAnsi="宋体"/>
          <w:b/>
          <w:color w:val="000000"/>
          <w:szCs w:val="21"/>
        </w:rPr>
      </w:pPr>
      <w:r>
        <w:rPr>
          <w:rFonts w:hint="eastAsia" w:ascii="宋体" w:hAnsi="宋体"/>
          <w:b/>
          <w:color w:val="000000"/>
          <w:szCs w:val="21"/>
        </w:rPr>
        <w:t>2、课程目标</w:t>
      </w:r>
    </w:p>
    <w:p>
      <w:pPr>
        <w:adjustRightInd w:val="0"/>
        <w:snapToGrid w:val="0"/>
        <w:spacing w:line="360" w:lineRule="auto"/>
        <w:ind w:firstLine="420" w:firstLineChars="200"/>
        <w:rPr>
          <w:rFonts w:hAnsi="宋体"/>
          <w:bCs/>
          <w:color w:val="000000"/>
          <w:szCs w:val="21"/>
        </w:rPr>
      </w:pPr>
      <w:r>
        <w:rPr>
          <w:rFonts w:hint="eastAsia" w:hAnsi="宋体"/>
          <w:bCs/>
          <w:color w:val="000000"/>
          <w:szCs w:val="21"/>
        </w:rPr>
        <w:t>课程目标</w:t>
      </w:r>
      <w:r>
        <w:rPr>
          <w:bCs/>
          <w:color w:val="000000"/>
          <w:szCs w:val="21"/>
        </w:rPr>
        <w:t>1</w:t>
      </w:r>
      <w:r>
        <w:rPr>
          <w:rFonts w:hint="eastAsia" w:hAnsi="宋体"/>
          <w:bCs/>
          <w:color w:val="000000"/>
          <w:szCs w:val="21"/>
        </w:rPr>
        <w:t>：在对复杂工程问题进行表达时，能够将对应的问题通过模型化抽象用数据及关系进行描述。（支撑毕业要求指标点</w:t>
      </w:r>
      <w:r>
        <w:rPr>
          <w:bCs/>
          <w:color w:val="000000"/>
          <w:szCs w:val="21"/>
        </w:rPr>
        <w:t>2-2</w:t>
      </w:r>
      <w:r>
        <w:rPr>
          <w:rFonts w:hint="eastAsia" w:hAnsi="宋体"/>
          <w:bCs/>
          <w:color w:val="000000"/>
          <w:szCs w:val="21"/>
        </w:rPr>
        <w:t>）。</w:t>
      </w:r>
    </w:p>
    <w:p>
      <w:pPr>
        <w:adjustRightInd w:val="0"/>
        <w:snapToGrid w:val="0"/>
        <w:spacing w:line="360" w:lineRule="auto"/>
        <w:ind w:firstLine="420" w:firstLineChars="200"/>
        <w:rPr>
          <w:rFonts w:hint="eastAsia" w:hAnsi="宋体"/>
          <w:bCs/>
          <w:color w:val="000000"/>
          <w:szCs w:val="21"/>
        </w:rPr>
      </w:pPr>
      <w:r>
        <w:rPr>
          <w:rFonts w:hint="eastAsia" w:hAnsi="宋体"/>
          <w:bCs/>
          <w:color w:val="000000"/>
          <w:szCs w:val="21"/>
        </w:rPr>
        <w:t>课程目标</w:t>
      </w:r>
      <w:r>
        <w:rPr>
          <w:bCs/>
          <w:color w:val="000000"/>
          <w:szCs w:val="21"/>
        </w:rPr>
        <w:t>2</w:t>
      </w:r>
      <w:r>
        <w:rPr>
          <w:rFonts w:hint="eastAsia" w:hAnsi="宋体"/>
          <w:bCs/>
          <w:color w:val="000000"/>
          <w:szCs w:val="21"/>
        </w:rPr>
        <w:t>：能够通过栈、树、图等典型的数据结构选择及其上的算法分析，设计出满足要求的解决方案。（支撑毕业要求指标点</w:t>
      </w:r>
      <w:r>
        <w:rPr>
          <w:bCs/>
          <w:color w:val="000000"/>
          <w:szCs w:val="21"/>
        </w:rPr>
        <w:t>3-1</w:t>
      </w:r>
      <w:r>
        <w:rPr>
          <w:rFonts w:hint="eastAsia" w:hAnsi="宋体"/>
          <w:bCs/>
          <w:color w:val="000000"/>
          <w:szCs w:val="21"/>
        </w:rPr>
        <w:t>）。</w:t>
      </w:r>
    </w:p>
    <w:p>
      <w:pPr>
        <w:adjustRightInd w:val="0"/>
        <w:snapToGrid w:val="0"/>
        <w:spacing w:line="360" w:lineRule="auto"/>
        <w:ind w:firstLine="420" w:firstLineChars="200"/>
        <w:rPr>
          <w:rFonts w:hint="eastAsia" w:hAnsi="宋体"/>
          <w:bCs/>
          <w:color w:val="000000"/>
          <w:szCs w:val="21"/>
        </w:rPr>
      </w:pPr>
      <w:r>
        <w:rPr>
          <w:rFonts w:hint="eastAsia" w:hAnsi="宋体"/>
          <w:bCs/>
          <w:szCs w:val="21"/>
        </w:rPr>
        <w:t>思政目标：（1）通过多种数据结构和算法的综合比较，培养学生面向同一复杂工程问题时多种解决方案的优选与优化意识，培养学生尊重社会、环境、法律、经济、道德、政策、文化等综合因素影响，了解遵守行业规范；（2）通过介绍数据结构和算法对程序可靠性和执行效率的影响，让学生认识到基本数据结构只是基础，实际应用中需要进行融合与创新，仍有大量专用的算法需要不断学习和改进，培养学生自主学习与灵活创新的能力。</w:t>
      </w:r>
    </w:p>
    <w:p>
      <w:pPr>
        <w:adjustRightInd w:val="0"/>
        <w:snapToGrid w:val="0"/>
        <w:spacing w:before="156" w:beforeLines="50" w:line="360" w:lineRule="auto"/>
        <w:rPr>
          <w:rFonts w:eastAsia="黑体"/>
          <w:szCs w:val="21"/>
        </w:rPr>
      </w:pPr>
      <w:r>
        <w:rPr>
          <w:rFonts w:hint="eastAsia" w:eastAsia="黑体"/>
          <w:szCs w:val="21"/>
        </w:rPr>
        <w:t>三、课程内容、学时分配及对毕业要求指标点的支撑</w:t>
      </w:r>
    </w:p>
    <w:p>
      <w:pPr>
        <w:spacing w:line="360" w:lineRule="auto"/>
        <w:ind w:firstLine="420" w:firstLineChars="200"/>
        <w:rPr>
          <w:szCs w:val="21"/>
          <w:lang w:bidi="ar"/>
        </w:rPr>
      </w:pPr>
      <w:r>
        <w:rPr>
          <w:rFonts w:hint="eastAsia"/>
          <w:szCs w:val="21"/>
          <w:lang w:bidi="ar"/>
        </w:rPr>
        <w:t>1、本课程重点介绍内容包括：数据结构的逻辑结构、存储结构及其算法的相关概念及分析，典型的数据结构实现及其运算分析，常用的查找、排序算法分析。</w:t>
      </w:r>
    </w:p>
    <w:p>
      <w:pPr>
        <w:spacing w:line="360" w:lineRule="auto"/>
        <w:ind w:firstLine="420" w:firstLineChars="200"/>
        <w:rPr>
          <w:szCs w:val="21"/>
          <w:lang w:bidi="ar"/>
        </w:rPr>
      </w:pPr>
      <w:r>
        <w:rPr>
          <w:rFonts w:hint="eastAsia"/>
          <w:szCs w:val="21"/>
          <w:lang w:bidi="ar"/>
        </w:rPr>
        <w:t>2、深度和广度说明：对于模型、方案等的数据抽象、组织方式、数据关系、数据存储等相关概念及应用要尽可能展开，使学生有一个相对全面的认识；对于典型的数据结构及其上的算法要深入分析，使学生能在设计方案时知道如何分析选择，满足设计要求。</w:t>
      </w:r>
    </w:p>
    <w:p>
      <w:pPr>
        <w:spacing w:line="360" w:lineRule="auto"/>
        <w:ind w:firstLine="420" w:firstLineChars="200"/>
        <w:rPr>
          <w:szCs w:val="21"/>
        </w:rPr>
      </w:pPr>
      <w:r>
        <w:rPr>
          <w:szCs w:val="21"/>
          <w:lang w:bidi="ar"/>
        </w:rPr>
        <w:t>3</w:t>
      </w:r>
      <w:r>
        <w:rPr>
          <w:rFonts w:hint="eastAsia"/>
          <w:szCs w:val="21"/>
          <w:lang w:bidi="ar"/>
        </w:rPr>
        <w:t>、偏差说明：为了鼓励教师引入个人授课风格或者适应技术发展的紧迫性，本课程允许教师授课内容做适当调整，最大正偏差为10%，不允许负偏差。正偏差通过压缩同等内容的学时数来完成。特殊情况，最大正偏差和置换偏差累计可达到20%，但在开课前要申请专业责任人批准。（正偏差指大纲知识点不变，新增知识点；负偏差是大纲知识点减少；置换偏差是指大纲中部分知识点被其它类似知识点替换）。</w:t>
      </w:r>
    </w:p>
    <w:p>
      <w:pPr>
        <w:jc w:val="center"/>
        <w:rPr>
          <w:b/>
          <w:bCs/>
          <w:color w:val="000000"/>
          <w:sz w:val="18"/>
          <w:szCs w:val="18"/>
        </w:rPr>
      </w:pPr>
      <w:r>
        <w:rPr>
          <w:rFonts w:hint="eastAsia"/>
          <w:b/>
          <w:bCs/>
          <w:color w:val="000000"/>
          <w:sz w:val="18"/>
          <w:szCs w:val="18"/>
        </w:rPr>
        <w:t>表</w:t>
      </w:r>
      <w:r>
        <w:rPr>
          <w:b/>
          <w:bCs/>
          <w:color w:val="000000"/>
          <w:sz w:val="18"/>
          <w:szCs w:val="18"/>
        </w:rPr>
        <w:t>3.1</w:t>
      </w:r>
      <w:r>
        <w:rPr>
          <w:rFonts w:hint="eastAsia"/>
          <w:b/>
          <w:bCs/>
          <w:color w:val="000000"/>
          <w:sz w:val="18"/>
          <w:szCs w:val="18"/>
        </w:rPr>
        <w:t>课程内容、学时分配及对毕业要求指标点的支撑</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0"/>
        <w:gridCol w:w="5773"/>
        <w:gridCol w:w="527"/>
        <w:gridCol w:w="583"/>
        <w:gridCol w:w="562"/>
        <w:gridCol w:w="617"/>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318" w:type="pct"/>
            <w:tcBorders>
              <w:top w:val="single" w:color="auto" w:sz="4" w:space="0"/>
              <w:left w:val="single" w:color="auto" w:sz="4" w:space="0"/>
              <w:bottom w:val="single" w:color="auto" w:sz="4" w:space="0"/>
              <w:right w:val="single" w:color="auto" w:sz="4" w:space="0"/>
            </w:tcBorders>
            <w:shd w:val="clear" w:color="auto" w:fill="D9D9D9"/>
            <w:vAlign w:val="center"/>
          </w:tcPr>
          <w:p>
            <w:pPr>
              <w:snapToGrid w:val="0"/>
              <w:jc w:val="center"/>
              <w:rPr>
                <w:b/>
                <w:color w:val="000000"/>
                <w:sz w:val="18"/>
                <w:szCs w:val="18"/>
              </w:rPr>
            </w:pPr>
            <w:r>
              <w:rPr>
                <w:rFonts w:hint="eastAsia"/>
                <w:b/>
                <w:color w:val="000000"/>
                <w:sz w:val="18"/>
                <w:szCs w:val="18"/>
              </w:rPr>
              <w:t>序号</w:t>
            </w:r>
          </w:p>
        </w:tc>
        <w:tc>
          <w:tcPr>
            <w:tcW w:w="3110" w:type="pct"/>
            <w:tcBorders>
              <w:top w:val="single" w:color="auto" w:sz="4" w:space="0"/>
              <w:left w:val="single" w:color="auto" w:sz="4" w:space="0"/>
              <w:bottom w:val="single" w:color="auto" w:sz="4" w:space="0"/>
              <w:right w:val="single" w:color="auto" w:sz="4" w:space="0"/>
            </w:tcBorders>
            <w:shd w:val="clear" w:color="auto" w:fill="D9D9D9"/>
            <w:vAlign w:val="center"/>
          </w:tcPr>
          <w:p>
            <w:pPr>
              <w:snapToGrid w:val="0"/>
              <w:jc w:val="center"/>
              <w:rPr>
                <w:b/>
                <w:color w:val="000000"/>
                <w:sz w:val="18"/>
                <w:szCs w:val="18"/>
              </w:rPr>
            </w:pPr>
            <w:r>
              <w:rPr>
                <w:rFonts w:hint="eastAsia"/>
                <w:b/>
                <w:color w:val="000000"/>
                <w:sz w:val="18"/>
                <w:szCs w:val="18"/>
              </w:rPr>
              <w:t>内</w:t>
            </w:r>
            <w:r>
              <w:rPr>
                <w:b/>
                <w:color w:val="000000"/>
                <w:sz w:val="18"/>
                <w:szCs w:val="18"/>
              </w:rPr>
              <w:t xml:space="preserve">            </w:t>
            </w:r>
            <w:r>
              <w:rPr>
                <w:rFonts w:hint="eastAsia"/>
                <w:b/>
                <w:color w:val="000000"/>
                <w:sz w:val="18"/>
                <w:szCs w:val="18"/>
              </w:rPr>
              <w:t>容</w:t>
            </w:r>
          </w:p>
        </w:tc>
        <w:tc>
          <w:tcPr>
            <w:tcW w:w="284" w:type="pct"/>
            <w:tcBorders>
              <w:top w:val="single" w:color="auto" w:sz="4" w:space="0"/>
              <w:left w:val="single" w:color="auto" w:sz="4" w:space="0"/>
              <w:bottom w:val="single" w:color="auto" w:sz="4" w:space="0"/>
              <w:right w:val="single" w:color="auto" w:sz="4" w:space="0"/>
            </w:tcBorders>
            <w:shd w:val="clear" w:color="auto" w:fill="D9D9D9"/>
            <w:vAlign w:val="center"/>
          </w:tcPr>
          <w:p>
            <w:pPr>
              <w:snapToGrid w:val="0"/>
              <w:jc w:val="center"/>
              <w:rPr>
                <w:b/>
                <w:color w:val="000000"/>
                <w:sz w:val="18"/>
                <w:szCs w:val="18"/>
              </w:rPr>
            </w:pPr>
            <w:r>
              <w:rPr>
                <w:rFonts w:hint="eastAsia"/>
                <w:b/>
                <w:color w:val="000000"/>
                <w:sz w:val="18"/>
                <w:szCs w:val="18"/>
              </w:rPr>
              <w:t>讲课</w:t>
            </w:r>
          </w:p>
        </w:tc>
        <w:tc>
          <w:tcPr>
            <w:tcW w:w="314" w:type="pct"/>
            <w:tcBorders>
              <w:top w:val="single" w:color="auto" w:sz="4" w:space="0"/>
              <w:left w:val="single" w:color="auto" w:sz="4" w:space="0"/>
              <w:bottom w:val="single" w:color="auto" w:sz="4" w:space="0"/>
              <w:right w:val="single" w:color="auto" w:sz="4" w:space="0"/>
            </w:tcBorders>
            <w:shd w:val="clear" w:color="auto" w:fill="D9D9D9"/>
            <w:vAlign w:val="center"/>
          </w:tcPr>
          <w:p>
            <w:pPr>
              <w:snapToGrid w:val="0"/>
              <w:jc w:val="center"/>
              <w:rPr>
                <w:b/>
                <w:color w:val="000000"/>
                <w:sz w:val="18"/>
                <w:szCs w:val="18"/>
              </w:rPr>
            </w:pPr>
            <w:r>
              <w:rPr>
                <w:rFonts w:hint="eastAsia"/>
                <w:b/>
                <w:color w:val="000000"/>
                <w:sz w:val="18"/>
                <w:szCs w:val="18"/>
              </w:rPr>
              <w:t>实验</w:t>
            </w:r>
          </w:p>
        </w:tc>
        <w:tc>
          <w:tcPr>
            <w:tcW w:w="303" w:type="pct"/>
            <w:tcBorders>
              <w:top w:val="single" w:color="auto" w:sz="4" w:space="0"/>
              <w:left w:val="single" w:color="auto" w:sz="4" w:space="0"/>
              <w:bottom w:val="single" w:color="auto" w:sz="4" w:space="0"/>
              <w:right w:val="single" w:color="auto" w:sz="4" w:space="0"/>
            </w:tcBorders>
            <w:shd w:val="clear" w:color="auto" w:fill="D9D9D9"/>
            <w:vAlign w:val="center"/>
          </w:tcPr>
          <w:p>
            <w:pPr>
              <w:snapToGrid w:val="0"/>
              <w:jc w:val="center"/>
              <w:rPr>
                <w:b/>
                <w:color w:val="000000"/>
                <w:sz w:val="18"/>
                <w:szCs w:val="18"/>
              </w:rPr>
            </w:pPr>
            <w:r>
              <w:rPr>
                <w:rFonts w:hint="eastAsia"/>
                <w:b/>
                <w:color w:val="000000"/>
                <w:sz w:val="18"/>
                <w:szCs w:val="18"/>
              </w:rPr>
              <w:t>小计</w:t>
            </w:r>
          </w:p>
        </w:tc>
        <w:tc>
          <w:tcPr>
            <w:tcW w:w="332" w:type="pct"/>
            <w:tcBorders>
              <w:top w:val="single" w:color="auto" w:sz="4" w:space="0"/>
              <w:left w:val="single" w:color="auto" w:sz="4" w:space="0"/>
              <w:bottom w:val="single" w:color="auto" w:sz="4" w:space="0"/>
              <w:right w:val="single" w:color="auto" w:sz="4" w:space="0"/>
            </w:tcBorders>
            <w:shd w:val="clear" w:color="auto" w:fill="D9D9D9"/>
            <w:vAlign w:val="center"/>
          </w:tcPr>
          <w:p>
            <w:pPr>
              <w:snapToGrid w:val="0"/>
              <w:jc w:val="center"/>
              <w:rPr>
                <w:b/>
                <w:color w:val="000000"/>
                <w:sz w:val="18"/>
                <w:szCs w:val="18"/>
              </w:rPr>
            </w:pPr>
            <w:r>
              <w:rPr>
                <w:rFonts w:hint="eastAsia"/>
                <w:b/>
                <w:color w:val="000000"/>
                <w:sz w:val="18"/>
                <w:szCs w:val="18"/>
              </w:rPr>
              <w:t>支撑课程目标</w:t>
            </w:r>
          </w:p>
        </w:tc>
        <w:tc>
          <w:tcPr>
            <w:tcW w:w="339" w:type="pct"/>
            <w:tcBorders>
              <w:top w:val="single" w:color="auto" w:sz="4" w:space="0"/>
              <w:left w:val="single" w:color="auto" w:sz="4" w:space="0"/>
              <w:bottom w:val="single" w:color="auto" w:sz="4" w:space="0"/>
              <w:right w:val="single" w:color="auto" w:sz="4" w:space="0"/>
            </w:tcBorders>
            <w:shd w:val="clear" w:color="auto" w:fill="D9D9D9"/>
            <w:vAlign w:val="center"/>
          </w:tcPr>
          <w:p>
            <w:pPr>
              <w:snapToGrid w:val="0"/>
              <w:jc w:val="center"/>
              <w:rPr>
                <w:b/>
                <w:color w:val="000000"/>
                <w:sz w:val="18"/>
                <w:szCs w:val="18"/>
              </w:rPr>
            </w:pPr>
            <w:r>
              <w:rPr>
                <w:rFonts w:hint="eastAsia"/>
                <w:b/>
                <w:color w:val="000000"/>
                <w:sz w:val="18"/>
                <w:szCs w:val="18"/>
              </w:rPr>
              <w:t>支撑指标点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18"/>
                <w:szCs w:val="18"/>
              </w:rPr>
            </w:pPr>
            <w:r>
              <w:rPr>
                <w:sz w:val="18"/>
                <w:szCs w:val="18"/>
              </w:rPr>
              <w:t>1</w:t>
            </w:r>
          </w:p>
        </w:tc>
        <w:tc>
          <w:tcPr>
            <w:tcW w:w="3110" w:type="pct"/>
            <w:tcBorders>
              <w:top w:val="single" w:color="auto" w:sz="4" w:space="0"/>
              <w:left w:val="single" w:color="auto" w:sz="4" w:space="0"/>
              <w:bottom w:val="single" w:color="auto" w:sz="4" w:space="0"/>
              <w:right w:val="single" w:color="auto" w:sz="4" w:space="0"/>
            </w:tcBorders>
            <w:vAlign w:val="center"/>
          </w:tcPr>
          <w:p>
            <w:pPr>
              <w:spacing w:line="280" w:lineRule="exact"/>
              <w:rPr>
                <w:b/>
                <w:bCs/>
                <w:sz w:val="18"/>
                <w:szCs w:val="18"/>
              </w:rPr>
            </w:pPr>
            <w:r>
              <w:rPr>
                <w:rFonts w:hint="eastAsia"/>
                <w:b/>
                <w:bCs/>
                <w:sz w:val="18"/>
                <w:szCs w:val="18"/>
              </w:rPr>
              <w:t>1 概述</w:t>
            </w:r>
          </w:p>
          <w:p>
            <w:pPr>
              <w:spacing w:line="280" w:lineRule="exact"/>
              <w:rPr>
                <w:bCs/>
                <w:sz w:val="18"/>
                <w:szCs w:val="18"/>
              </w:rPr>
            </w:pPr>
            <w:r>
              <w:rPr>
                <w:rFonts w:hint="eastAsia"/>
                <w:bCs/>
                <w:sz w:val="18"/>
                <w:szCs w:val="18"/>
              </w:rPr>
              <w:t>1.1数据结构的基本概念和术语（掌握）</w:t>
            </w:r>
          </w:p>
          <w:p>
            <w:pPr>
              <w:spacing w:line="280" w:lineRule="exact"/>
              <w:rPr>
                <w:bCs/>
                <w:sz w:val="18"/>
                <w:szCs w:val="18"/>
              </w:rPr>
            </w:pPr>
            <w:r>
              <w:rPr>
                <w:rFonts w:hint="eastAsia"/>
                <w:bCs/>
                <w:sz w:val="18"/>
                <w:szCs w:val="18"/>
              </w:rPr>
              <w:t>1.2算法定义与性质（掌握）</w:t>
            </w:r>
          </w:p>
          <w:p>
            <w:pPr>
              <w:spacing w:line="280" w:lineRule="exact"/>
              <w:rPr>
                <w:bCs/>
                <w:sz w:val="18"/>
                <w:szCs w:val="18"/>
              </w:rPr>
            </w:pPr>
            <w:r>
              <w:rPr>
                <w:bCs/>
                <w:sz w:val="18"/>
                <w:szCs w:val="18"/>
              </w:rPr>
              <w:t>1.3</w:t>
            </w:r>
            <w:r>
              <w:rPr>
                <w:rFonts w:hint="eastAsia"/>
                <w:bCs/>
                <w:sz w:val="18"/>
                <w:szCs w:val="18"/>
              </w:rPr>
              <w:t>基本的算法分析概念与方法（掌握）</w:t>
            </w:r>
          </w:p>
          <w:p>
            <w:pPr>
              <w:spacing w:line="280" w:lineRule="exact"/>
              <w:rPr>
                <w:bCs/>
                <w:sz w:val="18"/>
                <w:szCs w:val="18"/>
              </w:rPr>
            </w:pPr>
            <w:r>
              <w:rPr>
                <w:rFonts w:hint="eastAsia"/>
                <w:bCs/>
                <w:sz w:val="18"/>
                <w:szCs w:val="18"/>
              </w:rPr>
              <w:t>1.4 C程序设计语言中的关键技术（掌握）</w:t>
            </w:r>
          </w:p>
          <w:p>
            <w:pPr>
              <w:spacing w:line="280" w:lineRule="exact"/>
              <w:rPr>
                <w:bCs/>
                <w:sz w:val="18"/>
                <w:szCs w:val="18"/>
              </w:rPr>
            </w:pPr>
            <w:r>
              <w:rPr>
                <w:bCs/>
                <w:sz w:val="18"/>
                <w:szCs w:val="18"/>
              </w:rPr>
              <w:t>重点：数据结构的基本概念</w:t>
            </w:r>
          </w:p>
          <w:p>
            <w:pPr>
              <w:spacing w:line="280" w:lineRule="exact"/>
              <w:rPr>
                <w:bCs/>
                <w:sz w:val="18"/>
                <w:szCs w:val="18"/>
              </w:rPr>
            </w:pPr>
            <w:r>
              <w:rPr>
                <w:bCs/>
                <w:sz w:val="18"/>
                <w:szCs w:val="18"/>
              </w:rPr>
              <w:t>难点：算法分析的方法</w:t>
            </w:r>
          </w:p>
        </w:tc>
        <w:tc>
          <w:tcPr>
            <w:tcW w:w="284"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2</w:t>
            </w:r>
          </w:p>
        </w:tc>
        <w:tc>
          <w:tcPr>
            <w:tcW w:w="314"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p>
        </w:tc>
        <w:tc>
          <w:tcPr>
            <w:tcW w:w="30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2</w:t>
            </w:r>
          </w:p>
        </w:tc>
        <w:tc>
          <w:tcPr>
            <w:tcW w:w="33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1</w:t>
            </w:r>
          </w:p>
        </w:tc>
        <w:tc>
          <w:tcPr>
            <w:tcW w:w="33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18"/>
                <w:szCs w:val="18"/>
              </w:rPr>
            </w:pPr>
            <w:r>
              <w:rPr>
                <w:sz w:val="18"/>
                <w:szCs w:val="18"/>
              </w:rPr>
              <w:t>2</w:t>
            </w:r>
          </w:p>
        </w:tc>
        <w:tc>
          <w:tcPr>
            <w:tcW w:w="3110" w:type="pct"/>
            <w:tcBorders>
              <w:top w:val="single" w:color="auto" w:sz="4" w:space="0"/>
              <w:left w:val="single" w:color="auto" w:sz="4" w:space="0"/>
              <w:bottom w:val="single" w:color="auto" w:sz="4" w:space="0"/>
              <w:right w:val="single" w:color="auto" w:sz="4" w:space="0"/>
            </w:tcBorders>
            <w:vAlign w:val="center"/>
          </w:tcPr>
          <w:p>
            <w:pPr>
              <w:spacing w:line="280" w:lineRule="exact"/>
              <w:rPr>
                <w:b/>
                <w:bCs/>
                <w:sz w:val="18"/>
                <w:szCs w:val="18"/>
              </w:rPr>
            </w:pPr>
            <w:r>
              <w:rPr>
                <w:rFonts w:hint="eastAsia"/>
                <w:b/>
                <w:bCs/>
                <w:sz w:val="18"/>
                <w:szCs w:val="18"/>
              </w:rPr>
              <w:t>2 线性表</w:t>
            </w:r>
          </w:p>
          <w:p>
            <w:pPr>
              <w:spacing w:line="280" w:lineRule="exact"/>
              <w:rPr>
                <w:bCs/>
                <w:sz w:val="18"/>
                <w:szCs w:val="18"/>
              </w:rPr>
            </w:pPr>
            <w:r>
              <w:rPr>
                <w:rFonts w:hint="eastAsia"/>
                <w:bCs/>
                <w:sz w:val="18"/>
                <w:szCs w:val="18"/>
              </w:rPr>
              <w:t>2.1线性关系与线性表的基本概念和操作（了解）</w:t>
            </w:r>
          </w:p>
          <w:p>
            <w:pPr>
              <w:spacing w:line="280" w:lineRule="exact"/>
              <w:rPr>
                <w:bCs/>
                <w:sz w:val="18"/>
                <w:szCs w:val="18"/>
              </w:rPr>
            </w:pPr>
            <w:r>
              <w:rPr>
                <w:rFonts w:hint="eastAsia"/>
                <w:bCs/>
                <w:sz w:val="18"/>
                <w:szCs w:val="18"/>
              </w:rPr>
              <w:t>2.2线性表的顺序表示和实现（掌握）</w:t>
            </w:r>
          </w:p>
          <w:p>
            <w:pPr>
              <w:spacing w:line="280" w:lineRule="exact"/>
              <w:rPr>
                <w:bCs/>
                <w:sz w:val="18"/>
                <w:szCs w:val="18"/>
              </w:rPr>
            </w:pPr>
            <w:r>
              <w:rPr>
                <w:rFonts w:hint="eastAsia"/>
                <w:bCs/>
                <w:sz w:val="18"/>
                <w:szCs w:val="18"/>
              </w:rPr>
              <w:t>2.3线性表的链式表示和实现（掌握）</w:t>
            </w:r>
          </w:p>
          <w:p>
            <w:pPr>
              <w:spacing w:line="280" w:lineRule="exact"/>
              <w:rPr>
                <w:bCs/>
                <w:sz w:val="18"/>
                <w:szCs w:val="18"/>
              </w:rPr>
            </w:pPr>
            <w:r>
              <w:rPr>
                <w:rFonts w:hint="eastAsia"/>
                <w:bCs/>
                <w:sz w:val="18"/>
                <w:szCs w:val="18"/>
              </w:rPr>
              <w:t>2.4线性表的应用实例（掌握）</w:t>
            </w:r>
          </w:p>
          <w:p>
            <w:pPr>
              <w:spacing w:line="280" w:lineRule="exact"/>
              <w:rPr>
                <w:bCs/>
                <w:sz w:val="18"/>
                <w:szCs w:val="18"/>
              </w:rPr>
            </w:pPr>
            <w:r>
              <w:rPr>
                <w:bCs/>
                <w:sz w:val="18"/>
                <w:szCs w:val="18"/>
              </w:rPr>
              <w:t>重点：线性表的表示和实现</w:t>
            </w:r>
          </w:p>
          <w:p>
            <w:pPr>
              <w:spacing w:line="280" w:lineRule="exact"/>
              <w:rPr>
                <w:bCs/>
                <w:sz w:val="18"/>
                <w:szCs w:val="18"/>
              </w:rPr>
            </w:pPr>
            <w:r>
              <w:rPr>
                <w:bCs/>
                <w:sz w:val="18"/>
                <w:szCs w:val="18"/>
              </w:rPr>
              <w:t>难点：线性表的链式实现</w:t>
            </w:r>
          </w:p>
        </w:tc>
        <w:tc>
          <w:tcPr>
            <w:tcW w:w="284"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3</w:t>
            </w:r>
          </w:p>
        </w:tc>
        <w:tc>
          <w:tcPr>
            <w:tcW w:w="314"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2</w:t>
            </w:r>
          </w:p>
        </w:tc>
        <w:tc>
          <w:tcPr>
            <w:tcW w:w="30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5</w:t>
            </w:r>
          </w:p>
        </w:tc>
        <w:tc>
          <w:tcPr>
            <w:tcW w:w="33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1</w:t>
            </w:r>
            <w:r>
              <w:rPr>
                <w:rFonts w:hint="eastAsia" w:cs="Calibri"/>
                <w:b/>
                <w:color w:val="000000"/>
                <w:sz w:val="18"/>
                <w:szCs w:val="18"/>
              </w:rPr>
              <w:t>、</w:t>
            </w:r>
            <w:r>
              <w:rPr>
                <w:rFonts w:cs="Calibri"/>
                <w:b/>
                <w:color w:val="000000"/>
                <w:sz w:val="18"/>
                <w:szCs w:val="18"/>
              </w:rPr>
              <w:t>2</w:t>
            </w:r>
          </w:p>
        </w:tc>
        <w:tc>
          <w:tcPr>
            <w:tcW w:w="33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2-2</w:t>
            </w:r>
          </w:p>
          <w:p>
            <w:pPr>
              <w:spacing w:line="280" w:lineRule="exact"/>
              <w:jc w:val="center"/>
              <w:rPr>
                <w:rFonts w:cs="Calibri"/>
                <w:b/>
                <w:color w:val="000000"/>
                <w:sz w:val="18"/>
                <w:szCs w:val="18"/>
              </w:rPr>
            </w:pPr>
            <w:r>
              <w:rPr>
                <w:rFonts w:cs="Calibri"/>
                <w:b/>
                <w:color w:val="000000"/>
                <w:sz w:val="18"/>
                <w:szCs w:val="18"/>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18"/>
                <w:szCs w:val="18"/>
              </w:rPr>
            </w:pPr>
            <w:r>
              <w:rPr>
                <w:sz w:val="18"/>
                <w:szCs w:val="18"/>
              </w:rPr>
              <w:t>3</w:t>
            </w:r>
          </w:p>
        </w:tc>
        <w:tc>
          <w:tcPr>
            <w:tcW w:w="3110" w:type="pct"/>
            <w:tcBorders>
              <w:top w:val="single" w:color="auto" w:sz="4" w:space="0"/>
              <w:left w:val="single" w:color="auto" w:sz="4" w:space="0"/>
              <w:bottom w:val="single" w:color="auto" w:sz="4" w:space="0"/>
              <w:right w:val="single" w:color="auto" w:sz="4" w:space="0"/>
            </w:tcBorders>
            <w:vAlign w:val="center"/>
          </w:tcPr>
          <w:p>
            <w:pPr>
              <w:spacing w:line="280" w:lineRule="exact"/>
              <w:rPr>
                <w:b/>
                <w:bCs/>
                <w:sz w:val="18"/>
                <w:szCs w:val="18"/>
              </w:rPr>
            </w:pPr>
            <w:r>
              <w:rPr>
                <w:rFonts w:hint="eastAsia"/>
                <w:b/>
                <w:bCs/>
                <w:sz w:val="18"/>
                <w:szCs w:val="18"/>
              </w:rPr>
              <w:t>3栈和队列</w:t>
            </w:r>
          </w:p>
          <w:p>
            <w:pPr>
              <w:spacing w:line="280" w:lineRule="exact"/>
              <w:rPr>
                <w:bCs/>
                <w:sz w:val="18"/>
                <w:szCs w:val="18"/>
              </w:rPr>
            </w:pPr>
            <w:r>
              <w:rPr>
                <w:rFonts w:hint="eastAsia"/>
                <w:bCs/>
                <w:sz w:val="18"/>
                <w:szCs w:val="18"/>
              </w:rPr>
              <w:t>3.1栈的基本概念、特性和基本操作（了解）</w:t>
            </w:r>
          </w:p>
          <w:p>
            <w:pPr>
              <w:spacing w:line="280" w:lineRule="exact"/>
              <w:rPr>
                <w:bCs/>
                <w:sz w:val="18"/>
                <w:szCs w:val="18"/>
              </w:rPr>
            </w:pPr>
            <w:r>
              <w:rPr>
                <w:rFonts w:hint="eastAsia"/>
                <w:bCs/>
                <w:sz w:val="18"/>
                <w:szCs w:val="18"/>
              </w:rPr>
              <w:t>3.2栈的表示和实现（了解）</w:t>
            </w:r>
          </w:p>
          <w:p>
            <w:pPr>
              <w:spacing w:line="280" w:lineRule="exact"/>
              <w:rPr>
                <w:bCs/>
                <w:sz w:val="18"/>
                <w:szCs w:val="18"/>
              </w:rPr>
            </w:pPr>
            <w:r>
              <w:rPr>
                <w:rFonts w:hint="eastAsia"/>
                <w:bCs/>
                <w:sz w:val="18"/>
                <w:szCs w:val="18"/>
              </w:rPr>
              <w:t>3.3栈的应用实例（了解）</w:t>
            </w:r>
          </w:p>
          <w:p>
            <w:pPr>
              <w:spacing w:line="280" w:lineRule="exact"/>
              <w:rPr>
                <w:bCs/>
                <w:sz w:val="18"/>
                <w:szCs w:val="18"/>
              </w:rPr>
            </w:pPr>
            <w:r>
              <w:rPr>
                <w:rFonts w:hint="eastAsia"/>
                <w:bCs/>
                <w:sz w:val="18"/>
                <w:szCs w:val="18"/>
              </w:rPr>
              <w:t>3.4队列的基本概念、特性和基本操作（了解）</w:t>
            </w:r>
          </w:p>
          <w:p>
            <w:pPr>
              <w:spacing w:line="280" w:lineRule="exact"/>
              <w:rPr>
                <w:bCs/>
                <w:sz w:val="18"/>
                <w:szCs w:val="18"/>
              </w:rPr>
            </w:pPr>
            <w:r>
              <w:rPr>
                <w:rFonts w:hint="eastAsia"/>
                <w:bCs/>
                <w:sz w:val="18"/>
                <w:szCs w:val="18"/>
              </w:rPr>
              <w:t>3.5队列的表示和实现（了解）</w:t>
            </w:r>
          </w:p>
          <w:p>
            <w:pPr>
              <w:spacing w:line="280" w:lineRule="exact"/>
              <w:rPr>
                <w:bCs/>
                <w:sz w:val="18"/>
                <w:szCs w:val="18"/>
              </w:rPr>
            </w:pPr>
            <w:r>
              <w:rPr>
                <w:bCs/>
                <w:sz w:val="18"/>
                <w:szCs w:val="18"/>
              </w:rPr>
              <w:t>3.6</w:t>
            </w:r>
            <w:r>
              <w:rPr>
                <w:rFonts w:hint="eastAsia"/>
                <w:bCs/>
                <w:sz w:val="18"/>
                <w:szCs w:val="18"/>
              </w:rPr>
              <w:t>队列的应用实例（了解）</w:t>
            </w:r>
          </w:p>
          <w:p>
            <w:pPr>
              <w:spacing w:line="280" w:lineRule="exact"/>
              <w:rPr>
                <w:bCs/>
                <w:sz w:val="18"/>
                <w:szCs w:val="18"/>
              </w:rPr>
            </w:pPr>
            <w:r>
              <w:rPr>
                <w:bCs/>
                <w:sz w:val="18"/>
                <w:szCs w:val="18"/>
              </w:rPr>
              <w:t>重点：栈和队列的表示和实现</w:t>
            </w:r>
          </w:p>
          <w:p>
            <w:pPr>
              <w:spacing w:line="280" w:lineRule="exact"/>
              <w:rPr>
                <w:b/>
                <w:bCs/>
                <w:sz w:val="18"/>
                <w:szCs w:val="18"/>
              </w:rPr>
            </w:pPr>
            <w:r>
              <w:rPr>
                <w:bCs/>
                <w:sz w:val="18"/>
                <w:szCs w:val="18"/>
              </w:rPr>
              <w:t>难点：栈和队列的实现</w:t>
            </w:r>
          </w:p>
        </w:tc>
        <w:tc>
          <w:tcPr>
            <w:tcW w:w="284"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2</w:t>
            </w:r>
          </w:p>
        </w:tc>
        <w:tc>
          <w:tcPr>
            <w:tcW w:w="314"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p>
        </w:tc>
        <w:tc>
          <w:tcPr>
            <w:tcW w:w="30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2</w:t>
            </w:r>
          </w:p>
        </w:tc>
        <w:tc>
          <w:tcPr>
            <w:tcW w:w="33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1</w:t>
            </w:r>
            <w:r>
              <w:rPr>
                <w:rFonts w:hint="eastAsia" w:cs="Calibri"/>
                <w:b/>
                <w:color w:val="000000"/>
                <w:sz w:val="18"/>
                <w:szCs w:val="18"/>
              </w:rPr>
              <w:t>、</w:t>
            </w:r>
            <w:r>
              <w:rPr>
                <w:rFonts w:cs="Calibri"/>
                <w:b/>
                <w:color w:val="000000"/>
                <w:sz w:val="18"/>
                <w:szCs w:val="18"/>
              </w:rPr>
              <w:t>2</w:t>
            </w:r>
          </w:p>
        </w:tc>
        <w:tc>
          <w:tcPr>
            <w:tcW w:w="33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2-2</w:t>
            </w:r>
          </w:p>
          <w:p>
            <w:pPr>
              <w:spacing w:line="280" w:lineRule="exact"/>
              <w:jc w:val="center"/>
              <w:rPr>
                <w:rFonts w:cs="Calibri"/>
                <w:b/>
                <w:color w:val="000000"/>
                <w:sz w:val="18"/>
                <w:szCs w:val="18"/>
              </w:rPr>
            </w:pPr>
            <w:r>
              <w:rPr>
                <w:rFonts w:cs="Calibri"/>
                <w:b/>
                <w:color w:val="000000"/>
                <w:sz w:val="18"/>
                <w:szCs w:val="18"/>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18"/>
                <w:szCs w:val="18"/>
              </w:rPr>
            </w:pPr>
            <w:r>
              <w:rPr>
                <w:sz w:val="18"/>
                <w:szCs w:val="18"/>
              </w:rPr>
              <w:t>4</w:t>
            </w:r>
          </w:p>
        </w:tc>
        <w:tc>
          <w:tcPr>
            <w:tcW w:w="3110" w:type="pct"/>
            <w:tcBorders>
              <w:top w:val="single" w:color="auto" w:sz="4" w:space="0"/>
              <w:left w:val="single" w:color="auto" w:sz="4" w:space="0"/>
              <w:bottom w:val="single" w:color="auto" w:sz="4" w:space="0"/>
              <w:right w:val="single" w:color="auto" w:sz="4" w:space="0"/>
            </w:tcBorders>
            <w:vAlign w:val="center"/>
          </w:tcPr>
          <w:p>
            <w:pPr>
              <w:spacing w:line="280" w:lineRule="exact"/>
              <w:rPr>
                <w:b/>
                <w:bCs/>
                <w:sz w:val="18"/>
                <w:szCs w:val="18"/>
              </w:rPr>
            </w:pPr>
            <w:r>
              <w:rPr>
                <w:rFonts w:hint="eastAsia"/>
                <w:b/>
                <w:bCs/>
                <w:sz w:val="18"/>
                <w:szCs w:val="18"/>
              </w:rPr>
              <w:t>4串</w:t>
            </w:r>
          </w:p>
          <w:p>
            <w:pPr>
              <w:spacing w:line="280" w:lineRule="exact"/>
              <w:rPr>
                <w:bCs/>
                <w:sz w:val="18"/>
                <w:szCs w:val="18"/>
              </w:rPr>
            </w:pPr>
            <w:r>
              <w:rPr>
                <w:rFonts w:hint="eastAsia"/>
                <w:bCs/>
                <w:sz w:val="18"/>
                <w:szCs w:val="18"/>
              </w:rPr>
              <w:t>4.1串的基本概念（了解）</w:t>
            </w:r>
          </w:p>
          <w:p>
            <w:pPr>
              <w:spacing w:line="280" w:lineRule="exact"/>
              <w:rPr>
                <w:bCs/>
                <w:sz w:val="18"/>
                <w:szCs w:val="18"/>
              </w:rPr>
            </w:pPr>
            <w:r>
              <w:rPr>
                <w:rFonts w:hint="eastAsia"/>
                <w:bCs/>
                <w:sz w:val="18"/>
                <w:szCs w:val="18"/>
              </w:rPr>
              <w:t>4.2串的表示和实现（了解）</w:t>
            </w:r>
          </w:p>
          <w:p>
            <w:pPr>
              <w:spacing w:line="280" w:lineRule="exact"/>
              <w:rPr>
                <w:bCs/>
                <w:sz w:val="18"/>
                <w:szCs w:val="18"/>
              </w:rPr>
            </w:pPr>
            <w:r>
              <w:rPr>
                <w:rFonts w:hint="eastAsia"/>
                <w:bCs/>
                <w:sz w:val="18"/>
                <w:szCs w:val="18"/>
              </w:rPr>
              <w:t>4.3串的应用实例（了解）</w:t>
            </w:r>
          </w:p>
          <w:p>
            <w:pPr>
              <w:spacing w:line="280" w:lineRule="exact"/>
              <w:rPr>
                <w:bCs/>
                <w:sz w:val="18"/>
                <w:szCs w:val="18"/>
              </w:rPr>
            </w:pPr>
            <w:r>
              <w:rPr>
                <w:bCs/>
                <w:sz w:val="18"/>
                <w:szCs w:val="18"/>
              </w:rPr>
              <w:t>难点：串的表示和实现</w:t>
            </w:r>
          </w:p>
          <w:p>
            <w:pPr>
              <w:spacing w:line="280" w:lineRule="exact"/>
              <w:rPr>
                <w:b/>
                <w:bCs/>
                <w:sz w:val="18"/>
                <w:szCs w:val="18"/>
              </w:rPr>
            </w:pPr>
            <w:r>
              <w:rPr>
                <w:bCs/>
                <w:sz w:val="18"/>
                <w:szCs w:val="18"/>
              </w:rPr>
              <w:t>难点：串的实现</w:t>
            </w:r>
          </w:p>
        </w:tc>
        <w:tc>
          <w:tcPr>
            <w:tcW w:w="284"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1</w:t>
            </w:r>
          </w:p>
        </w:tc>
        <w:tc>
          <w:tcPr>
            <w:tcW w:w="314"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p>
        </w:tc>
        <w:tc>
          <w:tcPr>
            <w:tcW w:w="30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1</w:t>
            </w:r>
          </w:p>
        </w:tc>
        <w:tc>
          <w:tcPr>
            <w:tcW w:w="33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1</w:t>
            </w:r>
            <w:r>
              <w:rPr>
                <w:rFonts w:hint="eastAsia" w:cs="Calibri"/>
                <w:b/>
                <w:color w:val="000000"/>
                <w:sz w:val="18"/>
                <w:szCs w:val="18"/>
              </w:rPr>
              <w:t>、</w:t>
            </w:r>
            <w:r>
              <w:rPr>
                <w:rFonts w:cs="Calibri"/>
                <w:b/>
                <w:color w:val="000000"/>
                <w:sz w:val="18"/>
                <w:szCs w:val="18"/>
              </w:rPr>
              <w:t>2</w:t>
            </w:r>
          </w:p>
        </w:tc>
        <w:tc>
          <w:tcPr>
            <w:tcW w:w="33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2-2</w:t>
            </w:r>
          </w:p>
          <w:p>
            <w:pPr>
              <w:spacing w:line="280" w:lineRule="exact"/>
              <w:jc w:val="center"/>
              <w:rPr>
                <w:rFonts w:cs="Calibri"/>
                <w:b/>
                <w:color w:val="000000"/>
                <w:sz w:val="18"/>
                <w:szCs w:val="18"/>
              </w:rPr>
            </w:pPr>
            <w:r>
              <w:rPr>
                <w:rFonts w:cs="Calibri"/>
                <w:b/>
                <w:color w:val="000000"/>
                <w:sz w:val="18"/>
                <w:szCs w:val="18"/>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18"/>
                <w:szCs w:val="18"/>
              </w:rPr>
            </w:pPr>
            <w:r>
              <w:rPr>
                <w:sz w:val="18"/>
                <w:szCs w:val="18"/>
              </w:rPr>
              <w:t>5</w:t>
            </w:r>
          </w:p>
        </w:tc>
        <w:tc>
          <w:tcPr>
            <w:tcW w:w="3110" w:type="pct"/>
            <w:tcBorders>
              <w:top w:val="single" w:color="auto" w:sz="4" w:space="0"/>
              <w:left w:val="single" w:color="auto" w:sz="4" w:space="0"/>
              <w:bottom w:val="single" w:color="auto" w:sz="4" w:space="0"/>
              <w:right w:val="single" w:color="auto" w:sz="4" w:space="0"/>
            </w:tcBorders>
            <w:vAlign w:val="center"/>
          </w:tcPr>
          <w:p>
            <w:pPr>
              <w:spacing w:line="280" w:lineRule="exact"/>
              <w:rPr>
                <w:b/>
                <w:bCs/>
                <w:sz w:val="18"/>
                <w:szCs w:val="18"/>
              </w:rPr>
            </w:pPr>
            <w:r>
              <w:rPr>
                <w:rFonts w:hint="eastAsia"/>
                <w:b/>
                <w:bCs/>
                <w:sz w:val="18"/>
                <w:szCs w:val="18"/>
              </w:rPr>
              <w:t>5数组和广义表</w:t>
            </w:r>
          </w:p>
          <w:p>
            <w:pPr>
              <w:spacing w:line="280" w:lineRule="exact"/>
              <w:rPr>
                <w:bCs/>
                <w:sz w:val="18"/>
                <w:szCs w:val="18"/>
              </w:rPr>
            </w:pPr>
            <w:r>
              <w:rPr>
                <w:rFonts w:hint="eastAsia"/>
                <w:bCs/>
                <w:sz w:val="18"/>
                <w:szCs w:val="18"/>
              </w:rPr>
              <w:t>5.1数组的基本概念（了解）</w:t>
            </w:r>
          </w:p>
          <w:p>
            <w:pPr>
              <w:spacing w:line="280" w:lineRule="exact"/>
              <w:rPr>
                <w:bCs/>
                <w:sz w:val="18"/>
                <w:szCs w:val="18"/>
              </w:rPr>
            </w:pPr>
            <w:r>
              <w:rPr>
                <w:rFonts w:hint="eastAsia"/>
                <w:bCs/>
                <w:sz w:val="18"/>
                <w:szCs w:val="18"/>
              </w:rPr>
              <w:t>5.2数组的顺序表示和实现（了解）</w:t>
            </w:r>
          </w:p>
          <w:p>
            <w:pPr>
              <w:spacing w:line="280" w:lineRule="exact"/>
              <w:rPr>
                <w:bCs/>
                <w:sz w:val="18"/>
                <w:szCs w:val="18"/>
              </w:rPr>
            </w:pPr>
            <w:r>
              <w:rPr>
                <w:rFonts w:hint="eastAsia"/>
                <w:bCs/>
                <w:sz w:val="18"/>
                <w:szCs w:val="18"/>
              </w:rPr>
              <w:t>5.3矩阵的压缩存储（了解）</w:t>
            </w:r>
          </w:p>
          <w:p>
            <w:pPr>
              <w:spacing w:line="280" w:lineRule="exact"/>
              <w:rPr>
                <w:bCs/>
                <w:sz w:val="18"/>
                <w:szCs w:val="18"/>
              </w:rPr>
            </w:pPr>
            <w:r>
              <w:rPr>
                <w:rFonts w:hint="eastAsia"/>
                <w:bCs/>
                <w:sz w:val="18"/>
                <w:szCs w:val="18"/>
              </w:rPr>
              <w:t>5.4广义表的基本概念（了解）</w:t>
            </w:r>
          </w:p>
          <w:p>
            <w:pPr>
              <w:spacing w:line="280" w:lineRule="exact"/>
              <w:rPr>
                <w:bCs/>
                <w:sz w:val="18"/>
                <w:szCs w:val="18"/>
              </w:rPr>
            </w:pPr>
            <w:r>
              <w:rPr>
                <w:bCs/>
                <w:sz w:val="18"/>
                <w:szCs w:val="18"/>
              </w:rPr>
              <w:t>重点：数组的表示和实现</w:t>
            </w:r>
          </w:p>
          <w:p>
            <w:pPr>
              <w:spacing w:line="280" w:lineRule="exact"/>
              <w:rPr>
                <w:b/>
                <w:bCs/>
                <w:sz w:val="18"/>
                <w:szCs w:val="18"/>
              </w:rPr>
            </w:pPr>
            <w:r>
              <w:rPr>
                <w:bCs/>
                <w:sz w:val="18"/>
                <w:szCs w:val="18"/>
              </w:rPr>
              <w:t>难点：矩阵的压缩存储</w:t>
            </w:r>
          </w:p>
        </w:tc>
        <w:tc>
          <w:tcPr>
            <w:tcW w:w="284"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1</w:t>
            </w:r>
          </w:p>
        </w:tc>
        <w:tc>
          <w:tcPr>
            <w:tcW w:w="314"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p>
        </w:tc>
        <w:tc>
          <w:tcPr>
            <w:tcW w:w="30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1</w:t>
            </w:r>
          </w:p>
        </w:tc>
        <w:tc>
          <w:tcPr>
            <w:tcW w:w="33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1</w:t>
            </w:r>
            <w:r>
              <w:rPr>
                <w:rFonts w:hint="eastAsia" w:cs="Calibri"/>
                <w:b/>
                <w:color w:val="000000"/>
                <w:sz w:val="18"/>
                <w:szCs w:val="18"/>
              </w:rPr>
              <w:t>、</w:t>
            </w:r>
            <w:r>
              <w:rPr>
                <w:rFonts w:cs="Calibri"/>
                <w:b/>
                <w:color w:val="000000"/>
                <w:sz w:val="18"/>
                <w:szCs w:val="18"/>
              </w:rPr>
              <w:t>2</w:t>
            </w:r>
          </w:p>
        </w:tc>
        <w:tc>
          <w:tcPr>
            <w:tcW w:w="33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2-2</w:t>
            </w:r>
          </w:p>
          <w:p>
            <w:pPr>
              <w:spacing w:line="280" w:lineRule="exact"/>
              <w:jc w:val="center"/>
              <w:rPr>
                <w:rFonts w:cs="Calibri"/>
                <w:b/>
                <w:color w:val="000000"/>
                <w:sz w:val="18"/>
                <w:szCs w:val="18"/>
              </w:rPr>
            </w:pPr>
            <w:r>
              <w:rPr>
                <w:rFonts w:cs="Calibri"/>
                <w:b/>
                <w:color w:val="000000"/>
                <w:sz w:val="18"/>
                <w:szCs w:val="18"/>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18"/>
                <w:szCs w:val="18"/>
              </w:rPr>
            </w:pPr>
            <w:r>
              <w:rPr>
                <w:sz w:val="18"/>
                <w:szCs w:val="18"/>
              </w:rPr>
              <w:t>6</w:t>
            </w:r>
          </w:p>
        </w:tc>
        <w:tc>
          <w:tcPr>
            <w:tcW w:w="3110" w:type="pct"/>
            <w:tcBorders>
              <w:top w:val="single" w:color="auto" w:sz="4" w:space="0"/>
              <w:left w:val="single" w:color="auto" w:sz="4" w:space="0"/>
              <w:bottom w:val="single" w:color="auto" w:sz="4" w:space="0"/>
              <w:right w:val="single" w:color="auto" w:sz="4" w:space="0"/>
            </w:tcBorders>
            <w:vAlign w:val="center"/>
          </w:tcPr>
          <w:p>
            <w:pPr>
              <w:spacing w:line="280" w:lineRule="exact"/>
              <w:rPr>
                <w:b/>
                <w:bCs/>
                <w:sz w:val="18"/>
                <w:szCs w:val="18"/>
              </w:rPr>
            </w:pPr>
            <w:r>
              <w:rPr>
                <w:rFonts w:hint="eastAsia"/>
                <w:b/>
                <w:bCs/>
                <w:sz w:val="18"/>
                <w:szCs w:val="18"/>
              </w:rPr>
              <w:t>6 树与二叉树</w:t>
            </w:r>
          </w:p>
          <w:p>
            <w:pPr>
              <w:spacing w:line="280" w:lineRule="exact"/>
              <w:rPr>
                <w:bCs/>
                <w:sz w:val="18"/>
                <w:szCs w:val="18"/>
              </w:rPr>
            </w:pPr>
            <w:r>
              <w:rPr>
                <w:rFonts w:hint="eastAsia"/>
                <w:bCs/>
                <w:sz w:val="18"/>
                <w:szCs w:val="18"/>
              </w:rPr>
              <w:t>6.1树的基本概念和术语（了解）</w:t>
            </w:r>
          </w:p>
          <w:p>
            <w:pPr>
              <w:spacing w:line="280" w:lineRule="exact"/>
              <w:rPr>
                <w:bCs/>
                <w:sz w:val="18"/>
                <w:szCs w:val="18"/>
              </w:rPr>
            </w:pPr>
            <w:r>
              <w:rPr>
                <w:rFonts w:hint="eastAsia"/>
                <w:bCs/>
                <w:sz w:val="18"/>
                <w:szCs w:val="18"/>
              </w:rPr>
              <w:t>6.2二叉树的基本概念和存储结构（掌握）</w:t>
            </w:r>
          </w:p>
          <w:p>
            <w:pPr>
              <w:spacing w:line="280" w:lineRule="exact"/>
              <w:rPr>
                <w:bCs/>
                <w:sz w:val="18"/>
                <w:szCs w:val="18"/>
              </w:rPr>
            </w:pPr>
            <w:r>
              <w:rPr>
                <w:rFonts w:hint="eastAsia"/>
                <w:bCs/>
                <w:sz w:val="18"/>
                <w:szCs w:val="18"/>
              </w:rPr>
              <w:t>6.3树与二叉树的遍历操作（掌握）</w:t>
            </w:r>
          </w:p>
          <w:p>
            <w:pPr>
              <w:spacing w:line="280" w:lineRule="exact"/>
              <w:rPr>
                <w:bCs/>
                <w:sz w:val="18"/>
                <w:szCs w:val="18"/>
              </w:rPr>
            </w:pPr>
            <w:r>
              <w:rPr>
                <w:rFonts w:hint="eastAsia"/>
                <w:bCs/>
                <w:sz w:val="18"/>
                <w:szCs w:val="18"/>
              </w:rPr>
              <w:t>6.4树和森林的关系（掌握）</w:t>
            </w:r>
          </w:p>
          <w:p>
            <w:pPr>
              <w:spacing w:line="280" w:lineRule="exact"/>
              <w:rPr>
                <w:bCs/>
                <w:sz w:val="18"/>
                <w:szCs w:val="18"/>
              </w:rPr>
            </w:pPr>
            <w:r>
              <w:rPr>
                <w:rFonts w:hint="eastAsia"/>
                <w:bCs/>
                <w:sz w:val="18"/>
                <w:szCs w:val="18"/>
              </w:rPr>
              <w:t>6.5树的应用实例，霍夫曼树（掌握）</w:t>
            </w:r>
          </w:p>
          <w:p>
            <w:pPr>
              <w:spacing w:line="280" w:lineRule="exact"/>
              <w:rPr>
                <w:bCs/>
                <w:sz w:val="18"/>
                <w:szCs w:val="18"/>
              </w:rPr>
            </w:pPr>
            <w:r>
              <w:rPr>
                <w:bCs/>
                <w:sz w:val="18"/>
                <w:szCs w:val="18"/>
              </w:rPr>
              <w:t>重点：二叉树存储结构、遍历</w:t>
            </w:r>
          </w:p>
          <w:p>
            <w:pPr>
              <w:spacing w:line="280" w:lineRule="exact"/>
              <w:rPr>
                <w:b/>
                <w:bCs/>
                <w:sz w:val="18"/>
                <w:szCs w:val="18"/>
              </w:rPr>
            </w:pPr>
            <w:r>
              <w:rPr>
                <w:bCs/>
                <w:sz w:val="18"/>
                <w:szCs w:val="18"/>
              </w:rPr>
              <w:t>难点：二叉树的遍历</w:t>
            </w:r>
            <w:r>
              <w:rPr>
                <w:b/>
                <w:bCs/>
                <w:sz w:val="18"/>
                <w:szCs w:val="18"/>
              </w:rPr>
              <w:t xml:space="preserve"> </w:t>
            </w:r>
          </w:p>
        </w:tc>
        <w:tc>
          <w:tcPr>
            <w:tcW w:w="284"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6</w:t>
            </w:r>
          </w:p>
        </w:tc>
        <w:tc>
          <w:tcPr>
            <w:tcW w:w="314"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2</w:t>
            </w:r>
          </w:p>
        </w:tc>
        <w:tc>
          <w:tcPr>
            <w:tcW w:w="30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8</w:t>
            </w:r>
          </w:p>
        </w:tc>
        <w:tc>
          <w:tcPr>
            <w:tcW w:w="33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1</w:t>
            </w:r>
            <w:r>
              <w:rPr>
                <w:rFonts w:hint="eastAsia" w:cs="Calibri"/>
                <w:b/>
                <w:color w:val="000000"/>
                <w:sz w:val="18"/>
                <w:szCs w:val="18"/>
              </w:rPr>
              <w:t>、</w:t>
            </w:r>
            <w:r>
              <w:rPr>
                <w:rFonts w:cs="Calibri"/>
                <w:b/>
                <w:color w:val="000000"/>
                <w:sz w:val="18"/>
                <w:szCs w:val="18"/>
              </w:rPr>
              <w:t>2</w:t>
            </w:r>
          </w:p>
        </w:tc>
        <w:tc>
          <w:tcPr>
            <w:tcW w:w="33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2-2</w:t>
            </w:r>
          </w:p>
          <w:p>
            <w:pPr>
              <w:spacing w:line="280" w:lineRule="exact"/>
              <w:jc w:val="center"/>
              <w:rPr>
                <w:rFonts w:cs="Calibri"/>
                <w:b/>
                <w:color w:val="000000"/>
                <w:sz w:val="18"/>
                <w:szCs w:val="18"/>
              </w:rPr>
            </w:pPr>
            <w:r>
              <w:rPr>
                <w:rFonts w:cs="Calibri"/>
                <w:b/>
                <w:color w:val="000000"/>
                <w:sz w:val="18"/>
                <w:szCs w:val="18"/>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18"/>
                <w:szCs w:val="18"/>
              </w:rPr>
            </w:pPr>
            <w:r>
              <w:rPr>
                <w:rFonts w:hint="eastAsia"/>
                <w:sz w:val="18"/>
                <w:szCs w:val="18"/>
              </w:rPr>
              <w:t>7</w:t>
            </w:r>
          </w:p>
        </w:tc>
        <w:tc>
          <w:tcPr>
            <w:tcW w:w="3110" w:type="pct"/>
            <w:tcBorders>
              <w:top w:val="single" w:color="auto" w:sz="4" w:space="0"/>
              <w:left w:val="single" w:color="auto" w:sz="4" w:space="0"/>
              <w:bottom w:val="single" w:color="auto" w:sz="4" w:space="0"/>
              <w:right w:val="single" w:color="auto" w:sz="4" w:space="0"/>
            </w:tcBorders>
            <w:vAlign w:val="center"/>
          </w:tcPr>
          <w:p>
            <w:pPr>
              <w:spacing w:line="280" w:lineRule="exact"/>
              <w:rPr>
                <w:b/>
                <w:bCs/>
                <w:sz w:val="18"/>
                <w:szCs w:val="18"/>
              </w:rPr>
            </w:pPr>
            <w:r>
              <w:rPr>
                <w:rFonts w:hint="eastAsia"/>
                <w:b/>
                <w:bCs/>
                <w:sz w:val="18"/>
                <w:szCs w:val="18"/>
              </w:rPr>
              <w:t>7 图</w:t>
            </w:r>
          </w:p>
          <w:p>
            <w:pPr>
              <w:spacing w:line="280" w:lineRule="exact"/>
              <w:rPr>
                <w:bCs/>
                <w:sz w:val="18"/>
                <w:szCs w:val="18"/>
              </w:rPr>
            </w:pPr>
            <w:r>
              <w:rPr>
                <w:rFonts w:hint="eastAsia"/>
                <w:bCs/>
                <w:sz w:val="18"/>
                <w:szCs w:val="18"/>
              </w:rPr>
              <w:t>7.1图的基本概念、图的分类与相关术语（了解）</w:t>
            </w:r>
          </w:p>
          <w:p>
            <w:pPr>
              <w:spacing w:line="280" w:lineRule="exact"/>
              <w:rPr>
                <w:bCs/>
                <w:sz w:val="18"/>
                <w:szCs w:val="18"/>
              </w:rPr>
            </w:pPr>
            <w:r>
              <w:rPr>
                <w:rFonts w:hint="eastAsia"/>
                <w:bCs/>
                <w:sz w:val="18"/>
                <w:szCs w:val="18"/>
              </w:rPr>
              <w:t>7.2图的存储结构（了解）</w:t>
            </w:r>
          </w:p>
          <w:p>
            <w:pPr>
              <w:spacing w:line="280" w:lineRule="exact"/>
              <w:rPr>
                <w:bCs/>
                <w:sz w:val="18"/>
                <w:szCs w:val="18"/>
              </w:rPr>
            </w:pPr>
            <w:r>
              <w:rPr>
                <w:rFonts w:hint="eastAsia"/>
                <w:bCs/>
                <w:sz w:val="18"/>
                <w:szCs w:val="18"/>
              </w:rPr>
              <w:t>7.3深度优先与广度优先遍历操作（了解）</w:t>
            </w:r>
          </w:p>
          <w:p>
            <w:pPr>
              <w:spacing w:line="280" w:lineRule="exact"/>
              <w:rPr>
                <w:bCs/>
                <w:sz w:val="18"/>
                <w:szCs w:val="18"/>
              </w:rPr>
            </w:pPr>
            <w:r>
              <w:rPr>
                <w:rFonts w:hint="eastAsia"/>
                <w:bCs/>
                <w:sz w:val="18"/>
                <w:szCs w:val="18"/>
              </w:rPr>
              <w:t>7.4图的连通性问题 （了解）</w:t>
            </w:r>
          </w:p>
          <w:p>
            <w:pPr>
              <w:spacing w:line="280" w:lineRule="exact"/>
              <w:rPr>
                <w:bCs/>
                <w:sz w:val="18"/>
                <w:szCs w:val="18"/>
              </w:rPr>
            </w:pPr>
            <w:r>
              <w:rPr>
                <w:rFonts w:hint="eastAsia"/>
                <w:bCs/>
                <w:sz w:val="18"/>
                <w:szCs w:val="18"/>
              </w:rPr>
              <w:t>7.5有向无环图及其应用（了解）</w:t>
            </w:r>
          </w:p>
          <w:p>
            <w:pPr>
              <w:spacing w:line="280" w:lineRule="exact"/>
              <w:rPr>
                <w:bCs/>
                <w:sz w:val="18"/>
                <w:szCs w:val="18"/>
              </w:rPr>
            </w:pPr>
            <w:r>
              <w:rPr>
                <w:bCs/>
                <w:sz w:val="18"/>
                <w:szCs w:val="18"/>
              </w:rPr>
              <w:t>重点：图的存储结构及遍历</w:t>
            </w:r>
          </w:p>
          <w:p>
            <w:pPr>
              <w:spacing w:line="280" w:lineRule="exact"/>
              <w:rPr>
                <w:b/>
                <w:bCs/>
                <w:sz w:val="18"/>
                <w:szCs w:val="18"/>
              </w:rPr>
            </w:pPr>
            <w:r>
              <w:rPr>
                <w:bCs/>
                <w:sz w:val="18"/>
                <w:szCs w:val="18"/>
              </w:rPr>
              <w:t>难点：图的遍历</w:t>
            </w:r>
          </w:p>
        </w:tc>
        <w:tc>
          <w:tcPr>
            <w:tcW w:w="284"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2</w:t>
            </w:r>
          </w:p>
        </w:tc>
        <w:tc>
          <w:tcPr>
            <w:tcW w:w="314"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p>
        </w:tc>
        <w:tc>
          <w:tcPr>
            <w:tcW w:w="30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2</w:t>
            </w:r>
          </w:p>
        </w:tc>
        <w:tc>
          <w:tcPr>
            <w:tcW w:w="33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1</w:t>
            </w:r>
            <w:r>
              <w:rPr>
                <w:rFonts w:hint="eastAsia" w:cs="Calibri"/>
                <w:b/>
                <w:color w:val="000000"/>
                <w:sz w:val="18"/>
                <w:szCs w:val="18"/>
              </w:rPr>
              <w:t>、</w:t>
            </w:r>
            <w:r>
              <w:rPr>
                <w:rFonts w:cs="Calibri"/>
                <w:b/>
                <w:color w:val="000000"/>
                <w:sz w:val="18"/>
                <w:szCs w:val="18"/>
              </w:rPr>
              <w:t>2</w:t>
            </w:r>
          </w:p>
        </w:tc>
        <w:tc>
          <w:tcPr>
            <w:tcW w:w="33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2-2</w:t>
            </w:r>
          </w:p>
          <w:p>
            <w:pPr>
              <w:spacing w:line="280" w:lineRule="exact"/>
              <w:jc w:val="center"/>
              <w:rPr>
                <w:rFonts w:cs="Calibri"/>
                <w:b/>
                <w:color w:val="000000"/>
                <w:sz w:val="18"/>
                <w:szCs w:val="18"/>
              </w:rPr>
            </w:pPr>
            <w:r>
              <w:rPr>
                <w:rFonts w:cs="Calibri"/>
                <w:b/>
                <w:color w:val="000000"/>
                <w:sz w:val="18"/>
                <w:szCs w:val="18"/>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18"/>
                <w:szCs w:val="18"/>
              </w:rPr>
            </w:pPr>
            <w:r>
              <w:rPr>
                <w:rFonts w:hint="eastAsia"/>
                <w:sz w:val="18"/>
                <w:szCs w:val="18"/>
              </w:rPr>
              <w:t>8</w:t>
            </w:r>
          </w:p>
        </w:tc>
        <w:tc>
          <w:tcPr>
            <w:tcW w:w="3110" w:type="pct"/>
            <w:tcBorders>
              <w:top w:val="single" w:color="auto" w:sz="4" w:space="0"/>
              <w:left w:val="single" w:color="auto" w:sz="4" w:space="0"/>
              <w:bottom w:val="single" w:color="auto" w:sz="4" w:space="0"/>
              <w:right w:val="single" w:color="auto" w:sz="4" w:space="0"/>
            </w:tcBorders>
            <w:vAlign w:val="center"/>
          </w:tcPr>
          <w:p>
            <w:pPr>
              <w:spacing w:line="280" w:lineRule="exact"/>
              <w:rPr>
                <w:b/>
                <w:bCs/>
                <w:sz w:val="18"/>
                <w:szCs w:val="18"/>
              </w:rPr>
            </w:pPr>
            <w:r>
              <w:rPr>
                <w:rFonts w:hint="eastAsia"/>
                <w:b/>
                <w:bCs/>
                <w:sz w:val="18"/>
                <w:szCs w:val="18"/>
              </w:rPr>
              <w:t>8 查找</w:t>
            </w:r>
          </w:p>
          <w:p>
            <w:pPr>
              <w:spacing w:line="280" w:lineRule="exact"/>
              <w:rPr>
                <w:bCs/>
                <w:sz w:val="18"/>
                <w:szCs w:val="18"/>
              </w:rPr>
            </w:pPr>
            <w:r>
              <w:rPr>
                <w:rFonts w:hint="eastAsia"/>
                <w:bCs/>
                <w:sz w:val="18"/>
                <w:szCs w:val="18"/>
              </w:rPr>
              <w:t>8.1查找问题概述（了解）</w:t>
            </w:r>
          </w:p>
          <w:p>
            <w:pPr>
              <w:spacing w:line="280" w:lineRule="exact"/>
              <w:rPr>
                <w:bCs/>
                <w:sz w:val="18"/>
                <w:szCs w:val="18"/>
              </w:rPr>
            </w:pPr>
            <w:r>
              <w:rPr>
                <w:rFonts w:hint="eastAsia"/>
                <w:bCs/>
                <w:sz w:val="18"/>
                <w:szCs w:val="18"/>
              </w:rPr>
              <w:t>8.2 静态查找表（掌握）</w:t>
            </w:r>
          </w:p>
          <w:p>
            <w:pPr>
              <w:spacing w:line="280" w:lineRule="exact"/>
              <w:rPr>
                <w:bCs/>
                <w:sz w:val="18"/>
                <w:szCs w:val="18"/>
              </w:rPr>
            </w:pPr>
            <w:r>
              <w:rPr>
                <w:rFonts w:hint="eastAsia"/>
                <w:bCs/>
                <w:sz w:val="18"/>
                <w:szCs w:val="18"/>
              </w:rPr>
              <w:t>8.3动态查找表（掌握）</w:t>
            </w:r>
          </w:p>
          <w:p>
            <w:pPr>
              <w:spacing w:line="280" w:lineRule="exact"/>
              <w:rPr>
                <w:bCs/>
                <w:sz w:val="18"/>
                <w:szCs w:val="18"/>
              </w:rPr>
            </w:pPr>
            <w:r>
              <w:rPr>
                <w:rFonts w:hint="eastAsia"/>
                <w:bCs/>
                <w:sz w:val="18"/>
                <w:szCs w:val="18"/>
              </w:rPr>
              <w:t>8.4哈希表与哈希散列（了解）</w:t>
            </w:r>
          </w:p>
          <w:p>
            <w:pPr>
              <w:spacing w:line="280" w:lineRule="exact"/>
              <w:rPr>
                <w:bCs/>
                <w:sz w:val="18"/>
                <w:szCs w:val="18"/>
              </w:rPr>
            </w:pPr>
            <w:r>
              <w:rPr>
                <w:bCs/>
                <w:sz w:val="18"/>
                <w:szCs w:val="18"/>
              </w:rPr>
              <w:t>重点：</w:t>
            </w:r>
            <w:r>
              <w:rPr>
                <w:rFonts w:hint="eastAsia"/>
                <w:bCs/>
                <w:sz w:val="18"/>
                <w:szCs w:val="18"/>
              </w:rPr>
              <w:t>查找的基本概念，顺序查找、折半查找、排序树查找</w:t>
            </w:r>
          </w:p>
          <w:p>
            <w:pPr>
              <w:spacing w:line="280" w:lineRule="exact"/>
              <w:rPr>
                <w:b/>
                <w:bCs/>
                <w:sz w:val="18"/>
                <w:szCs w:val="18"/>
              </w:rPr>
            </w:pPr>
            <w:r>
              <w:rPr>
                <w:bCs/>
                <w:sz w:val="18"/>
                <w:szCs w:val="18"/>
              </w:rPr>
              <w:t>难点：</w:t>
            </w:r>
            <w:r>
              <w:rPr>
                <w:rFonts w:hint="eastAsia"/>
                <w:bCs/>
                <w:sz w:val="18"/>
                <w:szCs w:val="18"/>
              </w:rPr>
              <w:t>排序树查找</w:t>
            </w:r>
          </w:p>
        </w:tc>
        <w:tc>
          <w:tcPr>
            <w:tcW w:w="284"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3</w:t>
            </w:r>
          </w:p>
        </w:tc>
        <w:tc>
          <w:tcPr>
            <w:tcW w:w="314"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2</w:t>
            </w:r>
          </w:p>
        </w:tc>
        <w:tc>
          <w:tcPr>
            <w:tcW w:w="30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5</w:t>
            </w:r>
          </w:p>
        </w:tc>
        <w:tc>
          <w:tcPr>
            <w:tcW w:w="33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1</w:t>
            </w:r>
            <w:r>
              <w:rPr>
                <w:rFonts w:hint="eastAsia" w:cs="Calibri"/>
                <w:b/>
                <w:color w:val="000000"/>
                <w:sz w:val="18"/>
                <w:szCs w:val="18"/>
              </w:rPr>
              <w:t>、</w:t>
            </w:r>
            <w:r>
              <w:rPr>
                <w:rFonts w:cs="Calibri"/>
                <w:b/>
                <w:color w:val="000000"/>
                <w:sz w:val="18"/>
                <w:szCs w:val="18"/>
              </w:rPr>
              <w:t>2</w:t>
            </w:r>
          </w:p>
        </w:tc>
        <w:tc>
          <w:tcPr>
            <w:tcW w:w="33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2-2</w:t>
            </w:r>
          </w:p>
          <w:p>
            <w:pPr>
              <w:spacing w:line="280" w:lineRule="exact"/>
              <w:jc w:val="center"/>
              <w:rPr>
                <w:rFonts w:cs="Calibri"/>
                <w:b/>
                <w:color w:val="000000"/>
                <w:sz w:val="18"/>
                <w:szCs w:val="18"/>
              </w:rPr>
            </w:pPr>
            <w:r>
              <w:rPr>
                <w:rFonts w:cs="Calibri"/>
                <w:b/>
                <w:color w:val="000000"/>
                <w:sz w:val="18"/>
                <w:szCs w:val="18"/>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18"/>
                <w:szCs w:val="18"/>
              </w:rPr>
            </w:pPr>
            <w:r>
              <w:rPr>
                <w:rFonts w:hint="eastAsia"/>
                <w:sz w:val="18"/>
                <w:szCs w:val="18"/>
              </w:rPr>
              <w:t>9</w:t>
            </w:r>
          </w:p>
        </w:tc>
        <w:tc>
          <w:tcPr>
            <w:tcW w:w="3110" w:type="pct"/>
            <w:tcBorders>
              <w:top w:val="single" w:color="auto" w:sz="4" w:space="0"/>
              <w:left w:val="single" w:color="auto" w:sz="4" w:space="0"/>
              <w:bottom w:val="single" w:color="auto" w:sz="4" w:space="0"/>
              <w:right w:val="single" w:color="auto" w:sz="4" w:space="0"/>
            </w:tcBorders>
            <w:vAlign w:val="center"/>
          </w:tcPr>
          <w:p>
            <w:pPr>
              <w:spacing w:line="280" w:lineRule="exact"/>
              <w:rPr>
                <w:b/>
                <w:bCs/>
                <w:sz w:val="18"/>
                <w:szCs w:val="18"/>
              </w:rPr>
            </w:pPr>
            <w:r>
              <w:rPr>
                <w:rFonts w:hint="eastAsia"/>
                <w:b/>
                <w:bCs/>
                <w:sz w:val="18"/>
                <w:szCs w:val="18"/>
              </w:rPr>
              <w:t>9 排序</w:t>
            </w:r>
          </w:p>
          <w:p>
            <w:pPr>
              <w:spacing w:line="280" w:lineRule="exact"/>
              <w:rPr>
                <w:bCs/>
                <w:sz w:val="18"/>
                <w:szCs w:val="18"/>
              </w:rPr>
            </w:pPr>
            <w:r>
              <w:rPr>
                <w:rFonts w:hint="eastAsia"/>
                <w:bCs/>
                <w:sz w:val="18"/>
                <w:szCs w:val="18"/>
              </w:rPr>
              <w:t>9.1排序的基本概念（了解）</w:t>
            </w:r>
          </w:p>
          <w:p>
            <w:pPr>
              <w:spacing w:line="280" w:lineRule="exact"/>
              <w:rPr>
                <w:bCs/>
                <w:sz w:val="18"/>
                <w:szCs w:val="18"/>
              </w:rPr>
            </w:pPr>
            <w:r>
              <w:rPr>
                <w:rFonts w:hint="eastAsia"/>
                <w:bCs/>
                <w:sz w:val="18"/>
                <w:szCs w:val="18"/>
              </w:rPr>
              <w:t>9.2插入排序（掌握）</w:t>
            </w:r>
          </w:p>
          <w:p>
            <w:pPr>
              <w:spacing w:line="280" w:lineRule="exact"/>
              <w:rPr>
                <w:bCs/>
                <w:sz w:val="18"/>
                <w:szCs w:val="18"/>
              </w:rPr>
            </w:pPr>
            <w:r>
              <w:rPr>
                <w:rFonts w:hint="eastAsia"/>
                <w:bCs/>
                <w:sz w:val="18"/>
                <w:szCs w:val="18"/>
              </w:rPr>
              <w:t>9.3快速排序（掌握）</w:t>
            </w:r>
          </w:p>
          <w:p>
            <w:pPr>
              <w:spacing w:line="280" w:lineRule="exact"/>
              <w:rPr>
                <w:bCs/>
                <w:sz w:val="18"/>
                <w:szCs w:val="18"/>
              </w:rPr>
            </w:pPr>
            <w:r>
              <w:rPr>
                <w:rFonts w:hint="eastAsia"/>
                <w:bCs/>
                <w:sz w:val="18"/>
                <w:szCs w:val="18"/>
              </w:rPr>
              <w:t>9.4选择排序（掌握）</w:t>
            </w:r>
          </w:p>
          <w:p>
            <w:pPr>
              <w:spacing w:line="280" w:lineRule="exact"/>
              <w:rPr>
                <w:bCs/>
                <w:sz w:val="18"/>
                <w:szCs w:val="18"/>
              </w:rPr>
            </w:pPr>
            <w:r>
              <w:rPr>
                <w:rFonts w:hint="eastAsia"/>
                <w:bCs/>
                <w:sz w:val="18"/>
                <w:szCs w:val="18"/>
              </w:rPr>
              <w:t>9.5外部排序（掌握）</w:t>
            </w:r>
          </w:p>
          <w:p>
            <w:pPr>
              <w:spacing w:line="280" w:lineRule="exact"/>
              <w:rPr>
                <w:bCs/>
                <w:sz w:val="18"/>
                <w:szCs w:val="18"/>
              </w:rPr>
            </w:pPr>
            <w:r>
              <w:rPr>
                <w:rFonts w:hint="eastAsia"/>
                <w:bCs/>
                <w:sz w:val="18"/>
                <w:szCs w:val="18"/>
              </w:rPr>
              <w:t>9.6各种排序的方法比较与应用（掌握）</w:t>
            </w:r>
          </w:p>
          <w:p>
            <w:pPr>
              <w:spacing w:line="280" w:lineRule="exact"/>
              <w:rPr>
                <w:bCs/>
                <w:sz w:val="18"/>
                <w:szCs w:val="18"/>
              </w:rPr>
            </w:pPr>
            <w:r>
              <w:rPr>
                <w:bCs/>
                <w:sz w:val="18"/>
                <w:szCs w:val="18"/>
              </w:rPr>
              <w:t>重点：各种排序方法及比较</w:t>
            </w:r>
          </w:p>
          <w:p>
            <w:pPr>
              <w:spacing w:line="280" w:lineRule="exact"/>
              <w:rPr>
                <w:b/>
                <w:bCs/>
                <w:sz w:val="18"/>
                <w:szCs w:val="18"/>
              </w:rPr>
            </w:pPr>
            <w:r>
              <w:rPr>
                <w:bCs/>
                <w:sz w:val="18"/>
                <w:szCs w:val="18"/>
              </w:rPr>
              <w:t>难点：</w:t>
            </w:r>
            <w:r>
              <w:rPr>
                <w:rFonts w:hint="eastAsia"/>
                <w:bCs/>
                <w:sz w:val="18"/>
                <w:szCs w:val="18"/>
              </w:rPr>
              <w:t>快速排序和排序算法的时间复杂度分析</w:t>
            </w:r>
          </w:p>
        </w:tc>
        <w:tc>
          <w:tcPr>
            <w:tcW w:w="284"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4</w:t>
            </w:r>
          </w:p>
        </w:tc>
        <w:tc>
          <w:tcPr>
            <w:tcW w:w="314"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2</w:t>
            </w:r>
          </w:p>
        </w:tc>
        <w:tc>
          <w:tcPr>
            <w:tcW w:w="30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6</w:t>
            </w:r>
          </w:p>
        </w:tc>
        <w:tc>
          <w:tcPr>
            <w:tcW w:w="33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1</w:t>
            </w:r>
            <w:r>
              <w:rPr>
                <w:rFonts w:hint="eastAsia" w:cs="Calibri"/>
                <w:b/>
                <w:color w:val="000000"/>
                <w:sz w:val="18"/>
                <w:szCs w:val="18"/>
              </w:rPr>
              <w:t>、</w:t>
            </w:r>
            <w:r>
              <w:rPr>
                <w:rFonts w:cs="Calibri"/>
                <w:b/>
                <w:color w:val="000000"/>
                <w:sz w:val="18"/>
                <w:szCs w:val="18"/>
              </w:rPr>
              <w:t>2</w:t>
            </w:r>
          </w:p>
        </w:tc>
        <w:tc>
          <w:tcPr>
            <w:tcW w:w="33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2-2</w:t>
            </w:r>
          </w:p>
          <w:p>
            <w:pPr>
              <w:spacing w:line="280" w:lineRule="exact"/>
              <w:jc w:val="center"/>
              <w:rPr>
                <w:rFonts w:cs="Calibri"/>
                <w:b/>
                <w:color w:val="000000"/>
                <w:sz w:val="18"/>
                <w:szCs w:val="18"/>
              </w:rPr>
            </w:pPr>
            <w:r>
              <w:rPr>
                <w:rFonts w:cs="Calibri"/>
                <w:b/>
                <w:color w:val="000000"/>
                <w:sz w:val="18"/>
                <w:szCs w:val="18"/>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31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b/>
                <w:sz w:val="18"/>
                <w:szCs w:val="18"/>
              </w:rPr>
            </w:pPr>
            <w:r>
              <w:rPr>
                <w:rFonts w:hint="eastAsia"/>
                <w:b/>
                <w:sz w:val="18"/>
                <w:szCs w:val="18"/>
              </w:rPr>
              <w:t>合</w:t>
            </w:r>
            <w:r>
              <w:rPr>
                <w:b/>
                <w:sz w:val="18"/>
                <w:szCs w:val="18"/>
              </w:rPr>
              <w:t xml:space="preserve"> </w:t>
            </w:r>
            <w:r>
              <w:rPr>
                <w:rFonts w:hint="eastAsia"/>
                <w:b/>
                <w:sz w:val="18"/>
                <w:szCs w:val="18"/>
              </w:rPr>
              <w:t>计</w:t>
            </w:r>
          </w:p>
        </w:tc>
        <w:tc>
          <w:tcPr>
            <w:tcW w:w="3110"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w:t>
            </w:r>
          </w:p>
        </w:tc>
        <w:tc>
          <w:tcPr>
            <w:tcW w:w="284"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24</w:t>
            </w:r>
          </w:p>
        </w:tc>
        <w:tc>
          <w:tcPr>
            <w:tcW w:w="314"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8</w:t>
            </w:r>
          </w:p>
        </w:tc>
        <w:tc>
          <w:tcPr>
            <w:tcW w:w="30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32</w:t>
            </w:r>
          </w:p>
        </w:tc>
        <w:tc>
          <w:tcPr>
            <w:tcW w:w="33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w:t>
            </w:r>
          </w:p>
        </w:tc>
        <w:tc>
          <w:tcPr>
            <w:tcW w:w="33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Calibri"/>
                <w:b/>
                <w:color w:val="000000"/>
                <w:sz w:val="18"/>
                <w:szCs w:val="18"/>
              </w:rPr>
            </w:pPr>
            <w:r>
              <w:rPr>
                <w:rFonts w:cs="Calibri"/>
                <w:b/>
                <w:color w:val="000000"/>
                <w:sz w:val="18"/>
                <w:szCs w:val="18"/>
              </w:rPr>
              <w:t>/</w:t>
            </w:r>
          </w:p>
        </w:tc>
      </w:tr>
    </w:tbl>
    <w:p>
      <w:pPr>
        <w:spacing w:before="156" w:beforeLines="50"/>
        <w:jc w:val="center"/>
        <w:rPr>
          <w:rFonts w:hint="eastAsia"/>
          <w:b/>
          <w:bCs/>
          <w:color w:val="000000"/>
          <w:sz w:val="18"/>
          <w:szCs w:val="18"/>
        </w:rPr>
      </w:pPr>
      <w:r>
        <w:rPr>
          <w:rFonts w:hint="eastAsia"/>
          <w:b/>
          <w:bCs/>
          <w:color w:val="000000"/>
          <w:sz w:val="18"/>
          <w:szCs w:val="18"/>
        </w:rPr>
        <w:t>表</w:t>
      </w:r>
      <w:r>
        <w:rPr>
          <w:b/>
          <w:bCs/>
          <w:color w:val="000000"/>
          <w:sz w:val="18"/>
          <w:szCs w:val="18"/>
        </w:rPr>
        <w:t>3</w:t>
      </w:r>
      <w:r>
        <w:rPr>
          <w:rFonts w:hint="eastAsia"/>
          <w:b/>
          <w:bCs/>
          <w:color w:val="000000"/>
          <w:sz w:val="18"/>
          <w:szCs w:val="18"/>
        </w:rPr>
        <w:t>.</w:t>
      </w:r>
      <w:r>
        <w:rPr>
          <w:rFonts w:hint="eastAsia"/>
          <w:b/>
          <w:bCs/>
          <w:color w:val="000000"/>
          <w:sz w:val="18"/>
          <w:szCs w:val="18"/>
          <w:lang w:val="en-US" w:eastAsia="zh-CN"/>
        </w:rPr>
        <w:t>2</w:t>
      </w:r>
      <w:r>
        <w:rPr>
          <w:rFonts w:hint="eastAsia"/>
          <w:b/>
          <w:bCs/>
          <w:color w:val="000000"/>
          <w:sz w:val="18"/>
          <w:szCs w:val="18"/>
        </w:rPr>
        <w:t xml:space="preserve"> 课程内容与思政融入点对应关系</w:t>
      </w:r>
    </w:p>
    <w:tbl>
      <w:tblPr>
        <w:tblStyle w:val="19"/>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9"/>
        <w:gridCol w:w="2518"/>
        <w:gridCol w:w="6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6" w:type="pct"/>
            <w:noWrap w:val="0"/>
            <w:vAlign w:val="center"/>
          </w:tcPr>
          <w:p>
            <w:pPr>
              <w:spacing w:line="360" w:lineRule="auto"/>
              <w:jc w:val="center"/>
              <w:rPr>
                <w:rFonts w:hint="eastAsia" w:ascii="宋体" w:hAnsi="宋体" w:cs="宋体"/>
                <w:b/>
                <w:kern w:val="0"/>
                <w:sz w:val="18"/>
                <w:szCs w:val="18"/>
              </w:rPr>
            </w:pPr>
            <w:r>
              <w:rPr>
                <w:rFonts w:hint="eastAsia" w:ascii="宋体" w:hAnsi="宋体" w:cs="宋体"/>
                <w:b/>
                <w:kern w:val="0"/>
                <w:sz w:val="18"/>
                <w:szCs w:val="18"/>
              </w:rPr>
              <w:t>序号</w:t>
            </w:r>
          </w:p>
        </w:tc>
        <w:tc>
          <w:tcPr>
            <w:tcW w:w="1356" w:type="pct"/>
            <w:noWrap w:val="0"/>
            <w:vAlign w:val="center"/>
          </w:tcPr>
          <w:p>
            <w:pPr>
              <w:spacing w:line="360" w:lineRule="auto"/>
              <w:jc w:val="center"/>
              <w:rPr>
                <w:rFonts w:hint="eastAsia" w:ascii="宋体" w:hAnsi="宋体" w:cs="宋体"/>
                <w:b/>
                <w:kern w:val="0"/>
                <w:sz w:val="18"/>
                <w:szCs w:val="18"/>
              </w:rPr>
            </w:pPr>
            <w:r>
              <w:rPr>
                <w:rFonts w:hint="eastAsia" w:ascii="宋体" w:hAnsi="宋体" w:cs="宋体"/>
                <w:b/>
                <w:kern w:val="0"/>
                <w:sz w:val="18"/>
                <w:szCs w:val="18"/>
              </w:rPr>
              <w:t>知识点</w:t>
            </w:r>
          </w:p>
        </w:tc>
        <w:tc>
          <w:tcPr>
            <w:tcW w:w="3276" w:type="pct"/>
            <w:noWrap w:val="0"/>
            <w:vAlign w:val="center"/>
          </w:tcPr>
          <w:p>
            <w:pPr>
              <w:spacing w:line="360" w:lineRule="auto"/>
              <w:jc w:val="center"/>
              <w:rPr>
                <w:rFonts w:hint="eastAsia" w:ascii="宋体" w:hAnsi="宋体" w:cs="宋体"/>
                <w:b/>
                <w:kern w:val="0"/>
                <w:sz w:val="18"/>
                <w:szCs w:val="18"/>
              </w:rPr>
            </w:pPr>
            <w:r>
              <w:rPr>
                <w:rFonts w:hint="eastAsia" w:ascii="宋体" w:hAnsi="宋体" w:cs="宋体"/>
                <w:b/>
                <w:color w:val="000000"/>
                <w:kern w:val="0"/>
                <w:sz w:val="18"/>
                <w:szCs w:val="18"/>
              </w:rPr>
              <w:t>思政融入点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366" w:type="pct"/>
            <w:noWrap w:val="0"/>
            <w:vAlign w:val="center"/>
          </w:tcPr>
          <w:p>
            <w:pPr>
              <w:snapToGrid w:val="0"/>
              <w:jc w:val="center"/>
              <w:rPr>
                <w:rFonts w:eastAsia="黑体"/>
                <w:b/>
                <w:kern w:val="0"/>
                <w:sz w:val="20"/>
                <w:szCs w:val="21"/>
              </w:rPr>
            </w:pPr>
            <w:r>
              <w:rPr>
                <w:rFonts w:hint="eastAsia" w:eastAsia="黑体"/>
                <w:b/>
                <w:kern w:val="0"/>
                <w:sz w:val="20"/>
                <w:szCs w:val="21"/>
              </w:rPr>
              <w:t>1</w:t>
            </w:r>
          </w:p>
        </w:tc>
        <w:tc>
          <w:tcPr>
            <w:tcW w:w="1356" w:type="pct"/>
            <w:noWrap w:val="0"/>
            <w:vAlign w:val="center"/>
          </w:tcPr>
          <w:p>
            <w:pPr>
              <w:snapToGrid w:val="0"/>
              <w:ind w:left="105" w:leftChars="50"/>
              <w:jc w:val="left"/>
              <w:rPr>
                <w:kern w:val="0"/>
                <w:sz w:val="20"/>
                <w:highlight w:val="yellow"/>
              </w:rPr>
            </w:pPr>
            <w:r>
              <w:rPr>
                <w:rFonts w:hint="eastAsia"/>
                <w:bCs/>
                <w:sz w:val="18"/>
                <w:szCs w:val="18"/>
              </w:rPr>
              <w:t>各类数据结构的应用特点与优势的综合比较</w:t>
            </w:r>
          </w:p>
        </w:tc>
        <w:tc>
          <w:tcPr>
            <w:tcW w:w="3276" w:type="pct"/>
            <w:noWrap w:val="0"/>
            <w:vAlign w:val="center"/>
          </w:tcPr>
          <w:p>
            <w:pPr>
              <w:snapToGrid w:val="0"/>
              <w:ind w:left="105" w:leftChars="50"/>
              <w:jc w:val="left"/>
              <w:rPr>
                <w:bCs/>
                <w:sz w:val="18"/>
                <w:szCs w:val="18"/>
              </w:rPr>
            </w:pPr>
            <w:r>
              <w:rPr>
                <w:rFonts w:hint="eastAsia"/>
                <w:bCs/>
                <w:sz w:val="18"/>
                <w:szCs w:val="18"/>
              </w:rPr>
              <w:t>通过多种数据结构和算法的综合比较，培养学生面向同一复杂工程问题时多种解决方案的优选与优化意识，培养学生尊重社会、环境、法律、经济、道德、政策、文化等综合因素影响，了解遵守行业规范；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366" w:type="pct"/>
            <w:noWrap w:val="0"/>
            <w:vAlign w:val="center"/>
          </w:tcPr>
          <w:p>
            <w:pPr>
              <w:snapToGrid w:val="0"/>
              <w:jc w:val="center"/>
              <w:rPr>
                <w:rFonts w:eastAsia="黑体"/>
                <w:b/>
                <w:kern w:val="0"/>
                <w:sz w:val="20"/>
                <w:szCs w:val="21"/>
              </w:rPr>
            </w:pPr>
            <w:r>
              <w:rPr>
                <w:rFonts w:hint="eastAsia" w:eastAsia="黑体"/>
                <w:b/>
                <w:kern w:val="0"/>
                <w:sz w:val="20"/>
                <w:szCs w:val="21"/>
              </w:rPr>
              <w:t>2</w:t>
            </w:r>
          </w:p>
        </w:tc>
        <w:tc>
          <w:tcPr>
            <w:tcW w:w="1356" w:type="pct"/>
            <w:noWrap w:val="0"/>
            <w:vAlign w:val="center"/>
          </w:tcPr>
          <w:p>
            <w:pPr>
              <w:snapToGrid w:val="0"/>
              <w:ind w:left="105" w:leftChars="50"/>
              <w:jc w:val="left"/>
              <w:rPr>
                <w:rFonts w:eastAsia="黑体"/>
                <w:b/>
                <w:kern w:val="0"/>
                <w:sz w:val="20"/>
                <w:szCs w:val="21"/>
                <w:highlight w:val="yellow"/>
              </w:rPr>
            </w:pPr>
            <w:r>
              <w:rPr>
                <w:rFonts w:hint="eastAsia"/>
                <w:bCs/>
                <w:sz w:val="18"/>
                <w:szCs w:val="18"/>
              </w:rPr>
              <w:t>本课程在提升计算机编程质量和效率方面的重要性</w:t>
            </w:r>
          </w:p>
        </w:tc>
        <w:tc>
          <w:tcPr>
            <w:tcW w:w="3276" w:type="pct"/>
            <w:noWrap w:val="0"/>
            <w:vAlign w:val="center"/>
          </w:tcPr>
          <w:p>
            <w:pPr>
              <w:snapToGrid w:val="0"/>
              <w:ind w:left="105" w:leftChars="50"/>
              <w:jc w:val="left"/>
              <w:rPr>
                <w:bCs/>
                <w:sz w:val="18"/>
                <w:szCs w:val="18"/>
              </w:rPr>
            </w:pPr>
            <w:r>
              <w:rPr>
                <w:rFonts w:hint="eastAsia"/>
                <w:bCs/>
                <w:sz w:val="18"/>
                <w:szCs w:val="18"/>
              </w:rPr>
              <w:t>通过介绍数据结构和算法对程序可靠性和执行效率的影响，让学生认识到基本数据结构只是基础，实际应用中需要进行融合与创新，仍有大量专用的算法需要不断学习，培养学生自主学习与灵活创新的能力。</w:t>
            </w:r>
          </w:p>
        </w:tc>
      </w:tr>
    </w:tbl>
    <w:p>
      <w:pPr>
        <w:adjustRightInd w:val="0"/>
        <w:snapToGrid w:val="0"/>
        <w:spacing w:before="156" w:beforeLines="50" w:line="360" w:lineRule="auto"/>
        <w:rPr>
          <w:rFonts w:hint="eastAsia" w:eastAsia="黑体"/>
          <w:szCs w:val="21"/>
        </w:rPr>
      </w:pPr>
    </w:p>
    <w:p>
      <w:pPr>
        <w:adjustRightInd w:val="0"/>
        <w:snapToGrid w:val="0"/>
        <w:spacing w:before="156" w:beforeLines="50" w:line="360" w:lineRule="auto"/>
        <w:rPr>
          <w:rFonts w:eastAsia="黑体"/>
          <w:szCs w:val="21"/>
        </w:rPr>
      </w:pPr>
      <w:r>
        <w:rPr>
          <w:rFonts w:hint="eastAsia" w:eastAsia="黑体"/>
          <w:szCs w:val="21"/>
        </w:rPr>
        <w:t>四、本课程开设的实验项目</w:t>
      </w:r>
    </w:p>
    <w:tbl>
      <w:tblPr>
        <w:tblStyle w:val="19"/>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3929"/>
        <w:gridCol w:w="718"/>
        <w:gridCol w:w="880"/>
        <w:gridCol w:w="833"/>
        <w:gridCol w:w="958"/>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385" w:type="pct"/>
            <w:tcBorders>
              <w:top w:val="single" w:color="auto" w:sz="4" w:space="0"/>
              <w:left w:val="single" w:color="auto" w:sz="4" w:space="0"/>
              <w:bottom w:val="single" w:color="auto" w:sz="4" w:space="0"/>
              <w:right w:val="single" w:color="auto" w:sz="4" w:space="0"/>
            </w:tcBorders>
            <w:shd w:val="clear" w:color="auto" w:fill="F2F2F2"/>
            <w:vAlign w:val="center"/>
          </w:tcPr>
          <w:p>
            <w:pPr>
              <w:snapToGrid w:val="0"/>
              <w:jc w:val="center"/>
              <w:rPr>
                <w:b/>
                <w:color w:val="000000"/>
                <w:sz w:val="18"/>
                <w:szCs w:val="18"/>
              </w:rPr>
            </w:pPr>
            <w:r>
              <w:rPr>
                <w:rFonts w:hint="eastAsia"/>
                <w:b/>
                <w:color w:val="000000"/>
                <w:sz w:val="18"/>
                <w:szCs w:val="18"/>
              </w:rPr>
              <w:t>编号</w:t>
            </w:r>
          </w:p>
        </w:tc>
        <w:tc>
          <w:tcPr>
            <w:tcW w:w="2117" w:type="pct"/>
            <w:tcBorders>
              <w:top w:val="single" w:color="auto" w:sz="4" w:space="0"/>
              <w:left w:val="single" w:color="auto" w:sz="4" w:space="0"/>
              <w:bottom w:val="single" w:color="auto" w:sz="4" w:space="0"/>
              <w:right w:val="single" w:color="auto" w:sz="4" w:space="0"/>
            </w:tcBorders>
            <w:shd w:val="clear" w:color="auto" w:fill="F2F2F2"/>
            <w:vAlign w:val="center"/>
          </w:tcPr>
          <w:p>
            <w:pPr>
              <w:snapToGrid w:val="0"/>
              <w:jc w:val="center"/>
              <w:rPr>
                <w:b/>
                <w:color w:val="000000"/>
                <w:sz w:val="18"/>
                <w:szCs w:val="18"/>
              </w:rPr>
            </w:pPr>
            <w:r>
              <w:rPr>
                <w:rFonts w:hint="eastAsia"/>
                <w:b/>
                <w:color w:val="000000"/>
                <w:sz w:val="18"/>
                <w:szCs w:val="18"/>
              </w:rPr>
              <w:t>实验项目名称</w:t>
            </w:r>
          </w:p>
        </w:tc>
        <w:tc>
          <w:tcPr>
            <w:tcW w:w="387" w:type="pct"/>
            <w:tcBorders>
              <w:top w:val="single" w:color="auto" w:sz="4" w:space="0"/>
              <w:left w:val="single" w:color="auto" w:sz="4" w:space="0"/>
              <w:bottom w:val="single" w:color="auto" w:sz="4" w:space="0"/>
              <w:right w:val="single" w:color="auto" w:sz="4" w:space="0"/>
            </w:tcBorders>
            <w:shd w:val="clear" w:color="auto" w:fill="F2F2F2"/>
            <w:vAlign w:val="center"/>
          </w:tcPr>
          <w:p>
            <w:pPr>
              <w:snapToGrid w:val="0"/>
              <w:jc w:val="center"/>
              <w:rPr>
                <w:b/>
                <w:color w:val="000000"/>
                <w:sz w:val="18"/>
                <w:szCs w:val="18"/>
              </w:rPr>
            </w:pPr>
            <w:r>
              <w:rPr>
                <w:rFonts w:hint="eastAsia"/>
                <w:b/>
                <w:color w:val="000000"/>
                <w:sz w:val="18"/>
                <w:szCs w:val="18"/>
              </w:rPr>
              <w:t>学时</w:t>
            </w:r>
          </w:p>
        </w:tc>
        <w:tc>
          <w:tcPr>
            <w:tcW w:w="474" w:type="pct"/>
            <w:tcBorders>
              <w:top w:val="single" w:color="auto" w:sz="4" w:space="0"/>
              <w:left w:val="single" w:color="auto" w:sz="4" w:space="0"/>
              <w:bottom w:val="single" w:color="auto" w:sz="4" w:space="0"/>
              <w:right w:val="single" w:color="auto" w:sz="4" w:space="0"/>
            </w:tcBorders>
            <w:shd w:val="clear" w:color="auto" w:fill="F2F2F2"/>
            <w:vAlign w:val="center"/>
          </w:tcPr>
          <w:p>
            <w:pPr>
              <w:snapToGrid w:val="0"/>
              <w:jc w:val="center"/>
              <w:rPr>
                <w:b/>
                <w:color w:val="000000"/>
                <w:sz w:val="18"/>
                <w:szCs w:val="18"/>
              </w:rPr>
            </w:pPr>
            <w:r>
              <w:rPr>
                <w:rFonts w:hint="eastAsia"/>
                <w:b/>
                <w:color w:val="000000"/>
                <w:sz w:val="18"/>
                <w:szCs w:val="18"/>
              </w:rPr>
              <w:t>类型</w:t>
            </w:r>
          </w:p>
        </w:tc>
        <w:tc>
          <w:tcPr>
            <w:tcW w:w="449" w:type="pct"/>
            <w:tcBorders>
              <w:top w:val="single" w:color="auto" w:sz="4" w:space="0"/>
              <w:left w:val="single" w:color="auto" w:sz="4" w:space="0"/>
              <w:bottom w:val="single" w:color="auto" w:sz="4" w:space="0"/>
              <w:right w:val="single" w:color="auto" w:sz="4" w:space="0"/>
            </w:tcBorders>
            <w:shd w:val="clear" w:color="auto" w:fill="F2F2F2"/>
            <w:vAlign w:val="center"/>
          </w:tcPr>
          <w:p>
            <w:pPr>
              <w:snapToGrid w:val="0"/>
              <w:jc w:val="center"/>
              <w:rPr>
                <w:b/>
                <w:color w:val="000000"/>
                <w:sz w:val="18"/>
                <w:szCs w:val="18"/>
              </w:rPr>
            </w:pPr>
            <w:r>
              <w:rPr>
                <w:rFonts w:hint="eastAsia"/>
                <w:b/>
                <w:color w:val="000000"/>
                <w:sz w:val="18"/>
                <w:szCs w:val="18"/>
              </w:rPr>
              <w:t>要求</w:t>
            </w:r>
          </w:p>
        </w:tc>
        <w:tc>
          <w:tcPr>
            <w:tcW w:w="516" w:type="pct"/>
            <w:tcBorders>
              <w:top w:val="single" w:color="auto" w:sz="4" w:space="0"/>
              <w:left w:val="single" w:color="auto" w:sz="4" w:space="0"/>
              <w:bottom w:val="single" w:color="auto" w:sz="4" w:space="0"/>
              <w:right w:val="single" w:color="auto" w:sz="4" w:space="0"/>
            </w:tcBorders>
            <w:shd w:val="clear" w:color="auto" w:fill="F2F2F2"/>
            <w:vAlign w:val="center"/>
          </w:tcPr>
          <w:p>
            <w:pPr>
              <w:snapToGrid w:val="0"/>
              <w:jc w:val="center"/>
              <w:rPr>
                <w:b/>
                <w:color w:val="000000"/>
                <w:sz w:val="18"/>
                <w:szCs w:val="18"/>
              </w:rPr>
            </w:pPr>
            <w:r>
              <w:rPr>
                <w:rFonts w:hint="eastAsia"/>
                <w:b/>
                <w:color w:val="000000"/>
                <w:sz w:val="18"/>
                <w:szCs w:val="18"/>
              </w:rPr>
              <w:t>支撑课程目标</w:t>
            </w:r>
          </w:p>
        </w:tc>
        <w:tc>
          <w:tcPr>
            <w:tcW w:w="672" w:type="pct"/>
            <w:tcBorders>
              <w:top w:val="single" w:color="auto" w:sz="4" w:space="0"/>
              <w:left w:val="single" w:color="auto" w:sz="4" w:space="0"/>
              <w:bottom w:val="single" w:color="auto" w:sz="4" w:space="0"/>
              <w:right w:val="single" w:color="auto" w:sz="4" w:space="0"/>
            </w:tcBorders>
            <w:shd w:val="clear" w:color="auto" w:fill="F2F2F2"/>
            <w:vAlign w:val="center"/>
          </w:tcPr>
          <w:p>
            <w:pPr>
              <w:snapToGrid w:val="0"/>
              <w:jc w:val="center"/>
              <w:rPr>
                <w:b/>
                <w:color w:val="000000"/>
                <w:sz w:val="18"/>
                <w:szCs w:val="18"/>
              </w:rPr>
            </w:pPr>
            <w:r>
              <w:rPr>
                <w:rFonts w:hint="eastAsia"/>
                <w:b/>
                <w:color w:val="000000"/>
                <w:sz w:val="18"/>
                <w:szCs w:val="18"/>
              </w:rPr>
              <w:t>支撑的毕业要求指标点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85" w:type="pct"/>
            <w:tcBorders>
              <w:top w:val="single" w:color="auto" w:sz="4" w:space="0"/>
              <w:left w:val="single" w:color="auto" w:sz="4" w:space="0"/>
              <w:bottom w:val="single" w:color="auto" w:sz="4" w:space="0"/>
              <w:right w:val="single" w:color="auto" w:sz="4" w:space="0"/>
            </w:tcBorders>
            <w:vAlign w:val="center"/>
          </w:tcPr>
          <w:p>
            <w:pPr>
              <w:snapToGrid w:val="0"/>
              <w:jc w:val="center"/>
              <w:rPr>
                <w:bCs/>
                <w:sz w:val="18"/>
                <w:szCs w:val="18"/>
              </w:rPr>
            </w:pPr>
            <w:r>
              <w:rPr>
                <w:bCs/>
                <w:sz w:val="18"/>
                <w:szCs w:val="18"/>
              </w:rPr>
              <w:t>1</w:t>
            </w:r>
          </w:p>
        </w:tc>
        <w:tc>
          <w:tcPr>
            <w:tcW w:w="2117" w:type="pct"/>
            <w:tcBorders>
              <w:top w:val="single" w:color="auto" w:sz="4" w:space="0"/>
              <w:left w:val="single" w:color="auto" w:sz="4" w:space="0"/>
              <w:bottom w:val="single" w:color="auto" w:sz="4" w:space="0"/>
              <w:right w:val="single" w:color="auto" w:sz="4" w:space="0"/>
            </w:tcBorders>
            <w:vAlign w:val="center"/>
          </w:tcPr>
          <w:p>
            <w:pPr>
              <w:snapToGrid w:val="0"/>
              <w:rPr>
                <w:bCs/>
                <w:sz w:val="18"/>
                <w:szCs w:val="18"/>
              </w:rPr>
            </w:pPr>
            <w:r>
              <w:rPr>
                <w:rFonts w:hint="eastAsia" w:hAnsi="宋体"/>
                <w:bCs/>
                <w:sz w:val="18"/>
                <w:szCs w:val="18"/>
              </w:rPr>
              <w:t>线性表</w:t>
            </w:r>
          </w:p>
        </w:tc>
        <w:tc>
          <w:tcPr>
            <w:tcW w:w="387" w:type="pct"/>
            <w:tcBorders>
              <w:top w:val="single" w:color="auto" w:sz="4" w:space="0"/>
              <w:left w:val="single" w:color="auto" w:sz="4" w:space="0"/>
              <w:bottom w:val="single" w:color="auto" w:sz="4" w:space="0"/>
              <w:right w:val="single" w:color="auto" w:sz="4" w:space="0"/>
            </w:tcBorders>
            <w:vAlign w:val="center"/>
          </w:tcPr>
          <w:p>
            <w:pPr>
              <w:snapToGrid w:val="0"/>
              <w:jc w:val="center"/>
              <w:rPr>
                <w:bCs/>
                <w:sz w:val="18"/>
                <w:szCs w:val="18"/>
              </w:rPr>
            </w:pPr>
            <w:r>
              <w:rPr>
                <w:bCs/>
                <w:sz w:val="18"/>
                <w:szCs w:val="18"/>
              </w:rPr>
              <w:t>2</w:t>
            </w:r>
          </w:p>
        </w:tc>
        <w:tc>
          <w:tcPr>
            <w:tcW w:w="474" w:type="pct"/>
            <w:tcBorders>
              <w:top w:val="single" w:color="auto" w:sz="4" w:space="0"/>
              <w:left w:val="single" w:color="auto" w:sz="4" w:space="0"/>
              <w:bottom w:val="single" w:color="auto" w:sz="4" w:space="0"/>
              <w:right w:val="single" w:color="auto" w:sz="4" w:space="0"/>
            </w:tcBorders>
            <w:vAlign w:val="center"/>
          </w:tcPr>
          <w:p>
            <w:pPr>
              <w:snapToGrid w:val="0"/>
              <w:jc w:val="center"/>
              <w:rPr>
                <w:bCs/>
                <w:sz w:val="18"/>
                <w:szCs w:val="18"/>
              </w:rPr>
            </w:pPr>
            <w:r>
              <w:rPr>
                <w:rFonts w:hint="eastAsia" w:hAnsi="宋体"/>
                <w:bCs/>
                <w:sz w:val="18"/>
                <w:szCs w:val="18"/>
              </w:rPr>
              <w:t>设计性</w:t>
            </w:r>
          </w:p>
        </w:tc>
        <w:tc>
          <w:tcPr>
            <w:tcW w:w="449" w:type="pct"/>
            <w:tcBorders>
              <w:top w:val="single" w:color="auto" w:sz="4" w:space="0"/>
              <w:left w:val="single" w:color="auto" w:sz="4" w:space="0"/>
              <w:bottom w:val="single" w:color="auto" w:sz="4" w:space="0"/>
              <w:right w:val="single" w:color="auto" w:sz="4" w:space="0"/>
            </w:tcBorders>
            <w:vAlign w:val="center"/>
          </w:tcPr>
          <w:p>
            <w:pPr>
              <w:snapToGrid w:val="0"/>
              <w:jc w:val="center"/>
              <w:rPr>
                <w:bCs/>
                <w:sz w:val="18"/>
                <w:szCs w:val="18"/>
              </w:rPr>
            </w:pPr>
            <w:r>
              <w:rPr>
                <w:rFonts w:hint="eastAsia" w:hAnsi="宋体"/>
                <w:bCs/>
                <w:sz w:val="18"/>
                <w:szCs w:val="18"/>
              </w:rPr>
              <w:t>必做</w:t>
            </w:r>
          </w:p>
        </w:tc>
        <w:tc>
          <w:tcPr>
            <w:tcW w:w="516"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bCs/>
                <w:sz w:val="18"/>
                <w:szCs w:val="18"/>
              </w:rPr>
            </w:pPr>
            <w:r>
              <w:rPr>
                <w:rFonts w:eastAsia="黑体"/>
                <w:bCs/>
                <w:sz w:val="18"/>
                <w:szCs w:val="18"/>
              </w:rPr>
              <w:t>1、</w:t>
            </w:r>
            <w:r>
              <w:rPr>
                <w:rFonts w:hint="eastAsia" w:eastAsia="黑体"/>
                <w:bCs/>
                <w:sz w:val="18"/>
                <w:szCs w:val="18"/>
              </w:rPr>
              <w:t>2</w:t>
            </w:r>
          </w:p>
        </w:tc>
        <w:tc>
          <w:tcPr>
            <w:tcW w:w="672" w:type="pct"/>
            <w:tcBorders>
              <w:top w:val="single" w:color="auto" w:sz="4" w:space="0"/>
              <w:left w:val="single" w:color="auto" w:sz="4" w:space="0"/>
              <w:bottom w:val="single" w:color="auto" w:sz="4" w:space="0"/>
              <w:right w:val="single" w:color="auto" w:sz="4" w:space="0"/>
            </w:tcBorders>
            <w:vAlign w:val="center"/>
          </w:tcPr>
          <w:p>
            <w:pPr>
              <w:snapToGrid w:val="0"/>
              <w:jc w:val="center"/>
              <w:rPr>
                <w:bCs/>
                <w:sz w:val="18"/>
                <w:szCs w:val="18"/>
              </w:rPr>
            </w:pPr>
            <w:r>
              <w:rPr>
                <w:bCs/>
                <w:sz w:val="18"/>
                <w:szCs w:val="18"/>
              </w:rPr>
              <w:t>2-2、3-1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85" w:type="pct"/>
            <w:tcBorders>
              <w:top w:val="single" w:color="auto" w:sz="4" w:space="0"/>
              <w:left w:val="single" w:color="auto" w:sz="4" w:space="0"/>
              <w:bottom w:val="single" w:color="auto" w:sz="4" w:space="0"/>
              <w:right w:val="single" w:color="auto" w:sz="4" w:space="0"/>
            </w:tcBorders>
            <w:vAlign w:val="center"/>
          </w:tcPr>
          <w:p>
            <w:pPr>
              <w:snapToGrid w:val="0"/>
              <w:jc w:val="center"/>
              <w:rPr>
                <w:bCs/>
                <w:sz w:val="18"/>
                <w:szCs w:val="18"/>
              </w:rPr>
            </w:pPr>
            <w:r>
              <w:rPr>
                <w:bCs/>
                <w:sz w:val="18"/>
                <w:szCs w:val="18"/>
              </w:rPr>
              <w:t>2</w:t>
            </w:r>
          </w:p>
        </w:tc>
        <w:tc>
          <w:tcPr>
            <w:tcW w:w="2117" w:type="pct"/>
            <w:tcBorders>
              <w:top w:val="single" w:color="auto" w:sz="4" w:space="0"/>
              <w:left w:val="single" w:color="auto" w:sz="4" w:space="0"/>
              <w:bottom w:val="single" w:color="auto" w:sz="4" w:space="0"/>
              <w:right w:val="single" w:color="auto" w:sz="4" w:space="0"/>
            </w:tcBorders>
            <w:vAlign w:val="center"/>
          </w:tcPr>
          <w:p>
            <w:pPr>
              <w:snapToGrid w:val="0"/>
              <w:rPr>
                <w:bCs/>
                <w:sz w:val="18"/>
                <w:szCs w:val="18"/>
              </w:rPr>
            </w:pPr>
            <w:r>
              <w:rPr>
                <w:rFonts w:hint="eastAsia" w:hAnsi="宋体"/>
                <w:bCs/>
                <w:sz w:val="18"/>
                <w:szCs w:val="18"/>
              </w:rPr>
              <w:t>二叉树</w:t>
            </w:r>
          </w:p>
        </w:tc>
        <w:tc>
          <w:tcPr>
            <w:tcW w:w="387" w:type="pct"/>
            <w:tcBorders>
              <w:top w:val="single" w:color="auto" w:sz="4" w:space="0"/>
              <w:left w:val="single" w:color="auto" w:sz="4" w:space="0"/>
              <w:bottom w:val="single" w:color="auto" w:sz="4" w:space="0"/>
              <w:right w:val="single" w:color="auto" w:sz="4" w:space="0"/>
            </w:tcBorders>
            <w:vAlign w:val="center"/>
          </w:tcPr>
          <w:p>
            <w:pPr>
              <w:snapToGrid w:val="0"/>
              <w:jc w:val="center"/>
              <w:rPr>
                <w:bCs/>
                <w:sz w:val="18"/>
                <w:szCs w:val="18"/>
              </w:rPr>
            </w:pPr>
            <w:r>
              <w:rPr>
                <w:bCs/>
                <w:sz w:val="18"/>
                <w:szCs w:val="18"/>
              </w:rPr>
              <w:t>2</w:t>
            </w:r>
          </w:p>
        </w:tc>
        <w:tc>
          <w:tcPr>
            <w:tcW w:w="474" w:type="pct"/>
            <w:tcBorders>
              <w:top w:val="single" w:color="auto" w:sz="4" w:space="0"/>
              <w:left w:val="single" w:color="auto" w:sz="4" w:space="0"/>
              <w:bottom w:val="single" w:color="auto" w:sz="4" w:space="0"/>
              <w:right w:val="single" w:color="auto" w:sz="4" w:space="0"/>
            </w:tcBorders>
            <w:vAlign w:val="center"/>
          </w:tcPr>
          <w:p>
            <w:pPr>
              <w:snapToGrid w:val="0"/>
              <w:jc w:val="center"/>
              <w:rPr>
                <w:bCs/>
                <w:sz w:val="18"/>
                <w:szCs w:val="18"/>
              </w:rPr>
            </w:pPr>
            <w:r>
              <w:rPr>
                <w:rFonts w:hint="eastAsia" w:hAnsi="宋体"/>
                <w:bCs/>
                <w:sz w:val="18"/>
                <w:szCs w:val="18"/>
              </w:rPr>
              <w:t>设计性</w:t>
            </w:r>
          </w:p>
        </w:tc>
        <w:tc>
          <w:tcPr>
            <w:tcW w:w="449" w:type="pct"/>
            <w:tcBorders>
              <w:top w:val="single" w:color="auto" w:sz="4" w:space="0"/>
              <w:left w:val="single" w:color="auto" w:sz="4" w:space="0"/>
              <w:bottom w:val="single" w:color="auto" w:sz="4" w:space="0"/>
              <w:right w:val="single" w:color="auto" w:sz="4" w:space="0"/>
            </w:tcBorders>
            <w:vAlign w:val="center"/>
          </w:tcPr>
          <w:p>
            <w:pPr>
              <w:snapToGrid w:val="0"/>
              <w:jc w:val="center"/>
              <w:rPr>
                <w:bCs/>
                <w:sz w:val="18"/>
                <w:szCs w:val="18"/>
              </w:rPr>
            </w:pPr>
            <w:r>
              <w:rPr>
                <w:rFonts w:hint="eastAsia" w:hAnsi="宋体"/>
                <w:bCs/>
                <w:sz w:val="18"/>
                <w:szCs w:val="18"/>
              </w:rPr>
              <w:t>必做</w:t>
            </w:r>
          </w:p>
        </w:tc>
        <w:tc>
          <w:tcPr>
            <w:tcW w:w="516"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bCs/>
                <w:sz w:val="18"/>
                <w:szCs w:val="18"/>
              </w:rPr>
            </w:pPr>
            <w:r>
              <w:rPr>
                <w:rFonts w:eastAsia="黑体"/>
                <w:bCs/>
                <w:sz w:val="18"/>
                <w:szCs w:val="18"/>
              </w:rPr>
              <w:t>1、</w:t>
            </w:r>
            <w:r>
              <w:rPr>
                <w:rFonts w:hint="eastAsia" w:eastAsia="黑体"/>
                <w:bCs/>
                <w:sz w:val="18"/>
                <w:szCs w:val="18"/>
              </w:rPr>
              <w:t>2</w:t>
            </w:r>
          </w:p>
        </w:tc>
        <w:tc>
          <w:tcPr>
            <w:tcW w:w="672" w:type="pct"/>
            <w:tcBorders>
              <w:top w:val="single" w:color="auto" w:sz="4" w:space="0"/>
              <w:left w:val="single" w:color="auto" w:sz="4" w:space="0"/>
              <w:bottom w:val="single" w:color="auto" w:sz="4" w:space="0"/>
              <w:right w:val="single" w:color="auto" w:sz="4" w:space="0"/>
            </w:tcBorders>
            <w:vAlign w:val="center"/>
          </w:tcPr>
          <w:p>
            <w:pPr>
              <w:snapToGrid w:val="0"/>
              <w:jc w:val="center"/>
              <w:rPr>
                <w:bCs/>
                <w:sz w:val="18"/>
                <w:szCs w:val="18"/>
              </w:rPr>
            </w:pPr>
            <w:r>
              <w:rPr>
                <w:bCs/>
                <w:sz w:val="18"/>
                <w:szCs w:val="18"/>
              </w:rPr>
              <w:t>2-2、3-1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85" w:type="pct"/>
            <w:tcBorders>
              <w:top w:val="single" w:color="auto" w:sz="4" w:space="0"/>
              <w:left w:val="single" w:color="auto" w:sz="4" w:space="0"/>
              <w:bottom w:val="single" w:color="auto" w:sz="4" w:space="0"/>
              <w:right w:val="single" w:color="auto" w:sz="4" w:space="0"/>
            </w:tcBorders>
            <w:vAlign w:val="center"/>
          </w:tcPr>
          <w:p>
            <w:pPr>
              <w:snapToGrid w:val="0"/>
              <w:jc w:val="center"/>
              <w:rPr>
                <w:bCs/>
                <w:sz w:val="18"/>
                <w:szCs w:val="18"/>
              </w:rPr>
            </w:pPr>
            <w:r>
              <w:rPr>
                <w:bCs/>
                <w:sz w:val="18"/>
                <w:szCs w:val="18"/>
              </w:rPr>
              <w:t>3</w:t>
            </w:r>
          </w:p>
        </w:tc>
        <w:tc>
          <w:tcPr>
            <w:tcW w:w="2117" w:type="pct"/>
            <w:tcBorders>
              <w:top w:val="single" w:color="auto" w:sz="4" w:space="0"/>
              <w:left w:val="single" w:color="auto" w:sz="4" w:space="0"/>
              <w:bottom w:val="single" w:color="auto" w:sz="4" w:space="0"/>
              <w:right w:val="single" w:color="auto" w:sz="4" w:space="0"/>
            </w:tcBorders>
            <w:vAlign w:val="center"/>
          </w:tcPr>
          <w:p>
            <w:pPr>
              <w:snapToGrid w:val="0"/>
              <w:rPr>
                <w:bCs/>
                <w:sz w:val="18"/>
                <w:szCs w:val="18"/>
              </w:rPr>
            </w:pPr>
            <w:r>
              <w:rPr>
                <w:bCs/>
                <w:sz w:val="18"/>
                <w:szCs w:val="18"/>
              </w:rPr>
              <w:t>查找</w:t>
            </w:r>
          </w:p>
        </w:tc>
        <w:tc>
          <w:tcPr>
            <w:tcW w:w="387" w:type="pct"/>
            <w:tcBorders>
              <w:top w:val="single" w:color="auto" w:sz="4" w:space="0"/>
              <w:left w:val="single" w:color="auto" w:sz="4" w:space="0"/>
              <w:bottom w:val="single" w:color="auto" w:sz="4" w:space="0"/>
              <w:right w:val="single" w:color="auto" w:sz="4" w:space="0"/>
            </w:tcBorders>
            <w:vAlign w:val="center"/>
          </w:tcPr>
          <w:p>
            <w:pPr>
              <w:snapToGrid w:val="0"/>
              <w:jc w:val="center"/>
              <w:rPr>
                <w:bCs/>
                <w:sz w:val="18"/>
                <w:szCs w:val="18"/>
              </w:rPr>
            </w:pPr>
            <w:r>
              <w:rPr>
                <w:bCs/>
                <w:sz w:val="18"/>
                <w:szCs w:val="18"/>
              </w:rPr>
              <w:t>2</w:t>
            </w:r>
          </w:p>
        </w:tc>
        <w:tc>
          <w:tcPr>
            <w:tcW w:w="474" w:type="pct"/>
            <w:tcBorders>
              <w:top w:val="single" w:color="auto" w:sz="4" w:space="0"/>
              <w:left w:val="single" w:color="auto" w:sz="4" w:space="0"/>
              <w:bottom w:val="single" w:color="auto" w:sz="4" w:space="0"/>
              <w:right w:val="single" w:color="auto" w:sz="4" w:space="0"/>
            </w:tcBorders>
            <w:vAlign w:val="center"/>
          </w:tcPr>
          <w:p>
            <w:pPr>
              <w:snapToGrid w:val="0"/>
              <w:jc w:val="center"/>
              <w:rPr>
                <w:bCs/>
                <w:sz w:val="18"/>
                <w:szCs w:val="18"/>
              </w:rPr>
            </w:pPr>
            <w:r>
              <w:rPr>
                <w:rFonts w:hint="eastAsia" w:hAnsi="宋体"/>
                <w:bCs/>
                <w:sz w:val="18"/>
                <w:szCs w:val="18"/>
              </w:rPr>
              <w:t>设计性</w:t>
            </w:r>
          </w:p>
        </w:tc>
        <w:tc>
          <w:tcPr>
            <w:tcW w:w="449" w:type="pct"/>
            <w:tcBorders>
              <w:top w:val="single" w:color="auto" w:sz="4" w:space="0"/>
              <w:left w:val="single" w:color="auto" w:sz="4" w:space="0"/>
              <w:bottom w:val="single" w:color="auto" w:sz="4" w:space="0"/>
              <w:right w:val="single" w:color="auto" w:sz="4" w:space="0"/>
            </w:tcBorders>
            <w:vAlign w:val="center"/>
          </w:tcPr>
          <w:p>
            <w:pPr>
              <w:snapToGrid w:val="0"/>
              <w:jc w:val="center"/>
              <w:rPr>
                <w:bCs/>
                <w:sz w:val="18"/>
                <w:szCs w:val="18"/>
              </w:rPr>
            </w:pPr>
            <w:r>
              <w:rPr>
                <w:rFonts w:hint="eastAsia" w:hAnsi="宋体"/>
                <w:bCs/>
                <w:sz w:val="18"/>
                <w:szCs w:val="18"/>
              </w:rPr>
              <w:t>必做</w:t>
            </w:r>
          </w:p>
        </w:tc>
        <w:tc>
          <w:tcPr>
            <w:tcW w:w="516"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bCs/>
                <w:sz w:val="18"/>
                <w:szCs w:val="18"/>
              </w:rPr>
            </w:pPr>
            <w:r>
              <w:rPr>
                <w:rFonts w:eastAsia="黑体"/>
                <w:bCs/>
                <w:sz w:val="18"/>
                <w:szCs w:val="18"/>
              </w:rPr>
              <w:t>1、</w:t>
            </w:r>
            <w:r>
              <w:rPr>
                <w:rFonts w:hint="eastAsia" w:eastAsia="黑体"/>
                <w:bCs/>
                <w:sz w:val="18"/>
                <w:szCs w:val="18"/>
              </w:rPr>
              <w:t>2</w:t>
            </w:r>
          </w:p>
        </w:tc>
        <w:tc>
          <w:tcPr>
            <w:tcW w:w="672" w:type="pct"/>
            <w:tcBorders>
              <w:top w:val="single" w:color="auto" w:sz="4" w:space="0"/>
              <w:left w:val="single" w:color="auto" w:sz="4" w:space="0"/>
              <w:bottom w:val="single" w:color="auto" w:sz="4" w:space="0"/>
              <w:right w:val="single" w:color="auto" w:sz="4" w:space="0"/>
            </w:tcBorders>
            <w:vAlign w:val="center"/>
          </w:tcPr>
          <w:p>
            <w:pPr>
              <w:snapToGrid w:val="0"/>
              <w:jc w:val="center"/>
              <w:rPr>
                <w:bCs/>
                <w:sz w:val="18"/>
                <w:szCs w:val="18"/>
              </w:rPr>
            </w:pPr>
            <w:r>
              <w:rPr>
                <w:bCs/>
                <w:sz w:val="18"/>
                <w:szCs w:val="18"/>
              </w:rPr>
              <w:t>2-2、3-1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85" w:type="pct"/>
            <w:tcBorders>
              <w:top w:val="single" w:color="auto" w:sz="4" w:space="0"/>
              <w:left w:val="single" w:color="auto" w:sz="4" w:space="0"/>
              <w:bottom w:val="single" w:color="auto" w:sz="4" w:space="0"/>
              <w:right w:val="single" w:color="auto" w:sz="4" w:space="0"/>
            </w:tcBorders>
            <w:vAlign w:val="center"/>
          </w:tcPr>
          <w:p>
            <w:pPr>
              <w:snapToGrid w:val="0"/>
              <w:jc w:val="center"/>
              <w:rPr>
                <w:bCs/>
                <w:sz w:val="18"/>
                <w:szCs w:val="18"/>
              </w:rPr>
            </w:pPr>
            <w:r>
              <w:rPr>
                <w:bCs/>
                <w:sz w:val="18"/>
                <w:szCs w:val="18"/>
              </w:rPr>
              <w:t>4</w:t>
            </w:r>
          </w:p>
        </w:tc>
        <w:tc>
          <w:tcPr>
            <w:tcW w:w="2117" w:type="pct"/>
            <w:tcBorders>
              <w:top w:val="single" w:color="auto" w:sz="4" w:space="0"/>
              <w:left w:val="single" w:color="auto" w:sz="4" w:space="0"/>
              <w:bottom w:val="single" w:color="auto" w:sz="4" w:space="0"/>
              <w:right w:val="single" w:color="auto" w:sz="4" w:space="0"/>
            </w:tcBorders>
            <w:vAlign w:val="center"/>
          </w:tcPr>
          <w:p>
            <w:pPr>
              <w:snapToGrid w:val="0"/>
              <w:rPr>
                <w:rFonts w:hAnsi="宋体"/>
                <w:bCs/>
                <w:sz w:val="18"/>
                <w:szCs w:val="18"/>
              </w:rPr>
            </w:pPr>
            <w:r>
              <w:rPr>
                <w:rFonts w:hAnsi="宋体"/>
                <w:bCs/>
                <w:sz w:val="18"/>
                <w:szCs w:val="18"/>
              </w:rPr>
              <w:t>排序</w:t>
            </w:r>
          </w:p>
        </w:tc>
        <w:tc>
          <w:tcPr>
            <w:tcW w:w="387" w:type="pct"/>
            <w:tcBorders>
              <w:top w:val="single" w:color="auto" w:sz="4" w:space="0"/>
              <w:left w:val="single" w:color="auto" w:sz="4" w:space="0"/>
              <w:bottom w:val="single" w:color="auto" w:sz="4" w:space="0"/>
              <w:right w:val="single" w:color="auto" w:sz="4" w:space="0"/>
            </w:tcBorders>
            <w:vAlign w:val="center"/>
          </w:tcPr>
          <w:p>
            <w:pPr>
              <w:snapToGrid w:val="0"/>
              <w:jc w:val="center"/>
              <w:rPr>
                <w:bCs/>
                <w:sz w:val="18"/>
                <w:szCs w:val="18"/>
              </w:rPr>
            </w:pPr>
            <w:r>
              <w:rPr>
                <w:bCs/>
                <w:sz w:val="18"/>
                <w:szCs w:val="18"/>
              </w:rPr>
              <w:t>2</w:t>
            </w:r>
          </w:p>
        </w:tc>
        <w:tc>
          <w:tcPr>
            <w:tcW w:w="474" w:type="pct"/>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bCs/>
                <w:sz w:val="18"/>
                <w:szCs w:val="18"/>
              </w:rPr>
            </w:pPr>
            <w:r>
              <w:rPr>
                <w:rFonts w:hint="eastAsia" w:hAnsi="宋体"/>
                <w:bCs/>
                <w:sz w:val="18"/>
                <w:szCs w:val="18"/>
              </w:rPr>
              <w:t>设计性</w:t>
            </w:r>
          </w:p>
        </w:tc>
        <w:tc>
          <w:tcPr>
            <w:tcW w:w="449" w:type="pct"/>
            <w:tcBorders>
              <w:top w:val="single" w:color="auto" w:sz="4" w:space="0"/>
              <w:left w:val="single" w:color="auto" w:sz="4" w:space="0"/>
              <w:bottom w:val="single" w:color="auto" w:sz="4" w:space="0"/>
              <w:right w:val="single" w:color="auto" w:sz="4" w:space="0"/>
            </w:tcBorders>
            <w:vAlign w:val="center"/>
          </w:tcPr>
          <w:p>
            <w:pPr>
              <w:snapToGrid w:val="0"/>
              <w:jc w:val="center"/>
              <w:rPr>
                <w:bCs/>
                <w:sz w:val="18"/>
                <w:szCs w:val="18"/>
              </w:rPr>
            </w:pPr>
            <w:r>
              <w:rPr>
                <w:rFonts w:hint="eastAsia" w:hAnsi="宋体"/>
                <w:bCs/>
                <w:sz w:val="18"/>
                <w:szCs w:val="18"/>
              </w:rPr>
              <w:t>必做</w:t>
            </w:r>
          </w:p>
        </w:tc>
        <w:tc>
          <w:tcPr>
            <w:tcW w:w="516"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bCs/>
                <w:sz w:val="18"/>
                <w:szCs w:val="18"/>
              </w:rPr>
            </w:pPr>
            <w:r>
              <w:rPr>
                <w:rFonts w:eastAsia="黑体"/>
                <w:bCs/>
                <w:sz w:val="18"/>
                <w:szCs w:val="18"/>
              </w:rPr>
              <w:t>1、</w:t>
            </w:r>
            <w:r>
              <w:rPr>
                <w:rFonts w:hint="eastAsia" w:eastAsia="黑体"/>
                <w:bCs/>
                <w:sz w:val="18"/>
                <w:szCs w:val="18"/>
              </w:rPr>
              <w:t>2</w:t>
            </w:r>
          </w:p>
        </w:tc>
        <w:tc>
          <w:tcPr>
            <w:tcW w:w="672" w:type="pct"/>
            <w:tcBorders>
              <w:top w:val="single" w:color="auto" w:sz="4" w:space="0"/>
              <w:left w:val="single" w:color="auto" w:sz="4" w:space="0"/>
              <w:bottom w:val="single" w:color="auto" w:sz="4" w:space="0"/>
              <w:right w:val="single" w:color="auto" w:sz="4" w:space="0"/>
            </w:tcBorders>
            <w:vAlign w:val="center"/>
          </w:tcPr>
          <w:p>
            <w:pPr>
              <w:snapToGrid w:val="0"/>
              <w:jc w:val="center"/>
              <w:rPr>
                <w:bCs/>
                <w:sz w:val="18"/>
                <w:szCs w:val="18"/>
              </w:rPr>
            </w:pPr>
            <w:r>
              <w:rPr>
                <w:bCs/>
                <w:sz w:val="18"/>
                <w:szCs w:val="18"/>
              </w:rPr>
              <w:t>2-2、3-1</w:t>
            </w:r>
          </w:p>
        </w:tc>
      </w:tr>
    </w:tbl>
    <w:p>
      <w:pPr>
        <w:adjustRightInd w:val="0"/>
        <w:snapToGrid w:val="0"/>
        <w:spacing w:before="240" w:line="360" w:lineRule="auto"/>
        <w:ind w:firstLine="420" w:firstLineChars="200"/>
        <w:rPr>
          <w:szCs w:val="21"/>
          <w:lang w:bidi="ar"/>
        </w:rPr>
      </w:pPr>
      <w:r>
        <w:rPr>
          <w:rFonts w:hint="eastAsia"/>
          <w:szCs w:val="21"/>
          <w:lang w:bidi="ar"/>
        </w:rPr>
        <w:t>实验环节主要是上机操作，要求保证上机条件，即具备C语言编程环境；要求学生掌握在集成开发环境下排查常见语法错误和编译错误的方法；预习并绘制程序流程图。本门课实验有</w:t>
      </w:r>
      <w:r>
        <w:rPr>
          <w:szCs w:val="21"/>
          <w:lang w:bidi="ar"/>
        </w:rPr>
        <w:t>4</w:t>
      </w:r>
      <w:r>
        <w:rPr>
          <w:rFonts w:hint="eastAsia"/>
          <w:szCs w:val="21"/>
          <w:lang w:bidi="ar"/>
        </w:rPr>
        <w:t>个实验共8学时。</w:t>
      </w:r>
    </w:p>
    <w:p>
      <w:pPr>
        <w:adjustRightInd w:val="0"/>
        <w:snapToGrid w:val="0"/>
        <w:spacing w:line="360" w:lineRule="auto"/>
        <w:ind w:firstLine="420" w:firstLineChars="200"/>
        <w:rPr>
          <w:szCs w:val="21"/>
          <w:lang w:bidi="ar"/>
        </w:rPr>
      </w:pPr>
      <w:r>
        <w:rPr>
          <w:rFonts w:hint="eastAsia"/>
          <w:szCs w:val="21"/>
          <w:lang w:bidi="ar"/>
        </w:rPr>
        <w:t>在实验过程中要注重培养学生的诚信意识、创新意识和坚持精神等，通过实验使学生能够理论联系实际，灵活运用所学知识，严谨认真，精益求精，养成良好的设计习惯。</w:t>
      </w:r>
    </w:p>
    <w:p>
      <w:pPr>
        <w:adjustRightInd w:val="0"/>
        <w:snapToGrid w:val="0"/>
        <w:spacing w:line="360" w:lineRule="auto"/>
        <w:ind w:firstLine="420" w:firstLineChars="200"/>
        <w:rPr>
          <w:szCs w:val="21"/>
          <w:lang w:bidi="ar"/>
        </w:rPr>
      </w:pPr>
      <w:r>
        <w:rPr>
          <w:rFonts w:hint="eastAsia"/>
          <w:szCs w:val="21"/>
          <w:lang w:bidi="ar"/>
        </w:rPr>
        <w:t>实验一：线性表</w:t>
      </w:r>
    </w:p>
    <w:p>
      <w:pPr>
        <w:adjustRightInd w:val="0"/>
        <w:snapToGrid w:val="0"/>
        <w:spacing w:line="360" w:lineRule="auto"/>
        <w:ind w:firstLine="420" w:firstLineChars="200"/>
        <w:rPr>
          <w:szCs w:val="21"/>
          <w:lang w:bidi="ar"/>
        </w:rPr>
      </w:pPr>
      <w:r>
        <w:rPr>
          <w:rFonts w:hint="eastAsia"/>
          <w:szCs w:val="21"/>
          <w:lang w:bidi="ar"/>
        </w:rPr>
        <w:t>实验目的：通过对约瑟夫环求解，实现数据按线性表组织及在线性表上的删除操作。</w:t>
      </w:r>
    </w:p>
    <w:p>
      <w:pPr>
        <w:adjustRightInd w:val="0"/>
        <w:snapToGrid w:val="0"/>
        <w:spacing w:line="360" w:lineRule="auto"/>
        <w:ind w:firstLine="420" w:firstLineChars="200"/>
        <w:rPr>
          <w:szCs w:val="21"/>
          <w:lang w:bidi="ar"/>
        </w:rPr>
      </w:pPr>
      <w:r>
        <w:rPr>
          <w:rFonts w:hint="eastAsia"/>
          <w:szCs w:val="21"/>
          <w:lang w:bidi="ar"/>
        </w:rPr>
        <w:t>实验原理：组织有n个元素的线性表，计数q后将表中元素删除，重复计数删除过程直到表中剩1个元素。</w:t>
      </w:r>
    </w:p>
    <w:p>
      <w:pPr>
        <w:adjustRightInd w:val="0"/>
        <w:snapToGrid w:val="0"/>
        <w:spacing w:line="360" w:lineRule="auto"/>
        <w:ind w:firstLine="420" w:firstLineChars="200"/>
        <w:rPr>
          <w:szCs w:val="21"/>
          <w:lang w:bidi="ar"/>
        </w:rPr>
      </w:pPr>
      <w:r>
        <w:rPr>
          <w:rFonts w:hint="eastAsia"/>
          <w:szCs w:val="21"/>
          <w:lang w:bidi="ar"/>
        </w:rPr>
        <w:t>实验设备：计算机。</w:t>
      </w:r>
    </w:p>
    <w:p>
      <w:pPr>
        <w:adjustRightInd w:val="0"/>
        <w:snapToGrid w:val="0"/>
        <w:spacing w:line="360" w:lineRule="auto"/>
        <w:ind w:firstLine="420" w:firstLineChars="200"/>
        <w:rPr>
          <w:szCs w:val="21"/>
          <w:lang w:bidi="ar"/>
        </w:rPr>
      </w:pPr>
      <w:r>
        <w:rPr>
          <w:rFonts w:hint="eastAsia"/>
          <w:szCs w:val="21"/>
          <w:lang w:bidi="ar"/>
        </w:rPr>
        <w:t>实验安排：学生每人1机，独立完成设计。</w:t>
      </w:r>
    </w:p>
    <w:p>
      <w:pPr>
        <w:adjustRightInd w:val="0"/>
        <w:snapToGrid w:val="0"/>
        <w:spacing w:line="360" w:lineRule="auto"/>
        <w:ind w:firstLine="420" w:firstLineChars="200"/>
        <w:rPr>
          <w:szCs w:val="21"/>
          <w:lang w:bidi="ar"/>
        </w:rPr>
      </w:pPr>
      <w:r>
        <w:rPr>
          <w:rFonts w:hint="eastAsia"/>
          <w:szCs w:val="21"/>
          <w:lang w:bidi="ar"/>
        </w:rPr>
        <w:t>实验报告要求：采用标准实验报告格式，提供代码和结果截图或照片，实验结果要分析</w:t>
      </w:r>
      <m:oMath>
        <m:r>
          <m:rPr>
            <m:sty m:val="p"/>
          </m:rPr>
          <w:rPr>
            <w:rFonts w:ascii="Cambria Math" w:hAnsi="Cambria Math"/>
            <w:szCs w:val="21"/>
            <w:lang w:bidi="ar"/>
          </w:rPr>
          <m:t>n=2、n=</m:t>
        </m:r>
        <m:sSup>
          <m:sSupPr>
            <m:ctrlPr>
              <w:rPr>
                <w:rFonts w:ascii="Cambria Math" w:hAnsi="Cambria Math"/>
                <w:szCs w:val="21"/>
                <w:lang w:bidi="ar"/>
              </w:rPr>
            </m:ctrlPr>
          </m:sSupPr>
          <m:e>
            <m:r>
              <m:rPr/>
              <w:rPr>
                <w:rFonts w:ascii="Cambria Math" w:hAnsi="Cambria Math"/>
                <w:szCs w:val="21"/>
                <w:lang w:bidi="ar"/>
              </w:rPr>
              <m:t>2</m:t>
            </m:r>
            <m:ctrlPr>
              <w:rPr>
                <w:rFonts w:ascii="Cambria Math" w:hAnsi="Cambria Math"/>
                <w:szCs w:val="21"/>
                <w:lang w:bidi="ar"/>
              </w:rPr>
            </m:ctrlPr>
          </m:e>
          <m:sup>
            <m:r>
              <m:rPr/>
              <w:rPr>
                <w:rFonts w:ascii="Cambria Math" w:hAnsi="Cambria Math"/>
                <w:szCs w:val="21"/>
                <w:lang w:bidi="ar"/>
              </w:rPr>
              <m:t>k</m:t>
            </m:r>
            <m:ctrlPr>
              <w:rPr>
                <w:rFonts w:ascii="Cambria Math" w:hAnsi="Cambria Math"/>
                <w:szCs w:val="21"/>
                <w:lang w:bidi="ar"/>
              </w:rPr>
            </m:ctrlPr>
          </m:sup>
        </m:sSup>
        <m:r>
          <m:rPr/>
          <w:rPr>
            <w:rFonts w:ascii="Cambria Math" w:hAnsi="Cambria Math"/>
            <w:szCs w:val="21"/>
            <w:lang w:bidi="ar"/>
          </w:rPr>
          <m:t>、n=</m:t>
        </m:r>
        <m:sSup>
          <m:sSupPr>
            <m:ctrlPr>
              <w:rPr>
                <w:rFonts w:ascii="Cambria Math" w:hAnsi="Cambria Math"/>
                <w:i/>
                <w:szCs w:val="21"/>
                <w:lang w:bidi="ar"/>
              </w:rPr>
            </m:ctrlPr>
          </m:sSupPr>
          <m:e>
            <m:r>
              <m:rPr/>
              <w:rPr>
                <w:rFonts w:ascii="Cambria Math" w:hAnsi="Cambria Math"/>
                <w:szCs w:val="21"/>
                <w:lang w:bidi="ar"/>
              </w:rPr>
              <m:t>2</m:t>
            </m:r>
            <m:ctrlPr>
              <w:rPr>
                <w:rFonts w:ascii="Cambria Math" w:hAnsi="Cambria Math"/>
                <w:i/>
                <w:szCs w:val="21"/>
                <w:lang w:bidi="ar"/>
              </w:rPr>
            </m:ctrlPr>
          </m:e>
          <m:sup>
            <m:r>
              <m:rPr/>
              <w:rPr>
                <w:rFonts w:ascii="Cambria Math" w:hAnsi="Cambria Math"/>
                <w:szCs w:val="21"/>
                <w:lang w:bidi="ar"/>
              </w:rPr>
              <m:t>k</m:t>
            </m:r>
            <m:ctrlPr>
              <w:rPr>
                <w:rFonts w:ascii="Cambria Math" w:hAnsi="Cambria Math"/>
                <w:i/>
                <w:szCs w:val="21"/>
                <w:lang w:bidi="ar"/>
              </w:rPr>
            </m:ctrlPr>
          </m:sup>
        </m:sSup>
        <m:r>
          <m:rPr/>
          <w:rPr>
            <w:rFonts w:ascii="Cambria Math" w:hAnsi="Cambria Math"/>
            <w:szCs w:val="21"/>
            <w:lang w:bidi="ar"/>
          </w:rPr>
          <m:t>+t</m:t>
        </m:r>
      </m:oMath>
      <w:r>
        <w:rPr>
          <w:rFonts w:hint="eastAsia"/>
          <w:szCs w:val="21"/>
          <w:lang w:bidi="ar"/>
        </w:rPr>
        <w:t>等多种情况。</w:t>
      </w:r>
    </w:p>
    <w:p>
      <w:pPr>
        <w:adjustRightInd w:val="0"/>
        <w:snapToGrid w:val="0"/>
        <w:spacing w:line="360" w:lineRule="auto"/>
        <w:ind w:firstLine="420" w:firstLineChars="200"/>
        <w:rPr>
          <w:szCs w:val="21"/>
          <w:lang w:bidi="ar"/>
        </w:rPr>
      </w:pPr>
      <w:r>
        <w:rPr>
          <w:rFonts w:hint="eastAsia"/>
          <w:szCs w:val="21"/>
          <w:lang w:bidi="ar"/>
        </w:rPr>
        <w:t>实验二：二叉树</w:t>
      </w:r>
    </w:p>
    <w:p>
      <w:pPr>
        <w:adjustRightInd w:val="0"/>
        <w:snapToGrid w:val="0"/>
        <w:spacing w:line="360" w:lineRule="auto"/>
        <w:ind w:firstLine="420" w:firstLineChars="200"/>
        <w:rPr>
          <w:szCs w:val="21"/>
          <w:lang w:bidi="ar"/>
        </w:rPr>
      </w:pPr>
      <w:r>
        <w:rPr>
          <w:rFonts w:hint="eastAsia"/>
          <w:szCs w:val="21"/>
          <w:lang w:bidi="ar"/>
        </w:rPr>
        <w:t>实验目的：通过实现对二叉树的建立、遍历与分析，掌握二叉树的遍历思想与存储结构，掌握二叉树的基本操作。</w:t>
      </w:r>
    </w:p>
    <w:p>
      <w:pPr>
        <w:adjustRightInd w:val="0"/>
        <w:snapToGrid w:val="0"/>
        <w:spacing w:line="360" w:lineRule="auto"/>
        <w:ind w:firstLine="420" w:firstLineChars="200"/>
        <w:rPr>
          <w:szCs w:val="21"/>
          <w:lang w:bidi="ar"/>
        </w:rPr>
      </w:pPr>
      <w:r>
        <w:rPr>
          <w:rFonts w:hint="eastAsia"/>
          <w:szCs w:val="21"/>
          <w:lang w:bidi="ar"/>
        </w:rPr>
        <w:t>实验原理：二叉树的构造与遍历算法，计算树高度、叶子节点数等。</w:t>
      </w:r>
    </w:p>
    <w:p>
      <w:pPr>
        <w:adjustRightInd w:val="0"/>
        <w:snapToGrid w:val="0"/>
        <w:spacing w:line="360" w:lineRule="auto"/>
        <w:ind w:firstLine="420" w:firstLineChars="200"/>
        <w:rPr>
          <w:szCs w:val="21"/>
          <w:lang w:bidi="ar"/>
        </w:rPr>
      </w:pPr>
      <w:r>
        <w:rPr>
          <w:rFonts w:hint="eastAsia"/>
          <w:szCs w:val="21"/>
          <w:lang w:bidi="ar"/>
        </w:rPr>
        <w:t>实验设备：计算机。</w:t>
      </w:r>
    </w:p>
    <w:p>
      <w:pPr>
        <w:adjustRightInd w:val="0"/>
        <w:snapToGrid w:val="0"/>
        <w:spacing w:line="360" w:lineRule="auto"/>
        <w:ind w:firstLine="420" w:firstLineChars="200"/>
        <w:rPr>
          <w:szCs w:val="21"/>
          <w:lang w:bidi="ar"/>
        </w:rPr>
      </w:pPr>
      <w:r>
        <w:rPr>
          <w:rFonts w:hint="eastAsia"/>
          <w:szCs w:val="21"/>
          <w:lang w:bidi="ar"/>
        </w:rPr>
        <w:t>实验安排：学生每人1机，独立完成设计。</w:t>
      </w:r>
    </w:p>
    <w:p>
      <w:pPr>
        <w:adjustRightInd w:val="0"/>
        <w:snapToGrid w:val="0"/>
        <w:spacing w:line="360" w:lineRule="auto"/>
        <w:ind w:firstLine="420" w:firstLineChars="200"/>
        <w:rPr>
          <w:szCs w:val="21"/>
          <w:lang w:bidi="ar"/>
        </w:rPr>
      </w:pPr>
      <w:r>
        <w:rPr>
          <w:rFonts w:hint="eastAsia"/>
          <w:szCs w:val="21"/>
          <w:lang w:bidi="ar"/>
        </w:rPr>
        <w:t>实验报告要求：采用标准实验报告格式，提供代码和结果截图或照片，实验结果应包括对几种遍历算法的分析、二叉树的高度、叶子节点数等。</w:t>
      </w:r>
    </w:p>
    <w:p>
      <w:pPr>
        <w:adjustRightInd w:val="0"/>
        <w:snapToGrid w:val="0"/>
        <w:spacing w:line="360" w:lineRule="auto"/>
        <w:ind w:firstLine="420" w:firstLineChars="200"/>
        <w:rPr>
          <w:szCs w:val="21"/>
          <w:lang w:bidi="ar"/>
        </w:rPr>
      </w:pPr>
      <w:r>
        <w:rPr>
          <w:rFonts w:hint="eastAsia"/>
          <w:szCs w:val="21"/>
          <w:lang w:bidi="ar"/>
        </w:rPr>
        <w:t>实验三：查找</w:t>
      </w:r>
    </w:p>
    <w:p>
      <w:pPr>
        <w:adjustRightInd w:val="0"/>
        <w:snapToGrid w:val="0"/>
        <w:spacing w:line="360" w:lineRule="auto"/>
        <w:ind w:firstLine="420" w:firstLineChars="200"/>
        <w:rPr>
          <w:szCs w:val="21"/>
          <w:lang w:bidi="ar"/>
        </w:rPr>
      </w:pPr>
      <w:r>
        <w:rPr>
          <w:rFonts w:hint="eastAsia"/>
          <w:szCs w:val="21"/>
          <w:lang w:bidi="ar"/>
        </w:rPr>
        <w:t>实验目的：通过顺序查找、折半查找等算法实现，分析数据结构和算法。</w:t>
      </w:r>
    </w:p>
    <w:p>
      <w:pPr>
        <w:adjustRightInd w:val="0"/>
        <w:snapToGrid w:val="0"/>
        <w:spacing w:line="360" w:lineRule="auto"/>
        <w:ind w:firstLine="420" w:firstLineChars="200"/>
        <w:rPr>
          <w:szCs w:val="21"/>
          <w:lang w:bidi="ar"/>
        </w:rPr>
      </w:pPr>
      <w:r>
        <w:rPr>
          <w:rFonts w:hint="eastAsia"/>
          <w:szCs w:val="21"/>
          <w:lang w:bidi="ar"/>
        </w:rPr>
        <w:t>实验原理：用顺序查找法在无序表中查找数据；用折半查找法在顺序表中查找数据。</w:t>
      </w:r>
    </w:p>
    <w:p>
      <w:pPr>
        <w:adjustRightInd w:val="0"/>
        <w:snapToGrid w:val="0"/>
        <w:spacing w:line="360" w:lineRule="auto"/>
        <w:ind w:firstLine="420" w:firstLineChars="200"/>
        <w:rPr>
          <w:szCs w:val="21"/>
          <w:lang w:bidi="ar"/>
        </w:rPr>
      </w:pPr>
      <w:r>
        <w:rPr>
          <w:rFonts w:hint="eastAsia"/>
          <w:szCs w:val="21"/>
          <w:lang w:bidi="ar"/>
        </w:rPr>
        <w:t>实验设备：计算机。</w:t>
      </w:r>
    </w:p>
    <w:p>
      <w:pPr>
        <w:adjustRightInd w:val="0"/>
        <w:snapToGrid w:val="0"/>
        <w:spacing w:line="360" w:lineRule="auto"/>
        <w:ind w:firstLine="420" w:firstLineChars="200"/>
        <w:rPr>
          <w:szCs w:val="21"/>
          <w:lang w:bidi="ar"/>
        </w:rPr>
      </w:pPr>
      <w:r>
        <w:rPr>
          <w:rFonts w:hint="eastAsia"/>
          <w:szCs w:val="21"/>
          <w:lang w:bidi="ar"/>
        </w:rPr>
        <w:t>实验安排：学生每人1机，独立完成设计。</w:t>
      </w:r>
    </w:p>
    <w:p>
      <w:pPr>
        <w:adjustRightInd w:val="0"/>
        <w:snapToGrid w:val="0"/>
        <w:spacing w:line="360" w:lineRule="auto"/>
        <w:ind w:firstLine="420" w:firstLineChars="200"/>
        <w:rPr>
          <w:szCs w:val="21"/>
          <w:lang w:bidi="ar"/>
        </w:rPr>
      </w:pPr>
      <w:r>
        <w:rPr>
          <w:rFonts w:hint="eastAsia"/>
          <w:szCs w:val="21"/>
          <w:lang w:bidi="ar"/>
        </w:rPr>
        <w:t>实验报告要求：采用标准实验报告格式，提供代码和结果截图或照片，实验结果应分析比较不同数据结构及其上算法。</w:t>
      </w:r>
    </w:p>
    <w:p>
      <w:pPr>
        <w:adjustRightInd w:val="0"/>
        <w:snapToGrid w:val="0"/>
        <w:spacing w:line="360" w:lineRule="auto"/>
        <w:ind w:firstLine="420" w:firstLineChars="200"/>
        <w:rPr>
          <w:szCs w:val="21"/>
          <w:lang w:bidi="ar"/>
        </w:rPr>
      </w:pPr>
      <w:r>
        <w:rPr>
          <w:rFonts w:hint="eastAsia"/>
          <w:szCs w:val="21"/>
          <w:lang w:bidi="ar"/>
        </w:rPr>
        <w:t>实验四：排序</w:t>
      </w:r>
    </w:p>
    <w:p>
      <w:pPr>
        <w:adjustRightInd w:val="0"/>
        <w:snapToGrid w:val="0"/>
        <w:spacing w:line="360" w:lineRule="auto"/>
        <w:ind w:firstLine="420" w:firstLineChars="200"/>
        <w:rPr>
          <w:szCs w:val="21"/>
          <w:lang w:bidi="ar"/>
        </w:rPr>
      </w:pPr>
      <w:r>
        <w:rPr>
          <w:rFonts w:hint="eastAsia"/>
          <w:szCs w:val="21"/>
          <w:lang w:bidi="ar"/>
        </w:rPr>
        <w:t>实验目的：通过</w:t>
      </w:r>
      <w:r>
        <w:rPr>
          <w:rFonts w:hint="eastAsia"/>
        </w:rPr>
        <w:t>各种内排序方法实现，了解不同排序方法的优缺点，学会分析排序算法性能，能够根据实际问题选择合适的算法进行排序</w:t>
      </w:r>
      <w:r>
        <w:rPr>
          <w:rFonts w:hint="eastAsia"/>
          <w:szCs w:val="21"/>
          <w:lang w:bidi="ar"/>
        </w:rPr>
        <w:t>。</w:t>
      </w:r>
    </w:p>
    <w:p>
      <w:pPr>
        <w:adjustRightInd w:val="0"/>
        <w:snapToGrid w:val="0"/>
        <w:spacing w:line="360" w:lineRule="auto"/>
        <w:ind w:firstLine="420" w:firstLineChars="200"/>
        <w:rPr>
          <w:szCs w:val="21"/>
          <w:lang w:bidi="ar"/>
        </w:rPr>
      </w:pPr>
      <w:r>
        <w:rPr>
          <w:rFonts w:hint="eastAsia"/>
          <w:szCs w:val="21"/>
          <w:lang w:bidi="ar"/>
        </w:rPr>
        <w:t>实验原理：应用插入排序、快速排序和选择排序算法实现数据排序。</w:t>
      </w:r>
    </w:p>
    <w:p>
      <w:pPr>
        <w:adjustRightInd w:val="0"/>
        <w:snapToGrid w:val="0"/>
        <w:spacing w:line="360" w:lineRule="auto"/>
        <w:ind w:firstLine="420" w:firstLineChars="200"/>
        <w:rPr>
          <w:szCs w:val="21"/>
          <w:lang w:bidi="ar"/>
        </w:rPr>
      </w:pPr>
      <w:r>
        <w:rPr>
          <w:rFonts w:hint="eastAsia"/>
          <w:szCs w:val="21"/>
          <w:lang w:bidi="ar"/>
        </w:rPr>
        <w:t>实验设备：计算机。</w:t>
      </w:r>
    </w:p>
    <w:p>
      <w:pPr>
        <w:adjustRightInd w:val="0"/>
        <w:snapToGrid w:val="0"/>
        <w:spacing w:line="360" w:lineRule="auto"/>
        <w:ind w:firstLine="420" w:firstLineChars="200"/>
        <w:rPr>
          <w:szCs w:val="21"/>
          <w:lang w:bidi="ar"/>
        </w:rPr>
      </w:pPr>
      <w:r>
        <w:rPr>
          <w:rFonts w:hint="eastAsia"/>
          <w:szCs w:val="21"/>
          <w:lang w:bidi="ar"/>
        </w:rPr>
        <w:t>实验安排：学生每人1机，独立完成设计。</w:t>
      </w:r>
    </w:p>
    <w:p>
      <w:pPr>
        <w:adjustRightInd w:val="0"/>
        <w:snapToGrid w:val="0"/>
        <w:spacing w:line="360" w:lineRule="auto"/>
        <w:ind w:firstLine="420" w:firstLineChars="200"/>
        <w:rPr>
          <w:szCs w:val="21"/>
          <w:lang w:bidi="ar"/>
        </w:rPr>
      </w:pPr>
      <w:r>
        <w:rPr>
          <w:rFonts w:hint="eastAsia"/>
          <w:szCs w:val="21"/>
          <w:lang w:bidi="ar"/>
        </w:rPr>
        <w:t>实验报告要求：采用标准实验报告格式，提供代码和结果截图或照片，实验结果应包括对几种排序算法的性能分析比较等。</w:t>
      </w:r>
    </w:p>
    <w:p>
      <w:pPr>
        <w:adjustRightInd w:val="0"/>
        <w:snapToGrid w:val="0"/>
        <w:spacing w:before="156" w:beforeLines="50" w:line="360" w:lineRule="auto"/>
        <w:rPr>
          <w:rFonts w:eastAsia="黑体"/>
          <w:szCs w:val="21"/>
        </w:rPr>
      </w:pPr>
      <w:r>
        <w:rPr>
          <w:rFonts w:hint="eastAsia" w:eastAsia="黑体"/>
          <w:szCs w:val="21"/>
        </w:rPr>
        <w:t>五、达成课程目标的途径和措施</w:t>
      </w:r>
    </w:p>
    <w:p>
      <w:pPr>
        <w:adjustRightInd w:val="0"/>
        <w:snapToGrid w:val="0"/>
        <w:spacing w:line="360" w:lineRule="auto"/>
        <w:ind w:firstLine="420" w:firstLineChars="200"/>
        <w:rPr>
          <w:szCs w:val="21"/>
          <w:lang w:bidi="ar"/>
        </w:rPr>
      </w:pPr>
      <w:r>
        <w:rPr>
          <w:szCs w:val="21"/>
          <w:lang w:bidi="ar"/>
        </w:rPr>
        <w:t>1</w:t>
      </w:r>
      <w:r>
        <w:rPr>
          <w:rFonts w:hint="eastAsia"/>
          <w:szCs w:val="21"/>
          <w:lang w:bidi="ar"/>
        </w:rPr>
        <w:t>、</w:t>
      </w:r>
      <w:r>
        <w:t>在教学中，问题抽象、分析过程和数据结构的对应关系应逐步展开</w:t>
      </w:r>
      <w:r>
        <w:rPr>
          <w:rFonts w:hint="eastAsia"/>
          <w:szCs w:val="21"/>
          <w:lang w:bidi="ar"/>
        </w:rPr>
        <w:t>。通过学生自己的抽象，提升学生用数据表达问题的能力。</w:t>
      </w:r>
    </w:p>
    <w:p>
      <w:pPr>
        <w:adjustRightInd w:val="0"/>
        <w:snapToGrid w:val="0"/>
        <w:spacing w:line="360" w:lineRule="auto"/>
        <w:ind w:firstLine="420" w:firstLineChars="200"/>
        <w:rPr>
          <w:szCs w:val="21"/>
          <w:lang w:bidi="ar"/>
        </w:rPr>
      </w:pPr>
      <w:r>
        <w:rPr>
          <w:szCs w:val="21"/>
          <w:lang w:bidi="ar"/>
        </w:rPr>
        <w:t>2</w:t>
      </w:r>
      <w:r>
        <w:rPr>
          <w:rFonts w:hint="eastAsia"/>
          <w:szCs w:val="21"/>
          <w:lang w:bidi="ar"/>
        </w:rPr>
        <w:t>、</w:t>
      </w:r>
      <w:r>
        <w:t>在教学中，典型数据结构的使用、分析要结合实例</w:t>
      </w:r>
      <w:r>
        <w:rPr>
          <w:rFonts w:hint="eastAsia"/>
          <w:szCs w:val="21"/>
          <w:lang w:bidi="ar"/>
        </w:rPr>
        <w:t>。要求学生设计相应数据结构的实验，积累按需设计的经验。</w:t>
      </w:r>
    </w:p>
    <w:p>
      <w:pPr>
        <w:adjustRightInd w:val="0"/>
        <w:snapToGrid w:val="0"/>
        <w:spacing w:before="156" w:beforeLines="50" w:line="360" w:lineRule="auto"/>
        <w:rPr>
          <w:rFonts w:eastAsia="黑体"/>
          <w:szCs w:val="21"/>
        </w:rPr>
      </w:pPr>
      <w:r>
        <w:rPr>
          <w:rFonts w:hint="eastAsia" w:eastAsia="黑体"/>
          <w:szCs w:val="21"/>
        </w:rPr>
        <w:t>六、考核方式</w:t>
      </w:r>
    </w:p>
    <w:p>
      <w:pPr>
        <w:adjustRightInd w:val="0"/>
        <w:snapToGrid w:val="0"/>
        <w:spacing w:line="360" w:lineRule="auto"/>
        <w:ind w:firstLine="422" w:firstLineChars="200"/>
        <w:rPr>
          <w:b/>
          <w:bCs/>
          <w:szCs w:val="21"/>
          <w:lang w:bidi="ar"/>
        </w:rPr>
      </w:pPr>
      <w:r>
        <w:rPr>
          <w:b/>
          <w:bCs/>
          <w:szCs w:val="21"/>
          <w:lang w:bidi="ar"/>
        </w:rPr>
        <w:t>1</w:t>
      </w:r>
      <w:r>
        <w:rPr>
          <w:rFonts w:hint="eastAsia"/>
          <w:b/>
          <w:bCs/>
          <w:szCs w:val="21"/>
          <w:lang w:bidi="ar"/>
        </w:rPr>
        <w:t>、评价环节</w:t>
      </w:r>
    </w:p>
    <w:p>
      <w:pPr>
        <w:adjustRightInd w:val="0"/>
        <w:snapToGrid w:val="0"/>
        <w:spacing w:line="360" w:lineRule="auto"/>
        <w:ind w:firstLine="420" w:firstLineChars="200"/>
        <w:rPr>
          <w:szCs w:val="21"/>
          <w:lang w:bidi="ar"/>
        </w:rPr>
      </w:pPr>
      <w:r>
        <w:rPr>
          <w:rFonts w:hint="eastAsia"/>
          <w:szCs w:val="21"/>
          <w:lang w:bidi="ar"/>
        </w:rPr>
        <w:t>课程考核方式包括作业、实验和期末考试，所有考核环节均需覆盖到所有学生。</w:t>
      </w:r>
    </w:p>
    <w:p>
      <w:pPr>
        <w:adjustRightInd w:val="0"/>
        <w:snapToGrid w:val="0"/>
        <w:spacing w:line="360" w:lineRule="auto"/>
        <w:ind w:firstLine="420" w:firstLineChars="200"/>
        <w:rPr>
          <w:szCs w:val="21"/>
          <w:lang w:bidi="ar"/>
        </w:rPr>
      </w:pPr>
    </w:p>
    <w:p>
      <w:pPr>
        <w:adjustRightInd w:val="0"/>
        <w:snapToGrid w:val="0"/>
        <w:spacing w:line="360" w:lineRule="auto"/>
        <w:ind w:firstLine="422" w:firstLineChars="200"/>
        <w:rPr>
          <w:b/>
          <w:bCs/>
          <w:szCs w:val="21"/>
          <w:lang w:bidi="ar"/>
        </w:rPr>
      </w:pPr>
      <w:r>
        <w:rPr>
          <w:b/>
          <w:bCs/>
          <w:szCs w:val="21"/>
          <w:lang w:bidi="ar"/>
        </w:rPr>
        <w:t>2</w:t>
      </w:r>
      <w:r>
        <w:rPr>
          <w:rFonts w:hint="eastAsia"/>
          <w:b/>
          <w:bCs/>
          <w:szCs w:val="21"/>
          <w:lang w:bidi="ar"/>
        </w:rPr>
        <w:t>、定量评价</w:t>
      </w:r>
    </w:p>
    <w:p>
      <w:pPr>
        <w:adjustRightInd w:val="0"/>
        <w:snapToGrid w:val="0"/>
        <w:spacing w:line="360" w:lineRule="auto"/>
        <w:ind w:firstLine="420" w:firstLineChars="200"/>
        <w:rPr>
          <w:szCs w:val="21"/>
          <w:lang w:bidi="ar"/>
        </w:rPr>
      </w:pPr>
      <w:r>
        <w:rPr>
          <w:rFonts w:hint="eastAsia"/>
          <w:szCs w:val="21"/>
          <w:lang w:bidi="ar"/>
        </w:rPr>
        <w:t>本课程包含</w:t>
      </w:r>
      <w:r>
        <w:rPr>
          <w:szCs w:val="21"/>
          <w:lang w:bidi="ar"/>
        </w:rPr>
        <w:t>2</w:t>
      </w:r>
      <w:r>
        <w:rPr>
          <w:rFonts w:hint="eastAsia"/>
          <w:szCs w:val="21"/>
          <w:lang w:bidi="ar"/>
        </w:rPr>
        <w:t>个分课程目标，有</w:t>
      </w:r>
      <w:r>
        <w:rPr>
          <w:szCs w:val="21"/>
          <w:lang w:bidi="ar"/>
        </w:rPr>
        <w:t>3</w:t>
      </w:r>
      <w:r>
        <w:rPr>
          <w:rFonts w:hint="eastAsia"/>
          <w:szCs w:val="21"/>
          <w:lang w:bidi="ar"/>
        </w:rPr>
        <w:t>个考核环节，各考核方式对课程目标达成评价的权重占比分配如下表</w:t>
      </w:r>
      <w:r>
        <w:rPr>
          <w:szCs w:val="21"/>
          <w:lang w:bidi="ar"/>
        </w:rPr>
        <w:t>6.1</w:t>
      </w:r>
      <w:r>
        <w:rPr>
          <w:rFonts w:hint="eastAsia"/>
          <w:szCs w:val="21"/>
          <w:lang w:bidi="ar"/>
        </w:rPr>
        <w:t>。教师每个环节出题或布置作业时，要尽量做到按照以上比例布局，并对照完成合理化审查。</w:t>
      </w:r>
    </w:p>
    <w:p>
      <w:pPr>
        <w:jc w:val="center"/>
        <w:rPr>
          <w:b/>
          <w:bCs/>
          <w:sz w:val="18"/>
          <w:szCs w:val="18"/>
        </w:rPr>
      </w:pPr>
      <w:r>
        <w:rPr>
          <w:rFonts w:hint="eastAsia"/>
          <w:b/>
          <w:bCs/>
          <w:color w:val="000000"/>
          <w:sz w:val="18"/>
          <w:szCs w:val="18"/>
        </w:rPr>
        <w:t>表</w:t>
      </w:r>
      <w:r>
        <w:rPr>
          <w:b/>
          <w:bCs/>
          <w:color w:val="000000"/>
          <w:sz w:val="18"/>
          <w:szCs w:val="18"/>
        </w:rPr>
        <w:t xml:space="preserve">6.1   </w:t>
      </w:r>
      <w:r>
        <w:rPr>
          <w:rFonts w:hint="eastAsia"/>
          <w:b/>
          <w:bCs/>
          <w:sz w:val="18"/>
          <w:szCs w:val="18"/>
        </w:rPr>
        <w:t>各考核方式对课程目标达成评价的权重占比分配</w:t>
      </w:r>
    </w:p>
    <w:tbl>
      <w:tblPr>
        <w:tblStyle w:val="19"/>
        <w:tblW w:w="50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1"/>
        <w:gridCol w:w="1533"/>
        <w:gridCol w:w="2062"/>
        <w:gridCol w:w="1457"/>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540" w:type="pct"/>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b/>
                <w:color w:val="000000"/>
                <w:sz w:val="18"/>
                <w:szCs w:val="18"/>
              </w:rPr>
            </w:pPr>
            <w:r>
              <w:rPr>
                <w:rFonts w:hint="eastAsia"/>
                <w:b/>
                <w:color w:val="000000"/>
                <w:kern w:val="0"/>
                <w:sz w:val="18"/>
                <w:szCs w:val="18"/>
              </w:rPr>
              <w:t>课程目标</w:t>
            </w:r>
          </w:p>
        </w:tc>
        <w:tc>
          <w:tcPr>
            <w:tcW w:w="2673" w:type="pct"/>
            <w:gridSpan w:val="3"/>
            <w:tcBorders>
              <w:top w:val="single" w:color="auto" w:sz="4" w:space="0"/>
              <w:left w:val="single" w:color="auto" w:sz="4" w:space="0"/>
              <w:bottom w:val="single" w:color="auto" w:sz="4" w:space="0"/>
              <w:right w:val="single" w:color="auto" w:sz="4" w:space="0"/>
            </w:tcBorders>
            <w:vAlign w:val="center"/>
          </w:tcPr>
          <w:p>
            <w:pPr>
              <w:snapToGrid w:val="0"/>
              <w:jc w:val="center"/>
              <w:rPr>
                <w:b/>
                <w:color w:val="000000"/>
                <w:sz w:val="18"/>
                <w:szCs w:val="18"/>
              </w:rPr>
            </w:pPr>
            <w:r>
              <w:rPr>
                <w:rFonts w:hint="eastAsia"/>
                <w:b/>
                <w:color w:val="000000"/>
                <w:sz w:val="18"/>
                <w:szCs w:val="18"/>
              </w:rPr>
              <w:t>考核方式以及成绩占比</w:t>
            </w:r>
            <w:r>
              <w:rPr>
                <w:position w:val="-12"/>
              </w:rPr>
              <w:object>
                <v:shape id="_x0000_i1171" o:spt="75" type="#_x0000_t75" style="height:16pt;width:13pt;" o:ole="t" filled="f" o:preferrelative="t" stroked="f" coordsize="21600,21600">
                  <v:path/>
                  <v:fill on="f" focussize="0,0"/>
                  <v:stroke on="f" joinstyle="miter"/>
                  <v:imagedata r:id="rId300" o:title=""/>
                  <o:lock v:ext="edit" aspectratio="t"/>
                  <w10:wrap type="none"/>
                  <w10:anchorlock/>
                </v:shape>
                <o:OLEObject Type="Embed" ProgID="Equation.3" ShapeID="_x0000_i1171" DrawAspect="Content" ObjectID="_1468075871" r:id="rId313">
                  <o:LockedField>false</o:LockedField>
                </o:OLEObject>
              </w:object>
            </w:r>
            <w:r>
              <w:rPr>
                <w:rFonts w:hint="eastAsia"/>
                <w:b/>
                <w:color w:val="000000"/>
                <w:sz w:val="18"/>
                <w:szCs w:val="18"/>
              </w:rPr>
              <w:t>（</w:t>
            </w:r>
            <w:r>
              <w:rPr>
                <w:b/>
                <w:color w:val="000000"/>
                <w:sz w:val="18"/>
                <w:szCs w:val="18"/>
              </w:rPr>
              <w:t>%</w:t>
            </w:r>
            <w:r>
              <w:rPr>
                <w:rFonts w:hint="eastAsia"/>
                <w:b/>
                <w:color w:val="000000"/>
                <w:sz w:val="18"/>
                <w:szCs w:val="18"/>
              </w:rPr>
              <w:t>）</w:t>
            </w:r>
          </w:p>
        </w:tc>
        <w:tc>
          <w:tcPr>
            <w:tcW w:w="787" w:type="pct"/>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b/>
                <w:color w:val="000000"/>
                <w:kern w:val="0"/>
                <w:sz w:val="18"/>
                <w:szCs w:val="18"/>
              </w:rPr>
            </w:pPr>
            <w:r>
              <w:rPr>
                <w:rFonts w:hint="eastAsia"/>
                <w:b/>
                <w:color w:val="000000"/>
                <w:kern w:val="0"/>
                <w:sz w:val="18"/>
                <w:szCs w:val="18"/>
              </w:rPr>
              <w:t>分课程</w:t>
            </w:r>
          </w:p>
          <w:p>
            <w:pPr>
              <w:snapToGrid w:val="0"/>
              <w:jc w:val="center"/>
              <w:rPr>
                <w:b/>
                <w:i/>
                <w:color w:val="000000"/>
                <w:kern w:val="0"/>
                <w:sz w:val="18"/>
                <w:szCs w:val="18"/>
              </w:rPr>
            </w:pPr>
            <w:r>
              <w:rPr>
                <w:rFonts w:hint="eastAsia"/>
                <w:b/>
                <w:color w:val="000000"/>
                <w:kern w:val="0"/>
                <w:sz w:val="18"/>
                <w:szCs w:val="18"/>
              </w:rPr>
              <w:t>目标权重</w:t>
            </w:r>
            <w:r>
              <w:rPr>
                <w:b/>
                <w:i/>
                <w:color w:val="000000"/>
                <w:kern w:val="0"/>
                <w:sz w:val="18"/>
                <w:szCs w:val="18"/>
              </w:rPr>
              <w:t>P</w:t>
            </w:r>
            <w:r>
              <w:rPr>
                <w:b/>
                <w:i/>
                <w:color w:val="000000"/>
                <w:kern w:val="0"/>
                <w:sz w:val="18"/>
                <w:szCs w:val="18"/>
                <w:vertAlign w:val="subscript"/>
              </w:rPr>
              <w:t>i</w:t>
            </w:r>
          </w:p>
          <w:p>
            <w:pPr>
              <w:snapToGrid w:val="0"/>
              <w:jc w:val="center"/>
              <w:rPr>
                <w:color w:val="000000"/>
                <w:kern w:val="0"/>
                <w:sz w:val="18"/>
                <w:szCs w:val="18"/>
              </w:rPr>
            </w:pPr>
            <w:r>
              <w:rPr>
                <w:rFonts w:hint="eastAsia"/>
                <w:b/>
                <w:color w:val="000000"/>
                <w:sz w:val="18"/>
                <w:szCs w:val="18"/>
              </w:rPr>
              <w:t>（</w:t>
            </w:r>
            <w:r>
              <w:rPr>
                <w:b/>
                <w:color w:val="000000"/>
                <w:sz w:val="18"/>
                <w:szCs w:val="18"/>
              </w:rPr>
              <w:t>%</w:t>
            </w:r>
            <w:r>
              <w:rPr>
                <w:rFonts w:hint="eastAsia"/>
                <w:b/>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b/>
                <w:color w:val="000000"/>
                <w:sz w:val="18"/>
                <w:szCs w:val="18"/>
              </w:rPr>
            </w:pPr>
          </w:p>
        </w:tc>
        <w:tc>
          <w:tcPr>
            <w:tcW w:w="811"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b/>
                <w:color w:val="000000"/>
                <w:kern w:val="0"/>
                <w:sz w:val="18"/>
                <w:szCs w:val="18"/>
              </w:rPr>
            </w:pPr>
            <w:r>
              <w:rPr>
                <w:rFonts w:hint="eastAsia"/>
                <w:b/>
                <w:color w:val="000000"/>
                <w:kern w:val="0"/>
                <w:sz w:val="18"/>
                <w:szCs w:val="18"/>
              </w:rPr>
              <w:t>作业</w:t>
            </w:r>
          </w:p>
          <w:p>
            <w:pPr>
              <w:widowControl/>
              <w:snapToGrid w:val="0"/>
              <w:jc w:val="center"/>
              <w:rPr>
                <w:b/>
                <w:color w:val="000000"/>
                <w:kern w:val="0"/>
                <w:sz w:val="18"/>
                <w:szCs w:val="18"/>
              </w:rPr>
            </w:pPr>
            <w:r>
              <w:rPr>
                <w:rFonts w:hint="eastAsia"/>
                <w:b/>
                <w:color w:val="000000"/>
                <w:kern w:val="0"/>
                <w:sz w:val="18"/>
                <w:szCs w:val="18"/>
              </w:rPr>
              <w:t>（</w:t>
            </w:r>
            <w:r>
              <w:rPr>
                <w:b/>
                <w:color w:val="000000"/>
                <w:kern w:val="0"/>
                <w:sz w:val="18"/>
                <w:szCs w:val="18"/>
              </w:rPr>
              <w:t>1</w:t>
            </w:r>
            <w:r>
              <w:rPr>
                <w:rFonts w:hint="eastAsia"/>
                <w:b/>
                <w:color w:val="000000"/>
                <w:kern w:val="0"/>
                <w:sz w:val="18"/>
                <w:szCs w:val="18"/>
              </w:rPr>
              <w:t>）</w:t>
            </w:r>
          </w:p>
        </w:tc>
        <w:tc>
          <w:tcPr>
            <w:tcW w:w="1091" w:type="pct"/>
            <w:tcBorders>
              <w:top w:val="single" w:color="auto" w:sz="4" w:space="0"/>
              <w:left w:val="single" w:color="auto" w:sz="4" w:space="0"/>
              <w:bottom w:val="single" w:color="auto" w:sz="4" w:space="0"/>
              <w:right w:val="single" w:color="auto" w:sz="4" w:space="0"/>
            </w:tcBorders>
          </w:tcPr>
          <w:p>
            <w:pPr>
              <w:widowControl/>
              <w:snapToGrid w:val="0"/>
              <w:jc w:val="center"/>
              <w:rPr>
                <w:b/>
                <w:color w:val="000000"/>
                <w:kern w:val="0"/>
                <w:sz w:val="18"/>
                <w:szCs w:val="18"/>
              </w:rPr>
            </w:pPr>
            <w:r>
              <w:rPr>
                <w:rFonts w:hint="eastAsia"/>
                <w:b/>
                <w:color w:val="000000"/>
                <w:kern w:val="0"/>
                <w:sz w:val="18"/>
                <w:szCs w:val="18"/>
              </w:rPr>
              <w:t>实验</w:t>
            </w:r>
          </w:p>
          <w:p>
            <w:pPr>
              <w:widowControl/>
              <w:snapToGrid w:val="0"/>
              <w:jc w:val="center"/>
              <w:rPr>
                <w:b/>
                <w:color w:val="000000"/>
                <w:kern w:val="0"/>
                <w:sz w:val="18"/>
                <w:szCs w:val="18"/>
              </w:rPr>
            </w:pPr>
            <w:r>
              <w:rPr>
                <w:rFonts w:hint="eastAsia"/>
                <w:b/>
                <w:color w:val="000000"/>
                <w:kern w:val="0"/>
                <w:sz w:val="18"/>
                <w:szCs w:val="18"/>
              </w:rPr>
              <w:t>（</w:t>
            </w:r>
            <w:r>
              <w:rPr>
                <w:b/>
                <w:color w:val="000000"/>
                <w:kern w:val="0"/>
                <w:sz w:val="18"/>
                <w:szCs w:val="18"/>
              </w:rPr>
              <w:t>2</w:t>
            </w:r>
            <w:r>
              <w:rPr>
                <w:rFonts w:hint="eastAsia"/>
                <w:b/>
                <w:color w:val="000000"/>
                <w:kern w:val="0"/>
                <w:sz w:val="18"/>
                <w:szCs w:val="18"/>
              </w:rPr>
              <w:t>）</w:t>
            </w:r>
          </w:p>
        </w:tc>
        <w:tc>
          <w:tcPr>
            <w:tcW w:w="771"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b/>
                <w:color w:val="000000"/>
                <w:kern w:val="0"/>
                <w:sz w:val="18"/>
                <w:szCs w:val="18"/>
              </w:rPr>
            </w:pPr>
            <w:r>
              <w:rPr>
                <w:rFonts w:hint="eastAsia"/>
                <w:b/>
                <w:color w:val="000000"/>
                <w:kern w:val="0"/>
                <w:sz w:val="18"/>
                <w:szCs w:val="18"/>
              </w:rPr>
              <w:t>期末考试</w:t>
            </w:r>
          </w:p>
          <w:p>
            <w:pPr>
              <w:widowControl/>
              <w:snapToGrid w:val="0"/>
              <w:jc w:val="center"/>
              <w:rPr>
                <w:b/>
                <w:color w:val="000000"/>
                <w:kern w:val="0"/>
                <w:sz w:val="18"/>
                <w:szCs w:val="18"/>
              </w:rPr>
            </w:pPr>
            <w:r>
              <w:rPr>
                <w:rFonts w:hint="eastAsia"/>
                <w:b/>
                <w:color w:val="000000"/>
                <w:kern w:val="0"/>
                <w:sz w:val="18"/>
                <w:szCs w:val="18"/>
              </w:rPr>
              <w:t>（</w:t>
            </w:r>
            <w:r>
              <w:rPr>
                <w:b/>
                <w:color w:val="000000"/>
                <w:kern w:val="0"/>
                <w:sz w:val="18"/>
                <w:szCs w:val="18"/>
              </w:rPr>
              <w:t>3</w:t>
            </w:r>
            <w:r>
              <w:rPr>
                <w:rFonts w:hint="eastAsia"/>
                <w:b/>
                <w:color w:val="000000"/>
                <w:kern w:val="0"/>
                <w:sz w:val="18"/>
                <w:szCs w:val="18"/>
              </w:rPr>
              <w:t>）</w:t>
            </w:r>
          </w:p>
        </w:tc>
        <w:tc>
          <w:tcPr>
            <w:tcW w:w="78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kern w:val="0"/>
                <w:sz w:val="18"/>
                <w:szCs w:val="18"/>
              </w:rPr>
            </w:pPr>
            <w:r>
              <w:rPr>
                <w:color w:val="000000"/>
                <w:kern w:val="0"/>
                <w:sz w:val="18"/>
                <w:szCs w:val="18"/>
              </w:rPr>
              <w:t>1</w:t>
            </w:r>
          </w:p>
        </w:tc>
        <w:tc>
          <w:tcPr>
            <w:tcW w:w="811"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8</w:t>
            </w:r>
          </w:p>
        </w:tc>
        <w:tc>
          <w:tcPr>
            <w:tcW w:w="1091" w:type="pct"/>
            <w:tcBorders>
              <w:top w:val="single" w:color="auto" w:sz="4" w:space="0"/>
              <w:left w:val="single" w:color="auto" w:sz="4" w:space="0"/>
              <w:bottom w:val="single" w:color="auto" w:sz="4" w:space="0"/>
              <w:right w:val="single" w:color="auto" w:sz="4" w:space="0"/>
            </w:tcBorders>
          </w:tcPr>
          <w:p>
            <w:pPr>
              <w:jc w:val="center"/>
              <w:rPr>
                <w:sz w:val="18"/>
                <w:szCs w:val="18"/>
                <w:lang w:bidi="ar"/>
              </w:rPr>
            </w:pPr>
            <w:r>
              <w:rPr>
                <w:rFonts w:hint="eastAsia"/>
                <w:sz w:val="18"/>
                <w:szCs w:val="18"/>
                <w:lang w:bidi="ar"/>
              </w:rPr>
              <w:t>1</w:t>
            </w:r>
            <w:r>
              <w:rPr>
                <w:sz w:val="18"/>
                <w:szCs w:val="18"/>
                <w:lang w:bidi="ar"/>
              </w:rPr>
              <w:t>6</w:t>
            </w:r>
          </w:p>
        </w:tc>
        <w:tc>
          <w:tcPr>
            <w:tcW w:w="771"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1</w:t>
            </w:r>
            <w:r>
              <w:rPr>
                <w:sz w:val="18"/>
                <w:szCs w:val="18"/>
              </w:rPr>
              <w:t>6</w:t>
            </w:r>
          </w:p>
        </w:tc>
        <w:tc>
          <w:tcPr>
            <w:tcW w:w="787" w:type="pc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rFonts w:hint="eastAsia"/>
                <w:sz w:val="18"/>
                <w:szCs w:val="18"/>
              </w:rPr>
              <w:t>4</w:t>
            </w:r>
            <w:r>
              <w:rPr>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kern w:val="0"/>
                <w:sz w:val="18"/>
                <w:szCs w:val="18"/>
              </w:rPr>
            </w:pPr>
            <w:r>
              <w:rPr>
                <w:color w:val="000000"/>
                <w:kern w:val="0"/>
                <w:sz w:val="18"/>
                <w:szCs w:val="18"/>
              </w:rPr>
              <w:t>2</w:t>
            </w:r>
          </w:p>
        </w:tc>
        <w:tc>
          <w:tcPr>
            <w:tcW w:w="811"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1</w:t>
            </w:r>
            <w:r>
              <w:rPr>
                <w:sz w:val="18"/>
                <w:szCs w:val="18"/>
              </w:rPr>
              <w:t>2</w:t>
            </w:r>
          </w:p>
        </w:tc>
        <w:tc>
          <w:tcPr>
            <w:tcW w:w="1091" w:type="pct"/>
            <w:tcBorders>
              <w:top w:val="single" w:color="auto" w:sz="4" w:space="0"/>
              <w:left w:val="single" w:color="auto" w:sz="4" w:space="0"/>
              <w:bottom w:val="single" w:color="auto" w:sz="4" w:space="0"/>
              <w:right w:val="single" w:color="auto" w:sz="4" w:space="0"/>
            </w:tcBorders>
          </w:tcPr>
          <w:p>
            <w:pPr>
              <w:jc w:val="center"/>
              <w:rPr>
                <w:sz w:val="18"/>
                <w:szCs w:val="18"/>
                <w:lang w:bidi="ar"/>
              </w:rPr>
            </w:pPr>
            <w:r>
              <w:rPr>
                <w:rFonts w:hint="eastAsia"/>
                <w:sz w:val="18"/>
                <w:szCs w:val="18"/>
                <w:lang w:bidi="ar"/>
              </w:rPr>
              <w:t>1</w:t>
            </w:r>
            <w:r>
              <w:rPr>
                <w:sz w:val="18"/>
                <w:szCs w:val="18"/>
                <w:lang w:bidi="ar"/>
              </w:rPr>
              <w:t>2</w:t>
            </w:r>
          </w:p>
        </w:tc>
        <w:tc>
          <w:tcPr>
            <w:tcW w:w="771"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3</w:t>
            </w:r>
            <w:r>
              <w:rPr>
                <w:sz w:val="18"/>
                <w:szCs w:val="18"/>
              </w:rPr>
              <w:t>6</w:t>
            </w:r>
          </w:p>
        </w:tc>
        <w:tc>
          <w:tcPr>
            <w:tcW w:w="787" w:type="pc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rFonts w:hint="eastAsia"/>
                <w:sz w:val="18"/>
                <w:szCs w:val="18"/>
              </w:rPr>
              <w:t>6</w:t>
            </w:r>
            <w:r>
              <w:rPr>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kern w:val="0"/>
                <w:sz w:val="18"/>
                <w:szCs w:val="18"/>
              </w:rPr>
            </w:pPr>
            <w:r>
              <w:rPr>
                <w:rFonts w:hint="eastAsia"/>
                <w:color w:val="000000"/>
                <w:kern w:val="0"/>
                <w:sz w:val="18"/>
                <w:szCs w:val="18"/>
              </w:rPr>
              <w:t>考核环节成绩比例合计（</w:t>
            </w:r>
            <w:r>
              <w:rPr>
                <w:color w:val="000000"/>
                <w:kern w:val="0"/>
                <w:sz w:val="18"/>
                <w:szCs w:val="18"/>
              </w:rPr>
              <w:t>%</w:t>
            </w:r>
            <w:r>
              <w:rPr>
                <w:rFonts w:hint="eastAsia"/>
                <w:color w:val="000000"/>
                <w:kern w:val="0"/>
                <w:sz w:val="18"/>
                <w:szCs w:val="18"/>
              </w:rPr>
              <w:t>）</w:t>
            </w:r>
          </w:p>
        </w:tc>
        <w:tc>
          <w:tcPr>
            <w:tcW w:w="811"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2</w:t>
            </w:r>
            <w:r>
              <w:rPr>
                <w:sz w:val="18"/>
                <w:szCs w:val="18"/>
              </w:rPr>
              <w:t>0</w:t>
            </w:r>
          </w:p>
        </w:tc>
        <w:tc>
          <w:tcPr>
            <w:tcW w:w="1091" w:type="pct"/>
            <w:tcBorders>
              <w:top w:val="single" w:color="auto" w:sz="4" w:space="0"/>
              <w:left w:val="single" w:color="auto" w:sz="4" w:space="0"/>
              <w:bottom w:val="single" w:color="auto" w:sz="4" w:space="0"/>
              <w:right w:val="single" w:color="auto" w:sz="4" w:space="0"/>
            </w:tcBorders>
          </w:tcPr>
          <w:p>
            <w:pPr>
              <w:jc w:val="center"/>
              <w:rPr>
                <w:sz w:val="18"/>
                <w:szCs w:val="18"/>
                <w:lang w:bidi="ar"/>
              </w:rPr>
            </w:pPr>
            <w:r>
              <w:rPr>
                <w:rFonts w:hint="eastAsia"/>
                <w:sz w:val="18"/>
                <w:szCs w:val="18"/>
                <w:lang w:bidi="ar"/>
              </w:rPr>
              <w:t>2</w:t>
            </w:r>
            <w:r>
              <w:rPr>
                <w:sz w:val="18"/>
                <w:szCs w:val="18"/>
                <w:lang w:bidi="ar"/>
              </w:rPr>
              <w:t>8</w:t>
            </w:r>
          </w:p>
        </w:tc>
        <w:tc>
          <w:tcPr>
            <w:tcW w:w="771"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5</w:t>
            </w:r>
            <w:r>
              <w:rPr>
                <w:sz w:val="18"/>
                <w:szCs w:val="18"/>
              </w:rPr>
              <w:t>2</w:t>
            </w:r>
          </w:p>
        </w:tc>
        <w:tc>
          <w:tcPr>
            <w:tcW w:w="787" w:type="pc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rFonts w:hint="eastAsia"/>
                <w:sz w:val="18"/>
                <w:szCs w:val="18"/>
              </w:rPr>
              <w:t>1</w:t>
            </w:r>
            <w:r>
              <w:rPr>
                <w:sz w:val="18"/>
                <w:szCs w:val="18"/>
              </w:rPr>
              <w:t>00</w:t>
            </w:r>
          </w:p>
        </w:tc>
      </w:tr>
    </w:tbl>
    <w:p>
      <w:pPr>
        <w:adjustRightInd w:val="0"/>
        <w:snapToGrid w:val="0"/>
        <w:spacing w:line="360" w:lineRule="auto"/>
        <w:ind w:firstLine="420" w:firstLineChars="200"/>
        <w:rPr>
          <w:szCs w:val="21"/>
          <w:lang w:bidi="ar"/>
        </w:rPr>
      </w:pPr>
    </w:p>
    <w:p>
      <w:pPr>
        <w:adjustRightInd w:val="0"/>
        <w:snapToGrid w:val="0"/>
        <w:spacing w:line="360" w:lineRule="auto"/>
        <w:ind w:firstLine="420" w:firstLineChars="200"/>
        <w:rPr>
          <w:szCs w:val="21"/>
          <w:lang w:bidi="ar"/>
        </w:rPr>
      </w:pPr>
      <w:r>
        <w:rPr>
          <w:rFonts w:hint="eastAsia"/>
          <w:szCs w:val="21"/>
          <w:lang w:bidi="ar"/>
        </w:rPr>
        <w:t>第</w:t>
      </w:r>
      <w:r>
        <w:rPr>
          <w:szCs w:val="21"/>
          <w:lang w:bidi="ar"/>
        </w:rPr>
        <w:t>i</w:t>
      </w:r>
      <w:r>
        <w:rPr>
          <w:rFonts w:hint="eastAsia"/>
          <w:szCs w:val="21"/>
          <w:lang w:bidi="ar"/>
        </w:rPr>
        <w:t>个分课程目标的达成度</w:t>
      </w:r>
      <w:r>
        <w:rPr>
          <w:szCs w:val="21"/>
          <w:lang w:bidi="ar"/>
        </w:rPr>
        <w:t xml:space="preserve">Ai </w:t>
      </w:r>
      <w:r>
        <w:rPr>
          <w:rFonts w:hint="eastAsia"/>
          <w:szCs w:val="21"/>
          <w:lang w:bidi="ar"/>
        </w:rPr>
        <w:t>：</w:t>
      </w:r>
      <w:r>
        <w:rPr>
          <w:szCs w:val="21"/>
          <w:lang w:bidi="ar"/>
        </w:rPr>
        <w:t xml:space="preserve"> </w:t>
      </w:r>
    </w:p>
    <w:p>
      <w:pPr>
        <w:adjustRightInd w:val="0"/>
        <w:snapToGrid w:val="0"/>
        <w:spacing w:line="360" w:lineRule="auto"/>
        <w:ind w:firstLine="420" w:firstLineChars="200"/>
        <w:rPr>
          <w:szCs w:val="21"/>
          <w:lang w:bidi="ar"/>
        </w:rPr>
      </w:pPr>
      <w:r>
        <w:rPr>
          <w:szCs w:val="21"/>
          <w:lang w:bidi="ar"/>
        </w:rPr>
        <w:object>
          <v:shape id="_x0000_i1172" o:spt="75" type="#_x0000_t75" style="height:20pt;width:105.5pt;" o:ole="t" filled="f" o:preferrelative="t" stroked="f" coordsize="21600,21600">
            <v:path/>
            <v:fill on="f" focussize="0,0"/>
            <v:stroke on="f" joinstyle="miter"/>
            <v:imagedata r:id="rId296" o:title=""/>
            <o:lock v:ext="edit" aspectratio="t"/>
            <w10:wrap type="none"/>
            <w10:anchorlock/>
          </v:shape>
          <o:OLEObject Type="Embed" ProgID="Equation.DSMT4" ShapeID="_x0000_i1172" DrawAspect="Content" ObjectID="_1468075872" r:id="rId314">
            <o:LockedField>false</o:LockedField>
          </o:OLEObject>
        </w:object>
      </w:r>
      <w:r>
        <w:rPr>
          <w:szCs w:val="21"/>
          <w:lang w:bidi="ar"/>
        </w:rPr>
        <w:t xml:space="preserve">                                    </w:t>
      </w:r>
      <w:r>
        <w:rPr>
          <w:szCs w:val="21"/>
          <w:lang w:bidi="ar"/>
        </w:rPr>
        <w:tab/>
      </w:r>
      <w:r>
        <w:rPr>
          <w:szCs w:val="21"/>
          <w:lang w:bidi="ar"/>
        </w:rPr>
        <w:tab/>
      </w:r>
      <w:r>
        <w:rPr>
          <w:szCs w:val="21"/>
          <w:lang w:bidi="ar"/>
        </w:rPr>
        <w:tab/>
      </w:r>
      <w:r>
        <w:rPr>
          <w:szCs w:val="21"/>
          <w:lang w:bidi="ar"/>
        </w:rPr>
        <w:tab/>
      </w:r>
      <w:r>
        <w:rPr>
          <w:szCs w:val="21"/>
          <w:lang w:bidi="ar"/>
        </w:rPr>
        <w:t>6-1</w:t>
      </w:r>
    </w:p>
    <w:p>
      <w:pPr>
        <w:adjustRightInd w:val="0"/>
        <w:snapToGrid w:val="0"/>
        <w:spacing w:line="360" w:lineRule="auto"/>
        <w:ind w:firstLine="420" w:firstLineChars="200"/>
        <w:rPr>
          <w:szCs w:val="21"/>
          <w:lang w:bidi="ar"/>
        </w:rPr>
      </w:pPr>
      <w:r>
        <w:rPr>
          <w:rFonts w:hint="eastAsia"/>
          <w:szCs w:val="21"/>
          <w:lang w:bidi="ar"/>
        </w:rPr>
        <w:t>总课程目标达成度</w:t>
      </w:r>
      <w:r>
        <w:rPr>
          <w:szCs w:val="21"/>
          <w:lang w:bidi="ar"/>
        </w:rPr>
        <w:t>A</w:t>
      </w:r>
      <w:r>
        <w:rPr>
          <w:rFonts w:hint="eastAsia"/>
          <w:szCs w:val="21"/>
          <w:lang w:bidi="ar"/>
        </w:rPr>
        <w:t>，由多个分课程目标再根据权重加权求和：</w:t>
      </w:r>
    </w:p>
    <w:p>
      <w:pPr>
        <w:adjustRightInd w:val="0"/>
        <w:snapToGrid w:val="0"/>
        <w:spacing w:line="360" w:lineRule="auto"/>
        <w:ind w:firstLine="420" w:firstLineChars="200"/>
        <w:rPr>
          <w:szCs w:val="21"/>
          <w:lang w:bidi="ar"/>
        </w:rPr>
      </w:pPr>
      <w:r>
        <w:rPr>
          <w:szCs w:val="21"/>
          <w:lang w:bidi="ar"/>
        </w:rPr>
        <w:object>
          <v:shape id="_x0000_i1173" o:spt="75" type="#_x0000_t75" style="height:20pt;width:62pt;" o:ole="t" filled="f" o:preferrelative="t" stroked="f" coordsize="21600,21600">
            <v:path/>
            <v:fill on="f" focussize="0,0"/>
            <v:stroke on="f" joinstyle="miter"/>
            <v:imagedata r:id="rId298" o:title=""/>
            <o:lock v:ext="edit" aspectratio="t"/>
            <w10:wrap type="none"/>
            <w10:anchorlock/>
          </v:shape>
          <o:OLEObject Type="Embed" ProgID="Equation.DSMT4" ShapeID="_x0000_i1173" DrawAspect="Content" ObjectID="_1468075873" r:id="rId315">
            <o:LockedField>false</o:LockedField>
          </o:OLEObject>
        </w:object>
      </w:r>
      <w:r>
        <w:rPr>
          <w:szCs w:val="21"/>
          <w:lang w:bidi="ar"/>
        </w:rPr>
        <w:t xml:space="preserve">                                      </w:t>
      </w:r>
      <w:r>
        <w:rPr>
          <w:szCs w:val="21"/>
          <w:lang w:bidi="ar"/>
        </w:rPr>
        <w:tab/>
      </w:r>
      <w:r>
        <w:rPr>
          <w:szCs w:val="21"/>
          <w:lang w:bidi="ar"/>
        </w:rPr>
        <w:tab/>
      </w:r>
      <w:r>
        <w:rPr>
          <w:szCs w:val="21"/>
          <w:lang w:bidi="ar"/>
        </w:rPr>
        <w:tab/>
      </w:r>
      <w:r>
        <w:rPr>
          <w:szCs w:val="21"/>
          <w:lang w:bidi="ar"/>
        </w:rPr>
        <w:tab/>
      </w:r>
      <w:r>
        <w:rPr>
          <w:szCs w:val="21"/>
          <w:lang w:bidi="ar"/>
        </w:rPr>
        <w:tab/>
      </w:r>
      <w:r>
        <w:rPr>
          <w:szCs w:val="21"/>
          <w:lang w:bidi="ar"/>
        </w:rPr>
        <w:tab/>
      </w:r>
      <w:r>
        <w:rPr>
          <w:szCs w:val="21"/>
          <w:lang w:bidi="ar"/>
        </w:rPr>
        <w:t>6-2</w:t>
      </w:r>
    </w:p>
    <w:p>
      <w:pPr>
        <w:adjustRightInd w:val="0"/>
        <w:snapToGrid w:val="0"/>
        <w:spacing w:line="360" w:lineRule="auto"/>
        <w:ind w:firstLine="420" w:firstLineChars="200"/>
        <w:rPr>
          <w:szCs w:val="21"/>
          <w:lang w:bidi="ar"/>
        </w:rPr>
      </w:pPr>
      <w:r>
        <w:rPr>
          <w:rFonts w:hint="eastAsia"/>
          <w:szCs w:val="21"/>
          <w:lang w:bidi="ar"/>
        </w:rPr>
        <w:t>其中：</w:t>
      </w:r>
      <w:r>
        <w:rPr>
          <w:szCs w:val="21"/>
          <w:lang w:bidi="ar"/>
        </w:rPr>
        <w:t>k</w:t>
      </w:r>
      <w:r>
        <w:rPr>
          <w:rFonts w:hint="eastAsia"/>
          <w:szCs w:val="21"/>
          <w:lang w:bidi="ar"/>
        </w:rPr>
        <w:t>表示不同的考核方式，</w:t>
      </w:r>
      <w:r>
        <w:rPr>
          <w:szCs w:val="21"/>
          <w:lang w:bidi="ar"/>
        </w:rPr>
        <w:t>i</w:t>
      </w:r>
      <w:r>
        <w:rPr>
          <w:rFonts w:hint="eastAsia"/>
          <w:szCs w:val="21"/>
          <w:lang w:bidi="ar"/>
        </w:rPr>
        <w:t>表示不同的分课程目标；</w:t>
      </w:r>
    </w:p>
    <w:p>
      <w:pPr>
        <w:adjustRightInd w:val="0"/>
        <w:snapToGrid w:val="0"/>
        <w:spacing w:line="360" w:lineRule="auto"/>
        <w:ind w:firstLine="420" w:firstLineChars="200"/>
        <w:rPr>
          <w:szCs w:val="21"/>
          <w:lang w:bidi="ar"/>
        </w:rPr>
      </w:pPr>
      <w:r>
        <w:rPr>
          <w:szCs w:val="21"/>
          <w:lang w:bidi="ar"/>
        </w:rPr>
        <w:object>
          <v:shape id="_x0000_i1174" o:spt="75" type="#_x0000_t75" style="height:16pt;width:13pt;" o:ole="t" filled="f" o:preferrelative="t" stroked="f" coordsize="21600,21600">
            <v:path/>
            <v:fill on="f" focussize="0,0"/>
            <v:stroke on="f" joinstyle="miter"/>
            <v:imagedata r:id="rId300" o:title=""/>
            <o:lock v:ext="edit" aspectratio="t"/>
            <w10:wrap type="none"/>
            <w10:anchorlock/>
          </v:shape>
          <o:OLEObject Type="Embed" ProgID="Equation.3" ShapeID="_x0000_i1174" DrawAspect="Content" ObjectID="_1468075874" r:id="rId316">
            <o:LockedField>false</o:LockedField>
          </o:OLEObject>
        </w:object>
      </w:r>
      <w:r>
        <w:rPr>
          <w:rFonts w:hint="eastAsia"/>
          <w:szCs w:val="21"/>
          <w:lang w:bidi="ar"/>
        </w:rPr>
        <w:t>表示第</w:t>
      </w:r>
      <w:r>
        <w:rPr>
          <w:szCs w:val="21"/>
          <w:lang w:bidi="ar"/>
        </w:rPr>
        <w:t>i</w:t>
      </w:r>
      <w:r>
        <w:rPr>
          <w:rFonts w:hint="eastAsia"/>
          <w:szCs w:val="21"/>
          <w:lang w:bidi="ar"/>
        </w:rPr>
        <w:t>个课程目标中第</w:t>
      </w:r>
      <w:r>
        <w:rPr>
          <w:szCs w:val="21"/>
          <w:lang w:bidi="ar"/>
        </w:rPr>
        <w:t>k</w:t>
      </w:r>
      <w:r>
        <w:rPr>
          <w:rFonts w:hint="eastAsia"/>
          <w:szCs w:val="21"/>
          <w:lang w:bidi="ar"/>
        </w:rPr>
        <w:t>种考核方式在总成绩中的占比；</w:t>
      </w:r>
    </w:p>
    <w:p>
      <w:pPr>
        <w:adjustRightInd w:val="0"/>
        <w:snapToGrid w:val="0"/>
        <w:spacing w:line="360" w:lineRule="auto"/>
        <w:ind w:firstLine="420" w:firstLineChars="200"/>
        <w:rPr>
          <w:szCs w:val="21"/>
          <w:lang w:bidi="ar"/>
        </w:rPr>
      </w:pPr>
      <w:r>
        <w:rPr>
          <w:szCs w:val="21"/>
          <w:lang w:bidi="ar"/>
        </w:rPr>
        <w:object>
          <v:shape id="_x0000_i1175" o:spt="75" type="#_x0000_t75" style="height:15pt;width:11pt;" o:ole="t" filled="f" o:preferrelative="t" stroked="f" coordsize="21600,21600">
            <v:path/>
            <v:fill on="f" focussize="0,0"/>
            <v:stroke on="f" joinstyle="miter"/>
            <v:imagedata r:id="rId155" o:title=""/>
            <o:lock v:ext="edit" aspectratio="t"/>
            <w10:wrap type="none"/>
            <w10:anchorlock/>
          </v:shape>
          <o:OLEObject Type="Embed" ProgID="Equation.3" ShapeID="_x0000_i1175" DrawAspect="Content" ObjectID="_1468075875" r:id="rId317">
            <o:LockedField>false</o:LockedField>
          </o:OLEObject>
        </w:object>
      </w:r>
      <w:r>
        <w:rPr>
          <w:rFonts w:hint="eastAsia"/>
          <w:szCs w:val="21"/>
          <w:lang w:bidi="ar"/>
        </w:rPr>
        <w:t>表示第</w:t>
      </w:r>
      <w:r>
        <w:rPr>
          <w:szCs w:val="21"/>
          <w:lang w:bidi="ar"/>
        </w:rPr>
        <w:t>i</w:t>
      </w:r>
      <w:r>
        <w:rPr>
          <w:rFonts w:hint="eastAsia"/>
          <w:szCs w:val="21"/>
          <w:lang w:bidi="ar"/>
        </w:rPr>
        <w:t>个课程目标在课程总评价中的占比；</w:t>
      </w:r>
    </w:p>
    <w:p>
      <w:pPr>
        <w:adjustRightInd w:val="0"/>
        <w:snapToGrid w:val="0"/>
        <w:spacing w:line="360" w:lineRule="auto"/>
        <w:ind w:firstLine="420" w:firstLineChars="200"/>
        <w:rPr>
          <w:szCs w:val="21"/>
          <w:lang w:bidi="ar"/>
        </w:rPr>
      </w:pPr>
      <w:r>
        <w:rPr>
          <w:szCs w:val="21"/>
          <w:lang w:bidi="ar"/>
        </w:rPr>
        <w:t>Gik</w:t>
      </w:r>
      <w:r>
        <w:rPr>
          <w:rFonts w:hint="eastAsia"/>
          <w:szCs w:val="21"/>
          <w:lang w:bidi="ar"/>
        </w:rPr>
        <w:t>表示第</w:t>
      </w:r>
      <w:r>
        <w:rPr>
          <w:szCs w:val="21"/>
          <w:lang w:bidi="ar"/>
        </w:rPr>
        <w:t>k</w:t>
      </w:r>
      <w:r>
        <w:rPr>
          <w:rFonts w:hint="eastAsia"/>
          <w:szCs w:val="21"/>
          <w:lang w:bidi="ar"/>
        </w:rPr>
        <w:t>种考核方式支撑第</w:t>
      </w:r>
      <w:r>
        <w:rPr>
          <w:szCs w:val="21"/>
          <w:lang w:bidi="ar"/>
        </w:rPr>
        <w:t>i</w:t>
      </w:r>
      <w:r>
        <w:rPr>
          <w:rFonts w:hint="eastAsia"/>
          <w:szCs w:val="21"/>
          <w:lang w:bidi="ar"/>
        </w:rPr>
        <w:t>个课程目标的达成度（第</w:t>
      </w:r>
      <w:r>
        <w:rPr>
          <w:szCs w:val="21"/>
          <w:lang w:bidi="ar"/>
        </w:rPr>
        <w:t>k</w:t>
      </w:r>
      <w:r>
        <w:rPr>
          <w:rFonts w:hint="eastAsia"/>
          <w:szCs w:val="21"/>
          <w:lang w:bidi="ar"/>
        </w:rPr>
        <w:t>种考核方式支撑第</w:t>
      </w:r>
      <w:r>
        <w:rPr>
          <w:szCs w:val="21"/>
          <w:lang w:bidi="ar"/>
        </w:rPr>
        <w:t>i</w:t>
      </w:r>
      <w:r>
        <w:rPr>
          <w:rFonts w:hint="eastAsia"/>
          <w:szCs w:val="21"/>
          <w:lang w:bidi="ar"/>
        </w:rPr>
        <w:t>个课程目标的学生得分平均值除以第</w:t>
      </w:r>
      <w:r>
        <w:rPr>
          <w:szCs w:val="21"/>
          <w:lang w:bidi="ar"/>
        </w:rPr>
        <w:t>k</w:t>
      </w:r>
      <w:r>
        <w:rPr>
          <w:rFonts w:hint="eastAsia"/>
          <w:szCs w:val="21"/>
          <w:lang w:bidi="ar"/>
        </w:rPr>
        <w:t>种考核方式支撑第</w:t>
      </w:r>
      <w:r>
        <w:rPr>
          <w:szCs w:val="21"/>
          <w:lang w:bidi="ar"/>
        </w:rPr>
        <w:t>i</w:t>
      </w:r>
      <w:r>
        <w:rPr>
          <w:rFonts w:hint="eastAsia"/>
          <w:szCs w:val="21"/>
          <w:lang w:bidi="ar"/>
        </w:rPr>
        <w:t>个课程目标的总分值）。</w:t>
      </w:r>
    </w:p>
    <w:p>
      <w:pPr>
        <w:adjustRightInd w:val="0"/>
        <w:snapToGrid w:val="0"/>
        <w:spacing w:line="360" w:lineRule="auto"/>
        <w:ind w:firstLine="422" w:firstLineChars="200"/>
        <w:rPr>
          <w:b/>
          <w:bCs/>
          <w:szCs w:val="21"/>
          <w:lang w:bidi="ar"/>
        </w:rPr>
      </w:pPr>
      <w:r>
        <w:rPr>
          <w:b/>
          <w:bCs/>
          <w:szCs w:val="21"/>
          <w:lang w:bidi="ar"/>
        </w:rPr>
        <w:t>3</w:t>
      </w:r>
      <w:r>
        <w:rPr>
          <w:rFonts w:hint="eastAsia"/>
          <w:b/>
          <w:bCs/>
          <w:szCs w:val="21"/>
          <w:lang w:bidi="ar"/>
        </w:rPr>
        <w:t>、定性评价</w:t>
      </w:r>
    </w:p>
    <w:p>
      <w:pPr>
        <w:adjustRightInd w:val="0"/>
        <w:snapToGrid w:val="0"/>
        <w:spacing w:line="360" w:lineRule="auto"/>
        <w:ind w:firstLine="420" w:firstLineChars="200"/>
        <w:rPr>
          <w:szCs w:val="21"/>
          <w:lang w:bidi="ar"/>
        </w:rPr>
      </w:pPr>
      <w:r>
        <w:rPr>
          <w:rFonts w:hint="eastAsia"/>
          <w:szCs w:val="21"/>
          <w:lang w:bidi="ar"/>
        </w:rPr>
        <w:t>针对每门课的课程目标，直接设计问题，并要求学生明确给出目标能力达到的程度“很好（</w:t>
      </w:r>
      <w:r>
        <w:rPr>
          <w:szCs w:val="21"/>
          <w:lang w:bidi="ar"/>
        </w:rPr>
        <w:t>0.95</w:t>
      </w:r>
      <w:r>
        <w:rPr>
          <w:rFonts w:hint="eastAsia"/>
          <w:szCs w:val="21"/>
          <w:lang w:bidi="ar"/>
        </w:rPr>
        <w:t>）、较好（</w:t>
      </w:r>
      <w:r>
        <w:rPr>
          <w:szCs w:val="21"/>
          <w:lang w:bidi="ar"/>
        </w:rPr>
        <w:t>0.75</w:t>
      </w:r>
      <w:r>
        <w:rPr>
          <w:rFonts w:hint="eastAsia"/>
          <w:szCs w:val="21"/>
          <w:lang w:bidi="ar"/>
        </w:rPr>
        <w:t>）、中（</w:t>
      </w:r>
      <w:r>
        <w:rPr>
          <w:szCs w:val="21"/>
          <w:lang w:bidi="ar"/>
        </w:rPr>
        <w:t>0.60</w:t>
      </w:r>
      <w:r>
        <w:rPr>
          <w:rFonts w:hint="eastAsia"/>
          <w:szCs w:val="21"/>
          <w:lang w:bidi="ar"/>
        </w:rPr>
        <w:t>）、较差（</w:t>
      </w:r>
      <w:r>
        <w:rPr>
          <w:szCs w:val="21"/>
          <w:lang w:bidi="ar"/>
        </w:rPr>
        <w:t>0.45</w:t>
      </w:r>
      <w:r>
        <w:rPr>
          <w:rFonts w:hint="eastAsia"/>
          <w:szCs w:val="21"/>
          <w:lang w:bidi="ar"/>
        </w:rPr>
        <w:t>）、很差（</w:t>
      </w:r>
      <w:r>
        <w:rPr>
          <w:szCs w:val="21"/>
          <w:lang w:bidi="ar"/>
        </w:rPr>
        <w:t>0.25</w:t>
      </w:r>
      <w:r>
        <w:rPr>
          <w:rFonts w:hint="eastAsia"/>
          <w:szCs w:val="21"/>
          <w:lang w:bidi="ar"/>
        </w:rPr>
        <w:t>）”，根据各区段统计比例与括号中的目标分值加权后求和得出定性评价的结果。</w:t>
      </w:r>
    </w:p>
    <w:p>
      <w:pPr>
        <w:adjustRightInd w:val="0"/>
        <w:snapToGrid w:val="0"/>
        <w:spacing w:line="360" w:lineRule="auto"/>
        <w:ind w:firstLine="422" w:firstLineChars="200"/>
        <w:rPr>
          <w:b/>
          <w:bCs/>
          <w:szCs w:val="21"/>
          <w:lang w:bidi="ar"/>
        </w:rPr>
      </w:pPr>
      <w:r>
        <w:rPr>
          <w:b/>
          <w:bCs/>
          <w:szCs w:val="21"/>
          <w:lang w:bidi="ar"/>
        </w:rPr>
        <w:t>4</w:t>
      </w:r>
      <w:r>
        <w:rPr>
          <w:rFonts w:hint="eastAsia"/>
          <w:b/>
          <w:bCs/>
          <w:szCs w:val="21"/>
          <w:lang w:bidi="ar"/>
        </w:rPr>
        <w:t>、定性评价和定量评价结果的综合</w:t>
      </w:r>
    </w:p>
    <w:p>
      <w:pPr>
        <w:adjustRightInd w:val="0"/>
        <w:snapToGrid w:val="0"/>
        <w:spacing w:line="360" w:lineRule="auto"/>
        <w:ind w:firstLine="420" w:firstLineChars="200"/>
        <w:rPr>
          <w:szCs w:val="21"/>
          <w:lang w:bidi="ar"/>
        </w:rPr>
      </w:pPr>
      <w:r>
        <w:rPr>
          <w:rFonts w:hint="eastAsia"/>
          <w:szCs w:val="21"/>
          <w:lang w:bidi="ar"/>
        </w:rPr>
        <w:t>同一课程目标的评价，取定性评价和定量评价的平均值，作为最终评价结果。</w:t>
      </w:r>
    </w:p>
    <w:p>
      <w:pPr>
        <w:adjustRightInd w:val="0"/>
        <w:snapToGrid w:val="0"/>
        <w:spacing w:before="156" w:beforeLines="50" w:line="360" w:lineRule="auto"/>
        <w:rPr>
          <w:rFonts w:eastAsia="黑体"/>
          <w:szCs w:val="21"/>
        </w:rPr>
      </w:pPr>
      <w:r>
        <w:rPr>
          <w:rFonts w:hint="eastAsia" w:eastAsia="黑体"/>
          <w:szCs w:val="21"/>
        </w:rPr>
        <w:t>七、评价标准：</w:t>
      </w:r>
    </w:p>
    <w:p>
      <w:pPr>
        <w:adjustRightInd w:val="0"/>
        <w:snapToGrid w:val="0"/>
        <w:spacing w:line="360" w:lineRule="auto"/>
        <w:ind w:firstLine="420" w:firstLineChars="200"/>
        <w:rPr>
          <w:szCs w:val="21"/>
          <w:lang w:bidi="ar"/>
        </w:rPr>
      </w:pPr>
      <w:r>
        <w:rPr>
          <w:rFonts w:hint="eastAsia"/>
          <w:szCs w:val="21"/>
          <w:lang w:bidi="ar"/>
        </w:rPr>
        <w:t>本课程允许教师在各评价环节根据具体情况采取多样化、个性化的考核手段，其评价标准应当在《</w:t>
      </w:r>
      <w:r>
        <w:rPr>
          <w:szCs w:val="21"/>
          <w:lang w:bidi="ar"/>
        </w:rPr>
        <w:t>SIE-CT-01</w:t>
      </w:r>
      <w:r>
        <w:rPr>
          <w:rFonts w:hint="eastAsia"/>
          <w:szCs w:val="21"/>
          <w:lang w:bidi="ar"/>
        </w:rPr>
        <w:t>：授课计划》中明确并向学生公布，教学过程中的考核评价应当严格按照标准完成。</w:t>
      </w:r>
    </w:p>
    <w:p>
      <w:pPr>
        <w:adjustRightInd w:val="0"/>
        <w:snapToGrid w:val="0"/>
        <w:spacing w:before="156" w:beforeLines="50" w:line="360" w:lineRule="auto"/>
        <w:rPr>
          <w:rFonts w:eastAsia="黑体"/>
          <w:szCs w:val="21"/>
        </w:rPr>
      </w:pPr>
      <w:r>
        <w:rPr>
          <w:rFonts w:hint="eastAsia" w:eastAsia="黑体"/>
          <w:szCs w:val="21"/>
        </w:rPr>
        <w:t>八、课程目标达成评价结果用于持续改进</w:t>
      </w:r>
    </w:p>
    <w:p>
      <w:pPr>
        <w:adjustRightInd w:val="0"/>
        <w:snapToGrid w:val="0"/>
        <w:spacing w:line="360" w:lineRule="auto"/>
        <w:ind w:firstLine="420" w:firstLineChars="200"/>
        <w:rPr>
          <w:szCs w:val="21"/>
          <w:lang w:bidi="ar"/>
        </w:rPr>
      </w:pPr>
      <w:r>
        <w:rPr>
          <w:rFonts w:hint="eastAsia"/>
          <w:szCs w:val="21"/>
          <w:lang w:bidi="ar"/>
        </w:rPr>
        <w:t>课程目标达成评价结果将用于后续教学过程的持续改进。</w:t>
      </w:r>
    </w:p>
    <w:p>
      <w:pPr>
        <w:adjustRightInd w:val="0"/>
        <w:snapToGrid w:val="0"/>
        <w:spacing w:line="360" w:lineRule="auto"/>
        <w:ind w:firstLine="420" w:firstLineChars="200"/>
        <w:rPr>
          <w:szCs w:val="21"/>
          <w:lang w:bidi="ar"/>
        </w:rPr>
      </w:pPr>
      <w:r>
        <w:rPr>
          <w:rFonts w:hint="eastAsia"/>
          <w:szCs w:val="21"/>
          <w:lang w:bidi="ar"/>
        </w:rPr>
        <w:t>针对课程目标达成评价中发现的问题与不足，重点是达成值相对较低的项，在本次授课总结中应由授课教师分析具体原因，并给出改进建议。后续任课教师应当针对以前的问题和建议，在授课计划中做好落实改进计划，并在授课过程中予以落实。</w:t>
      </w:r>
    </w:p>
    <w:p>
      <w:pPr>
        <w:adjustRightInd w:val="0"/>
        <w:snapToGrid w:val="0"/>
        <w:spacing w:before="156" w:beforeLines="50" w:line="360" w:lineRule="auto"/>
        <w:rPr>
          <w:rFonts w:eastAsia="黑体"/>
          <w:szCs w:val="21"/>
        </w:rPr>
      </w:pPr>
      <w:r>
        <w:rPr>
          <w:rFonts w:hint="eastAsia" w:eastAsia="黑体"/>
          <w:szCs w:val="21"/>
        </w:rPr>
        <w:t>九、覆盖课程目标达成评价的知识点及权重</w:t>
      </w:r>
    </w:p>
    <w:p>
      <w:pPr>
        <w:jc w:val="center"/>
        <w:rPr>
          <w:rFonts w:eastAsia="黑体"/>
          <w:color w:val="FF0000"/>
          <w:szCs w:val="21"/>
          <w:highlight w:val="yellow"/>
        </w:rPr>
      </w:pPr>
      <w:r>
        <w:rPr>
          <w:rFonts w:hint="eastAsia"/>
          <w:b/>
          <w:bCs/>
          <w:color w:val="000000"/>
          <w:sz w:val="18"/>
          <w:szCs w:val="18"/>
        </w:rPr>
        <w:t>表</w:t>
      </w:r>
      <w:r>
        <w:rPr>
          <w:b/>
          <w:bCs/>
          <w:color w:val="000000"/>
          <w:sz w:val="18"/>
          <w:szCs w:val="18"/>
        </w:rPr>
        <w:t xml:space="preserve">9.1   </w:t>
      </w:r>
      <w:r>
        <w:rPr>
          <w:rFonts w:hint="eastAsia"/>
          <w:b/>
          <w:bCs/>
          <w:sz w:val="18"/>
          <w:szCs w:val="18"/>
        </w:rPr>
        <w:t>各知识点对课程目标达成评价的权重占比分配</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6"/>
        <w:gridCol w:w="1666"/>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6" w:type="pct"/>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yellow"/>
              </w:rPr>
            </w:pPr>
            <w:r>
              <w:rPr>
                <w:rFonts w:hint="eastAsia" w:cs="宋体"/>
                <w:sz w:val="18"/>
                <w:szCs w:val="18"/>
                <w:lang w:bidi="ar"/>
              </w:rPr>
              <w:t>知识点</w:t>
            </w:r>
          </w:p>
        </w:tc>
        <w:tc>
          <w:tcPr>
            <w:tcW w:w="897"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cs="宋体"/>
                <w:sz w:val="18"/>
                <w:szCs w:val="18"/>
                <w:lang w:bidi="ar"/>
              </w:rPr>
              <w:t>权重</w:t>
            </w:r>
          </w:p>
        </w:tc>
        <w:tc>
          <w:tcPr>
            <w:tcW w:w="1047"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cs="宋体"/>
                <w:sz w:val="18"/>
                <w:szCs w:val="18"/>
                <w:lang w:bidi="ar"/>
              </w:rPr>
              <w:t>支撑课程目标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6" w:type="pct"/>
            <w:tcBorders>
              <w:top w:val="single" w:color="auto" w:sz="4" w:space="0"/>
              <w:left w:val="single" w:color="auto" w:sz="4" w:space="0"/>
              <w:bottom w:val="single" w:color="auto" w:sz="4" w:space="0"/>
              <w:right w:val="single" w:color="auto" w:sz="4" w:space="0"/>
            </w:tcBorders>
            <w:vAlign w:val="bottom"/>
          </w:tcPr>
          <w:p>
            <w:pPr>
              <w:rPr>
                <w:sz w:val="18"/>
                <w:szCs w:val="18"/>
              </w:rPr>
            </w:pPr>
            <w:r>
              <w:rPr>
                <w:rFonts w:hint="eastAsia"/>
                <w:sz w:val="18"/>
                <w:szCs w:val="18"/>
              </w:rPr>
              <w:t>1</w:t>
            </w:r>
            <w:r>
              <w:rPr>
                <w:sz w:val="18"/>
                <w:szCs w:val="18"/>
              </w:rPr>
              <w:t>.概述</w:t>
            </w:r>
          </w:p>
        </w:tc>
        <w:tc>
          <w:tcPr>
            <w:tcW w:w="89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.06</w:t>
            </w:r>
          </w:p>
        </w:tc>
        <w:tc>
          <w:tcPr>
            <w:tcW w:w="1047"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6" w:type="pct"/>
            <w:tcBorders>
              <w:top w:val="single" w:color="auto" w:sz="4" w:space="0"/>
              <w:left w:val="single" w:color="auto" w:sz="4" w:space="0"/>
              <w:bottom w:val="single" w:color="auto" w:sz="4" w:space="0"/>
              <w:right w:val="single" w:color="auto" w:sz="4" w:space="0"/>
            </w:tcBorders>
            <w:vAlign w:val="bottom"/>
          </w:tcPr>
          <w:p>
            <w:pPr>
              <w:rPr>
                <w:sz w:val="18"/>
                <w:szCs w:val="18"/>
              </w:rPr>
            </w:pPr>
            <w:r>
              <w:rPr>
                <w:rFonts w:hint="eastAsia"/>
                <w:sz w:val="18"/>
                <w:szCs w:val="18"/>
              </w:rPr>
              <w:t>2</w:t>
            </w:r>
            <w:r>
              <w:rPr>
                <w:sz w:val="18"/>
                <w:szCs w:val="18"/>
              </w:rPr>
              <w:t>.线性表</w:t>
            </w:r>
          </w:p>
        </w:tc>
        <w:tc>
          <w:tcPr>
            <w:tcW w:w="89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0.16</w:t>
            </w:r>
          </w:p>
        </w:tc>
        <w:tc>
          <w:tcPr>
            <w:tcW w:w="1047"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1</w:t>
            </w:r>
            <w:r>
              <w:rPr>
                <w:sz w:val="18"/>
                <w:szCs w:val="18"/>
              </w:rPr>
              <w:t>、</w:t>
            </w: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6" w:type="pct"/>
            <w:tcBorders>
              <w:top w:val="single" w:color="auto" w:sz="4" w:space="0"/>
              <w:left w:val="single" w:color="auto" w:sz="4" w:space="0"/>
              <w:bottom w:val="single" w:color="auto" w:sz="4" w:space="0"/>
              <w:right w:val="single" w:color="auto" w:sz="4" w:space="0"/>
            </w:tcBorders>
            <w:vAlign w:val="bottom"/>
          </w:tcPr>
          <w:p>
            <w:pPr>
              <w:rPr>
                <w:sz w:val="18"/>
                <w:szCs w:val="18"/>
              </w:rPr>
            </w:pPr>
            <w:r>
              <w:rPr>
                <w:rFonts w:hint="eastAsia"/>
                <w:sz w:val="18"/>
                <w:szCs w:val="18"/>
              </w:rPr>
              <w:t>3</w:t>
            </w:r>
            <w:r>
              <w:rPr>
                <w:sz w:val="18"/>
                <w:szCs w:val="18"/>
              </w:rPr>
              <w:t>.栈和队列</w:t>
            </w:r>
          </w:p>
        </w:tc>
        <w:tc>
          <w:tcPr>
            <w:tcW w:w="89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.06</w:t>
            </w:r>
          </w:p>
        </w:tc>
        <w:tc>
          <w:tcPr>
            <w:tcW w:w="1047"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1</w:t>
            </w:r>
            <w:r>
              <w:rPr>
                <w:sz w:val="18"/>
                <w:szCs w:val="18"/>
              </w:rPr>
              <w:t>、</w:t>
            </w: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6" w:type="pct"/>
            <w:tcBorders>
              <w:top w:val="single" w:color="auto" w:sz="4" w:space="0"/>
              <w:left w:val="single" w:color="auto" w:sz="4" w:space="0"/>
              <w:bottom w:val="single" w:color="auto" w:sz="4" w:space="0"/>
              <w:right w:val="single" w:color="auto" w:sz="4" w:space="0"/>
            </w:tcBorders>
            <w:vAlign w:val="bottom"/>
          </w:tcPr>
          <w:p>
            <w:pPr>
              <w:rPr>
                <w:sz w:val="18"/>
                <w:szCs w:val="18"/>
              </w:rPr>
            </w:pPr>
            <w:r>
              <w:rPr>
                <w:rFonts w:hint="eastAsia"/>
                <w:sz w:val="18"/>
                <w:szCs w:val="18"/>
              </w:rPr>
              <w:t>4</w:t>
            </w:r>
            <w:r>
              <w:rPr>
                <w:sz w:val="18"/>
                <w:szCs w:val="18"/>
              </w:rPr>
              <w:t>.串</w:t>
            </w:r>
          </w:p>
        </w:tc>
        <w:tc>
          <w:tcPr>
            <w:tcW w:w="89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.03</w:t>
            </w:r>
          </w:p>
        </w:tc>
        <w:tc>
          <w:tcPr>
            <w:tcW w:w="1047"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1</w:t>
            </w:r>
            <w:r>
              <w:rPr>
                <w:sz w:val="18"/>
                <w:szCs w:val="18"/>
              </w:rPr>
              <w:t>、</w:t>
            </w: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6" w:type="pct"/>
            <w:tcBorders>
              <w:top w:val="single" w:color="auto" w:sz="4" w:space="0"/>
              <w:left w:val="single" w:color="auto" w:sz="4" w:space="0"/>
              <w:bottom w:val="single" w:color="auto" w:sz="4" w:space="0"/>
              <w:right w:val="single" w:color="auto" w:sz="4" w:space="0"/>
            </w:tcBorders>
            <w:vAlign w:val="bottom"/>
          </w:tcPr>
          <w:p>
            <w:pPr>
              <w:rPr>
                <w:sz w:val="18"/>
                <w:szCs w:val="18"/>
              </w:rPr>
            </w:pPr>
            <w:r>
              <w:rPr>
                <w:rFonts w:hint="eastAsia"/>
                <w:sz w:val="18"/>
                <w:szCs w:val="18"/>
              </w:rPr>
              <w:t>5</w:t>
            </w:r>
            <w:r>
              <w:rPr>
                <w:sz w:val="18"/>
                <w:szCs w:val="18"/>
              </w:rPr>
              <w:t>.数组和广义表</w:t>
            </w:r>
          </w:p>
        </w:tc>
        <w:tc>
          <w:tcPr>
            <w:tcW w:w="89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.03</w:t>
            </w:r>
          </w:p>
        </w:tc>
        <w:tc>
          <w:tcPr>
            <w:tcW w:w="1047"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1</w:t>
            </w:r>
            <w:r>
              <w:rPr>
                <w:sz w:val="18"/>
                <w:szCs w:val="18"/>
              </w:rPr>
              <w:t>、</w:t>
            </w: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6" w:type="pct"/>
            <w:tcBorders>
              <w:top w:val="single" w:color="auto" w:sz="4" w:space="0"/>
              <w:left w:val="single" w:color="auto" w:sz="4" w:space="0"/>
              <w:bottom w:val="single" w:color="auto" w:sz="4" w:space="0"/>
              <w:right w:val="single" w:color="auto" w:sz="4" w:space="0"/>
            </w:tcBorders>
            <w:vAlign w:val="bottom"/>
          </w:tcPr>
          <w:p>
            <w:pPr>
              <w:rPr>
                <w:sz w:val="18"/>
                <w:szCs w:val="18"/>
              </w:rPr>
            </w:pPr>
            <w:r>
              <w:rPr>
                <w:rFonts w:hint="eastAsia"/>
                <w:sz w:val="18"/>
                <w:szCs w:val="18"/>
              </w:rPr>
              <w:t>6</w:t>
            </w:r>
            <w:r>
              <w:rPr>
                <w:sz w:val="18"/>
                <w:szCs w:val="18"/>
              </w:rPr>
              <w:t>.树与二叉树</w:t>
            </w:r>
          </w:p>
        </w:tc>
        <w:tc>
          <w:tcPr>
            <w:tcW w:w="89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.25</w:t>
            </w:r>
          </w:p>
        </w:tc>
        <w:tc>
          <w:tcPr>
            <w:tcW w:w="1047"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1</w:t>
            </w:r>
            <w:r>
              <w:rPr>
                <w:sz w:val="18"/>
                <w:szCs w:val="18"/>
              </w:rPr>
              <w:t>、</w:t>
            </w: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6" w:type="pct"/>
            <w:tcBorders>
              <w:top w:val="single" w:color="auto" w:sz="4" w:space="0"/>
              <w:left w:val="single" w:color="auto" w:sz="4" w:space="0"/>
              <w:bottom w:val="single" w:color="auto" w:sz="4" w:space="0"/>
              <w:right w:val="single" w:color="auto" w:sz="4" w:space="0"/>
            </w:tcBorders>
            <w:vAlign w:val="bottom"/>
          </w:tcPr>
          <w:p>
            <w:pPr>
              <w:rPr>
                <w:sz w:val="18"/>
                <w:szCs w:val="18"/>
              </w:rPr>
            </w:pPr>
            <w:r>
              <w:rPr>
                <w:rFonts w:hint="eastAsia"/>
                <w:sz w:val="18"/>
                <w:szCs w:val="18"/>
              </w:rPr>
              <w:t>7</w:t>
            </w:r>
            <w:r>
              <w:rPr>
                <w:sz w:val="18"/>
                <w:szCs w:val="18"/>
              </w:rPr>
              <w:t>.图</w:t>
            </w:r>
          </w:p>
        </w:tc>
        <w:tc>
          <w:tcPr>
            <w:tcW w:w="89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.06</w:t>
            </w:r>
          </w:p>
        </w:tc>
        <w:tc>
          <w:tcPr>
            <w:tcW w:w="1047"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1</w:t>
            </w:r>
            <w:r>
              <w:rPr>
                <w:sz w:val="18"/>
                <w:szCs w:val="18"/>
              </w:rPr>
              <w:t>、</w:t>
            </w: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6" w:type="pct"/>
            <w:tcBorders>
              <w:top w:val="single" w:color="auto" w:sz="4" w:space="0"/>
              <w:left w:val="single" w:color="auto" w:sz="4" w:space="0"/>
              <w:bottom w:val="single" w:color="auto" w:sz="4" w:space="0"/>
              <w:right w:val="single" w:color="auto" w:sz="4" w:space="0"/>
            </w:tcBorders>
            <w:vAlign w:val="bottom"/>
          </w:tcPr>
          <w:p>
            <w:pPr>
              <w:rPr>
                <w:sz w:val="18"/>
                <w:szCs w:val="18"/>
              </w:rPr>
            </w:pPr>
            <w:r>
              <w:rPr>
                <w:rFonts w:hint="eastAsia"/>
                <w:sz w:val="18"/>
                <w:szCs w:val="18"/>
              </w:rPr>
              <w:t>8</w:t>
            </w:r>
            <w:r>
              <w:rPr>
                <w:sz w:val="18"/>
                <w:szCs w:val="18"/>
              </w:rPr>
              <w:t>.查找</w:t>
            </w:r>
          </w:p>
        </w:tc>
        <w:tc>
          <w:tcPr>
            <w:tcW w:w="89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.16</w:t>
            </w:r>
          </w:p>
        </w:tc>
        <w:tc>
          <w:tcPr>
            <w:tcW w:w="1047"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1</w:t>
            </w:r>
            <w:r>
              <w:rPr>
                <w:sz w:val="18"/>
                <w:szCs w:val="18"/>
              </w:rPr>
              <w:t>、</w:t>
            </w: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6" w:type="pct"/>
            <w:tcBorders>
              <w:top w:val="single" w:color="auto" w:sz="4" w:space="0"/>
              <w:left w:val="single" w:color="auto" w:sz="4" w:space="0"/>
              <w:bottom w:val="single" w:color="auto" w:sz="4" w:space="0"/>
              <w:right w:val="single" w:color="auto" w:sz="4" w:space="0"/>
            </w:tcBorders>
            <w:vAlign w:val="bottom"/>
          </w:tcPr>
          <w:p>
            <w:pPr>
              <w:rPr>
                <w:sz w:val="18"/>
                <w:szCs w:val="18"/>
              </w:rPr>
            </w:pPr>
            <w:r>
              <w:rPr>
                <w:rFonts w:hint="eastAsia"/>
                <w:sz w:val="18"/>
                <w:szCs w:val="18"/>
              </w:rPr>
              <w:t>9</w:t>
            </w:r>
            <w:r>
              <w:rPr>
                <w:sz w:val="18"/>
                <w:szCs w:val="18"/>
              </w:rPr>
              <w:t>.排序</w:t>
            </w:r>
          </w:p>
        </w:tc>
        <w:tc>
          <w:tcPr>
            <w:tcW w:w="89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.19</w:t>
            </w:r>
          </w:p>
        </w:tc>
        <w:tc>
          <w:tcPr>
            <w:tcW w:w="1047"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1</w:t>
            </w:r>
            <w:r>
              <w:rPr>
                <w:sz w:val="18"/>
                <w:szCs w:val="18"/>
              </w:rPr>
              <w:t>、</w:t>
            </w:r>
            <w:r>
              <w:rPr>
                <w:rFonts w:hint="eastAsia"/>
                <w:sz w:val="18"/>
                <w:szCs w:val="18"/>
              </w:rPr>
              <w:t>2</w:t>
            </w:r>
          </w:p>
        </w:tc>
      </w:tr>
    </w:tbl>
    <w:p>
      <w:pPr>
        <w:adjustRightInd w:val="0"/>
        <w:snapToGrid w:val="0"/>
        <w:spacing w:line="360" w:lineRule="auto"/>
        <w:ind w:firstLine="420" w:firstLineChars="200"/>
        <w:rPr>
          <w:szCs w:val="21"/>
          <w:highlight w:val="yellow"/>
          <w:lang w:bidi="ar"/>
        </w:rPr>
      </w:pPr>
    </w:p>
    <w:p>
      <w:pPr>
        <w:adjustRightInd w:val="0"/>
        <w:snapToGrid w:val="0"/>
        <w:spacing w:line="360" w:lineRule="auto"/>
        <w:ind w:firstLine="420" w:firstLineChars="200"/>
        <w:rPr>
          <w:szCs w:val="21"/>
          <w:lang w:bidi="ar"/>
        </w:rPr>
      </w:pPr>
      <w:r>
        <w:rPr>
          <w:rFonts w:hint="eastAsia"/>
          <w:szCs w:val="21"/>
          <w:lang w:bidi="ar"/>
        </w:rPr>
        <w:t>学生可以依据仪器与电子学院相关文件，以允许的第二课堂成果折算单项成绩，与对应知识点加权累计达到</w:t>
      </w:r>
      <w:r>
        <w:rPr>
          <w:szCs w:val="21"/>
          <w:lang w:bidi="ar"/>
        </w:rPr>
        <w:t>75</w:t>
      </w:r>
      <w:r>
        <w:rPr>
          <w:rFonts w:hint="eastAsia"/>
          <w:szCs w:val="21"/>
          <w:lang w:bidi="ar"/>
        </w:rPr>
        <w:t>分（含）以上，且对所有课程目标的支撑不能有缺项，即可申请本门课程免修。</w:t>
      </w:r>
    </w:p>
    <w:p>
      <w:pPr>
        <w:adjustRightInd w:val="0"/>
        <w:snapToGrid w:val="0"/>
        <w:spacing w:before="156" w:beforeLines="50" w:line="360" w:lineRule="auto"/>
        <w:rPr>
          <w:rFonts w:eastAsia="黑体"/>
          <w:szCs w:val="21"/>
        </w:rPr>
      </w:pPr>
      <w:r>
        <w:rPr>
          <w:rFonts w:hint="eastAsia" w:eastAsia="黑体"/>
          <w:szCs w:val="21"/>
        </w:rPr>
        <w:t>八、参考书目及学习资料</w:t>
      </w:r>
    </w:p>
    <w:p>
      <w:pPr>
        <w:spacing w:line="360" w:lineRule="auto"/>
        <w:ind w:left="210" w:leftChars="50" w:hanging="105" w:hangingChars="50"/>
        <w:rPr>
          <w:bCs/>
          <w:snapToGrid w:val="0"/>
          <w:kern w:val="0"/>
          <w:szCs w:val="21"/>
        </w:rPr>
      </w:pPr>
      <w:r>
        <w:rPr>
          <w:rFonts w:hint="eastAsia"/>
          <w:bCs/>
          <w:snapToGrid w:val="0"/>
          <w:kern w:val="0"/>
          <w:szCs w:val="21"/>
        </w:rPr>
        <w:t>1、严蔚敏等，《数据结构（C语言版）》-“十二五”普通高等教育国家级规划教材，ISBN：</w:t>
      </w:r>
      <w:r>
        <w:br w:type="textWrapping"/>
      </w:r>
      <w:r>
        <w:rPr>
          <w:bCs/>
          <w:snapToGrid w:val="0"/>
          <w:kern w:val="0"/>
          <w:szCs w:val="21"/>
        </w:rPr>
        <w:t>9787302147510</w:t>
      </w:r>
      <w:r>
        <w:rPr>
          <w:rFonts w:hint="eastAsia"/>
          <w:bCs/>
          <w:snapToGrid w:val="0"/>
          <w:kern w:val="0"/>
          <w:szCs w:val="21"/>
        </w:rPr>
        <w:t>，清华大学出版社。</w:t>
      </w:r>
    </w:p>
    <w:p>
      <w:pPr>
        <w:spacing w:line="360" w:lineRule="auto"/>
        <w:ind w:left="210" w:leftChars="50" w:hanging="105" w:hangingChars="50"/>
        <w:rPr>
          <w:bCs/>
          <w:snapToGrid w:val="0"/>
          <w:kern w:val="0"/>
          <w:szCs w:val="21"/>
        </w:rPr>
      </w:pPr>
      <w:r>
        <w:rPr>
          <w:rFonts w:hint="eastAsia"/>
          <w:bCs/>
          <w:snapToGrid w:val="0"/>
          <w:kern w:val="0"/>
          <w:szCs w:val="21"/>
        </w:rPr>
        <w:t>2、</w:t>
      </w:r>
      <w:r>
        <w:rPr>
          <w:bCs/>
          <w:snapToGrid w:val="0"/>
          <w:kern w:val="0"/>
          <w:szCs w:val="21"/>
        </w:rPr>
        <w:t>Mark Allen Weiss</w:t>
      </w:r>
      <w:r>
        <w:rPr>
          <w:rFonts w:hint="eastAsia"/>
          <w:bCs/>
          <w:snapToGrid w:val="0"/>
          <w:kern w:val="0"/>
          <w:szCs w:val="21"/>
        </w:rPr>
        <w:t>等，《</w:t>
      </w:r>
      <w:r>
        <w:rPr>
          <w:rFonts w:hint="eastAsia"/>
        </w:rPr>
        <w:t>数据结构与算法分析——C语言描述（原书第二版）》（英文版）</w:t>
      </w:r>
      <w:r>
        <w:rPr>
          <w:rFonts w:hint="eastAsia"/>
          <w:bCs/>
          <w:snapToGrid w:val="0"/>
          <w:kern w:val="0"/>
          <w:szCs w:val="21"/>
        </w:rPr>
        <w:t xml:space="preserve">，ISBN </w:t>
      </w:r>
      <w:r>
        <w:rPr>
          <w:bCs/>
          <w:snapToGrid w:val="0"/>
          <w:kern w:val="0"/>
          <w:szCs w:val="21"/>
        </w:rPr>
        <w:t>9787111640080</w:t>
      </w:r>
      <w:r>
        <w:rPr>
          <w:rFonts w:hint="eastAsia"/>
          <w:bCs/>
          <w:snapToGrid w:val="0"/>
          <w:kern w:val="0"/>
          <w:szCs w:val="21"/>
        </w:rPr>
        <w:t>，机械工业出版社。</w:t>
      </w:r>
    </w:p>
    <w:p>
      <w:pPr>
        <w:spacing w:line="360" w:lineRule="auto"/>
        <w:ind w:left="210" w:leftChars="50" w:hanging="105" w:hangingChars="50"/>
        <w:rPr>
          <w:bCs/>
          <w:snapToGrid w:val="0"/>
          <w:kern w:val="0"/>
          <w:szCs w:val="21"/>
        </w:rPr>
      </w:pPr>
      <w:r>
        <w:rPr>
          <w:rFonts w:hint="eastAsia"/>
          <w:bCs/>
          <w:snapToGrid w:val="0"/>
          <w:kern w:val="0"/>
          <w:szCs w:val="21"/>
        </w:rPr>
        <w:t>3、</w:t>
      </w:r>
      <w:r>
        <w:rPr>
          <w:rFonts w:ascii="Helvetica" w:hAnsi="Helvetica"/>
          <w:color w:val="484848"/>
          <w:shd w:val="clear" w:color="auto" w:fill="FFFFFF"/>
        </w:rPr>
        <w:t>Donald E. Knuth</w:t>
      </w:r>
      <w:r>
        <w:rPr>
          <w:rFonts w:hint="eastAsia"/>
          <w:bCs/>
          <w:snapToGrid w:val="0"/>
          <w:kern w:val="0"/>
          <w:szCs w:val="21"/>
        </w:rPr>
        <w:t xml:space="preserve">，《计算机程序设计艺术 第1卷，基本算法》，ISBN </w:t>
      </w:r>
      <w:r>
        <w:rPr>
          <w:bCs/>
          <w:snapToGrid w:val="0"/>
          <w:kern w:val="0"/>
          <w:szCs w:val="21"/>
        </w:rPr>
        <w:t>9787115360670</w:t>
      </w:r>
      <w:r>
        <w:rPr>
          <w:rFonts w:hint="eastAsia"/>
          <w:bCs/>
          <w:snapToGrid w:val="0"/>
          <w:kern w:val="0"/>
          <w:szCs w:val="21"/>
        </w:rPr>
        <w:t>，人民邮电出版社。</w:t>
      </w:r>
    </w:p>
    <w:p>
      <w:pPr>
        <w:spacing w:line="360" w:lineRule="auto"/>
        <w:ind w:left="210" w:leftChars="50" w:hanging="105" w:hangingChars="50"/>
        <w:rPr>
          <w:bCs/>
          <w:snapToGrid w:val="0"/>
          <w:kern w:val="0"/>
          <w:szCs w:val="21"/>
        </w:rPr>
      </w:pPr>
      <w:r>
        <w:rPr>
          <w:bCs/>
          <w:snapToGrid w:val="0"/>
          <w:kern w:val="0"/>
          <w:szCs w:val="21"/>
        </w:rPr>
        <w:t>4</w:t>
      </w:r>
      <w:r>
        <w:rPr>
          <w:rFonts w:hint="eastAsia"/>
          <w:bCs/>
          <w:snapToGrid w:val="0"/>
          <w:kern w:val="0"/>
          <w:szCs w:val="21"/>
        </w:rPr>
        <w:t>、视频：</w:t>
      </w:r>
      <w:r>
        <w:rPr>
          <w:bCs/>
          <w:snapToGrid w:val="0"/>
          <w:kern w:val="0"/>
          <w:szCs w:val="21"/>
        </w:rPr>
        <w:t>浙江大学公开课</w:t>
      </w:r>
      <w:r>
        <w:rPr>
          <w:rFonts w:hint="eastAsia"/>
          <w:bCs/>
          <w:snapToGrid w:val="0"/>
          <w:kern w:val="0"/>
          <w:szCs w:val="21"/>
        </w:rPr>
        <w:t xml:space="preserve"> </w:t>
      </w:r>
    </w:p>
    <w:p>
      <w:pPr>
        <w:spacing w:line="360" w:lineRule="auto"/>
        <w:ind w:left="210" w:leftChars="50" w:hanging="105" w:hangingChars="50"/>
        <w:rPr>
          <w:bCs/>
          <w:snapToGrid w:val="0"/>
          <w:kern w:val="0"/>
          <w:szCs w:val="21"/>
        </w:rPr>
      </w:pPr>
      <w:r>
        <w:rPr>
          <w:bCs/>
          <w:snapToGrid w:val="0"/>
          <w:kern w:val="0"/>
          <w:szCs w:val="21"/>
        </w:rPr>
        <w:t>https://open.163.com/newview/movie/free?pid=AEUHNOPC5&amp;mid=FEUHNOPCU</w:t>
      </w:r>
    </w:p>
    <w:p>
      <w:pPr>
        <w:spacing w:line="360" w:lineRule="auto"/>
        <w:ind w:left="210" w:leftChars="50" w:hanging="105" w:hangingChars="50"/>
        <w:rPr>
          <w:bCs/>
          <w:snapToGrid w:val="0"/>
          <w:kern w:val="0"/>
          <w:szCs w:val="21"/>
        </w:rPr>
      </w:pPr>
      <w:r>
        <w:rPr>
          <w:bCs/>
          <w:snapToGrid w:val="0"/>
          <w:kern w:val="0"/>
          <w:szCs w:val="21"/>
        </w:rPr>
        <w:t>5</w:t>
      </w:r>
      <w:r>
        <w:rPr>
          <w:rFonts w:hint="eastAsia"/>
          <w:bCs/>
          <w:snapToGrid w:val="0"/>
          <w:kern w:val="0"/>
          <w:szCs w:val="21"/>
        </w:rPr>
        <w:t>、视频：</w:t>
      </w:r>
      <w:r>
        <w:rPr>
          <w:bCs/>
          <w:snapToGrid w:val="0"/>
          <w:kern w:val="0"/>
          <w:szCs w:val="21"/>
        </w:rPr>
        <w:t>华中科技大学公开课</w:t>
      </w:r>
      <w:r>
        <w:rPr>
          <w:rFonts w:hint="eastAsia"/>
          <w:bCs/>
          <w:snapToGrid w:val="0"/>
          <w:kern w:val="0"/>
          <w:szCs w:val="21"/>
        </w:rPr>
        <w:t xml:space="preserve"> </w:t>
      </w:r>
    </w:p>
    <w:p>
      <w:pPr>
        <w:spacing w:line="360" w:lineRule="auto"/>
        <w:ind w:left="210" w:leftChars="50" w:hanging="105" w:hangingChars="50"/>
        <w:rPr>
          <w:bCs/>
          <w:snapToGrid w:val="0"/>
          <w:kern w:val="0"/>
          <w:szCs w:val="21"/>
        </w:rPr>
      </w:pPr>
      <w:r>
        <w:rPr>
          <w:bCs/>
          <w:snapToGrid w:val="0"/>
          <w:kern w:val="0"/>
          <w:szCs w:val="21"/>
        </w:rPr>
        <w:t>https://open.163.com/newview/movie/free?pid=MEKB56M73&amp;mid=MEKB5J4F0</w:t>
      </w:r>
    </w:p>
    <w:p>
      <w:pPr>
        <w:spacing w:line="360" w:lineRule="auto"/>
        <w:ind w:left="210" w:leftChars="100"/>
        <w:jc w:val="center"/>
        <w:rPr>
          <w:rFonts w:hint="eastAsia" w:eastAsia="宋体"/>
          <w:color w:val="000000"/>
          <w:szCs w:val="21"/>
          <w:lang w:eastAsia="zh-CN"/>
        </w:rPr>
      </w:pPr>
      <w:r>
        <w:rPr>
          <w:rFonts w:hint="eastAsia"/>
          <w:b/>
          <w:bCs/>
          <w:szCs w:val="21"/>
          <w:lang w:val="en-US" w:eastAsia="zh-CN"/>
        </w:rPr>
        <w:t xml:space="preserve">                    </w:t>
      </w:r>
      <w:r>
        <w:rPr>
          <w:rFonts w:hint="eastAsia"/>
          <w:b/>
          <w:bCs/>
          <w:szCs w:val="21"/>
        </w:rPr>
        <w:t>制定人</w:t>
      </w:r>
      <w:r>
        <w:rPr>
          <w:rFonts w:hint="eastAsia"/>
          <w:szCs w:val="21"/>
        </w:rPr>
        <w:t>：</w:t>
      </w:r>
      <w:r>
        <w:rPr>
          <w:rFonts w:hint="eastAsia"/>
          <w:szCs w:val="21"/>
          <w:lang w:eastAsia="zh-CN"/>
        </w:rPr>
        <w:t>甄国涌</w:t>
      </w:r>
      <w:r>
        <w:rPr>
          <w:szCs w:val="21"/>
        </w:rPr>
        <w:t xml:space="preserve">    </w:t>
      </w:r>
      <w:r>
        <w:rPr>
          <w:rFonts w:hint="eastAsia"/>
          <w:b/>
          <w:bCs/>
          <w:szCs w:val="21"/>
        </w:rPr>
        <w:t>审定人</w:t>
      </w:r>
      <w:r>
        <w:rPr>
          <w:rFonts w:hint="eastAsia"/>
          <w:szCs w:val="21"/>
        </w:rPr>
        <w:t>：</w:t>
      </w:r>
      <w:r>
        <w:rPr>
          <w:rFonts w:hint="eastAsia"/>
          <w:szCs w:val="21"/>
          <w:lang w:eastAsia="zh-CN"/>
        </w:rPr>
        <w:t>刘文耀</w:t>
      </w:r>
      <w:r>
        <w:rPr>
          <w:szCs w:val="21"/>
        </w:rPr>
        <w:t xml:space="preserve">    </w:t>
      </w:r>
      <w:r>
        <w:rPr>
          <w:rFonts w:hint="eastAsia"/>
          <w:b/>
          <w:bCs/>
          <w:szCs w:val="21"/>
        </w:rPr>
        <w:t>批准人</w:t>
      </w:r>
      <w:r>
        <w:rPr>
          <w:rFonts w:hint="eastAsia"/>
          <w:szCs w:val="21"/>
        </w:rPr>
        <w:t>：</w:t>
      </w:r>
      <w:r>
        <w:rPr>
          <w:rFonts w:hint="eastAsia"/>
          <w:szCs w:val="21"/>
          <w:lang w:eastAsia="zh-CN"/>
        </w:rPr>
        <w:t>刘文怡</w:t>
      </w:r>
    </w:p>
    <w:p>
      <w:pPr>
        <w:spacing w:line="440" w:lineRule="exact"/>
        <w:ind w:right="480" w:firstLine="5670" w:firstLineChars="2700"/>
        <w:jc w:val="right"/>
        <w:rPr>
          <w:b/>
          <w:spacing w:val="20"/>
          <w:szCs w:val="21"/>
        </w:rPr>
      </w:pPr>
      <w:r>
        <w:rPr>
          <w:szCs w:val="21"/>
        </w:rPr>
        <w:t>2021</w:t>
      </w:r>
      <w:r>
        <w:rPr>
          <w:rFonts w:hint="eastAsia"/>
          <w:szCs w:val="21"/>
        </w:rPr>
        <w:t>年</w:t>
      </w:r>
      <w:r>
        <w:rPr>
          <w:szCs w:val="21"/>
        </w:rPr>
        <w:t xml:space="preserve"> 12 </w:t>
      </w:r>
      <w:r>
        <w:rPr>
          <w:rFonts w:hint="eastAsia"/>
          <w:szCs w:val="21"/>
        </w:rPr>
        <w:t>月</w:t>
      </w:r>
      <w:r>
        <w:rPr>
          <w:szCs w:val="21"/>
        </w:rPr>
        <w:t xml:space="preserve"> 1 </w:t>
      </w:r>
      <w:r>
        <w:rPr>
          <w:rFonts w:hint="eastAsia"/>
          <w:szCs w:val="21"/>
        </w:rPr>
        <w:t>日</w:t>
      </w:r>
    </w:p>
    <w:p/>
    <w:p/>
    <w:p/>
    <w:p/>
    <w:p/>
    <w:p/>
    <w:p/>
    <w:p/>
    <w:p/>
    <w:p/>
    <w:p/>
    <w:p/>
    <w:p/>
    <w:p/>
    <w:p/>
    <w:p/>
    <w:p/>
    <w:p/>
    <w:p/>
    <w:p/>
    <w:p>
      <w:pPr>
        <w:pStyle w:val="18"/>
        <w:spacing w:before="312" w:after="468"/>
        <w:rPr>
          <w:rFonts w:ascii="Times New Roman" w:hAnsi="Times New Roman" w:cs="Times New Roman"/>
        </w:rPr>
      </w:pPr>
      <w:bookmarkStart w:id="68" w:name="_Toc28219"/>
      <w:r>
        <w:rPr>
          <w:rFonts w:hint="eastAsia" w:ascii="Times New Roman" w:hAnsi="Times New Roman" w:cs="Times New Roman"/>
        </w:rPr>
        <w:t>《视觉感知与图像处理》课程教学大纲</w:t>
      </w:r>
      <w:bookmarkEnd w:id="68"/>
    </w:p>
    <w:p>
      <w:pPr>
        <w:adjustRightInd w:val="0"/>
        <w:snapToGrid w:val="0"/>
        <w:spacing w:before="156" w:beforeLines="50" w:line="360" w:lineRule="auto"/>
        <w:rPr>
          <w:rFonts w:hint="eastAsia" w:eastAsia="黑体"/>
          <w:color w:val="000000"/>
          <w:szCs w:val="21"/>
        </w:rPr>
      </w:pPr>
      <w:r>
        <w:rPr>
          <w:rFonts w:hint="eastAsia" w:eastAsia="黑体"/>
          <w:color w:val="000000"/>
          <w:szCs w:val="21"/>
        </w:rPr>
        <w:t>一、课程基本信息</w:t>
      </w:r>
    </w:p>
    <w:p>
      <w:pPr>
        <w:snapToGrid w:val="0"/>
        <w:spacing w:line="360" w:lineRule="auto"/>
        <w:ind w:firstLine="420" w:firstLineChars="200"/>
        <w:rPr>
          <w:rFonts w:hint="eastAsia" w:eastAsia="黑体"/>
          <w:bCs/>
          <w:color w:val="000000"/>
          <w:szCs w:val="21"/>
        </w:rPr>
      </w:pPr>
      <w:r>
        <w:rPr>
          <w:rFonts w:hint="eastAsia" w:eastAsia="黑体"/>
          <w:bCs/>
          <w:color w:val="000000"/>
          <w:szCs w:val="21"/>
        </w:rPr>
        <w:t>课程名称（中文）：视觉感知与图像处理</w:t>
      </w:r>
      <w:r>
        <w:rPr>
          <w:rFonts w:eastAsia="黑体"/>
          <w:bCs/>
          <w:color w:val="000000"/>
          <w:szCs w:val="21"/>
        </w:rPr>
        <w:t xml:space="preserve"> </w:t>
      </w:r>
    </w:p>
    <w:p>
      <w:pPr>
        <w:snapToGrid w:val="0"/>
        <w:spacing w:line="360" w:lineRule="auto"/>
        <w:ind w:firstLine="420" w:firstLineChars="200"/>
        <w:rPr>
          <w:rFonts w:hint="eastAsia" w:eastAsia="黑体"/>
          <w:bCs/>
          <w:color w:val="000000"/>
          <w:szCs w:val="21"/>
        </w:rPr>
      </w:pPr>
      <w:r>
        <w:rPr>
          <w:rFonts w:hint="eastAsia" w:eastAsia="黑体"/>
          <w:bCs/>
          <w:color w:val="000000"/>
          <w:szCs w:val="21"/>
        </w:rPr>
        <w:t>课程名称（英文）：</w:t>
      </w:r>
      <w:r>
        <w:rPr>
          <w:rFonts w:eastAsia="黑体"/>
          <w:bCs/>
          <w:color w:val="000000"/>
          <w:szCs w:val="21"/>
        </w:rPr>
        <w:t>Visual perception and image processing</w:t>
      </w:r>
    </w:p>
    <w:p>
      <w:pPr>
        <w:snapToGrid w:val="0"/>
        <w:spacing w:line="360" w:lineRule="auto"/>
        <w:ind w:firstLine="420" w:firstLineChars="200"/>
        <w:rPr>
          <w:rFonts w:hint="eastAsia" w:eastAsia="黑体"/>
          <w:bCs/>
          <w:color w:val="000000"/>
          <w:szCs w:val="21"/>
        </w:rPr>
      </w:pPr>
      <w:r>
        <w:rPr>
          <w:rFonts w:hint="eastAsia" w:eastAsia="黑体"/>
          <w:bCs/>
          <w:color w:val="000000"/>
          <w:szCs w:val="21"/>
        </w:rPr>
        <w:t>课程代码：</w:t>
      </w:r>
      <w:r>
        <w:rPr>
          <w:rFonts w:eastAsia="黑体"/>
          <w:bCs/>
          <w:color w:val="000000"/>
          <w:szCs w:val="21"/>
        </w:rPr>
        <w:t xml:space="preserve">Z03060407 </w:t>
      </w:r>
      <w:r>
        <w:rPr>
          <w:rFonts w:hint="eastAsia" w:eastAsia="黑体"/>
          <w:bCs/>
          <w:color w:val="000000"/>
          <w:szCs w:val="21"/>
        </w:rPr>
        <w:t xml:space="preserve"> </w:t>
      </w:r>
      <w:r>
        <w:rPr>
          <w:rFonts w:hint="eastAsia" w:eastAsia="黑体"/>
          <w:bCs/>
          <w:color w:val="000000"/>
          <w:szCs w:val="21"/>
        </w:rPr>
        <w:tab/>
      </w:r>
      <w:r>
        <w:rPr>
          <w:rFonts w:hint="eastAsia" w:eastAsia="黑体"/>
          <w:bCs/>
          <w:color w:val="000000"/>
          <w:szCs w:val="21"/>
        </w:rPr>
        <w:tab/>
      </w:r>
      <w:r>
        <w:rPr>
          <w:rFonts w:hint="eastAsia" w:eastAsia="黑体"/>
          <w:bCs/>
          <w:color w:val="000000"/>
          <w:szCs w:val="21"/>
        </w:rPr>
        <w:tab/>
      </w:r>
      <w:r>
        <w:rPr>
          <w:rFonts w:hint="eastAsia" w:eastAsia="黑体"/>
          <w:bCs/>
          <w:color w:val="000000"/>
          <w:szCs w:val="21"/>
        </w:rPr>
        <w:tab/>
      </w:r>
      <w:r>
        <w:rPr>
          <w:rFonts w:hint="eastAsia" w:eastAsia="黑体"/>
          <w:bCs/>
          <w:color w:val="000000"/>
          <w:szCs w:val="21"/>
        </w:rPr>
        <w:tab/>
      </w:r>
      <w:r>
        <w:rPr>
          <w:rFonts w:hint="eastAsia" w:eastAsia="黑体"/>
          <w:bCs/>
          <w:color w:val="000000"/>
          <w:szCs w:val="21"/>
        </w:rPr>
        <w:t>适用层次：本科</w:t>
      </w:r>
    </w:p>
    <w:p>
      <w:pPr>
        <w:snapToGrid w:val="0"/>
        <w:spacing w:line="360" w:lineRule="auto"/>
        <w:ind w:firstLine="420" w:firstLineChars="200"/>
        <w:rPr>
          <w:rFonts w:hint="eastAsia" w:eastAsia="黑体"/>
          <w:bCs/>
          <w:color w:val="000000"/>
          <w:szCs w:val="21"/>
        </w:rPr>
      </w:pPr>
      <w:r>
        <w:rPr>
          <w:rFonts w:hint="eastAsia" w:eastAsia="黑体"/>
          <w:bCs/>
          <w:color w:val="000000"/>
          <w:szCs w:val="21"/>
        </w:rPr>
        <w:t xml:space="preserve">课程类别：专业方向选修课               </w:t>
      </w:r>
      <w:r>
        <w:rPr>
          <w:rFonts w:hint="eastAsia" w:eastAsia="黑体"/>
          <w:bCs/>
          <w:color w:val="000000"/>
          <w:szCs w:val="21"/>
        </w:rPr>
        <w:tab/>
      </w:r>
      <w:r>
        <w:rPr>
          <w:rFonts w:hint="eastAsia" w:eastAsia="黑体"/>
          <w:bCs/>
          <w:color w:val="000000"/>
          <w:szCs w:val="21"/>
        </w:rPr>
        <w:t>课程性质：选修</w:t>
      </w:r>
    </w:p>
    <w:p>
      <w:pPr>
        <w:snapToGrid w:val="0"/>
        <w:spacing w:line="360" w:lineRule="auto"/>
        <w:ind w:firstLine="420" w:firstLineChars="200"/>
        <w:rPr>
          <w:rFonts w:hint="eastAsia" w:eastAsia="黑体"/>
          <w:bCs/>
          <w:color w:val="000000"/>
          <w:szCs w:val="21"/>
        </w:rPr>
      </w:pPr>
      <w:r>
        <w:rPr>
          <w:rFonts w:hint="eastAsia" w:eastAsia="黑体"/>
          <w:bCs/>
          <w:color w:val="000000"/>
          <w:szCs w:val="21"/>
        </w:rPr>
        <w:t>适用专业：智能感知工程</w:t>
      </w:r>
      <w:r>
        <w:rPr>
          <w:rFonts w:eastAsia="黑体"/>
          <w:bCs/>
          <w:color w:val="000000"/>
          <w:szCs w:val="21"/>
        </w:rPr>
        <w:t xml:space="preserve"> </w:t>
      </w:r>
      <w:r>
        <w:rPr>
          <w:rFonts w:hint="eastAsia" w:eastAsia="黑体"/>
          <w:bCs/>
          <w:color w:val="000000"/>
          <w:szCs w:val="21"/>
        </w:rPr>
        <w:t xml:space="preserve">          </w:t>
      </w:r>
      <w:r>
        <w:rPr>
          <w:rFonts w:hint="eastAsia" w:eastAsia="黑体"/>
          <w:bCs/>
          <w:color w:val="000000"/>
          <w:szCs w:val="21"/>
        </w:rPr>
        <w:tab/>
      </w:r>
      <w:r>
        <w:rPr>
          <w:rFonts w:hint="eastAsia" w:eastAsia="黑体"/>
          <w:bCs/>
          <w:color w:val="000000"/>
          <w:szCs w:val="21"/>
        </w:rPr>
        <w:tab/>
      </w:r>
      <w:r>
        <w:rPr>
          <w:rFonts w:hint="eastAsia" w:eastAsia="黑体"/>
          <w:bCs/>
          <w:color w:val="000000"/>
          <w:szCs w:val="21"/>
        </w:rPr>
        <w:t>计划学分：</w:t>
      </w:r>
      <w:r>
        <w:rPr>
          <w:rFonts w:eastAsia="黑体"/>
          <w:bCs/>
          <w:color w:val="000000"/>
          <w:szCs w:val="21"/>
        </w:rPr>
        <w:t>1</w:t>
      </w:r>
    </w:p>
    <w:p>
      <w:pPr>
        <w:snapToGrid w:val="0"/>
        <w:spacing w:line="360" w:lineRule="auto"/>
        <w:ind w:firstLine="420" w:firstLineChars="200"/>
        <w:rPr>
          <w:rFonts w:eastAsia="黑体"/>
          <w:bCs/>
          <w:color w:val="000000"/>
          <w:szCs w:val="21"/>
        </w:rPr>
      </w:pPr>
      <w:r>
        <w:rPr>
          <w:rFonts w:hint="eastAsia" w:eastAsia="黑体"/>
          <w:bCs/>
          <w:color w:val="000000"/>
          <w:szCs w:val="21"/>
        </w:rPr>
        <w:t xml:space="preserve">计划学时（周数）： </w:t>
      </w:r>
      <w:r>
        <w:rPr>
          <w:rFonts w:eastAsia="黑体"/>
          <w:bCs/>
          <w:color w:val="000000"/>
          <w:szCs w:val="21"/>
        </w:rPr>
        <w:t>16</w:t>
      </w:r>
      <w:r>
        <w:rPr>
          <w:rFonts w:hint="eastAsia" w:eastAsia="黑体"/>
          <w:bCs/>
          <w:color w:val="000000"/>
          <w:szCs w:val="21"/>
        </w:rPr>
        <w:t xml:space="preserve">（4）      </w:t>
      </w:r>
      <w:r>
        <w:rPr>
          <w:rFonts w:hint="eastAsia" w:eastAsia="黑体"/>
          <w:bCs/>
          <w:color w:val="000000"/>
          <w:szCs w:val="21"/>
        </w:rPr>
        <w:tab/>
      </w:r>
      <w:r>
        <w:rPr>
          <w:rFonts w:hint="eastAsia" w:eastAsia="黑体"/>
          <w:bCs/>
          <w:color w:val="000000"/>
          <w:szCs w:val="21"/>
        </w:rPr>
        <w:tab/>
      </w:r>
      <w:r>
        <w:rPr>
          <w:rFonts w:hint="eastAsia" w:eastAsia="黑体"/>
          <w:bCs/>
          <w:color w:val="000000"/>
          <w:szCs w:val="21"/>
        </w:rPr>
        <w:tab/>
      </w:r>
      <w:r>
        <w:rPr>
          <w:rFonts w:hint="eastAsia" w:eastAsia="黑体"/>
          <w:bCs/>
          <w:color w:val="000000"/>
          <w:szCs w:val="21"/>
        </w:rPr>
        <w:t>讲课学时：</w:t>
      </w:r>
      <w:r>
        <w:rPr>
          <w:rFonts w:eastAsia="黑体"/>
          <w:bCs/>
          <w:color w:val="000000"/>
          <w:szCs w:val="21"/>
        </w:rPr>
        <w:t>16</w:t>
      </w:r>
      <w:r>
        <w:rPr>
          <w:rFonts w:hint="eastAsia" w:eastAsia="黑体"/>
          <w:bCs/>
          <w:color w:val="000000"/>
          <w:szCs w:val="21"/>
        </w:rPr>
        <w:t xml:space="preserve">       实验学时：</w:t>
      </w:r>
      <w:r>
        <w:rPr>
          <w:rFonts w:eastAsia="黑体"/>
          <w:bCs/>
          <w:color w:val="000000"/>
          <w:szCs w:val="21"/>
        </w:rPr>
        <w:t>0</w:t>
      </w:r>
    </w:p>
    <w:p>
      <w:pPr>
        <w:snapToGrid w:val="0"/>
        <w:spacing w:line="360" w:lineRule="auto"/>
        <w:ind w:firstLine="420" w:firstLineChars="200"/>
        <w:rPr>
          <w:rFonts w:hint="eastAsia" w:eastAsia="黑体"/>
          <w:bCs/>
          <w:color w:val="000000"/>
          <w:szCs w:val="21"/>
        </w:rPr>
      </w:pPr>
      <w:r>
        <w:rPr>
          <w:rFonts w:hint="eastAsia" w:eastAsia="黑体"/>
          <w:bCs/>
          <w:color w:val="000000"/>
          <w:szCs w:val="21"/>
        </w:rPr>
        <w:t>开课学期：</w:t>
      </w:r>
      <w:r>
        <w:rPr>
          <w:rFonts w:eastAsia="黑体"/>
          <w:bCs/>
          <w:color w:val="000000"/>
          <w:szCs w:val="21"/>
        </w:rPr>
        <w:t>6</w:t>
      </w:r>
      <w:r>
        <w:rPr>
          <w:rFonts w:hint="eastAsia" w:eastAsia="黑体"/>
          <w:bCs/>
          <w:color w:val="000000"/>
          <w:szCs w:val="21"/>
        </w:rPr>
        <w:t xml:space="preserve">                       </w:t>
      </w:r>
      <w:r>
        <w:rPr>
          <w:rFonts w:hint="eastAsia" w:eastAsia="黑体"/>
          <w:bCs/>
          <w:color w:val="000000"/>
          <w:szCs w:val="21"/>
        </w:rPr>
        <w:tab/>
      </w:r>
      <w:r>
        <w:rPr>
          <w:rFonts w:hint="eastAsia" w:eastAsia="黑体"/>
          <w:bCs/>
          <w:color w:val="000000"/>
          <w:szCs w:val="21"/>
        </w:rPr>
        <w:tab/>
      </w:r>
      <w:r>
        <w:rPr>
          <w:rFonts w:hint="eastAsia" w:eastAsia="黑体"/>
          <w:bCs/>
          <w:color w:val="000000"/>
          <w:szCs w:val="21"/>
        </w:rPr>
        <w:t>考核方式：考查</w:t>
      </w:r>
    </w:p>
    <w:p>
      <w:pPr>
        <w:snapToGrid w:val="0"/>
        <w:spacing w:line="360" w:lineRule="auto"/>
        <w:ind w:firstLine="420" w:firstLineChars="200"/>
        <w:rPr>
          <w:rFonts w:hint="eastAsia" w:eastAsia="黑体"/>
          <w:bCs/>
          <w:color w:val="000000"/>
          <w:szCs w:val="21"/>
        </w:rPr>
      </w:pPr>
      <w:r>
        <w:rPr>
          <w:rFonts w:hint="eastAsia" w:eastAsia="黑体"/>
          <w:bCs/>
          <w:color w:val="000000"/>
          <w:szCs w:val="21"/>
        </w:rPr>
        <w:t>先修课程：高等数学、线性代数</w:t>
      </w:r>
    </w:p>
    <w:p>
      <w:pPr>
        <w:snapToGrid w:val="0"/>
        <w:spacing w:line="360" w:lineRule="auto"/>
        <w:ind w:firstLine="420" w:firstLineChars="200"/>
        <w:rPr>
          <w:rFonts w:eastAsia="黑体"/>
          <w:bCs/>
          <w:color w:val="000000"/>
          <w:szCs w:val="21"/>
        </w:rPr>
      </w:pPr>
      <w:r>
        <w:rPr>
          <w:rFonts w:hint="eastAsia" w:eastAsia="黑体"/>
          <w:bCs/>
          <w:color w:val="000000"/>
          <w:szCs w:val="21"/>
        </w:rPr>
        <w:t>后续课程：智能感知综合实践</w:t>
      </w:r>
    </w:p>
    <w:p>
      <w:pPr>
        <w:snapToGrid w:val="0"/>
        <w:spacing w:line="360" w:lineRule="auto"/>
        <w:ind w:firstLine="420" w:firstLineChars="200"/>
        <w:rPr>
          <w:rFonts w:hint="eastAsia" w:eastAsia="黑体"/>
          <w:bCs/>
          <w:color w:val="000000"/>
          <w:szCs w:val="21"/>
        </w:rPr>
      </w:pPr>
      <w:r>
        <w:rPr>
          <w:rFonts w:hint="eastAsia" w:eastAsia="黑体"/>
          <w:bCs/>
          <w:color w:val="000000"/>
          <w:szCs w:val="21"/>
        </w:rPr>
        <w:t xml:space="preserve">制定人：  郭肖亭                 </w:t>
      </w:r>
      <w:r>
        <w:rPr>
          <w:rFonts w:hint="eastAsia" w:eastAsia="黑体"/>
          <w:bCs/>
          <w:color w:val="000000"/>
          <w:szCs w:val="21"/>
        </w:rPr>
        <w:tab/>
      </w:r>
      <w:r>
        <w:rPr>
          <w:rFonts w:hint="eastAsia" w:eastAsia="黑体"/>
          <w:bCs/>
          <w:color w:val="000000"/>
          <w:szCs w:val="21"/>
        </w:rPr>
        <w:tab/>
      </w:r>
      <w:r>
        <w:rPr>
          <w:rFonts w:hint="eastAsia" w:eastAsia="黑体"/>
          <w:bCs/>
          <w:color w:val="000000"/>
          <w:szCs w:val="21"/>
        </w:rPr>
        <w:t>教学基层组织审核人：刘文耀</w:t>
      </w:r>
    </w:p>
    <w:p>
      <w:pPr>
        <w:snapToGrid w:val="0"/>
        <w:spacing w:line="360" w:lineRule="auto"/>
        <w:ind w:firstLine="420" w:firstLineChars="200"/>
        <w:rPr>
          <w:rFonts w:hint="eastAsia" w:eastAsia="黑体"/>
          <w:bCs/>
          <w:color w:val="000000"/>
          <w:szCs w:val="21"/>
        </w:rPr>
      </w:pPr>
      <w:r>
        <w:rPr>
          <w:rFonts w:hint="eastAsia" w:eastAsia="黑体"/>
          <w:bCs/>
          <w:color w:val="000000"/>
          <w:szCs w:val="21"/>
        </w:rPr>
        <w:t>开课学院：仪器与电子学院</w:t>
      </w:r>
      <w:r>
        <w:rPr>
          <w:rFonts w:eastAsia="黑体"/>
          <w:bCs/>
          <w:color w:val="000000"/>
          <w:szCs w:val="21"/>
        </w:rPr>
        <w:t xml:space="preserve"> </w:t>
      </w:r>
      <w:r>
        <w:rPr>
          <w:rFonts w:hint="eastAsia" w:eastAsia="黑体"/>
          <w:bCs/>
          <w:color w:val="000000"/>
          <w:szCs w:val="21"/>
        </w:rPr>
        <w:t xml:space="preserve">         </w:t>
      </w:r>
      <w:r>
        <w:rPr>
          <w:rFonts w:hint="eastAsia" w:eastAsia="黑体"/>
          <w:bCs/>
          <w:color w:val="000000"/>
          <w:szCs w:val="21"/>
        </w:rPr>
        <w:tab/>
      </w:r>
      <w:r>
        <w:rPr>
          <w:rFonts w:hint="eastAsia" w:eastAsia="黑体"/>
          <w:bCs/>
          <w:color w:val="000000"/>
          <w:szCs w:val="21"/>
        </w:rPr>
        <w:tab/>
      </w:r>
      <w:r>
        <w:rPr>
          <w:rFonts w:hint="eastAsia" w:eastAsia="黑体"/>
          <w:bCs/>
          <w:color w:val="000000"/>
          <w:szCs w:val="21"/>
        </w:rPr>
        <w:t>开课学院审核人：刘文怡</w:t>
      </w:r>
    </w:p>
    <w:p>
      <w:pPr>
        <w:adjustRightInd w:val="0"/>
        <w:snapToGrid w:val="0"/>
        <w:spacing w:before="156" w:beforeLines="50" w:line="360" w:lineRule="auto"/>
        <w:rPr>
          <w:rFonts w:hint="eastAsia" w:eastAsia="黑体"/>
          <w:color w:val="000000"/>
          <w:szCs w:val="21"/>
        </w:rPr>
      </w:pPr>
      <w:r>
        <w:rPr>
          <w:rFonts w:hint="eastAsia" w:eastAsia="黑体"/>
          <w:color w:val="000000"/>
          <w:szCs w:val="21"/>
        </w:rPr>
        <w:t>二、课程性质与教学目标</w:t>
      </w:r>
    </w:p>
    <w:p>
      <w:pPr>
        <w:snapToGrid w:val="0"/>
        <w:spacing w:line="360" w:lineRule="auto"/>
        <w:ind w:firstLine="422" w:firstLineChars="200"/>
        <w:rPr>
          <w:rFonts w:hint="eastAsia" w:ascii="宋体" w:hAnsi="宋体"/>
          <w:b/>
          <w:color w:val="000000"/>
          <w:szCs w:val="21"/>
        </w:rPr>
      </w:pPr>
      <w:r>
        <w:rPr>
          <w:rFonts w:hint="eastAsia" w:ascii="宋体" w:hAnsi="宋体"/>
          <w:b/>
          <w:color w:val="000000"/>
          <w:szCs w:val="21"/>
        </w:rPr>
        <w:t>1、课程性质与任务</w:t>
      </w:r>
    </w:p>
    <w:p>
      <w:pPr>
        <w:snapToGrid w:val="0"/>
        <w:spacing w:line="360" w:lineRule="auto"/>
        <w:ind w:firstLine="420" w:firstLineChars="200"/>
        <w:rPr>
          <w:rFonts w:ascii="宋体" w:hAnsi="宋体"/>
          <w:bCs/>
          <w:color w:val="000000"/>
          <w:szCs w:val="21"/>
        </w:rPr>
      </w:pPr>
      <w:r>
        <w:rPr>
          <w:rFonts w:hint="eastAsia" w:ascii="宋体" w:hAnsi="宋体"/>
          <w:bCs/>
          <w:color w:val="000000"/>
          <w:szCs w:val="21"/>
        </w:rPr>
        <w:t>本课程是一门属于智能感知类的专业课程，适用于智能感知工程等专业，是该类专业传感与感知方向的选修课程。机器与人类类似，感知智能是认知智能的基础。目前，感知智能的应用主要侧重于机器视觉方面，这是因为机器的其他感知能力应用范围不广。视觉感知是包含听觉感知、触觉感知、力觉感知、味觉感知、嗅觉感知等在内的智能感知中最重要的组成部分和应用前景最广泛的感知类别。因此，目前的智能感知以机器视觉、图像处理、计算机视觉为主。</w:t>
      </w:r>
    </w:p>
    <w:p>
      <w:pPr>
        <w:snapToGrid w:val="0"/>
        <w:spacing w:line="360" w:lineRule="auto"/>
        <w:ind w:firstLine="420" w:firstLineChars="200"/>
        <w:rPr>
          <w:rFonts w:hint="eastAsia" w:ascii="宋体" w:hAnsi="宋体"/>
          <w:b/>
          <w:color w:val="000000"/>
          <w:szCs w:val="21"/>
        </w:rPr>
      </w:pPr>
      <w:r>
        <w:rPr>
          <w:rFonts w:hint="eastAsia" w:ascii="宋体" w:hAnsi="宋体"/>
          <w:bCs/>
          <w:color w:val="000000"/>
          <w:szCs w:val="21"/>
        </w:rPr>
        <w:t>以提高学生对视觉感知为代表的智能感知体系的认知能力为目的，本课程的主要任务是讲授机器视觉和图像处理的理论知识和其典型应用。通过本课程的学习使学生掌握智能感知体系中以机器视觉和图像处理为主要内容的视觉感知的理论知识和适用场景，使学生能够使用机器视觉和图像处理知识在图像信号、计量与检测、智能制造等工业领域进行实践与应用。本课程将围绕智能感知系统中复杂工程问题涉及的视觉系统建模及测量、图像处理等问题对学生进行训练，使学生掌握相关知识、训练相关技能并培养相关素养。</w:t>
      </w:r>
    </w:p>
    <w:p>
      <w:pPr>
        <w:snapToGrid w:val="0"/>
        <w:spacing w:line="360" w:lineRule="auto"/>
        <w:ind w:firstLine="422" w:firstLineChars="200"/>
        <w:rPr>
          <w:rFonts w:hint="eastAsia" w:ascii="宋体" w:hAnsi="宋体"/>
          <w:b/>
          <w:color w:val="000000"/>
          <w:szCs w:val="21"/>
        </w:rPr>
      </w:pPr>
      <w:r>
        <w:rPr>
          <w:rFonts w:hint="eastAsia" w:ascii="宋体" w:hAnsi="宋体"/>
          <w:b/>
          <w:color w:val="000000"/>
          <w:szCs w:val="21"/>
        </w:rPr>
        <w:t>2、课程</w:t>
      </w:r>
      <w:r>
        <w:rPr>
          <w:rFonts w:ascii="宋体" w:hAnsi="宋体"/>
          <w:b/>
          <w:color w:val="000000"/>
          <w:szCs w:val="21"/>
        </w:rPr>
        <w:t>目标</w:t>
      </w:r>
    </w:p>
    <w:p>
      <w:pPr>
        <w:adjustRightInd w:val="0"/>
        <w:snapToGrid w:val="0"/>
        <w:spacing w:line="360" w:lineRule="auto"/>
        <w:ind w:firstLine="420" w:firstLineChars="200"/>
        <w:rPr>
          <w:rFonts w:hAnsi="宋体"/>
          <w:bCs/>
          <w:color w:val="000000"/>
          <w:szCs w:val="21"/>
        </w:rPr>
      </w:pPr>
      <w:r>
        <w:rPr>
          <w:rFonts w:hint="eastAsia" w:hAnsi="宋体"/>
          <w:bCs/>
          <w:color w:val="000000"/>
          <w:szCs w:val="21"/>
        </w:rPr>
        <w:t>课程目标</w:t>
      </w:r>
      <w:r>
        <w:rPr>
          <w:rFonts w:hint="eastAsia"/>
          <w:bCs/>
          <w:color w:val="000000"/>
          <w:szCs w:val="21"/>
        </w:rPr>
        <w:t>1</w:t>
      </w:r>
      <w:r>
        <w:rPr>
          <w:rFonts w:hint="eastAsia" w:hAnsi="宋体"/>
          <w:bCs/>
          <w:color w:val="000000"/>
          <w:szCs w:val="21"/>
        </w:rPr>
        <w:t>：能够掌握机器视觉、图像处理的基本概念、知识体系和研究方法，能够掌握视觉系统的基本组成和工作原理。</w:t>
      </w:r>
      <w:r>
        <w:rPr>
          <w:rFonts w:hAnsi="宋体"/>
          <w:bCs/>
          <w:color w:val="000000"/>
          <w:szCs w:val="21"/>
        </w:rPr>
        <w:t>（支撑毕业要求</w:t>
      </w:r>
      <w:r>
        <w:rPr>
          <w:rFonts w:hint="eastAsia" w:hAnsi="宋体"/>
          <w:bCs/>
          <w:color w:val="000000"/>
          <w:szCs w:val="21"/>
        </w:rPr>
        <w:t>指标点</w:t>
      </w:r>
      <w:r>
        <w:rPr>
          <w:bCs/>
          <w:color w:val="000000"/>
          <w:szCs w:val="21"/>
        </w:rPr>
        <w:t>1</w:t>
      </w:r>
      <w:r>
        <w:rPr>
          <w:rFonts w:hint="eastAsia"/>
          <w:bCs/>
          <w:color w:val="000000"/>
          <w:szCs w:val="21"/>
        </w:rPr>
        <w:t>-1</w:t>
      </w:r>
      <w:r>
        <w:rPr>
          <w:rFonts w:hAnsi="宋体"/>
          <w:bCs/>
          <w:color w:val="000000"/>
          <w:szCs w:val="21"/>
        </w:rPr>
        <w:t>）</w:t>
      </w:r>
    </w:p>
    <w:p>
      <w:pPr>
        <w:adjustRightInd w:val="0"/>
        <w:snapToGrid w:val="0"/>
        <w:spacing w:line="360" w:lineRule="auto"/>
        <w:ind w:firstLine="420" w:firstLineChars="200"/>
        <w:rPr>
          <w:rFonts w:hint="eastAsia" w:hAnsi="宋体"/>
          <w:bCs/>
          <w:color w:val="000000"/>
          <w:szCs w:val="21"/>
        </w:rPr>
      </w:pPr>
      <w:r>
        <w:rPr>
          <w:rFonts w:hint="eastAsia" w:hAnsi="宋体"/>
          <w:bCs/>
          <w:color w:val="000000"/>
          <w:szCs w:val="21"/>
        </w:rPr>
        <w:t>课程目标</w:t>
      </w:r>
      <w:r>
        <w:rPr>
          <w:bCs/>
          <w:color w:val="000000"/>
          <w:szCs w:val="21"/>
        </w:rPr>
        <w:t>2</w:t>
      </w:r>
      <w:r>
        <w:rPr>
          <w:rFonts w:hint="eastAsia" w:hAnsi="宋体"/>
          <w:bCs/>
          <w:color w:val="000000"/>
          <w:szCs w:val="21"/>
        </w:rPr>
        <w:t>：能够根据视觉感知任务需求进行视觉系统的设计、摄像机等器件的选型、图像处理方法选择和算法设计，能够形成解决方案并进行优化。</w:t>
      </w:r>
      <w:r>
        <w:rPr>
          <w:rFonts w:hAnsi="宋体"/>
          <w:bCs/>
          <w:color w:val="000000"/>
          <w:szCs w:val="21"/>
        </w:rPr>
        <w:t>（支撑毕业要求</w:t>
      </w:r>
      <w:r>
        <w:rPr>
          <w:rFonts w:hint="eastAsia" w:hAnsi="宋体"/>
          <w:bCs/>
          <w:color w:val="000000"/>
          <w:szCs w:val="21"/>
        </w:rPr>
        <w:t>指标点</w:t>
      </w:r>
      <w:r>
        <w:rPr>
          <w:rFonts w:hint="eastAsia"/>
          <w:bCs/>
          <w:color w:val="000000"/>
          <w:szCs w:val="21"/>
        </w:rPr>
        <w:t>3-1</w:t>
      </w:r>
      <w:r>
        <w:rPr>
          <w:rFonts w:hAnsi="宋体"/>
          <w:bCs/>
          <w:color w:val="000000"/>
          <w:szCs w:val="21"/>
        </w:rPr>
        <w:t>）</w:t>
      </w:r>
    </w:p>
    <w:p>
      <w:pPr>
        <w:adjustRightInd w:val="0"/>
        <w:snapToGrid w:val="0"/>
        <w:spacing w:line="360" w:lineRule="auto"/>
        <w:ind w:firstLine="420" w:firstLineChars="200"/>
        <w:rPr>
          <w:rFonts w:hint="eastAsia" w:hAnsi="宋体"/>
          <w:bCs/>
          <w:color w:val="000000"/>
          <w:szCs w:val="21"/>
        </w:rPr>
      </w:pPr>
      <w:r>
        <w:rPr>
          <w:rFonts w:hint="eastAsia" w:hAnsi="宋体"/>
          <w:bCs/>
          <w:color w:val="000000"/>
          <w:szCs w:val="21"/>
        </w:rPr>
        <w:t>思政目标：视觉感知与图像处理是智能感知领域最热门的研究领域之一。通过了解国内外该技术的发展现状和差距，激发学生重视技术进步与创新，为国民经济发展和国家进步贡献力量的意识。</w:t>
      </w:r>
    </w:p>
    <w:p>
      <w:pPr>
        <w:adjustRightInd w:val="0"/>
        <w:snapToGrid w:val="0"/>
        <w:spacing w:before="156" w:beforeLines="50" w:line="360" w:lineRule="auto"/>
        <w:rPr>
          <w:rFonts w:hint="eastAsia" w:eastAsia="黑体"/>
          <w:color w:val="000000"/>
          <w:szCs w:val="21"/>
        </w:rPr>
      </w:pPr>
      <w:r>
        <w:rPr>
          <w:rFonts w:hint="eastAsia" w:eastAsia="黑体"/>
          <w:color w:val="000000"/>
          <w:szCs w:val="21"/>
        </w:rPr>
        <w:t>三、课程内容、思政融入点、学时分配及对毕业要求指标点的支撑</w:t>
      </w:r>
    </w:p>
    <w:p>
      <w:pPr>
        <w:adjustRightInd w:val="0"/>
        <w:snapToGrid w:val="0"/>
        <w:spacing w:line="360" w:lineRule="auto"/>
        <w:ind w:firstLine="420" w:firstLineChars="200"/>
        <w:rPr>
          <w:color w:val="000000"/>
          <w:szCs w:val="21"/>
        </w:rPr>
      </w:pPr>
      <w:r>
        <w:rPr>
          <w:color w:val="000000"/>
          <w:szCs w:val="21"/>
          <w:lang w:bidi="ar"/>
        </w:rPr>
        <w:t>1</w:t>
      </w:r>
      <w:r>
        <w:rPr>
          <w:rFonts w:hint="eastAsia" w:cs="宋体"/>
          <w:color w:val="000000"/>
          <w:szCs w:val="21"/>
          <w:lang w:bidi="ar"/>
        </w:rPr>
        <w:t>、本课程为专业课，要求先修高等数学、线性代数课程，在教学中应注重基础知识、基本概念和思维方法的传授，同时运用类比式和启发式教学，使学生掌握最重要的摄像机成像模型及图像处理方法，掌握相关算法设计的方法与手段，以培养学生全局系统分析和设计能力。结合经典的实例，提高学生运用视觉感知知识处理项目问题的意识和能力。</w:t>
      </w:r>
    </w:p>
    <w:p>
      <w:pPr>
        <w:adjustRightInd w:val="0"/>
        <w:snapToGrid w:val="0"/>
        <w:spacing w:line="360" w:lineRule="auto"/>
        <w:ind w:firstLine="420" w:firstLineChars="200"/>
        <w:rPr>
          <w:color w:val="000000"/>
          <w:szCs w:val="21"/>
        </w:rPr>
      </w:pPr>
      <w:r>
        <w:rPr>
          <w:color w:val="000000"/>
          <w:szCs w:val="21"/>
          <w:lang w:bidi="ar"/>
        </w:rPr>
        <w:t>2</w:t>
      </w:r>
      <w:r>
        <w:rPr>
          <w:rFonts w:hint="eastAsia" w:cs="宋体"/>
          <w:color w:val="000000"/>
          <w:szCs w:val="21"/>
          <w:lang w:bidi="ar"/>
        </w:rPr>
        <w:t>、深度和广度说明：对摄像机成像模型、图像处理算法要深入讲解，立体视觉与三维重建只做简单介绍；机器视觉的发展及应用了解即可，视觉系统的组成及图像处理的掌握是重点。</w:t>
      </w:r>
    </w:p>
    <w:p>
      <w:pPr>
        <w:adjustRightInd w:val="0"/>
        <w:snapToGrid w:val="0"/>
        <w:spacing w:line="360" w:lineRule="auto"/>
        <w:ind w:firstLine="420" w:firstLineChars="200"/>
        <w:rPr>
          <w:color w:val="000000"/>
          <w:szCs w:val="21"/>
        </w:rPr>
      </w:pPr>
      <w:r>
        <w:rPr>
          <w:color w:val="000000"/>
          <w:szCs w:val="21"/>
          <w:lang w:bidi="ar"/>
        </w:rPr>
        <w:t>3</w:t>
      </w:r>
      <w:r>
        <w:rPr>
          <w:rFonts w:hint="eastAsia" w:cs="宋体"/>
          <w:color w:val="000000"/>
          <w:szCs w:val="21"/>
          <w:lang w:bidi="ar"/>
        </w:rPr>
        <w:t>、偏差说明：为了鼓励教师引入个人授课风格或者适应技术发展的紧迫性，本课程允许教师授课内容做适当调整，最大正偏差为</w:t>
      </w:r>
      <w:r>
        <w:rPr>
          <w:color w:val="000000"/>
          <w:szCs w:val="21"/>
          <w:lang w:bidi="ar"/>
        </w:rPr>
        <w:t>10%</w:t>
      </w:r>
      <w:r>
        <w:rPr>
          <w:rFonts w:hint="eastAsia" w:cs="宋体"/>
          <w:color w:val="000000"/>
          <w:szCs w:val="21"/>
          <w:lang w:bidi="ar"/>
        </w:rPr>
        <w:t>，不允许负偏差。正偏差通过压缩同等内容的学时数来完成。特殊情况，最大正偏差和置换偏差累计可达到</w:t>
      </w:r>
      <w:r>
        <w:rPr>
          <w:color w:val="000000"/>
          <w:szCs w:val="21"/>
          <w:lang w:bidi="ar"/>
        </w:rPr>
        <w:t>20%</w:t>
      </w:r>
      <w:r>
        <w:rPr>
          <w:rFonts w:hint="eastAsia" w:cs="宋体"/>
          <w:color w:val="000000"/>
          <w:szCs w:val="21"/>
          <w:lang w:bidi="ar"/>
        </w:rPr>
        <w:t>，但在开课前要申请专业责任人批准。（正偏差指大纲知识点不变，新增知识点；负偏差是大纲知识点减少；置换偏差是指大纲中部分知识点被其它类似知识点替换）。</w:t>
      </w:r>
    </w:p>
    <w:p>
      <w:pPr>
        <w:jc w:val="center"/>
        <w:rPr>
          <w:rFonts w:hint="eastAsia"/>
          <w:b/>
          <w:bCs/>
          <w:color w:val="000000"/>
          <w:sz w:val="18"/>
          <w:szCs w:val="18"/>
        </w:rPr>
      </w:pPr>
      <w:r>
        <w:rPr>
          <w:rFonts w:hint="eastAsia"/>
          <w:b/>
          <w:bCs/>
          <w:color w:val="000000"/>
          <w:sz w:val="18"/>
          <w:szCs w:val="18"/>
        </w:rPr>
        <w:t>表3.1课程内容、学时分配及对毕业要求指标点的支撑</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0"/>
        <w:gridCol w:w="5773"/>
        <w:gridCol w:w="527"/>
        <w:gridCol w:w="583"/>
        <w:gridCol w:w="562"/>
        <w:gridCol w:w="617"/>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318" w:type="pct"/>
            <w:shd w:val="clear" w:color="auto" w:fill="D9D9D9"/>
            <w:vAlign w:val="center"/>
          </w:tcPr>
          <w:p>
            <w:pPr>
              <w:snapToGrid w:val="0"/>
              <w:jc w:val="center"/>
              <w:rPr>
                <w:rFonts w:hint="eastAsia"/>
                <w:b/>
                <w:color w:val="000000"/>
                <w:sz w:val="18"/>
                <w:szCs w:val="18"/>
              </w:rPr>
            </w:pPr>
            <w:r>
              <w:rPr>
                <w:rFonts w:hint="eastAsia"/>
                <w:b/>
                <w:color w:val="000000"/>
                <w:sz w:val="18"/>
                <w:szCs w:val="18"/>
              </w:rPr>
              <w:t>序号</w:t>
            </w:r>
          </w:p>
        </w:tc>
        <w:tc>
          <w:tcPr>
            <w:tcW w:w="3110" w:type="pct"/>
            <w:shd w:val="clear" w:color="auto" w:fill="D9D9D9"/>
            <w:vAlign w:val="center"/>
          </w:tcPr>
          <w:p>
            <w:pPr>
              <w:snapToGrid w:val="0"/>
              <w:jc w:val="center"/>
              <w:rPr>
                <w:b/>
                <w:color w:val="000000"/>
                <w:sz w:val="18"/>
                <w:szCs w:val="18"/>
              </w:rPr>
            </w:pPr>
            <w:r>
              <w:rPr>
                <w:rFonts w:hint="eastAsia"/>
                <w:b/>
                <w:color w:val="000000"/>
                <w:sz w:val="18"/>
                <w:szCs w:val="18"/>
              </w:rPr>
              <w:t>内            容</w:t>
            </w:r>
          </w:p>
        </w:tc>
        <w:tc>
          <w:tcPr>
            <w:tcW w:w="284" w:type="pct"/>
            <w:shd w:val="clear" w:color="auto" w:fill="D9D9D9"/>
            <w:vAlign w:val="center"/>
          </w:tcPr>
          <w:p>
            <w:pPr>
              <w:snapToGrid w:val="0"/>
              <w:jc w:val="center"/>
              <w:rPr>
                <w:b/>
                <w:color w:val="000000"/>
                <w:sz w:val="18"/>
                <w:szCs w:val="18"/>
              </w:rPr>
            </w:pPr>
            <w:r>
              <w:rPr>
                <w:b/>
                <w:color w:val="000000"/>
                <w:sz w:val="18"/>
                <w:szCs w:val="18"/>
              </w:rPr>
              <w:t>讲课</w:t>
            </w:r>
          </w:p>
        </w:tc>
        <w:tc>
          <w:tcPr>
            <w:tcW w:w="314" w:type="pct"/>
            <w:shd w:val="clear" w:color="auto" w:fill="D9D9D9"/>
            <w:vAlign w:val="center"/>
          </w:tcPr>
          <w:p>
            <w:pPr>
              <w:snapToGrid w:val="0"/>
              <w:jc w:val="center"/>
              <w:rPr>
                <w:b/>
                <w:color w:val="000000"/>
                <w:sz w:val="18"/>
                <w:szCs w:val="18"/>
              </w:rPr>
            </w:pPr>
            <w:r>
              <w:rPr>
                <w:b/>
                <w:color w:val="000000"/>
                <w:sz w:val="18"/>
                <w:szCs w:val="18"/>
              </w:rPr>
              <w:t>实验</w:t>
            </w:r>
          </w:p>
        </w:tc>
        <w:tc>
          <w:tcPr>
            <w:tcW w:w="303" w:type="pct"/>
            <w:shd w:val="clear" w:color="auto" w:fill="D9D9D9"/>
            <w:vAlign w:val="center"/>
          </w:tcPr>
          <w:p>
            <w:pPr>
              <w:snapToGrid w:val="0"/>
              <w:jc w:val="center"/>
              <w:rPr>
                <w:b/>
                <w:color w:val="000000"/>
                <w:sz w:val="18"/>
                <w:szCs w:val="18"/>
              </w:rPr>
            </w:pPr>
            <w:r>
              <w:rPr>
                <w:rFonts w:hint="eastAsia"/>
                <w:b/>
                <w:color w:val="000000"/>
                <w:sz w:val="18"/>
                <w:szCs w:val="18"/>
              </w:rPr>
              <w:t>小计</w:t>
            </w:r>
          </w:p>
        </w:tc>
        <w:tc>
          <w:tcPr>
            <w:tcW w:w="332" w:type="pct"/>
            <w:shd w:val="clear" w:color="auto" w:fill="D9D9D9"/>
            <w:vAlign w:val="center"/>
          </w:tcPr>
          <w:p>
            <w:pPr>
              <w:snapToGrid w:val="0"/>
              <w:jc w:val="center"/>
              <w:rPr>
                <w:b/>
                <w:color w:val="000000"/>
                <w:sz w:val="18"/>
                <w:szCs w:val="18"/>
              </w:rPr>
            </w:pPr>
            <w:r>
              <w:rPr>
                <w:b/>
                <w:color w:val="000000"/>
                <w:sz w:val="18"/>
                <w:szCs w:val="18"/>
              </w:rPr>
              <w:t>支撑课程目标</w:t>
            </w:r>
          </w:p>
        </w:tc>
        <w:tc>
          <w:tcPr>
            <w:tcW w:w="339" w:type="pct"/>
            <w:shd w:val="clear" w:color="auto" w:fill="D9D9D9"/>
            <w:vAlign w:val="center"/>
          </w:tcPr>
          <w:p>
            <w:pPr>
              <w:snapToGrid w:val="0"/>
              <w:jc w:val="center"/>
              <w:rPr>
                <w:b/>
                <w:color w:val="000000"/>
                <w:sz w:val="18"/>
                <w:szCs w:val="18"/>
              </w:rPr>
            </w:pPr>
            <w:r>
              <w:rPr>
                <w:b/>
                <w:color w:val="000000"/>
                <w:sz w:val="18"/>
                <w:szCs w:val="18"/>
              </w:rPr>
              <w:t>支撑指标点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 w:type="pct"/>
            <w:vAlign w:val="center"/>
          </w:tcPr>
          <w:p>
            <w:pPr>
              <w:spacing w:line="280" w:lineRule="exact"/>
              <w:jc w:val="center"/>
              <w:rPr>
                <w:rFonts w:hint="eastAsia"/>
                <w:color w:val="000000"/>
                <w:sz w:val="18"/>
                <w:szCs w:val="18"/>
              </w:rPr>
            </w:pPr>
            <w:bookmarkStart w:id="69" w:name="_Hlk89722297"/>
            <w:r>
              <w:rPr>
                <w:rFonts w:hint="eastAsia"/>
                <w:color w:val="000000"/>
                <w:sz w:val="18"/>
                <w:szCs w:val="18"/>
              </w:rPr>
              <w:t>1</w:t>
            </w:r>
          </w:p>
        </w:tc>
        <w:tc>
          <w:tcPr>
            <w:tcW w:w="3110" w:type="pct"/>
          </w:tcPr>
          <w:p>
            <w:pPr>
              <w:spacing w:line="280" w:lineRule="exact"/>
              <w:rPr>
                <w:rFonts w:hint="eastAsia"/>
                <w:b/>
                <w:bCs/>
                <w:color w:val="000000"/>
                <w:sz w:val="18"/>
                <w:szCs w:val="18"/>
              </w:rPr>
            </w:pPr>
            <w:r>
              <w:rPr>
                <w:rFonts w:hint="eastAsia"/>
                <w:b/>
                <w:bCs/>
                <w:color w:val="000000"/>
                <w:sz w:val="18"/>
                <w:szCs w:val="18"/>
              </w:rPr>
              <w:t>1 绪论</w:t>
            </w:r>
          </w:p>
          <w:p>
            <w:pPr>
              <w:spacing w:line="280" w:lineRule="exact"/>
              <w:ind w:firstLine="180" w:firstLineChars="100"/>
              <w:rPr>
                <w:rFonts w:hint="eastAsia"/>
                <w:color w:val="000000"/>
                <w:sz w:val="18"/>
                <w:szCs w:val="18"/>
              </w:rPr>
            </w:pPr>
            <w:r>
              <w:rPr>
                <w:rFonts w:hint="eastAsia"/>
                <w:color w:val="000000"/>
                <w:sz w:val="18"/>
                <w:szCs w:val="18"/>
              </w:rPr>
              <w:t>1.1、本课程在专业课程体系中的地位和作用；</w:t>
            </w:r>
          </w:p>
          <w:p>
            <w:pPr>
              <w:spacing w:line="280" w:lineRule="exact"/>
              <w:ind w:firstLine="180" w:firstLineChars="100"/>
              <w:rPr>
                <w:rFonts w:hint="eastAsia"/>
                <w:color w:val="000000"/>
                <w:sz w:val="18"/>
                <w:szCs w:val="18"/>
              </w:rPr>
            </w:pPr>
            <w:r>
              <w:rPr>
                <w:rFonts w:hint="eastAsia"/>
                <w:color w:val="000000"/>
                <w:sz w:val="18"/>
                <w:szCs w:val="18"/>
              </w:rPr>
              <w:t>1.2、课程内容、学习方法、讲授方式、评价方式介绍；</w:t>
            </w:r>
          </w:p>
          <w:p>
            <w:pPr>
              <w:spacing w:line="280" w:lineRule="exact"/>
              <w:ind w:firstLine="180" w:firstLineChars="100"/>
              <w:rPr>
                <w:rFonts w:hint="eastAsia"/>
                <w:color w:val="000000"/>
                <w:sz w:val="18"/>
                <w:szCs w:val="18"/>
              </w:rPr>
            </w:pPr>
            <w:r>
              <w:rPr>
                <w:rFonts w:hint="eastAsia"/>
                <w:color w:val="000000"/>
                <w:sz w:val="18"/>
                <w:szCs w:val="18"/>
              </w:rPr>
              <w:t>1.3、机器视觉的发展及系统构成；</w:t>
            </w:r>
          </w:p>
          <w:p>
            <w:pPr>
              <w:spacing w:line="280" w:lineRule="exact"/>
              <w:ind w:firstLine="180" w:firstLineChars="100"/>
              <w:rPr>
                <w:rFonts w:hint="eastAsia"/>
                <w:color w:val="000000"/>
                <w:sz w:val="18"/>
                <w:szCs w:val="18"/>
              </w:rPr>
            </w:pPr>
            <w:r>
              <w:rPr>
                <w:color w:val="000000"/>
                <w:sz w:val="18"/>
                <w:szCs w:val="18"/>
              </w:rPr>
              <w:t>1.4</w:t>
            </w:r>
            <w:r>
              <w:rPr>
                <w:rFonts w:hint="eastAsia"/>
                <w:color w:val="000000"/>
                <w:sz w:val="18"/>
                <w:szCs w:val="18"/>
              </w:rPr>
              <w:t>、Marr的视觉理论框架；</w:t>
            </w:r>
          </w:p>
          <w:p>
            <w:pPr>
              <w:spacing w:line="280" w:lineRule="exact"/>
              <w:ind w:firstLine="180" w:firstLineChars="100"/>
              <w:rPr>
                <w:rFonts w:hint="eastAsia"/>
                <w:b/>
                <w:bCs/>
                <w:color w:val="000000"/>
                <w:sz w:val="18"/>
                <w:szCs w:val="18"/>
              </w:rPr>
            </w:pPr>
            <w:r>
              <w:rPr>
                <w:color w:val="000000"/>
                <w:sz w:val="18"/>
                <w:szCs w:val="18"/>
              </w:rPr>
              <w:t>1.5</w:t>
            </w:r>
            <w:r>
              <w:rPr>
                <w:rFonts w:hint="eastAsia"/>
                <w:color w:val="000000"/>
                <w:sz w:val="18"/>
                <w:szCs w:val="18"/>
              </w:rPr>
              <w:t>、机器视觉任务和机器视觉与其他领域的关系；</w:t>
            </w:r>
          </w:p>
        </w:tc>
        <w:tc>
          <w:tcPr>
            <w:tcW w:w="284" w:type="pct"/>
            <w:vAlign w:val="center"/>
          </w:tcPr>
          <w:p>
            <w:pPr>
              <w:spacing w:line="280" w:lineRule="exact"/>
              <w:jc w:val="center"/>
              <w:rPr>
                <w:rFonts w:hint="eastAsia" w:cs="Calibri"/>
                <w:b/>
                <w:color w:val="000000"/>
                <w:sz w:val="18"/>
                <w:szCs w:val="18"/>
              </w:rPr>
            </w:pPr>
            <w:r>
              <w:rPr>
                <w:rFonts w:cs="Calibri"/>
                <w:b/>
                <w:color w:val="000000"/>
                <w:sz w:val="18"/>
                <w:szCs w:val="18"/>
              </w:rPr>
              <w:t>1</w:t>
            </w:r>
          </w:p>
        </w:tc>
        <w:tc>
          <w:tcPr>
            <w:tcW w:w="314" w:type="pct"/>
            <w:vAlign w:val="center"/>
          </w:tcPr>
          <w:p>
            <w:pPr>
              <w:spacing w:line="280" w:lineRule="exact"/>
              <w:jc w:val="center"/>
              <w:rPr>
                <w:rFonts w:cs="Calibri"/>
                <w:b/>
                <w:color w:val="000000"/>
                <w:sz w:val="18"/>
                <w:szCs w:val="18"/>
              </w:rPr>
            </w:pPr>
            <w:r>
              <w:rPr>
                <w:rFonts w:hint="eastAsia" w:cs="Calibri"/>
                <w:b/>
                <w:color w:val="000000"/>
                <w:sz w:val="18"/>
                <w:szCs w:val="18"/>
              </w:rPr>
              <w:t>0</w:t>
            </w:r>
          </w:p>
        </w:tc>
        <w:tc>
          <w:tcPr>
            <w:tcW w:w="303" w:type="pct"/>
            <w:vAlign w:val="center"/>
          </w:tcPr>
          <w:p>
            <w:pPr>
              <w:spacing w:line="280" w:lineRule="exact"/>
              <w:jc w:val="center"/>
              <w:rPr>
                <w:rFonts w:hint="eastAsia" w:cs="Calibri"/>
                <w:b/>
                <w:color w:val="000000"/>
                <w:sz w:val="18"/>
                <w:szCs w:val="18"/>
              </w:rPr>
            </w:pPr>
            <w:r>
              <w:rPr>
                <w:rFonts w:hint="eastAsia" w:cs="Calibri"/>
                <w:b/>
                <w:color w:val="000000"/>
                <w:sz w:val="18"/>
                <w:szCs w:val="18"/>
              </w:rPr>
              <w:t>1</w:t>
            </w:r>
          </w:p>
        </w:tc>
        <w:tc>
          <w:tcPr>
            <w:tcW w:w="332" w:type="pct"/>
            <w:vAlign w:val="center"/>
          </w:tcPr>
          <w:p>
            <w:pPr>
              <w:spacing w:line="280" w:lineRule="exact"/>
              <w:jc w:val="center"/>
              <w:rPr>
                <w:rFonts w:hint="eastAsia" w:cs="Calibri"/>
                <w:b/>
                <w:color w:val="000000"/>
                <w:sz w:val="18"/>
                <w:szCs w:val="18"/>
              </w:rPr>
            </w:pPr>
            <w:r>
              <w:rPr>
                <w:rFonts w:cs="Calibri"/>
                <w:b/>
                <w:color w:val="000000"/>
                <w:sz w:val="18"/>
                <w:szCs w:val="18"/>
              </w:rPr>
              <w:t>1</w:t>
            </w:r>
          </w:p>
        </w:tc>
        <w:tc>
          <w:tcPr>
            <w:tcW w:w="339" w:type="pct"/>
            <w:vAlign w:val="center"/>
          </w:tcPr>
          <w:p>
            <w:pPr>
              <w:spacing w:line="280" w:lineRule="exact"/>
              <w:jc w:val="center"/>
              <w:rPr>
                <w:rFonts w:cs="Calibri"/>
                <w:b/>
                <w:color w:val="000000"/>
                <w:sz w:val="18"/>
                <w:szCs w:val="18"/>
              </w:rPr>
            </w:pPr>
            <w:r>
              <w:rPr>
                <w:rFonts w:cs="Calibri"/>
                <w:b/>
                <w:color w:val="000000"/>
                <w:sz w:val="18"/>
                <w:szCs w:val="18"/>
              </w:rPr>
              <w:t>1</w:t>
            </w:r>
            <w:r>
              <w:rPr>
                <w:rFonts w:hint="eastAsia" w:cs="Calibri"/>
                <w:b/>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 w:type="pct"/>
            <w:vAlign w:val="center"/>
          </w:tcPr>
          <w:p>
            <w:pPr>
              <w:spacing w:line="280" w:lineRule="exact"/>
              <w:jc w:val="center"/>
              <w:rPr>
                <w:rFonts w:hint="eastAsia"/>
                <w:color w:val="000000"/>
                <w:sz w:val="18"/>
                <w:szCs w:val="18"/>
              </w:rPr>
            </w:pPr>
            <w:r>
              <w:rPr>
                <w:rFonts w:hint="eastAsia"/>
                <w:color w:val="000000"/>
                <w:sz w:val="18"/>
                <w:szCs w:val="18"/>
              </w:rPr>
              <w:t>2</w:t>
            </w:r>
          </w:p>
        </w:tc>
        <w:tc>
          <w:tcPr>
            <w:tcW w:w="3110" w:type="pct"/>
          </w:tcPr>
          <w:p>
            <w:pPr>
              <w:spacing w:line="280" w:lineRule="exact"/>
              <w:rPr>
                <w:rFonts w:hint="eastAsia"/>
                <w:b/>
                <w:bCs/>
                <w:color w:val="000000"/>
                <w:sz w:val="18"/>
                <w:szCs w:val="18"/>
              </w:rPr>
            </w:pPr>
            <w:r>
              <w:rPr>
                <w:rFonts w:hint="eastAsia"/>
                <w:b/>
                <w:bCs/>
                <w:color w:val="000000"/>
                <w:sz w:val="18"/>
                <w:szCs w:val="18"/>
              </w:rPr>
              <w:t>2</w:t>
            </w:r>
            <w:bookmarkStart w:id="70" w:name="_Hlk89721452"/>
            <w:r>
              <w:rPr>
                <w:rFonts w:hint="eastAsia"/>
                <w:b/>
                <w:bCs/>
                <w:color w:val="000000"/>
                <w:sz w:val="18"/>
                <w:szCs w:val="18"/>
              </w:rPr>
              <w:t>成像与图像采集</w:t>
            </w:r>
          </w:p>
          <w:bookmarkEnd w:id="70"/>
          <w:p>
            <w:pPr>
              <w:spacing w:line="280" w:lineRule="exact"/>
              <w:ind w:firstLine="180" w:firstLineChars="100"/>
              <w:rPr>
                <w:rFonts w:hint="eastAsia"/>
                <w:color w:val="000000"/>
                <w:sz w:val="18"/>
                <w:szCs w:val="18"/>
              </w:rPr>
            </w:pPr>
            <w:r>
              <w:rPr>
                <w:rFonts w:hint="eastAsia"/>
                <w:color w:val="000000"/>
                <w:sz w:val="18"/>
                <w:szCs w:val="18"/>
              </w:rPr>
              <w:t>2.1、亮度与成像；</w:t>
            </w:r>
          </w:p>
          <w:p>
            <w:pPr>
              <w:spacing w:line="280" w:lineRule="exact"/>
              <w:ind w:firstLine="180" w:firstLineChars="100"/>
              <w:rPr>
                <w:rFonts w:hint="eastAsia"/>
                <w:color w:val="000000"/>
                <w:sz w:val="18"/>
                <w:szCs w:val="18"/>
              </w:rPr>
            </w:pPr>
            <w:r>
              <w:rPr>
                <w:rFonts w:hint="eastAsia"/>
                <w:color w:val="000000"/>
                <w:sz w:val="18"/>
                <w:szCs w:val="18"/>
              </w:rPr>
              <w:t>2.2、镜头；</w:t>
            </w:r>
          </w:p>
          <w:p>
            <w:pPr>
              <w:spacing w:line="280" w:lineRule="exact"/>
              <w:ind w:firstLine="180" w:firstLineChars="100"/>
              <w:rPr>
                <w:rFonts w:hint="eastAsia"/>
                <w:color w:val="000000"/>
                <w:sz w:val="18"/>
                <w:szCs w:val="18"/>
              </w:rPr>
            </w:pPr>
            <w:r>
              <w:rPr>
                <w:rFonts w:hint="eastAsia"/>
                <w:color w:val="000000"/>
                <w:sz w:val="18"/>
                <w:szCs w:val="18"/>
              </w:rPr>
              <w:t>2.3、摄像机；（重点）</w:t>
            </w:r>
          </w:p>
          <w:p>
            <w:pPr>
              <w:spacing w:line="280" w:lineRule="exact"/>
              <w:ind w:firstLine="180" w:firstLineChars="100"/>
              <w:rPr>
                <w:rFonts w:hint="eastAsia"/>
                <w:color w:val="000000"/>
                <w:sz w:val="18"/>
                <w:szCs w:val="18"/>
              </w:rPr>
            </w:pPr>
            <w:r>
              <w:rPr>
                <w:rFonts w:hint="eastAsia"/>
                <w:color w:val="000000"/>
                <w:sz w:val="18"/>
                <w:szCs w:val="18"/>
              </w:rPr>
              <w:t>2.4、摄像机-计算机接口；</w:t>
            </w:r>
          </w:p>
        </w:tc>
        <w:tc>
          <w:tcPr>
            <w:tcW w:w="284" w:type="pct"/>
            <w:vAlign w:val="center"/>
          </w:tcPr>
          <w:p>
            <w:pPr>
              <w:spacing w:line="280" w:lineRule="exact"/>
              <w:jc w:val="center"/>
              <w:rPr>
                <w:rFonts w:hint="eastAsia" w:cs="Calibri"/>
                <w:b/>
                <w:color w:val="000000"/>
                <w:sz w:val="18"/>
                <w:szCs w:val="18"/>
              </w:rPr>
            </w:pPr>
            <w:r>
              <w:rPr>
                <w:rFonts w:cs="Calibri"/>
                <w:b/>
                <w:color w:val="000000"/>
                <w:sz w:val="18"/>
                <w:szCs w:val="18"/>
              </w:rPr>
              <w:t>3</w:t>
            </w:r>
          </w:p>
        </w:tc>
        <w:tc>
          <w:tcPr>
            <w:tcW w:w="314" w:type="pct"/>
            <w:vAlign w:val="center"/>
          </w:tcPr>
          <w:p>
            <w:pPr>
              <w:spacing w:line="280" w:lineRule="exact"/>
              <w:jc w:val="center"/>
              <w:rPr>
                <w:rFonts w:cs="Calibri"/>
                <w:b/>
                <w:color w:val="000000"/>
                <w:sz w:val="18"/>
                <w:szCs w:val="18"/>
              </w:rPr>
            </w:pPr>
            <w:r>
              <w:rPr>
                <w:rFonts w:hint="eastAsia" w:cs="Calibri"/>
                <w:b/>
                <w:color w:val="000000"/>
                <w:sz w:val="18"/>
                <w:szCs w:val="18"/>
              </w:rPr>
              <w:t>0</w:t>
            </w:r>
          </w:p>
        </w:tc>
        <w:tc>
          <w:tcPr>
            <w:tcW w:w="303" w:type="pct"/>
            <w:vAlign w:val="center"/>
          </w:tcPr>
          <w:p>
            <w:pPr>
              <w:spacing w:line="280" w:lineRule="exact"/>
              <w:jc w:val="center"/>
              <w:rPr>
                <w:rFonts w:hint="eastAsia" w:cs="Calibri"/>
                <w:b/>
                <w:color w:val="000000"/>
                <w:sz w:val="18"/>
                <w:szCs w:val="18"/>
              </w:rPr>
            </w:pPr>
            <w:r>
              <w:rPr>
                <w:rFonts w:cs="Calibri"/>
                <w:b/>
                <w:color w:val="000000"/>
                <w:sz w:val="18"/>
                <w:szCs w:val="18"/>
              </w:rPr>
              <w:t>3</w:t>
            </w:r>
          </w:p>
        </w:tc>
        <w:tc>
          <w:tcPr>
            <w:tcW w:w="332" w:type="pct"/>
            <w:vAlign w:val="center"/>
          </w:tcPr>
          <w:p>
            <w:pPr>
              <w:spacing w:line="280" w:lineRule="exact"/>
              <w:jc w:val="center"/>
              <w:rPr>
                <w:rFonts w:cs="Calibri"/>
                <w:b/>
                <w:color w:val="000000"/>
                <w:sz w:val="18"/>
                <w:szCs w:val="18"/>
              </w:rPr>
            </w:pPr>
            <w:r>
              <w:rPr>
                <w:rFonts w:cs="Calibri"/>
                <w:b/>
                <w:color w:val="000000"/>
                <w:sz w:val="18"/>
                <w:szCs w:val="18"/>
              </w:rPr>
              <w:t>1</w:t>
            </w:r>
            <w:r>
              <w:rPr>
                <w:rFonts w:hint="eastAsia" w:cs="Calibri"/>
                <w:b/>
                <w:color w:val="000000"/>
                <w:sz w:val="18"/>
                <w:szCs w:val="18"/>
              </w:rPr>
              <w:t>、</w:t>
            </w:r>
            <w:r>
              <w:rPr>
                <w:rFonts w:cs="Calibri"/>
                <w:b/>
                <w:color w:val="000000"/>
                <w:sz w:val="18"/>
                <w:szCs w:val="18"/>
              </w:rPr>
              <w:t>2</w:t>
            </w:r>
          </w:p>
        </w:tc>
        <w:tc>
          <w:tcPr>
            <w:tcW w:w="339" w:type="pct"/>
            <w:vAlign w:val="center"/>
          </w:tcPr>
          <w:p>
            <w:pPr>
              <w:spacing w:line="280" w:lineRule="exact"/>
              <w:jc w:val="center"/>
              <w:rPr>
                <w:rFonts w:hint="eastAsia" w:cs="Calibri"/>
                <w:b/>
                <w:color w:val="000000"/>
                <w:sz w:val="18"/>
                <w:szCs w:val="18"/>
              </w:rPr>
            </w:pPr>
            <w:r>
              <w:rPr>
                <w:rFonts w:cs="Calibri"/>
                <w:b/>
                <w:color w:val="000000"/>
                <w:sz w:val="18"/>
                <w:szCs w:val="18"/>
              </w:rPr>
              <w:t>1</w:t>
            </w:r>
            <w:r>
              <w:rPr>
                <w:rFonts w:hint="eastAsia" w:cs="Calibri"/>
                <w:b/>
                <w:color w:val="000000"/>
                <w:sz w:val="18"/>
                <w:szCs w:val="18"/>
              </w:rPr>
              <w:t>-1</w:t>
            </w:r>
          </w:p>
          <w:p>
            <w:pPr>
              <w:spacing w:line="280" w:lineRule="exact"/>
              <w:jc w:val="center"/>
              <w:rPr>
                <w:rFonts w:cs="Calibri"/>
                <w:b/>
                <w:color w:val="000000"/>
                <w:sz w:val="18"/>
                <w:szCs w:val="18"/>
              </w:rPr>
            </w:pPr>
            <w:r>
              <w:rPr>
                <w:rFonts w:cs="Calibri"/>
                <w:b/>
                <w:color w:val="000000"/>
                <w:sz w:val="18"/>
                <w:szCs w:val="18"/>
              </w:rPr>
              <w:t>3</w:t>
            </w:r>
            <w:r>
              <w:rPr>
                <w:rFonts w:hint="eastAsia" w:cs="Calibri"/>
                <w:b/>
                <w:color w:val="000000"/>
                <w:sz w:val="18"/>
                <w:szCs w:val="18"/>
              </w:rPr>
              <w:t>-</w:t>
            </w:r>
            <w:r>
              <w:rPr>
                <w:rFonts w:cs="Calibri"/>
                <w:b/>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 w:type="pct"/>
            <w:vAlign w:val="center"/>
          </w:tcPr>
          <w:p>
            <w:pPr>
              <w:spacing w:line="280" w:lineRule="exact"/>
              <w:jc w:val="center"/>
              <w:rPr>
                <w:rFonts w:hint="eastAsia"/>
                <w:color w:val="000000"/>
                <w:sz w:val="18"/>
                <w:szCs w:val="18"/>
              </w:rPr>
            </w:pPr>
            <w:r>
              <w:rPr>
                <w:rFonts w:hint="eastAsia"/>
                <w:color w:val="000000"/>
                <w:sz w:val="18"/>
                <w:szCs w:val="18"/>
              </w:rPr>
              <w:t>3</w:t>
            </w:r>
          </w:p>
        </w:tc>
        <w:tc>
          <w:tcPr>
            <w:tcW w:w="3110" w:type="pct"/>
          </w:tcPr>
          <w:p>
            <w:pPr>
              <w:spacing w:line="280" w:lineRule="exact"/>
              <w:rPr>
                <w:rFonts w:hint="eastAsia"/>
                <w:b/>
                <w:bCs/>
                <w:color w:val="000000"/>
                <w:sz w:val="18"/>
                <w:szCs w:val="18"/>
              </w:rPr>
            </w:pPr>
            <w:r>
              <w:rPr>
                <w:rFonts w:hint="eastAsia"/>
                <w:b/>
                <w:bCs/>
                <w:color w:val="000000"/>
                <w:sz w:val="18"/>
                <w:szCs w:val="18"/>
              </w:rPr>
              <w:t>3图像预处理基础</w:t>
            </w:r>
          </w:p>
          <w:p>
            <w:pPr>
              <w:spacing w:line="280" w:lineRule="exact"/>
              <w:ind w:firstLine="180" w:firstLineChars="100"/>
              <w:rPr>
                <w:rFonts w:hint="eastAsia"/>
                <w:color w:val="000000"/>
                <w:sz w:val="18"/>
                <w:szCs w:val="18"/>
              </w:rPr>
            </w:pPr>
            <w:r>
              <w:rPr>
                <w:rFonts w:hint="eastAsia"/>
                <w:color w:val="000000"/>
                <w:sz w:val="18"/>
                <w:szCs w:val="18"/>
              </w:rPr>
              <w:t>3.1、数据结构；</w:t>
            </w:r>
          </w:p>
          <w:p>
            <w:pPr>
              <w:spacing w:line="280" w:lineRule="exact"/>
              <w:ind w:firstLine="180" w:firstLineChars="100"/>
              <w:rPr>
                <w:rFonts w:hint="eastAsia"/>
                <w:color w:val="000000"/>
                <w:sz w:val="18"/>
                <w:szCs w:val="18"/>
              </w:rPr>
            </w:pPr>
            <w:r>
              <w:rPr>
                <w:rFonts w:hint="eastAsia"/>
                <w:color w:val="000000"/>
                <w:sz w:val="18"/>
                <w:szCs w:val="18"/>
              </w:rPr>
              <w:t>3.2、图像预处理；（重点）</w:t>
            </w:r>
          </w:p>
        </w:tc>
        <w:tc>
          <w:tcPr>
            <w:tcW w:w="284" w:type="pct"/>
            <w:vAlign w:val="center"/>
          </w:tcPr>
          <w:p>
            <w:pPr>
              <w:spacing w:line="280" w:lineRule="exact"/>
              <w:jc w:val="center"/>
              <w:rPr>
                <w:rFonts w:hint="eastAsia" w:cs="Calibri"/>
                <w:b/>
                <w:color w:val="000000"/>
                <w:sz w:val="18"/>
                <w:szCs w:val="18"/>
              </w:rPr>
            </w:pPr>
            <w:r>
              <w:rPr>
                <w:rFonts w:cs="Calibri"/>
                <w:b/>
                <w:color w:val="000000"/>
                <w:sz w:val="18"/>
                <w:szCs w:val="18"/>
              </w:rPr>
              <w:t>4</w:t>
            </w:r>
          </w:p>
        </w:tc>
        <w:tc>
          <w:tcPr>
            <w:tcW w:w="314" w:type="pct"/>
            <w:vAlign w:val="center"/>
          </w:tcPr>
          <w:p>
            <w:pPr>
              <w:spacing w:line="280" w:lineRule="exact"/>
              <w:jc w:val="center"/>
              <w:rPr>
                <w:rFonts w:cs="Calibri"/>
                <w:b/>
                <w:color w:val="000000"/>
                <w:sz w:val="18"/>
                <w:szCs w:val="18"/>
              </w:rPr>
            </w:pPr>
            <w:r>
              <w:rPr>
                <w:rFonts w:hint="eastAsia" w:cs="Calibri"/>
                <w:b/>
                <w:color w:val="000000"/>
                <w:sz w:val="18"/>
                <w:szCs w:val="18"/>
              </w:rPr>
              <w:t>0</w:t>
            </w:r>
          </w:p>
        </w:tc>
        <w:tc>
          <w:tcPr>
            <w:tcW w:w="303" w:type="pct"/>
            <w:vAlign w:val="center"/>
          </w:tcPr>
          <w:p>
            <w:pPr>
              <w:spacing w:line="280" w:lineRule="exact"/>
              <w:jc w:val="center"/>
              <w:rPr>
                <w:rFonts w:hint="eastAsia" w:cs="Calibri"/>
                <w:b/>
                <w:color w:val="000000"/>
                <w:sz w:val="18"/>
                <w:szCs w:val="18"/>
              </w:rPr>
            </w:pPr>
            <w:r>
              <w:rPr>
                <w:rFonts w:cs="Calibri"/>
                <w:b/>
                <w:color w:val="000000"/>
                <w:sz w:val="18"/>
                <w:szCs w:val="18"/>
              </w:rPr>
              <w:t>4</w:t>
            </w:r>
          </w:p>
        </w:tc>
        <w:tc>
          <w:tcPr>
            <w:tcW w:w="332" w:type="pct"/>
            <w:vAlign w:val="center"/>
          </w:tcPr>
          <w:p>
            <w:pPr>
              <w:spacing w:line="280" w:lineRule="exact"/>
              <w:jc w:val="center"/>
              <w:rPr>
                <w:rFonts w:hint="eastAsia" w:cs="Calibri"/>
                <w:b/>
                <w:color w:val="000000"/>
                <w:sz w:val="18"/>
                <w:szCs w:val="18"/>
              </w:rPr>
            </w:pPr>
            <w:r>
              <w:rPr>
                <w:rFonts w:cs="Calibri"/>
                <w:b/>
                <w:color w:val="000000"/>
                <w:sz w:val="18"/>
                <w:szCs w:val="18"/>
              </w:rPr>
              <w:t>1</w:t>
            </w:r>
            <w:r>
              <w:rPr>
                <w:rFonts w:hint="eastAsia" w:cs="Calibri"/>
                <w:b/>
                <w:color w:val="000000"/>
                <w:sz w:val="18"/>
                <w:szCs w:val="18"/>
              </w:rPr>
              <w:t>、</w:t>
            </w:r>
            <w:r>
              <w:rPr>
                <w:rFonts w:cs="Calibri"/>
                <w:b/>
                <w:color w:val="000000"/>
                <w:sz w:val="18"/>
                <w:szCs w:val="18"/>
              </w:rPr>
              <w:t>2</w:t>
            </w:r>
          </w:p>
        </w:tc>
        <w:tc>
          <w:tcPr>
            <w:tcW w:w="339" w:type="pct"/>
            <w:vAlign w:val="center"/>
          </w:tcPr>
          <w:p>
            <w:pPr>
              <w:spacing w:line="280" w:lineRule="exact"/>
              <w:jc w:val="center"/>
              <w:rPr>
                <w:rFonts w:hint="eastAsia" w:cs="Calibri"/>
                <w:b/>
                <w:color w:val="000000"/>
                <w:sz w:val="18"/>
                <w:szCs w:val="18"/>
              </w:rPr>
            </w:pPr>
            <w:r>
              <w:rPr>
                <w:rFonts w:cs="Calibri"/>
                <w:b/>
                <w:color w:val="000000"/>
                <w:sz w:val="18"/>
                <w:szCs w:val="18"/>
              </w:rPr>
              <w:t>1</w:t>
            </w:r>
            <w:r>
              <w:rPr>
                <w:rFonts w:hint="eastAsia" w:cs="Calibri"/>
                <w:b/>
                <w:color w:val="000000"/>
                <w:sz w:val="18"/>
                <w:szCs w:val="18"/>
              </w:rPr>
              <w:t>-1</w:t>
            </w:r>
          </w:p>
          <w:p>
            <w:pPr>
              <w:spacing w:line="280" w:lineRule="exact"/>
              <w:jc w:val="center"/>
              <w:rPr>
                <w:rFonts w:cs="Calibri"/>
                <w:b/>
                <w:color w:val="000000"/>
                <w:sz w:val="18"/>
                <w:szCs w:val="18"/>
              </w:rPr>
            </w:pPr>
            <w:r>
              <w:rPr>
                <w:rFonts w:hint="eastAsia" w:cs="Calibri"/>
                <w:b/>
                <w:color w:val="000000"/>
                <w:sz w:val="18"/>
                <w:szCs w:val="18"/>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 w:type="pct"/>
            <w:vAlign w:val="center"/>
          </w:tcPr>
          <w:p>
            <w:pPr>
              <w:spacing w:line="280" w:lineRule="exact"/>
              <w:jc w:val="center"/>
              <w:rPr>
                <w:rFonts w:hint="eastAsia"/>
                <w:color w:val="000000"/>
                <w:sz w:val="18"/>
                <w:szCs w:val="18"/>
              </w:rPr>
            </w:pPr>
            <w:r>
              <w:rPr>
                <w:rFonts w:hint="eastAsia"/>
                <w:color w:val="000000"/>
                <w:sz w:val="18"/>
                <w:szCs w:val="18"/>
              </w:rPr>
              <w:t>4</w:t>
            </w:r>
          </w:p>
        </w:tc>
        <w:tc>
          <w:tcPr>
            <w:tcW w:w="3110" w:type="pct"/>
          </w:tcPr>
          <w:p>
            <w:pPr>
              <w:spacing w:line="280" w:lineRule="exact"/>
              <w:rPr>
                <w:rFonts w:hint="eastAsia"/>
                <w:b/>
                <w:bCs/>
                <w:color w:val="000000"/>
                <w:sz w:val="18"/>
                <w:szCs w:val="18"/>
              </w:rPr>
            </w:pPr>
            <w:r>
              <w:rPr>
                <w:rFonts w:hint="eastAsia"/>
                <w:b/>
                <w:bCs/>
                <w:color w:val="000000"/>
                <w:sz w:val="18"/>
                <w:szCs w:val="18"/>
              </w:rPr>
              <w:t>4图像分割和特征匹配</w:t>
            </w:r>
          </w:p>
          <w:p>
            <w:pPr>
              <w:spacing w:line="280" w:lineRule="exact"/>
              <w:ind w:firstLine="180" w:firstLineChars="100"/>
              <w:rPr>
                <w:rFonts w:hint="eastAsia"/>
                <w:color w:val="000000"/>
                <w:sz w:val="18"/>
                <w:szCs w:val="18"/>
              </w:rPr>
            </w:pPr>
            <w:r>
              <w:rPr>
                <w:rFonts w:hint="eastAsia"/>
                <w:color w:val="000000"/>
                <w:sz w:val="18"/>
                <w:szCs w:val="18"/>
              </w:rPr>
              <w:t>4.1、图像分割；（重点）</w:t>
            </w:r>
          </w:p>
          <w:p>
            <w:pPr>
              <w:spacing w:line="280" w:lineRule="exact"/>
              <w:ind w:firstLine="180" w:firstLineChars="100"/>
              <w:rPr>
                <w:rFonts w:hint="eastAsia"/>
                <w:color w:val="000000"/>
                <w:sz w:val="18"/>
                <w:szCs w:val="18"/>
              </w:rPr>
            </w:pPr>
            <w:r>
              <w:rPr>
                <w:rFonts w:hint="eastAsia"/>
                <w:color w:val="000000"/>
                <w:sz w:val="18"/>
                <w:szCs w:val="18"/>
              </w:rPr>
              <w:t>4.2、特征匹配；（重点）</w:t>
            </w:r>
          </w:p>
        </w:tc>
        <w:tc>
          <w:tcPr>
            <w:tcW w:w="284" w:type="pct"/>
            <w:vAlign w:val="center"/>
          </w:tcPr>
          <w:p>
            <w:pPr>
              <w:spacing w:line="280" w:lineRule="exact"/>
              <w:jc w:val="center"/>
              <w:rPr>
                <w:rFonts w:hint="eastAsia" w:cs="Calibri"/>
                <w:b/>
                <w:color w:val="000000"/>
                <w:sz w:val="18"/>
                <w:szCs w:val="18"/>
              </w:rPr>
            </w:pPr>
            <w:r>
              <w:rPr>
                <w:rFonts w:cs="Calibri"/>
                <w:b/>
                <w:color w:val="000000"/>
                <w:sz w:val="18"/>
                <w:szCs w:val="18"/>
              </w:rPr>
              <w:t>4</w:t>
            </w:r>
          </w:p>
        </w:tc>
        <w:tc>
          <w:tcPr>
            <w:tcW w:w="314" w:type="pct"/>
            <w:vAlign w:val="center"/>
          </w:tcPr>
          <w:p>
            <w:pPr>
              <w:spacing w:line="280" w:lineRule="exact"/>
              <w:jc w:val="center"/>
              <w:rPr>
                <w:rFonts w:cs="Calibri"/>
                <w:b/>
                <w:color w:val="000000"/>
                <w:sz w:val="18"/>
                <w:szCs w:val="18"/>
              </w:rPr>
            </w:pPr>
            <w:r>
              <w:rPr>
                <w:rFonts w:hint="eastAsia" w:cs="Calibri"/>
                <w:b/>
                <w:color w:val="000000"/>
                <w:sz w:val="18"/>
                <w:szCs w:val="18"/>
              </w:rPr>
              <w:t>0</w:t>
            </w:r>
          </w:p>
        </w:tc>
        <w:tc>
          <w:tcPr>
            <w:tcW w:w="303" w:type="pct"/>
            <w:vAlign w:val="center"/>
          </w:tcPr>
          <w:p>
            <w:pPr>
              <w:spacing w:line="280" w:lineRule="exact"/>
              <w:jc w:val="center"/>
              <w:rPr>
                <w:rFonts w:hint="eastAsia" w:cs="Calibri"/>
                <w:b/>
                <w:color w:val="000000"/>
                <w:sz w:val="18"/>
                <w:szCs w:val="18"/>
              </w:rPr>
            </w:pPr>
            <w:r>
              <w:rPr>
                <w:rFonts w:cs="Calibri"/>
                <w:b/>
                <w:color w:val="000000"/>
                <w:sz w:val="18"/>
                <w:szCs w:val="18"/>
              </w:rPr>
              <w:t>4</w:t>
            </w:r>
          </w:p>
        </w:tc>
        <w:tc>
          <w:tcPr>
            <w:tcW w:w="332" w:type="pct"/>
            <w:vAlign w:val="center"/>
          </w:tcPr>
          <w:p>
            <w:pPr>
              <w:spacing w:line="280" w:lineRule="exact"/>
              <w:jc w:val="center"/>
              <w:rPr>
                <w:rFonts w:hint="eastAsia" w:cs="Calibri"/>
                <w:b/>
                <w:color w:val="000000"/>
                <w:sz w:val="18"/>
                <w:szCs w:val="18"/>
              </w:rPr>
            </w:pPr>
            <w:r>
              <w:rPr>
                <w:rFonts w:cs="Calibri"/>
                <w:b/>
                <w:color w:val="000000"/>
                <w:sz w:val="18"/>
                <w:szCs w:val="18"/>
              </w:rPr>
              <w:t>1</w:t>
            </w:r>
            <w:r>
              <w:rPr>
                <w:rFonts w:hint="eastAsia" w:cs="Calibri"/>
                <w:b/>
                <w:color w:val="000000"/>
                <w:sz w:val="18"/>
                <w:szCs w:val="18"/>
              </w:rPr>
              <w:t>、</w:t>
            </w:r>
            <w:r>
              <w:rPr>
                <w:rFonts w:cs="Calibri"/>
                <w:b/>
                <w:color w:val="000000"/>
                <w:sz w:val="18"/>
                <w:szCs w:val="18"/>
              </w:rPr>
              <w:t>2</w:t>
            </w:r>
          </w:p>
        </w:tc>
        <w:tc>
          <w:tcPr>
            <w:tcW w:w="339" w:type="pct"/>
            <w:vAlign w:val="center"/>
          </w:tcPr>
          <w:p>
            <w:pPr>
              <w:spacing w:line="280" w:lineRule="exact"/>
              <w:jc w:val="center"/>
              <w:rPr>
                <w:rFonts w:cs="Calibri"/>
                <w:b/>
                <w:color w:val="000000"/>
                <w:sz w:val="18"/>
                <w:szCs w:val="18"/>
              </w:rPr>
            </w:pPr>
            <w:r>
              <w:rPr>
                <w:rFonts w:hint="eastAsia" w:cs="Calibri"/>
                <w:b/>
                <w:color w:val="000000"/>
                <w:sz w:val="18"/>
                <w:szCs w:val="18"/>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 w:type="pct"/>
            <w:vAlign w:val="center"/>
          </w:tcPr>
          <w:p>
            <w:pPr>
              <w:spacing w:line="280" w:lineRule="exact"/>
              <w:jc w:val="center"/>
              <w:rPr>
                <w:rFonts w:hint="eastAsia"/>
                <w:color w:val="000000"/>
                <w:sz w:val="18"/>
                <w:szCs w:val="18"/>
              </w:rPr>
            </w:pPr>
            <w:r>
              <w:rPr>
                <w:rFonts w:hint="eastAsia"/>
                <w:color w:val="000000"/>
                <w:sz w:val="18"/>
                <w:szCs w:val="18"/>
              </w:rPr>
              <w:t>5</w:t>
            </w:r>
          </w:p>
        </w:tc>
        <w:tc>
          <w:tcPr>
            <w:tcW w:w="3110" w:type="pct"/>
          </w:tcPr>
          <w:p>
            <w:pPr>
              <w:spacing w:line="280" w:lineRule="exact"/>
              <w:rPr>
                <w:rFonts w:hint="eastAsia"/>
                <w:b/>
                <w:bCs/>
                <w:color w:val="000000"/>
                <w:sz w:val="18"/>
                <w:szCs w:val="18"/>
              </w:rPr>
            </w:pPr>
            <w:r>
              <w:rPr>
                <w:rFonts w:hint="eastAsia"/>
                <w:b/>
                <w:bCs/>
                <w:color w:val="000000"/>
                <w:sz w:val="18"/>
                <w:szCs w:val="18"/>
              </w:rPr>
              <w:t>5</w:t>
            </w:r>
            <w:bookmarkStart w:id="71" w:name="_Hlk89721473"/>
            <w:r>
              <w:rPr>
                <w:rFonts w:hint="eastAsia"/>
                <w:b/>
                <w:bCs/>
                <w:color w:val="000000"/>
                <w:sz w:val="18"/>
                <w:szCs w:val="18"/>
              </w:rPr>
              <w:t>立体视觉与三维重建</w:t>
            </w:r>
            <w:bookmarkEnd w:id="71"/>
          </w:p>
          <w:p>
            <w:pPr>
              <w:spacing w:line="280" w:lineRule="exact"/>
              <w:ind w:firstLine="180" w:firstLineChars="100"/>
              <w:rPr>
                <w:rFonts w:hint="eastAsia"/>
                <w:color w:val="000000"/>
                <w:sz w:val="18"/>
                <w:szCs w:val="18"/>
              </w:rPr>
            </w:pPr>
            <w:r>
              <w:rPr>
                <w:rFonts w:hint="eastAsia"/>
                <w:color w:val="000000"/>
                <w:sz w:val="18"/>
                <w:szCs w:val="18"/>
              </w:rPr>
              <w:t>5.1、立体视觉概述</w:t>
            </w:r>
          </w:p>
          <w:p>
            <w:pPr>
              <w:spacing w:line="280" w:lineRule="exact"/>
              <w:ind w:firstLine="180" w:firstLineChars="100"/>
              <w:rPr>
                <w:rFonts w:hint="eastAsia"/>
                <w:color w:val="000000"/>
                <w:sz w:val="18"/>
                <w:szCs w:val="18"/>
              </w:rPr>
            </w:pPr>
            <w:r>
              <w:rPr>
                <w:rFonts w:hint="eastAsia"/>
                <w:color w:val="000000"/>
                <w:sz w:val="18"/>
                <w:szCs w:val="18"/>
              </w:rPr>
              <w:t>5.2、立体视觉的基本原理；（重点）</w:t>
            </w:r>
          </w:p>
          <w:p>
            <w:pPr>
              <w:spacing w:line="280" w:lineRule="exact"/>
              <w:ind w:firstLine="180" w:firstLineChars="100"/>
              <w:rPr>
                <w:rFonts w:hint="eastAsia"/>
                <w:color w:val="000000"/>
                <w:sz w:val="18"/>
                <w:szCs w:val="18"/>
              </w:rPr>
            </w:pPr>
            <w:r>
              <w:rPr>
                <w:rFonts w:hint="eastAsia"/>
                <w:color w:val="000000"/>
                <w:sz w:val="18"/>
                <w:szCs w:val="18"/>
              </w:rPr>
              <w:t>5.3、三维重建；（难点）</w:t>
            </w:r>
          </w:p>
        </w:tc>
        <w:tc>
          <w:tcPr>
            <w:tcW w:w="284" w:type="pct"/>
            <w:vAlign w:val="center"/>
          </w:tcPr>
          <w:p>
            <w:pPr>
              <w:spacing w:line="280" w:lineRule="exact"/>
              <w:jc w:val="center"/>
              <w:rPr>
                <w:rFonts w:cs="Calibri"/>
                <w:b/>
                <w:color w:val="000000"/>
                <w:sz w:val="18"/>
                <w:szCs w:val="18"/>
              </w:rPr>
            </w:pPr>
            <w:r>
              <w:rPr>
                <w:rFonts w:cs="Calibri"/>
                <w:b/>
                <w:color w:val="000000"/>
                <w:sz w:val="18"/>
                <w:szCs w:val="18"/>
              </w:rPr>
              <w:t>4</w:t>
            </w:r>
          </w:p>
        </w:tc>
        <w:tc>
          <w:tcPr>
            <w:tcW w:w="314" w:type="pct"/>
            <w:vAlign w:val="center"/>
          </w:tcPr>
          <w:p>
            <w:pPr>
              <w:spacing w:line="280" w:lineRule="exact"/>
              <w:jc w:val="center"/>
              <w:rPr>
                <w:rFonts w:hint="eastAsia" w:cs="Calibri"/>
                <w:b/>
                <w:color w:val="000000"/>
                <w:sz w:val="18"/>
                <w:szCs w:val="18"/>
              </w:rPr>
            </w:pPr>
            <w:r>
              <w:rPr>
                <w:rFonts w:cs="Calibri"/>
                <w:b/>
                <w:color w:val="000000"/>
                <w:sz w:val="18"/>
                <w:szCs w:val="18"/>
              </w:rPr>
              <w:t>0</w:t>
            </w:r>
          </w:p>
        </w:tc>
        <w:tc>
          <w:tcPr>
            <w:tcW w:w="303" w:type="pct"/>
            <w:vAlign w:val="center"/>
          </w:tcPr>
          <w:p>
            <w:pPr>
              <w:spacing w:line="280" w:lineRule="exact"/>
              <w:jc w:val="center"/>
              <w:rPr>
                <w:rFonts w:cs="Calibri"/>
                <w:b/>
                <w:color w:val="000000"/>
                <w:sz w:val="18"/>
                <w:szCs w:val="18"/>
              </w:rPr>
            </w:pPr>
            <w:r>
              <w:rPr>
                <w:rFonts w:cs="Calibri"/>
                <w:b/>
                <w:color w:val="000000"/>
                <w:sz w:val="18"/>
                <w:szCs w:val="18"/>
              </w:rPr>
              <w:t>4</w:t>
            </w:r>
          </w:p>
        </w:tc>
        <w:tc>
          <w:tcPr>
            <w:tcW w:w="332" w:type="pct"/>
            <w:vAlign w:val="center"/>
          </w:tcPr>
          <w:p>
            <w:pPr>
              <w:spacing w:line="280" w:lineRule="exact"/>
              <w:jc w:val="center"/>
              <w:rPr>
                <w:rFonts w:hint="eastAsia" w:cs="Calibri"/>
                <w:b/>
                <w:color w:val="000000"/>
                <w:sz w:val="18"/>
                <w:szCs w:val="18"/>
              </w:rPr>
            </w:pPr>
            <w:r>
              <w:rPr>
                <w:rFonts w:cs="Calibri"/>
                <w:b/>
                <w:color w:val="000000"/>
                <w:sz w:val="18"/>
                <w:szCs w:val="18"/>
              </w:rPr>
              <w:t>1</w:t>
            </w:r>
            <w:r>
              <w:rPr>
                <w:rFonts w:hint="eastAsia" w:cs="Calibri"/>
                <w:b/>
                <w:color w:val="000000"/>
                <w:sz w:val="18"/>
                <w:szCs w:val="18"/>
              </w:rPr>
              <w:t>、</w:t>
            </w:r>
            <w:r>
              <w:rPr>
                <w:rFonts w:cs="Calibri"/>
                <w:b/>
                <w:color w:val="000000"/>
                <w:sz w:val="18"/>
                <w:szCs w:val="18"/>
              </w:rPr>
              <w:t>2</w:t>
            </w:r>
          </w:p>
        </w:tc>
        <w:tc>
          <w:tcPr>
            <w:tcW w:w="339" w:type="pct"/>
            <w:vAlign w:val="center"/>
          </w:tcPr>
          <w:p>
            <w:pPr>
              <w:spacing w:line="280" w:lineRule="exact"/>
              <w:jc w:val="center"/>
              <w:rPr>
                <w:rFonts w:hint="eastAsia" w:cs="Calibri"/>
                <w:b/>
                <w:color w:val="000000"/>
                <w:sz w:val="18"/>
                <w:szCs w:val="18"/>
              </w:rPr>
            </w:pPr>
            <w:r>
              <w:rPr>
                <w:rFonts w:cs="Calibri"/>
                <w:b/>
                <w:color w:val="000000"/>
                <w:sz w:val="18"/>
                <w:szCs w:val="18"/>
              </w:rPr>
              <w:t>1</w:t>
            </w:r>
            <w:r>
              <w:rPr>
                <w:rFonts w:hint="eastAsia" w:cs="Calibri"/>
                <w:b/>
                <w:color w:val="000000"/>
                <w:sz w:val="18"/>
                <w:szCs w:val="18"/>
              </w:rPr>
              <w:t>-1</w:t>
            </w:r>
          </w:p>
          <w:p>
            <w:pPr>
              <w:spacing w:line="280" w:lineRule="exact"/>
              <w:jc w:val="center"/>
              <w:rPr>
                <w:rFonts w:cs="Calibri"/>
                <w:b/>
                <w:color w:val="000000"/>
                <w:sz w:val="18"/>
                <w:szCs w:val="18"/>
              </w:rPr>
            </w:pPr>
            <w:r>
              <w:rPr>
                <w:rFonts w:hint="eastAsia" w:cs="Calibri"/>
                <w:b/>
                <w:color w:val="000000"/>
                <w:sz w:val="18"/>
                <w:szCs w:val="18"/>
              </w:rPr>
              <w:t>3-1</w:t>
            </w:r>
          </w:p>
        </w:tc>
      </w:tr>
      <w:bookmarkEnd w:id="6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318" w:type="pct"/>
            <w:vAlign w:val="center"/>
          </w:tcPr>
          <w:p>
            <w:pPr>
              <w:spacing w:line="280" w:lineRule="exact"/>
              <w:jc w:val="center"/>
              <w:rPr>
                <w:b/>
                <w:color w:val="000000"/>
                <w:sz w:val="18"/>
                <w:szCs w:val="18"/>
              </w:rPr>
            </w:pPr>
            <w:r>
              <w:rPr>
                <w:b/>
                <w:color w:val="000000"/>
                <w:sz w:val="18"/>
                <w:szCs w:val="18"/>
              </w:rPr>
              <w:t>合 计</w:t>
            </w:r>
          </w:p>
        </w:tc>
        <w:tc>
          <w:tcPr>
            <w:tcW w:w="3110" w:type="pct"/>
            <w:vAlign w:val="center"/>
          </w:tcPr>
          <w:p>
            <w:pPr>
              <w:spacing w:line="280" w:lineRule="exact"/>
              <w:jc w:val="center"/>
              <w:rPr>
                <w:rFonts w:cs="Calibri"/>
                <w:b/>
                <w:color w:val="000000"/>
                <w:sz w:val="18"/>
                <w:szCs w:val="18"/>
              </w:rPr>
            </w:pPr>
            <w:r>
              <w:rPr>
                <w:rFonts w:hint="eastAsia" w:cs="Calibri"/>
                <w:b/>
                <w:color w:val="000000"/>
                <w:sz w:val="18"/>
                <w:szCs w:val="18"/>
              </w:rPr>
              <w:t>/</w:t>
            </w:r>
          </w:p>
        </w:tc>
        <w:tc>
          <w:tcPr>
            <w:tcW w:w="284" w:type="pct"/>
            <w:vAlign w:val="center"/>
          </w:tcPr>
          <w:p>
            <w:pPr>
              <w:spacing w:line="280" w:lineRule="exact"/>
              <w:jc w:val="center"/>
              <w:rPr>
                <w:rFonts w:cs="Calibri"/>
                <w:b/>
                <w:color w:val="000000"/>
                <w:sz w:val="18"/>
                <w:szCs w:val="18"/>
              </w:rPr>
            </w:pPr>
            <w:r>
              <w:rPr>
                <w:rFonts w:cs="Calibri"/>
                <w:b/>
                <w:color w:val="000000"/>
                <w:sz w:val="18"/>
                <w:szCs w:val="18"/>
              </w:rPr>
              <w:t>16</w:t>
            </w:r>
          </w:p>
        </w:tc>
        <w:tc>
          <w:tcPr>
            <w:tcW w:w="314" w:type="pct"/>
            <w:vAlign w:val="center"/>
          </w:tcPr>
          <w:p>
            <w:pPr>
              <w:spacing w:line="280" w:lineRule="exact"/>
              <w:jc w:val="center"/>
              <w:rPr>
                <w:rFonts w:cs="Calibri"/>
                <w:b/>
                <w:color w:val="000000"/>
                <w:sz w:val="18"/>
                <w:szCs w:val="18"/>
              </w:rPr>
            </w:pPr>
            <w:r>
              <w:rPr>
                <w:rFonts w:cs="Calibri"/>
                <w:b/>
                <w:color w:val="000000"/>
                <w:sz w:val="18"/>
                <w:szCs w:val="18"/>
              </w:rPr>
              <w:t>0</w:t>
            </w:r>
          </w:p>
        </w:tc>
        <w:tc>
          <w:tcPr>
            <w:tcW w:w="303" w:type="pct"/>
            <w:vAlign w:val="center"/>
          </w:tcPr>
          <w:p>
            <w:pPr>
              <w:spacing w:line="280" w:lineRule="exact"/>
              <w:jc w:val="center"/>
              <w:rPr>
                <w:rFonts w:cs="Calibri"/>
                <w:b/>
                <w:color w:val="000000"/>
                <w:sz w:val="18"/>
                <w:szCs w:val="18"/>
              </w:rPr>
            </w:pPr>
            <w:r>
              <w:rPr>
                <w:rFonts w:cs="Calibri"/>
                <w:b/>
                <w:color w:val="000000"/>
                <w:sz w:val="18"/>
                <w:szCs w:val="18"/>
              </w:rPr>
              <w:t>16</w:t>
            </w:r>
          </w:p>
        </w:tc>
        <w:tc>
          <w:tcPr>
            <w:tcW w:w="332" w:type="pct"/>
            <w:vAlign w:val="center"/>
          </w:tcPr>
          <w:p>
            <w:pPr>
              <w:spacing w:line="280" w:lineRule="exact"/>
              <w:jc w:val="center"/>
              <w:rPr>
                <w:rFonts w:cs="Calibri"/>
                <w:b/>
                <w:color w:val="000000"/>
                <w:sz w:val="18"/>
                <w:szCs w:val="18"/>
              </w:rPr>
            </w:pPr>
            <w:r>
              <w:rPr>
                <w:rFonts w:hint="eastAsia" w:cs="Calibri"/>
                <w:b/>
                <w:color w:val="000000"/>
                <w:sz w:val="18"/>
                <w:szCs w:val="18"/>
              </w:rPr>
              <w:t>/</w:t>
            </w:r>
          </w:p>
        </w:tc>
        <w:tc>
          <w:tcPr>
            <w:tcW w:w="339" w:type="pct"/>
            <w:vAlign w:val="center"/>
          </w:tcPr>
          <w:p>
            <w:pPr>
              <w:spacing w:line="280" w:lineRule="exact"/>
              <w:jc w:val="center"/>
              <w:rPr>
                <w:rFonts w:cs="Calibri"/>
                <w:b/>
                <w:color w:val="000000"/>
                <w:sz w:val="18"/>
                <w:szCs w:val="18"/>
              </w:rPr>
            </w:pPr>
            <w:r>
              <w:rPr>
                <w:rFonts w:hint="eastAsia" w:cs="Calibri"/>
                <w:b/>
                <w:color w:val="000000"/>
                <w:sz w:val="18"/>
                <w:szCs w:val="18"/>
              </w:rPr>
              <w:t>/</w:t>
            </w:r>
          </w:p>
        </w:tc>
      </w:tr>
    </w:tbl>
    <w:p>
      <w:pPr>
        <w:spacing w:before="156" w:beforeLines="50"/>
        <w:jc w:val="center"/>
        <w:rPr>
          <w:rFonts w:hint="eastAsia"/>
          <w:b/>
          <w:bCs/>
          <w:color w:val="000000"/>
          <w:sz w:val="18"/>
          <w:szCs w:val="18"/>
        </w:rPr>
      </w:pPr>
      <w:r>
        <w:rPr>
          <w:rFonts w:hint="eastAsia"/>
          <w:b/>
          <w:bCs/>
          <w:color w:val="000000"/>
          <w:sz w:val="18"/>
          <w:szCs w:val="18"/>
        </w:rPr>
        <w:t>表3.2 课程内容与思政融入点对应关系</w:t>
      </w:r>
    </w:p>
    <w:tbl>
      <w:tblPr>
        <w:tblStyle w:val="19"/>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2"/>
        <w:gridCol w:w="3677"/>
        <w:gridCol w:w="4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7" w:type="pct"/>
            <w:shd w:val="clear" w:color="auto" w:fill="auto"/>
            <w:vAlign w:val="center"/>
          </w:tcPr>
          <w:p>
            <w:pPr>
              <w:spacing w:line="360" w:lineRule="auto"/>
              <w:jc w:val="center"/>
              <w:rPr>
                <w:rFonts w:hint="eastAsia" w:ascii="宋体" w:hAnsi="宋体" w:cs="宋体"/>
                <w:b/>
                <w:color w:val="000000"/>
                <w:kern w:val="0"/>
                <w:sz w:val="18"/>
                <w:szCs w:val="18"/>
              </w:rPr>
            </w:pPr>
            <w:r>
              <w:rPr>
                <w:rFonts w:hint="eastAsia" w:ascii="宋体" w:hAnsi="宋体" w:cs="宋体"/>
                <w:b/>
                <w:color w:val="000000"/>
                <w:kern w:val="0"/>
                <w:sz w:val="18"/>
                <w:szCs w:val="18"/>
              </w:rPr>
              <w:t>序号</w:t>
            </w:r>
          </w:p>
        </w:tc>
        <w:tc>
          <w:tcPr>
            <w:tcW w:w="1980" w:type="pct"/>
            <w:shd w:val="clear" w:color="auto" w:fill="auto"/>
            <w:vAlign w:val="center"/>
          </w:tcPr>
          <w:p>
            <w:pPr>
              <w:spacing w:line="360" w:lineRule="auto"/>
              <w:jc w:val="center"/>
              <w:rPr>
                <w:rFonts w:hint="eastAsia" w:ascii="宋体" w:hAnsi="宋体" w:cs="宋体"/>
                <w:b/>
                <w:color w:val="000000"/>
                <w:kern w:val="0"/>
                <w:sz w:val="18"/>
                <w:szCs w:val="18"/>
              </w:rPr>
            </w:pPr>
            <w:r>
              <w:rPr>
                <w:rFonts w:hint="eastAsia" w:ascii="宋体" w:hAnsi="宋体" w:cs="宋体"/>
                <w:b/>
                <w:color w:val="000000"/>
                <w:kern w:val="0"/>
                <w:sz w:val="18"/>
                <w:szCs w:val="18"/>
              </w:rPr>
              <w:t>知识点</w:t>
            </w:r>
          </w:p>
        </w:tc>
        <w:tc>
          <w:tcPr>
            <w:tcW w:w="2652" w:type="pct"/>
            <w:shd w:val="clear" w:color="auto" w:fill="auto"/>
            <w:vAlign w:val="center"/>
          </w:tcPr>
          <w:p>
            <w:pPr>
              <w:spacing w:line="360" w:lineRule="auto"/>
              <w:jc w:val="center"/>
              <w:rPr>
                <w:rFonts w:hint="eastAsia" w:ascii="宋体" w:hAnsi="宋体" w:cs="宋体"/>
                <w:b/>
                <w:color w:val="000000"/>
                <w:kern w:val="0"/>
                <w:sz w:val="18"/>
                <w:szCs w:val="18"/>
              </w:rPr>
            </w:pPr>
            <w:r>
              <w:rPr>
                <w:rFonts w:hint="eastAsia" w:ascii="宋体" w:hAnsi="宋体" w:cs="宋体"/>
                <w:b/>
                <w:color w:val="000000"/>
                <w:kern w:val="0"/>
                <w:sz w:val="18"/>
                <w:szCs w:val="18"/>
              </w:rPr>
              <w:t>思政融入点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367" w:type="pct"/>
            <w:shd w:val="clear" w:color="auto" w:fill="auto"/>
            <w:vAlign w:val="center"/>
          </w:tcPr>
          <w:p>
            <w:pPr>
              <w:snapToGrid w:val="0"/>
              <w:jc w:val="center"/>
              <w:rPr>
                <w:rFonts w:eastAsia="黑体"/>
                <w:b/>
                <w:color w:val="000000"/>
                <w:kern w:val="0"/>
                <w:sz w:val="20"/>
                <w:szCs w:val="21"/>
              </w:rPr>
            </w:pPr>
            <w:r>
              <w:rPr>
                <w:rFonts w:hint="eastAsia" w:eastAsia="黑体"/>
                <w:b/>
                <w:color w:val="000000"/>
                <w:kern w:val="0"/>
                <w:sz w:val="20"/>
                <w:szCs w:val="21"/>
              </w:rPr>
              <w:t>1</w:t>
            </w:r>
          </w:p>
        </w:tc>
        <w:tc>
          <w:tcPr>
            <w:tcW w:w="1980" w:type="pct"/>
            <w:shd w:val="clear" w:color="auto" w:fill="auto"/>
            <w:vAlign w:val="center"/>
          </w:tcPr>
          <w:p>
            <w:pPr>
              <w:snapToGrid w:val="0"/>
              <w:ind w:left="105" w:leftChars="50"/>
              <w:jc w:val="left"/>
              <w:rPr>
                <w:color w:val="000000"/>
                <w:kern w:val="0"/>
                <w:sz w:val="20"/>
              </w:rPr>
            </w:pPr>
            <w:r>
              <w:rPr>
                <w:rFonts w:hint="eastAsia"/>
                <w:color w:val="000000"/>
                <w:sz w:val="18"/>
                <w:szCs w:val="18"/>
              </w:rPr>
              <w:t>机器视觉的发展历程、发展现状及发展方向。</w:t>
            </w:r>
          </w:p>
        </w:tc>
        <w:tc>
          <w:tcPr>
            <w:tcW w:w="2652" w:type="pct"/>
            <w:shd w:val="clear" w:color="auto" w:fill="auto"/>
            <w:vAlign w:val="center"/>
          </w:tcPr>
          <w:p>
            <w:pPr>
              <w:snapToGrid w:val="0"/>
              <w:jc w:val="left"/>
              <w:rPr>
                <w:rFonts w:eastAsia="黑体"/>
                <w:b/>
                <w:color w:val="000000"/>
                <w:kern w:val="0"/>
                <w:sz w:val="20"/>
                <w:szCs w:val="21"/>
              </w:rPr>
            </w:pPr>
            <w:r>
              <w:rPr>
                <w:rFonts w:hint="eastAsia"/>
                <w:color w:val="000000"/>
                <w:sz w:val="18"/>
                <w:szCs w:val="18"/>
              </w:rPr>
              <w:t>通过对比分析国内外发展现状，激发学生的使命感和责任感。通过阐述相关应用需求和背景，提高学生学习的积极性和主动性。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367" w:type="pct"/>
            <w:shd w:val="clear" w:color="auto" w:fill="auto"/>
            <w:vAlign w:val="center"/>
          </w:tcPr>
          <w:p>
            <w:pPr>
              <w:snapToGrid w:val="0"/>
              <w:jc w:val="center"/>
              <w:rPr>
                <w:rFonts w:eastAsia="黑体"/>
                <w:b/>
                <w:color w:val="000000"/>
                <w:kern w:val="0"/>
                <w:sz w:val="20"/>
                <w:szCs w:val="21"/>
              </w:rPr>
            </w:pPr>
            <w:r>
              <w:rPr>
                <w:rFonts w:hint="eastAsia" w:eastAsia="黑体"/>
                <w:b/>
                <w:color w:val="000000"/>
                <w:kern w:val="0"/>
                <w:sz w:val="20"/>
                <w:szCs w:val="21"/>
              </w:rPr>
              <w:t>2</w:t>
            </w:r>
          </w:p>
        </w:tc>
        <w:tc>
          <w:tcPr>
            <w:tcW w:w="1980" w:type="pct"/>
            <w:shd w:val="clear" w:color="auto" w:fill="auto"/>
            <w:vAlign w:val="center"/>
          </w:tcPr>
          <w:p>
            <w:pPr>
              <w:snapToGrid w:val="0"/>
              <w:ind w:left="105" w:leftChars="50"/>
              <w:jc w:val="left"/>
              <w:rPr>
                <w:rFonts w:eastAsia="黑体"/>
                <w:b/>
                <w:color w:val="000000"/>
                <w:kern w:val="0"/>
                <w:sz w:val="20"/>
                <w:szCs w:val="21"/>
              </w:rPr>
            </w:pPr>
            <w:r>
              <w:rPr>
                <w:rFonts w:hint="eastAsia"/>
                <w:color w:val="000000"/>
                <w:sz w:val="18"/>
                <w:szCs w:val="18"/>
              </w:rPr>
              <w:t>国产视觉感知器件发展差距</w:t>
            </w:r>
          </w:p>
        </w:tc>
        <w:tc>
          <w:tcPr>
            <w:tcW w:w="2652" w:type="pct"/>
            <w:shd w:val="clear" w:color="auto" w:fill="auto"/>
            <w:vAlign w:val="center"/>
          </w:tcPr>
          <w:p>
            <w:pPr>
              <w:snapToGrid w:val="0"/>
              <w:jc w:val="left"/>
              <w:rPr>
                <w:rFonts w:eastAsia="黑体"/>
                <w:b/>
                <w:color w:val="000000"/>
                <w:kern w:val="0"/>
                <w:sz w:val="20"/>
                <w:szCs w:val="21"/>
              </w:rPr>
            </w:pPr>
            <w:r>
              <w:rPr>
                <w:rFonts w:hint="eastAsia"/>
                <w:color w:val="000000"/>
                <w:sz w:val="18"/>
                <w:szCs w:val="18"/>
              </w:rPr>
              <w:t>了解元器件国产化的重要性，激发学生爱国情怀。</w:t>
            </w:r>
          </w:p>
        </w:tc>
      </w:tr>
    </w:tbl>
    <w:p>
      <w:pPr>
        <w:adjustRightInd w:val="0"/>
        <w:snapToGrid w:val="0"/>
        <w:spacing w:before="156" w:beforeLines="50" w:line="360" w:lineRule="auto"/>
        <w:rPr>
          <w:rFonts w:hint="eastAsia" w:eastAsia="黑体"/>
          <w:color w:val="000000"/>
          <w:szCs w:val="21"/>
        </w:rPr>
      </w:pPr>
      <w:r>
        <w:rPr>
          <w:rFonts w:hint="eastAsia" w:eastAsia="黑体"/>
          <w:color w:val="000000"/>
          <w:szCs w:val="21"/>
        </w:rPr>
        <w:t>四、本课程开设的实验项目</w:t>
      </w:r>
    </w:p>
    <w:p>
      <w:pPr>
        <w:adjustRightInd w:val="0"/>
        <w:snapToGrid w:val="0"/>
        <w:spacing w:line="360" w:lineRule="auto"/>
        <w:ind w:firstLine="420" w:firstLineChars="200"/>
        <w:rPr>
          <w:rFonts w:hint="eastAsia"/>
          <w:color w:val="000000"/>
          <w:szCs w:val="21"/>
          <w:lang w:bidi="ar"/>
        </w:rPr>
      </w:pPr>
      <w:r>
        <w:rPr>
          <w:rFonts w:hint="eastAsia"/>
          <w:color w:val="000000"/>
          <w:szCs w:val="21"/>
          <w:lang w:bidi="ar"/>
        </w:rPr>
        <w:t>无。</w:t>
      </w:r>
    </w:p>
    <w:p>
      <w:pPr>
        <w:adjustRightInd w:val="0"/>
        <w:snapToGrid w:val="0"/>
        <w:spacing w:before="156" w:beforeLines="50" w:line="360" w:lineRule="auto"/>
        <w:rPr>
          <w:rFonts w:hint="eastAsia" w:eastAsia="黑体"/>
          <w:color w:val="000000"/>
          <w:szCs w:val="21"/>
        </w:rPr>
      </w:pPr>
      <w:r>
        <w:rPr>
          <w:rFonts w:hint="eastAsia" w:eastAsia="黑体"/>
          <w:color w:val="000000"/>
          <w:szCs w:val="21"/>
        </w:rPr>
        <w:t>五、达成课程目标的途径和措施</w:t>
      </w:r>
    </w:p>
    <w:p>
      <w:pPr>
        <w:adjustRightInd w:val="0"/>
        <w:snapToGrid w:val="0"/>
        <w:spacing w:line="360" w:lineRule="auto"/>
        <w:ind w:firstLine="420" w:firstLineChars="200"/>
        <w:rPr>
          <w:color w:val="000000"/>
          <w:szCs w:val="21"/>
        </w:rPr>
      </w:pPr>
      <w:r>
        <w:rPr>
          <w:rFonts w:hint="eastAsia"/>
          <w:color w:val="000000"/>
          <w:szCs w:val="21"/>
        </w:rPr>
        <w:t>1</w:t>
      </w:r>
      <w:r>
        <w:rPr>
          <w:color w:val="000000"/>
          <w:szCs w:val="21"/>
        </w:rPr>
        <w:t xml:space="preserve">. </w:t>
      </w:r>
      <w:r>
        <w:rPr>
          <w:rFonts w:hint="eastAsia"/>
          <w:color w:val="000000"/>
          <w:szCs w:val="21"/>
        </w:rPr>
        <w:t>把握主线，本课程需要重点讲授的内容包括：成像与图像采集、图像处理相关知识、立体视觉与三维重建等。</w:t>
      </w:r>
      <w:r>
        <w:rPr>
          <w:rFonts w:hint="eastAsia"/>
          <w:color w:val="000000"/>
          <w:szCs w:val="21"/>
          <w:lang w:bidi="ar"/>
        </w:rPr>
        <w:t>引导学生掌握视觉系统中相关概念、基本原理与方法的实际意义，利用视觉测量的实例案例，帮助学生理解和掌握不同器件的选型原则，具备使用图像处理获取几何量参数的能力。</w:t>
      </w:r>
    </w:p>
    <w:p>
      <w:pPr>
        <w:spacing w:line="360" w:lineRule="auto"/>
        <w:ind w:firstLine="420" w:firstLineChars="200"/>
        <w:rPr>
          <w:rFonts w:hint="eastAsia"/>
          <w:color w:val="000000"/>
          <w:szCs w:val="21"/>
          <w:lang w:bidi="ar"/>
        </w:rPr>
      </w:pPr>
      <w:r>
        <w:rPr>
          <w:rFonts w:hint="eastAsia"/>
          <w:color w:val="000000"/>
          <w:szCs w:val="21"/>
        </w:rPr>
        <w:t>2</w:t>
      </w:r>
      <w:r>
        <w:rPr>
          <w:color w:val="000000"/>
          <w:szCs w:val="21"/>
        </w:rPr>
        <w:t>. 本课程在教学方法上，充分利用各种媒体教学手段，采取课堂教学、多媒体课件、随堂</w:t>
      </w:r>
      <w:r>
        <w:rPr>
          <w:rFonts w:hint="eastAsia"/>
          <w:color w:val="000000"/>
          <w:szCs w:val="21"/>
        </w:rPr>
        <w:t>提问</w:t>
      </w:r>
      <w:r>
        <w:rPr>
          <w:color w:val="000000"/>
          <w:szCs w:val="21"/>
        </w:rPr>
        <w:t>、</w:t>
      </w:r>
      <w:r>
        <w:rPr>
          <w:rFonts w:hint="eastAsia"/>
          <w:color w:val="000000"/>
          <w:szCs w:val="21"/>
        </w:rPr>
        <w:t>项目实例</w:t>
      </w:r>
      <w:r>
        <w:rPr>
          <w:color w:val="000000"/>
          <w:szCs w:val="21"/>
        </w:rPr>
        <w:t>有机结合，提高教学效率</w:t>
      </w:r>
      <w:r>
        <w:rPr>
          <w:rFonts w:hint="eastAsia"/>
          <w:color w:val="000000"/>
          <w:szCs w:val="21"/>
        </w:rPr>
        <w:t>，</w:t>
      </w:r>
      <w:r>
        <w:rPr>
          <w:rFonts w:hint="eastAsia"/>
          <w:color w:val="000000"/>
          <w:szCs w:val="21"/>
          <w:lang w:bidi="ar"/>
        </w:rPr>
        <w:t>保证讲课进度的同时，注意学生的掌握程度和课堂的气氛；</w:t>
      </w:r>
    </w:p>
    <w:p>
      <w:pPr>
        <w:adjustRightInd w:val="0"/>
        <w:snapToGrid w:val="0"/>
        <w:spacing w:line="360" w:lineRule="auto"/>
        <w:ind w:firstLine="420" w:firstLineChars="200"/>
        <w:rPr>
          <w:color w:val="000000"/>
          <w:szCs w:val="21"/>
          <w:lang w:bidi="ar"/>
        </w:rPr>
      </w:pPr>
      <w:r>
        <w:rPr>
          <w:rFonts w:hint="eastAsia"/>
          <w:color w:val="000000"/>
          <w:szCs w:val="21"/>
          <w:lang w:bidi="ar"/>
        </w:rPr>
        <w:t>3.</w:t>
      </w:r>
      <w:r>
        <w:rPr>
          <w:color w:val="000000"/>
          <w:szCs w:val="21"/>
          <w:lang w:bidi="ar"/>
        </w:rPr>
        <w:t xml:space="preserve"> </w:t>
      </w:r>
      <w:r>
        <w:rPr>
          <w:rFonts w:hint="eastAsia"/>
          <w:color w:val="000000"/>
          <w:szCs w:val="21"/>
          <w:lang w:bidi="ar"/>
        </w:rPr>
        <w:t>为了提高学生的学习兴趣，并取得良好的教学效果，在知识讲解的过程中充分利用问题引导、案例分析等多种教学方法，以进一步提高教学质量。</w:t>
      </w:r>
    </w:p>
    <w:p>
      <w:pPr>
        <w:adjustRightInd w:val="0"/>
        <w:snapToGrid w:val="0"/>
        <w:spacing w:before="156" w:beforeLines="50" w:line="360" w:lineRule="auto"/>
        <w:rPr>
          <w:rFonts w:hint="eastAsia" w:eastAsia="黑体"/>
          <w:color w:val="000000"/>
          <w:szCs w:val="21"/>
        </w:rPr>
      </w:pPr>
      <w:r>
        <w:rPr>
          <w:rFonts w:hint="eastAsia" w:eastAsia="黑体"/>
          <w:color w:val="000000"/>
          <w:szCs w:val="21"/>
        </w:rPr>
        <w:t>六、考核方式</w:t>
      </w:r>
    </w:p>
    <w:p>
      <w:pPr>
        <w:adjustRightInd w:val="0"/>
        <w:snapToGrid w:val="0"/>
        <w:spacing w:line="360" w:lineRule="auto"/>
        <w:ind w:firstLine="422" w:firstLineChars="200"/>
        <w:rPr>
          <w:rFonts w:hint="eastAsia"/>
          <w:b/>
          <w:bCs/>
          <w:color w:val="000000"/>
          <w:szCs w:val="21"/>
          <w:lang w:bidi="ar"/>
        </w:rPr>
      </w:pPr>
      <w:r>
        <w:rPr>
          <w:rFonts w:hint="eastAsia"/>
          <w:b/>
          <w:bCs/>
          <w:color w:val="000000"/>
          <w:szCs w:val="21"/>
          <w:lang w:bidi="ar"/>
        </w:rPr>
        <w:t>1、评价环节</w:t>
      </w:r>
    </w:p>
    <w:p>
      <w:pPr>
        <w:adjustRightInd w:val="0"/>
        <w:snapToGrid w:val="0"/>
        <w:spacing w:line="360" w:lineRule="auto"/>
        <w:ind w:firstLine="420" w:firstLineChars="200"/>
        <w:rPr>
          <w:rFonts w:hint="eastAsia"/>
          <w:color w:val="000000"/>
          <w:szCs w:val="21"/>
          <w:lang w:bidi="ar"/>
        </w:rPr>
      </w:pPr>
      <w:r>
        <w:rPr>
          <w:rFonts w:hint="eastAsia"/>
          <w:color w:val="000000"/>
          <w:szCs w:val="21"/>
          <w:lang w:bidi="ar"/>
        </w:rPr>
        <w:t>课程考核方式包括课后作业、课程报告等，所有考核环节均覆盖到所有学生。</w:t>
      </w:r>
    </w:p>
    <w:p>
      <w:pPr>
        <w:adjustRightInd w:val="0"/>
        <w:snapToGrid w:val="0"/>
        <w:spacing w:line="360" w:lineRule="auto"/>
        <w:ind w:firstLine="422" w:firstLineChars="200"/>
        <w:rPr>
          <w:rFonts w:hint="eastAsia"/>
          <w:b/>
          <w:bCs/>
          <w:color w:val="000000"/>
          <w:szCs w:val="21"/>
          <w:lang w:bidi="ar"/>
        </w:rPr>
      </w:pPr>
      <w:r>
        <w:rPr>
          <w:rFonts w:hint="eastAsia"/>
          <w:b/>
          <w:bCs/>
          <w:color w:val="000000"/>
          <w:szCs w:val="21"/>
          <w:lang w:bidi="ar"/>
        </w:rPr>
        <w:t>2、定量评价</w:t>
      </w:r>
    </w:p>
    <w:p>
      <w:pPr>
        <w:adjustRightInd w:val="0"/>
        <w:snapToGrid w:val="0"/>
        <w:spacing w:line="360" w:lineRule="auto"/>
        <w:ind w:firstLine="420" w:firstLineChars="200"/>
        <w:rPr>
          <w:color w:val="000000"/>
          <w:szCs w:val="21"/>
          <w:lang w:bidi="ar"/>
        </w:rPr>
      </w:pPr>
      <w:r>
        <w:rPr>
          <w:rFonts w:hint="eastAsia"/>
          <w:color w:val="000000"/>
          <w:szCs w:val="21"/>
          <w:lang w:bidi="ar"/>
        </w:rPr>
        <w:t>本课程包含</w:t>
      </w:r>
      <w:r>
        <w:rPr>
          <w:rFonts w:hint="eastAsia"/>
          <w:color w:val="000000"/>
          <w:szCs w:val="21"/>
          <w:lang w:val="en-US" w:eastAsia="zh-CN" w:bidi="ar"/>
        </w:rPr>
        <w:t>2</w:t>
      </w:r>
      <w:r>
        <w:rPr>
          <w:rFonts w:hint="eastAsia"/>
          <w:color w:val="000000"/>
          <w:szCs w:val="21"/>
          <w:lang w:bidi="ar"/>
        </w:rPr>
        <w:t>个分课程目标，有</w:t>
      </w:r>
      <w:r>
        <w:rPr>
          <w:rFonts w:hint="eastAsia"/>
          <w:color w:val="000000"/>
          <w:szCs w:val="21"/>
          <w:lang w:val="en-US" w:eastAsia="zh-CN" w:bidi="ar"/>
        </w:rPr>
        <w:t>2</w:t>
      </w:r>
      <w:r>
        <w:rPr>
          <w:rFonts w:hint="eastAsia"/>
          <w:color w:val="000000"/>
          <w:szCs w:val="21"/>
          <w:lang w:bidi="ar"/>
        </w:rPr>
        <w:t>个考核环节，各考核方式对课程目标达成评价的权重占比分配如下表6.1。教师每个环节出题或布置作业时，要尽量做到按照以上比例布局，并对照完成合理化审查。</w:t>
      </w:r>
    </w:p>
    <w:p>
      <w:pPr>
        <w:jc w:val="center"/>
        <w:rPr>
          <w:b/>
          <w:bCs/>
          <w:color w:val="000000"/>
          <w:sz w:val="18"/>
          <w:szCs w:val="18"/>
        </w:rPr>
      </w:pPr>
      <w:r>
        <w:rPr>
          <w:b/>
          <w:bCs/>
          <w:color w:val="000000"/>
          <w:sz w:val="18"/>
          <w:szCs w:val="18"/>
        </w:rPr>
        <w:t>表</w:t>
      </w:r>
      <w:r>
        <w:rPr>
          <w:rFonts w:hint="eastAsia"/>
          <w:b/>
          <w:bCs/>
          <w:color w:val="000000"/>
          <w:sz w:val="18"/>
          <w:szCs w:val="18"/>
        </w:rPr>
        <w:t xml:space="preserve">6.1   </w:t>
      </w:r>
      <w:r>
        <w:rPr>
          <w:b/>
          <w:bCs/>
          <w:color w:val="000000"/>
          <w:sz w:val="18"/>
          <w:szCs w:val="18"/>
        </w:rPr>
        <w:t>各考核方式对课程目标达成评价的</w:t>
      </w:r>
      <w:r>
        <w:rPr>
          <w:rFonts w:hint="eastAsia"/>
          <w:b/>
          <w:bCs/>
          <w:color w:val="000000"/>
          <w:sz w:val="18"/>
          <w:szCs w:val="18"/>
        </w:rPr>
        <w:t>权重</w:t>
      </w:r>
      <w:r>
        <w:rPr>
          <w:b/>
          <w:bCs/>
          <w:color w:val="000000"/>
          <w:sz w:val="18"/>
          <w:szCs w:val="18"/>
        </w:rPr>
        <w:t>占比分配</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1"/>
        <w:gridCol w:w="2445"/>
        <w:gridCol w:w="3702"/>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79" w:type="pct"/>
            <w:vMerge w:val="restart"/>
            <w:vAlign w:val="center"/>
          </w:tcPr>
          <w:p>
            <w:pPr>
              <w:snapToGrid w:val="0"/>
              <w:jc w:val="center"/>
              <w:rPr>
                <w:b/>
                <w:color w:val="000000"/>
                <w:sz w:val="18"/>
                <w:szCs w:val="18"/>
              </w:rPr>
            </w:pPr>
            <w:r>
              <w:rPr>
                <w:b/>
                <w:color w:val="000000"/>
                <w:kern w:val="0"/>
                <w:sz w:val="18"/>
                <w:szCs w:val="18"/>
              </w:rPr>
              <w:t>课程目标</w:t>
            </w:r>
          </w:p>
        </w:tc>
        <w:tc>
          <w:tcPr>
            <w:tcW w:w="3311" w:type="pct"/>
            <w:gridSpan w:val="2"/>
            <w:vAlign w:val="center"/>
          </w:tcPr>
          <w:p>
            <w:pPr>
              <w:snapToGrid w:val="0"/>
              <w:jc w:val="center"/>
              <w:rPr>
                <w:rFonts w:hint="eastAsia"/>
                <w:b/>
                <w:color w:val="000000"/>
                <w:sz w:val="18"/>
                <w:szCs w:val="18"/>
              </w:rPr>
            </w:pPr>
            <w:r>
              <w:rPr>
                <w:rFonts w:hint="eastAsia"/>
                <w:b/>
                <w:color w:val="000000"/>
                <w:sz w:val="18"/>
                <w:szCs w:val="18"/>
              </w:rPr>
              <w:t>考核方式以及成绩占比</w:t>
            </w:r>
            <w:r>
              <w:rPr>
                <w:color w:val="000000"/>
                <w:position w:val="-12"/>
              </w:rPr>
              <w:object>
                <v:shape id="_x0000_i1176" o:spt="75" type="#_x0000_t75" style="height:16pt;width:13.5pt;" o:ole="t" filled="f" o:preferrelative="t" stroked="f" coordsize="21600,21600">
                  <v:path/>
                  <v:fill on="f" focussize="0,0"/>
                  <v:stroke on="f" joinstyle="miter"/>
                  <v:imagedata r:id="rId300" o:title=""/>
                  <o:lock v:ext="edit" aspectratio="t"/>
                  <w10:wrap type="none"/>
                  <w10:anchorlock/>
                </v:shape>
                <o:OLEObject Type="Embed" ProgID="Equation.3" ShapeID="_x0000_i1176" DrawAspect="Content" ObjectID="_1468075876" r:id="rId318">
                  <o:LockedField>false</o:LockedField>
                </o:OLEObject>
              </w:object>
            </w:r>
            <w:r>
              <w:rPr>
                <w:rFonts w:hint="eastAsia"/>
                <w:b/>
                <w:color w:val="000000"/>
                <w:sz w:val="18"/>
                <w:szCs w:val="18"/>
              </w:rPr>
              <w:t>（%）</w:t>
            </w:r>
          </w:p>
        </w:tc>
        <w:tc>
          <w:tcPr>
            <w:tcW w:w="810" w:type="pct"/>
            <w:vMerge w:val="restart"/>
            <w:vAlign w:val="center"/>
          </w:tcPr>
          <w:p>
            <w:pPr>
              <w:snapToGrid w:val="0"/>
              <w:jc w:val="center"/>
              <w:rPr>
                <w:b/>
                <w:color w:val="000000"/>
                <w:kern w:val="0"/>
                <w:sz w:val="18"/>
                <w:szCs w:val="18"/>
              </w:rPr>
            </w:pPr>
            <w:r>
              <w:rPr>
                <w:b/>
                <w:color w:val="000000"/>
                <w:kern w:val="0"/>
                <w:sz w:val="18"/>
                <w:szCs w:val="18"/>
              </w:rPr>
              <w:t>分课程</w:t>
            </w:r>
          </w:p>
          <w:p>
            <w:pPr>
              <w:snapToGrid w:val="0"/>
              <w:jc w:val="center"/>
              <w:rPr>
                <w:rFonts w:hint="eastAsia"/>
                <w:b/>
                <w:i/>
                <w:color w:val="000000"/>
                <w:kern w:val="0"/>
                <w:sz w:val="18"/>
                <w:szCs w:val="18"/>
              </w:rPr>
            </w:pPr>
            <w:r>
              <w:rPr>
                <w:b/>
                <w:color w:val="000000"/>
                <w:kern w:val="0"/>
                <w:sz w:val="18"/>
                <w:szCs w:val="18"/>
              </w:rPr>
              <w:t>目标权重</w:t>
            </w:r>
            <w:r>
              <w:rPr>
                <w:b/>
                <w:i/>
                <w:color w:val="000000"/>
                <w:kern w:val="0"/>
                <w:sz w:val="18"/>
                <w:szCs w:val="18"/>
              </w:rPr>
              <w:t>P</w:t>
            </w:r>
            <w:r>
              <w:rPr>
                <w:b/>
                <w:i/>
                <w:color w:val="000000"/>
                <w:kern w:val="0"/>
                <w:sz w:val="18"/>
                <w:szCs w:val="18"/>
                <w:vertAlign w:val="subscript"/>
              </w:rPr>
              <w:t>i</w:t>
            </w:r>
          </w:p>
          <w:p>
            <w:pPr>
              <w:snapToGrid w:val="0"/>
              <w:jc w:val="center"/>
              <w:rPr>
                <w:color w:val="000000"/>
                <w:kern w:val="0"/>
                <w:sz w:val="18"/>
                <w:szCs w:val="18"/>
              </w:rPr>
            </w:pPr>
            <w:r>
              <w:rPr>
                <w:rFonts w:hint="eastAsia"/>
                <w:b/>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pct"/>
            <w:vMerge w:val="continue"/>
            <w:vAlign w:val="center"/>
          </w:tcPr>
          <w:p>
            <w:pPr>
              <w:widowControl/>
              <w:snapToGrid w:val="0"/>
              <w:jc w:val="center"/>
              <w:rPr>
                <w:b/>
                <w:color w:val="000000"/>
                <w:kern w:val="0"/>
                <w:sz w:val="18"/>
                <w:szCs w:val="18"/>
              </w:rPr>
            </w:pPr>
          </w:p>
        </w:tc>
        <w:tc>
          <w:tcPr>
            <w:tcW w:w="1317" w:type="pct"/>
            <w:vAlign w:val="center"/>
          </w:tcPr>
          <w:p>
            <w:pPr>
              <w:widowControl/>
              <w:snapToGrid w:val="0"/>
              <w:jc w:val="center"/>
              <w:rPr>
                <w:b/>
                <w:color w:val="000000"/>
                <w:kern w:val="0"/>
                <w:sz w:val="18"/>
                <w:szCs w:val="18"/>
              </w:rPr>
            </w:pPr>
            <w:r>
              <w:rPr>
                <w:rFonts w:hint="eastAsia"/>
                <w:b/>
                <w:color w:val="000000"/>
                <w:kern w:val="0"/>
                <w:sz w:val="18"/>
                <w:szCs w:val="18"/>
              </w:rPr>
              <w:t>随堂考核</w:t>
            </w:r>
          </w:p>
          <w:p>
            <w:pPr>
              <w:widowControl/>
              <w:snapToGrid w:val="0"/>
              <w:jc w:val="center"/>
              <w:rPr>
                <w:rFonts w:hint="eastAsia"/>
                <w:b/>
                <w:color w:val="000000"/>
                <w:kern w:val="0"/>
                <w:sz w:val="18"/>
                <w:szCs w:val="18"/>
              </w:rPr>
            </w:pPr>
            <w:r>
              <w:rPr>
                <w:rFonts w:hint="eastAsia"/>
                <w:b/>
                <w:color w:val="000000"/>
                <w:kern w:val="0"/>
                <w:sz w:val="18"/>
                <w:szCs w:val="18"/>
              </w:rPr>
              <w:t>（</w:t>
            </w:r>
            <w:r>
              <w:rPr>
                <w:b/>
                <w:color w:val="000000"/>
                <w:kern w:val="0"/>
                <w:sz w:val="18"/>
                <w:szCs w:val="18"/>
              </w:rPr>
              <w:t>1</w:t>
            </w:r>
            <w:r>
              <w:rPr>
                <w:rFonts w:hint="eastAsia"/>
                <w:b/>
                <w:color w:val="000000"/>
                <w:kern w:val="0"/>
                <w:sz w:val="18"/>
                <w:szCs w:val="18"/>
              </w:rPr>
              <w:t>）</w:t>
            </w:r>
          </w:p>
        </w:tc>
        <w:tc>
          <w:tcPr>
            <w:tcW w:w="1994" w:type="pct"/>
            <w:vAlign w:val="center"/>
          </w:tcPr>
          <w:p>
            <w:pPr>
              <w:widowControl/>
              <w:snapToGrid w:val="0"/>
              <w:jc w:val="center"/>
              <w:rPr>
                <w:b/>
                <w:color w:val="000000"/>
                <w:kern w:val="0"/>
                <w:sz w:val="18"/>
                <w:szCs w:val="18"/>
              </w:rPr>
            </w:pPr>
            <w:r>
              <w:rPr>
                <w:rFonts w:hint="eastAsia"/>
                <w:b/>
                <w:color w:val="000000"/>
                <w:kern w:val="0"/>
                <w:sz w:val="18"/>
                <w:szCs w:val="18"/>
              </w:rPr>
              <w:t>课程报告</w:t>
            </w:r>
          </w:p>
          <w:p>
            <w:pPr>
              <w:widowControl/>
              <w:snapToGrid w:val="0"/>
              <w:jc w:val="center"/>
              <w:rPr>
                <w:rFonts w:hint="eastAsia"/>
                <w:b/>
                <w:color w:val="000000"/>
                <w:kern w:val="0"/>
                <w:sz w:val="18"/>
                <w:szCs w:val="18"/>
              </w:rPr>
            </w:pPr>
            <w:r>
              <w:rPr>
                <w:rFonts w:hint="eastAsia"/>
                <w:b/>
                <w:color w:val="000000"/>
                <w:kern w:val="0"/>
                <w:sz w:val="18"/>
                <w:szCs w:val="18"/>
              </w:rPr>
              <w:t>（</w:t>
            </w:r>
            <w:r>
              <w:rPr>
                <w:b/>
                <w:color w:val="000000"/>
                <w:kern w:val="0"/>
                <w:sz w:val="18"/>
                <w:szCs w:val="18"/>
              </w:rPr>
              <w:t>2</w:t>
            </w:r>
            <w:r>
              <w:rPr>
                <w:rFonts w:hint="eastAsia"/>
                <w:b/>
                <w:color w:val="000000"/>
                <w:kern w:val="0"/>
                <w:sz w:val="18"/>
                <w:szCs w:val="18"/>
              </w:rPr>
              <w:t>）</w:t>
            </w:r>
          </w:p>
        </w:tc>
        <w:tc>
          <w:tcPr>
            <w:tcW w:w="810" w:type="pct"/>
            <w:vMerge w:val="continue"/>
          </w:tcPr>
          <w:p>
            <w:pPr>
              <w:snapToGrid w:val="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pct"/>
            <w:vAlign w:val="center"/>
          </w:tcPr>
          <w:p>
            <w:pPr>
              <w:widowControl/>
              <w:snapToGrid w:val="0"/>
              <w:jc w:val="center"/>
              <w:rPr>
                <w:color w:val="000000"/>
                <w:kern w:val="0"/>
                <w:sz w:val="18"/>
                <w:szCs w:val="18"/>
              </w:rPr>
            </w:pPr>
            <w:r>
              <w:rPr>
                <w:color w:val="000000"/>
                <w:kern w:val="0"/>
                <w:sz w:val="18"/>
                <w:szCs w:val="18"/>
              </w:rPr>
              <w:t>1</w:t>
            </w:r>
          </w:p>
        </w:tc>
        <w:tc>
          <w:tcPr>
            <w:tcW w:w="1317" w:type="pct"/>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25</w:t>
            </w:r>
          </w:p>
        </w:tc>
        <w:tc>
          <w:tcPr>
            <w:tcW w:w="1994" w:type="pct"/>
            <w:vAlign w:val="center"/>
          </w:tcPr>
          <w:p>
            <w:pPr>
              <w:jc w:val="center"/>
              <w:rPr>
                <w:color w:val="000000"/>
                <w:sz w:val="18"/>
                <w:szCs w:val="18"/>
              </w:rPr>
            </w:pPr>
            <w:r>
              <w:rPr>
                <w:rFonts w:hint="eastAsia"/>
                <w:color w:val="000000"/>
                <w:sz w:val="18"/>
                <w:szCs w:val="18"/>
                <w:lang w:val="en-US" w:eastAsia="zh-CN" w:bidi="ar"/>
              </w:rPr>
              <w:t>1</w:t>
            </w:r>
            <w:r>
              <w:rPr>
                <w:color w:val="000000"/>
                <w:sz w:val="18"/>
                <w:szCs w:val="18"/>
                <w:lang w:bidi="ar"/>
              </w:rPr>
              <w:t>5</w:t>
            </w:r>
          </w:p>
        </w:tc>
        <w:tc>
          <w:tcPr>
            <w:tcW w:w="810" w:type="pct"/>
            <w:vAlign w:val="center"/>
          </w:tcPr>
          <w:p>
            <w:pPr>
              <w:snapToGrid w:val="0"/>
              <w:jc w:val="center"/>
              <w:rPr>
                <w:color w:val="000000"/>
                <w:sz w:val="18"/>
                <w:szCs w:val="18"/>
              </w:rPr>
            </w:pPr>
            <w:r>
              <w:rPr>
                <w:color w:val="00000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pct"/>
            <w:vAlign w:val="center"/>
          </w:tcPr>
          <w:p>
            <w:pPr>
              <w:widowControl/>
              <w:snapToGrid w:val="0"/>
              <w:jc w:val="center"/>
              <w:rPr>
                <w:color w:val="000000"/>
                <w:kern w:val="0"/>
                <w:sz w:val="18"/>
                <w:szCs w:val="18"/>
              </w:rPr>
            </w:pPr>
            <w:r>
              <w:rPr>
                <w:color w:val="000000"/>
                <w:kern w:val="0"/>
                <w:sz w:val="18"/>
                <w:szCs w:val="18"/>
              </w:rPr>
              <w:t>2</w:t>
            </w:r>
          </w:p>
        </w:tc>
        <w:tc>
          <w:tcPr>
            <w:tcW w:w="1317" w:type="pct"/>
            <w:vAlign w:val="center"/>
          </w:tcPr>
          <w:p>
            <w:pPr>
              <w:jc w:val="center"/>
              <w:rPr>
                <w:rFonts w:hint="eastAsia"/>
                <w:color w:val="000000"/>
                <w:sz w:val="18"/>
                <w:szCs w:val="18"/>
              </w:rPr>
            </w:pPr>
            <w:r>
              <w:rPr>
                <w:color w:val="000000"/>
                <w:sz w:val="18"/>
                <w:szCs w:val="18"/>
                <w:lang w:bidi="ar"/>
              </w:rPr>
              <w:t>5</w:t>
            </w:r>
          </w:p>
        </w:tc>
        <w:tc>
          <w:tcPr>
            <w:tcW w:w="1994" w:type="pct"/>
            <w:vAlign w:val="center"/>
          </w:tcPr>
          <w:p>
            <w:pPr>
              <w:jc w:val="center"/>
              <w:rPr>
                <w:rFonts w:hint="eastAsia"/>
                <w:color w:val="000000"/>
                <w:sz w:val="18"/>
                <w:szCs w:val="18"/>
              </w:rPr>
            </w:pPr>
            <w:r>
              <w:rPr>
                <w:color w:val="000000"/>
                <w:sz w:val="18"/>
                <w:szCs w:val="18"/>
                <w:lang w:bidi="ar"/>
              </w:rPr>
              <w:t>55</w:t>
            </w:r>
          </w:p>
        </w:tc>
        <w:tc>
          <w:tcPr>
            <w:tcW w:w="810" w:type="pct"/>
            <w:vAlign w:val="center"/>
          </w:tcPr>
          <w:p>
            <w:pPr>
              <w:snapToGrid w:val="0"/>
              <w:jc w:val="center"/>
              <w:rPr>
                <w:color w:val="000000"/>
                <w:sz w:val="18"/>
                <w:szCs w:val="18"/>
              </w:rPr>
            </w:pPr>
            <w:r>
              <w:rPr>
                <w:color w:val="00000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pct"/>
            <w:vAlign w:val="center"/>
          </w:tcPr>
          <w:p>
            <w:pPr>
              <w:widowControl/>
              <w:snapToGrid w:val="0"/>
              <w:jc w:val="center"/>
              <w:rPr>
                <w:color w:val="000000"/>
                <w:kern w:val="0"/>
                <w:sz w:val="18"/>
                <w:szCs w:val="18"/>
              </w:rPr>
            </w:pPr>
            <w:r>
              <w:rPr>
                <w:rFonts w:hint="eastAsia"/>
                <w:color w:val="000000"/>
                <w:kern w:val="0"/>
                <w:sz w:val="18"/>
                <w:szCs w:val="18"/>
              </w:rPr>
              <w:t>考核环节成绩比例合计（%）</w:t>
            </w:r>
          </w:p>
        </w:tc>
        <w:tc>
          <w:tcPr>
            <w:tcW w:w="1317" w:type="pct"/>
            <w:vAlign w:val="center"/>
          </w:tcPr>
          <w:p>
            <w:pPr>
              <w:jc w:val="center"/>
              <w:rPr>
                <w:rFonts w:hint="default" w:eastAsia="宋体"/>
                <w:color w:val="000000"/>
                <w:sz w:val="18"/>
                <w:szCs w:val="18"/>
                <w:lang w:val="en-US" w:eastAsia="zh-CN"/>
              </w:rPr>
            </w:pPr>
            <w:r>
              <w:rPr>
                <w:rFonts w:hint="eastAsia"/>
                <w:color w:val="000000"/>
                <w:sz w:val="18"/>
                <w:szCs w:val="18"/>
                <w:lang w:val="en-US" w:eastAsia="zh-CN" w:bidi="ar"/>
              </w:rPr>
              <w:t>30</w:t>
            </w:r>
          </w:p>
        </w:tc>
        <w:tc>
          <w:tcPr>
            <w:tcW w:w="1994" w:type="pct"/>
            <w:vAlign w:val="center"/>
          </w:tcPr>
          <w:p>
            <w:pPr>
              <w:jc w:val="center"/>
              <w:rPr>
                <w:rFonts w:hint="default" w:eastAsia="宋体"/>
                <w:color w:val="000000"/>
                <w:sz w:val="18"/>
                <w:szCs w:val="18"/>
                <w:lang w:val="en-US" w:eastAsia="zh-CN"/>
              </w:rPr>
            </w:pPr>
            <w:r>
              <w:rPr>
                <w:rFonts w:hint="eastAsia"/>
                <w:color w:val="000000"/>
                <w:sz w:val="18"/>
                <w:szCs w:val="18"/>
                <w:lang w:val="en-US" w:eastAsia="zh-CN" w:bidi="ar"/>
              </w:rPr>
              <w:t>70</w:t>
            </w:r>
          </w:p>
        </w:tc>
        <w:tc>
          <w:tcPr>
            <w:tcW w:w="810" w:type="pct"/>
            <w:vAlign w:val="center"/>
          </w:tcPr>
          <w:p>
            <w:pPr>
              <w:snapToGrid w:val="0"/>
              <w:jc w:val="center"/>
              <w:rPr>
                <w:color w:val="000000"/>
                <w:sz w:val="18"/>
                <w:szCs w:val="18"/>
              </w:rPr>
            </w:pPr>
            <w:r>
              <w:rPr>
                <w:rFonts w:hint="eastAsia"/>
                <w:color w:val="000000"/>
                <w:sz w:val="18"/>
                <w:szCs w:val="18"/>
              </w:rPr>
              <w:t>1</w:t>
            </w:r>
            <w:r>
              <w:rPr>
                <w:color w:val="000000"/>
                <w:sz w:val="18"/>
                <w:szCs w:val="18"/>
              </w:rPr>
              <w:t>00</w:t>
            </w:r>
          </w:p>
        </w:tc>
      </w:tr>
    </w:tbl>
    <w:p>
      <w:pPr>
        <w:jc w:val="center"/>
        <w:rPr>
          <w:rFonts w:hint="eastAsia"/>
          <w:b/>
          <w:bCs/>
          <w:color w:val="000000"/>
          <w:sz w:val="18"/>
          <w:szCs w:val="18"/>
        </w:rPr>
      </w:pPr>
    </w:p>
    <w:p>
      <w:pPr>
        <w:adjustRightInd w:val="0"/>
        <w:snapToGrid w:val="0"/>
        <w:spacing w:line="360" w:lineRule="auto"/>
        <w:ind w:firstLine="420" w:firstLineChars="200"/>
        <w:rPr>
          <w:rFonts w:hint="eastAsia"/>
          <w:color w:val="000000"/>
          <w:szCs w:val="21"/>
          <w:lang w:bidi="ar"/>
        </w:rPr>
      </w:pPr>
      <w:r>
        <w:rPr>
          <w:rFonts w:hint="eastAsia"/>
          <w:color w:val="000000"/>
          <w:szCs w:val="21"/>
          <w:lang w:bidi="ar"/>
        </w:rPr>
        <w:t xml:space="preserve">第i个分课程目标的达成度Ai ： </w:t>
      </w:r>
    </w:p>
    <w:p>
      <w:pPr>
        <w:adjustRightInd w:val="0"/>
        <w:snapToGrid w:val="0"/>
        <w:spacing w:line="360" w:lineRule="auto"/>
        <w:ind w:firstLine="420" w:firstLineChars="200"/>
        <w:rPr>
          <w:rFonts w:hint="eastAsia"/>
          <w:color w:val="000000"/>
          <w:szCs w:val="21"/>
          <w:lang w:bidi="ar"/>
        </w:rPr>
      </w:pPr>
      <w:r>
        <w:rPr>
          <w:rFonts w:hint="eastAsia"/>
          <w:color w:val="000000"/>
          <w:szCs w:val="21"/>
          <w:lang w:bidi="ar"/>
        </w:rPr>
        <w:object>
          <v:shape id="_x0000_i1177" o:spt="75" type="#_x0000_t75" style="height:20pt;width:105.5pt;" o:ole="t" filled="f" o:preferrelative="t" stroked="f" coordsize="21600,21600">
            <v:path/>
            <v:fill on="f" focussize="0,0"/>
            <v:stroke on="f" joinstyle="miter"/>
            <v:imagedata r:id="rId296" o:title=""/>
            <o:lock v:ext="edit" aspectratio="t"/>
            <w10:wrap type="none"/>
            <w10:anchorlock/>
          </v:shape>
          <o:OLEObject Type="Embed" ProgID="Equation.DSMT4" ShapeID="_x0000_i1177" DrawAspect="Content" ObjectID="_1468075877" r:id="rId319">
            <o:LockedField>false</o:LockedField>
          </o:OLEObject>
        </w:object>
      </w:r>
      <w:r>
        <w:rPr>
          <w:rFonts w:hint="eastAsia"/>
          <w:color w:val="000000"/>
          <w:szCs w:val="21"/>
          <w:lang w:bidi="ar"/>
        </w:rPr>
        <w:t xml:space="preserve">                                    </w:t>
      </w:r>
      <w:r>
        <w:rPr>
          <w:rFonts w:hint="eastAsia"/>
          <w:color w:val="000000"/>
          <w:szCs w:val="21"/>
          <w:lang w:bidi="ar"/>
        </w:rPr>
        <w:tab/>
      </w:r>
      <w:r>
        <w:rPr>
          <w:rFonts w:hint="eastAsia"/>
          <w:color w:val="000000"/>
          <w:szCs w:val="21"/>
          <w:lang w:bidi="ar"/>
        </w:rPr>
        <w:tab/>
      </w:r>
      <w:r>
        <w:rPr>
          <w:rFonts w:hint="eastAsia"/>
          <w:color w:val="000000"/>
          <w:szCs w:val="21"/>
          <w:lang w:bidi="ar"/>
        </w:rPr>
        <w:tab/>
      </w:r>
      <w:r>
        <w:rPr>
          <w:rFonts w:hint="eastAsia"/>
          <w:color w:val="000000"/>
          <w:szCs w:val="21"/>
          <w:lang w:bidi="ar"/>
        </w:rPr>
        <w:tab/>
      </w:r>
      <w:r>
        <w:rPr>
          <w:rFonts w:hint="eastAsia"/>
          <w:color w:val="000000"/>
          <w:szCs w:val="21"/>
          <w:lang w:bidi="ar"/>
        </w:rPr>
        <w:t>6-1</w:t>
      </w:r>
    </w:p>
    <w:p>
      <w:pPr>
        <w:adjustRightInd w:val="0"/>
        <w:snapToGrid w:val="0"/>
        <w:spacing w:line="360" w:lineRule="auto"/>
        <w:ind w:firstLine="420" w:firstLineChars="200"/>
        <w:rPr>
          <w:rFonts w:hint="eastAsia"/>
          <w:color w:val="000000"/>
          <w:szCs w:val="21"/>
          <w:lang w:bidi="ar"/>
        </w:rPr>
      </w:pPr>
      <w:r>
        <w:rPr>
          <w:rFonts w:hint="eastAsia"/>
          <w:color w:val="000000"/>
          <w:szCs w:val="21"/>
          <w:lang w:bidi="ar"/>
        </w:rPr>
        <w:t>总课程目标达成度A，由多个分课程目标再根据权重加权求和：</w:t>
      </w:r>
    </w:p>
    <w:p>
      <w:pPr>
        <w:adjustRightInd w:val="0"/>
        <w:snapToGrid w:val="0"/>
        <w:spacing w:line="360" w:lineRule="auto"/>
        <w:ind w:firstLine="420" w:firstLineChars="200"/>
        <w:rPr>
          <w:rFonts w:hint="eastAsia"/>
          <w:color w:val="000000"/>
          <w:szCs w:val="21"/>
          <w:lang w:bidi="ar"/>
        </w:rPr>
      </w:pPr>
      <w:r>
        <w:rPr>
          <w:rFonts w:hint="eastAsia"/>
          <w:color w:val="000000"/>
          <w:szCs w:val="21"/>
          <w:lang w:bidi="ar"/>
        </w:rPr>
        <w:object>
          <v:shape id="_x0000_i1178" o:spt="75" type="#_x0000_t75" style="height:20pt;width:62.5pt;" o:ole="t" filled="f" o:preferrelative="t" stroked="f" coordsize="21600,21600">
            <v:path/>
            <v:fill on="f" focussize="0,0"/>
            <v:stroke on="f" joinstyle="miter"/>
            <v:imagedata r:id="rId298" o:title=""/>
            <o:lock v:ext="edit" aspectratio="t"/>
            <w10:wrap type="none"/>
            <w10:anchorlock/>
          </v:shape>
          <o:OLEObject Type="Embed" ProgID="Equation.DSMT4" ShapeID="_x0000_i1178" DrawAspect="Content" ObjectID="_1468075878" r:id="rId320">
            <o:LockedField>false</o:LockedField>
          </o:OLEObject>
        </w:object>
      </w:r>
      <w:r>
        <w:rPr>
          <w:rFonts w:hint="eastAsia"/>
          <w:color w:val="000000"/>
          <w:szCs w:val="21"/>
          <w:lang w:bidi="ar"/>
        </w:rPr>
        <w:t xml:space="preserve">                                      </w:t>
      </w:r>
      <w:r>
        <w:rPr>
          <w:rFonts w:hint="eastAsia"/>
          <w:color w:val="000000"/>
          <w:szCs w:val="21"/>
          <w:lang w:bidi="ar"/>
        </w:rPr>
        <w:tab/>
      </w:r>
      <w:r>
        <w:rPr>
          <w:rFonts w:hint="eastAsia"/>
          <w:color w:val="000000"/>
          <w:szCs w:val="21"/>
          <w:lang w:bidi="ar"/>
        </w:rPr>
        <w:tab/>
      </w:r>
      <w:r>
        <w:rPr>
          <w:rFonts w:hint="eastAsia"/>
          <w:color w:val="000000"/>
          <w:szCs w:val="21"/>
          <w:lang w:bidi="ar"/>
        </w:rPr>
        <w:tab/>
      </w:r>
      <w:r>
        <w:rPr>
          <w:rFonts w:hint="eastAsia"/>
          <w:color w:val="000000"/>
          <w:szCs w:val="21"/>
          <w:lang w:bidi="ar"/>
        </w:rPr>
        <w:tab/>
      </w:r>
      <w:r>
        <w:rPr>
          <w:rFonts w:hint="eastAsia"/>
          <w:color w:val="000000"/>
          <w:szCs w:val="21"/>
          <w:lang w:bidi="ar"/>
        </w:rPr>
        <w:tab/>
      </w:r>
      <w:r>
        <w:rPr>
          <w:rFonts w:hint="eastAsia"/>
          <w:color w:val="000000"/>
          <w:szCs w:val="21"/>
          <w:lang w:bidi="ar"/>
        </w:rPr>
        <w:tab/>
      </w:r>
      <w:r>
        <w:rPr>
          <w:rFonts w:hint="eastAsia"/>
          <w:color w:val="000000"/>
          <w:szCs w:val="21"/>
          <w:lang w:bidi="ar"/>
        </w:rPr>
        <w:t>6-2</w:t>
      </w:r>
    </w:p>
    <w:p>
      <w:pPr>
        <w:adjustRightInd w:val="0"/>
        <w:snapToGrid w:val="0"/>
        <w:spacing w:line="360" w:lineRule="auto"/>
        <w:ind w:firstLine="420" w:firstLineChars="200"/>
        <w:rPr>
          <w:rFonts w:hint="eastAsia"/>
          <w:color w:val="000000"/>
          <w:szCs w:val="21"/>
          <w:lang w:bidi="ar"/>
        </w:rPr>
      </w:pPr>
      <w:r>
        <w:rPr>
          <w:rFonts w:hint="eastAsia"/>
          <w:color w:val="000000"/>
          <w:szCs w:val="21"/>
          <w:lang w:bidi="ar"/>
        </w:rPr>
        <w:t>其中：k表示不同的考核方式，i表示不同的分课程目标；</w:t>
      </w:r>
    </w:p>
    <w:p>
      <w:pPr>
        <w:adjustRightInd w:val="0"/>
        <w:snapToGrid w:val="0"/>
        <w:spacing w:line="360" w:lineRule="auto"/>
        <w:ind w:firstLine="420" w:firstLineChars="200"/>
        <w:rPr>
          <w:rFonts w:hint="eastAsia"/>
          <w:color w:val="000000"/>
          <w:szCs w:val="21"/>
          <w:lang w:bidi="ar"/>
        </w:rPr>
      </w:pPr>
      <w:r>
        <w:rPr>
          <w:rFonts w:hint="eastAsia"/>
          <w:color w:val="000000"/>
          <w:szCs w:val="21"/>
          <w:lang w:bidi="ar"/>
        </w:rPr>
        <w:object>
          <v:shape id="_x0000_i1179" o:spt="75" type="#_x0000_t75" style="height:16pt;width:13.5pt;" o:ole="t" filled="f" o:preferrelative="t" stroked="f" coordsize="21600,21600">
            <v:path/>
            <v:fill on="f" focussize="0,0"/>
            <v:stroke on="f" joinstyle="miter"/>
            <v:imagedata r:id="rId300" o:title=""/>
            <o:lock v:ext="edit" aspectratio="t"/>
            <w10:wrap type="none"/>
            <w10:anchorlock/>
          </v:shape>
          <o:OLEObject Type="Embed" ProgID="Equation.3" ShapeID="_x0000_i1179" DrawAspect="Content" ObjectID="_1468075879" r:id="rId321">
            <o:LockedField>false</o:LockedField>
          </o:OLEObject>
        </w:object>
      </w:r>
      <w:r>
        <w:rPr>
          <w:rFonts w:hint="eastAsia"/>
          <w:color w:val="000000"/>
          <w:szCs w:val="21"/>
          <w:lang w:bidi="ar"/>
        </w:rPr>
        <w:t>表示第i个课程目标中第k种考核方式在总成绩中的占比；</w:t>
      </w:r>
    </w:p>
    <w:p>
      <w:pPr>
        <w:adjustRightInd w:val="0"/>
        <w:snapToGrid w:val="0"/>
        <w:spacing w:line="360" w:lineRule="auto"/>
        <w:ind w:firstLine="420" w:firstLineChars="200"/>
        <w:rPr>
          <w:rFonts w:hint="eastAsia"/>
          <w:color w:val="000000"/>
          <w:szCs w:val="21"/>
          <w:lang w:bidi="ar"/>
        </w:rPr>
      </w:pPr>
      <w:r>
        <w:rPr>
          <w:rFonts w:hint="eastAsia"/>
          <w:color w:val="000000"/>
          <w:szCs w:val="21"/>
          <w:lang w:bidi="ar"/>
        </w:rPr>
        <w:object>
          <v:shape id="_x0000_i1180" o:spt="75" type="#_x0000_t75" style="height:15pt;width:10.5pt;" o:ole="t" filled="f" o:preferrelative="t" stroked="f" coordsize="21600,21600">
            <v:path/>
            <v:fill on="f" focussize="0,0"/>
            <v:stroke on="f" joinstyle="miter"/>
            <v:imagedata r:id="rId155" o:title=""/>
            <o:lock v:ext="edit" aspectratio="t"/>
            <w10:wrap type="none"/>
            <w10:anchorlock/>
          </v:shape>
          <o:OLEObject Type="Embed" ProgID="Equation.3" ShapeID="_x0000_i1180" DrawAspect="Content" ObjectID="_1468075880" r:id="rId322">
            <o:LockedField>false</o:LockedField>
          </o:OLEObject>
        </w:object>
      </w:r>
      <w:r>
        <w:rPr>
          <w:rFonts w:hint="eastAsia"/>
          <w:color w:val="000000"/>
          <w:szCs w:val="21"/>
          <w:lang w:bidi="ar"/>
        </w:rPr>
        <w:t>表示第i个课程目标在课程总评价中的占比；</w:t>
      </w:r>
    </w:p>
    <w:p>
      <w:pPr>
        <w:adjustRightInd w:val="0"/>
        <w:snapToGrid w:val="0"/>
        <w:spacing w:line="360" w:lineRule="auto"/>
        <w:ind w:firstLine="420" w:firstLineChars="200"/>
        <w:rPr>
          <w:rFonts w:hint="eastAsia"/>
          <w:color w:val="000000"/>
          <w:szCs w:val="21"/>
          <w:lang w:bidi="ar"/>
        </w:rPr>
      </w:pPr>
      <w:r>
        <w:rPr>
          <w:rFonts w:hint="eastAsia"/>
          <w:color w:val="000000"/>
          <w:szCs w:val="21"/>
          <w:lang w:bidi="ar"/>
        </w:rPr>
        <w:t>Gik表示第k种考核方式支撑第i个课程目标的达成度（第k种考核方式支撑第i个课程目标的学生得分平均值除以第k种考核方式支撑第i个课程目标的总分值）。</w:t>
      </w:r>
    </w:p>
    <w:p>
      <w:pPr>
        <w:adjustRightInd w:val="0"/>
        <w:snapToGrid w:val="0"/>
        <w:spacing w:line="360" w:lineRule="auto"/>
        <w:ind w:firstLine="422" w:firstLineChars="200"/>
        <w:rPr>
          <w:rFonts w:hint="eastAsia"/>
          <w:b/>
          <w:bCs/>
          <w:color w:val="000000"/>
          <w:szCs w:val="21"/>
          <w:lang w:bidi="ar"/>
        </w:rPr>
      </w:pPr>
      <w:r>
        <w:rPr>
          <w:rFonts w:hint="eastAsia"/>
          <w:b/>
          <w:bCs/>
          <w:color w:val="000000"/>
          <w:szCs w:val="21"/>
          <w:lang w:bidi="ar"/>
        </w:rPr>
        <w:t>3、定性评价</w:t>
      </w:r>
    </w:p>
    <w:p>
      <w:pPr>
        <w:adjustRightInd w:val="0"/>
        <w:snapToGrid w:val="0"/>
        <w:spacing w:line="360" w:lineRule="auto"/>
        <w:ind w:firstLine="420" w:firstLineChars="200"/>
        <w:rPr>
          <w:rFonts w:hint="eastAsia"/>
          <w:color w:val="000000"/>
          <w:szCs w:val="21"/>
          <w:lang w:bidi="ar"/>
        </w:rPr>
      </w:pPr>
      <w:r>
        <w:rPr>
          <w:rFonts w:hint="eastAsia"/>
          <w:color w:val="000000"/>
          <w:szCs w:val="21"/>
          <w:lang w:bidi="ar"/>
        </w:rPr>
        <w:t>针对每门课的课程目标，直接设计问题，并要求学生明确给出目标能力达到的程度“很好（0.95）、较好（0.75）、中（0.60）、较差（0.45）、很差（0.25）”，根据各区段统计比例与括号中的目标分值加权后求和得出定性评价的结果。</w:t>
      </w:r>
    </w:p>
    <w:p>
      <w:pPr>
        <w:adjustRightInd w:val="0"/>
        <w:snapToGrid w:val="0"/>
        <w:spacing w:line="360" w:lineRule="auto"/>
        <w:ind w:firstLine="422" w:firstLineChars="200"/>
        <w:rPr>
          <w:b/>
          <w:bCs/>
          <w:color w:val="000000"/>
          <w:szCs w:val="21"/>
          <w:lang w:bidi="ar"/>
        </w:rPr>
      </w:pPr>
      <w:r>
        <w:rPr>
          <w:rFonts w:hint="eastAsia"/>
          <w:b/>
          <w:bCs/>
          <w:color w:val="000000"/>
          <w:szCs w:val="21"/>
          <w:lang w:bidi="ar"/>
        </w:rPr>
        <w:t>4、定性评价和定量评价结果的综合</w:t>
      </w:r>
    </w:p>
    <w:p>
      <w:pPr>
        <w:adjustRightInd w:val="0"/>
        <w:snapToGrid w:val="0"/>
        <w:spacing w:line="360" w:lineRule="auto"/>
        <w:ind w:firstLine="420" w:firstLineChars="200"/>
        <w:rPr>
          <w:rFonts w:hint="eastAsia"/>
          <w:color w:val="000000"/>
          <w:szCs w:val="21"/>
          <w:lang w:bidi="ar"/>
        </w:rPr>
      </w:pPr>
      <w:r>
        <w:rPr>
          <w:rFonts w:hint="eastAsia"/>
          <w:color w:val="000000"/>
          <w:szCs w:val="21"/>
          <w:lang w:bidi="ar"/>
        </w:rPr>
        <w:t>同一课程目标的评价，取定性评价和定量评价的平均值，作为最终评价结果。</w:t>
      </w:r>
    </w:p>
    <w:p>
      <w:pPr>
        <w:adjustRightInd w:val="0"/>
        <w:snapToGrid w:val="0"/>
        <w:spacing w:before="156" w:beforeLines="50" w:line="360" w:lineRule="auto"/>
        <w:rPr>
          <w:rFonts w:hint="eastAsia" w:eastAsia="黑体"/>
          <w:color w:val="000000"/>
          <w:szCs w:val="21"/>
        </w:rPr>
      </w:pPr>
      <w:r>
        <w:rPr>
          <w:rFonts w:hint="eastAsia" w:eastAsia="黑体"/>
          <w:color w:val="000000"/>
          <w:szCs w:val="21"/>
        </w:rPr>
        <w:t>七、评价标准：</w:t>
      </w:r>
    </w:p>
    <w:p>
      <w:pPr>
        <w:adjustRightInd w:val="0"/>
        <w:snapToGrid w:val="0"/>
        <w:spacing w:line="360" w:lineRule="auto"/>
        <w:ind w:firstLine="420" w:firstLineChars="200"/>
        <w:rPr>
          <w:rFonts w:hint="eastAsia"/>
          <w:color w:val="000000"/>
          <w:szCs w:val="21"/>
          <w:lang w:bidi="ar"/>
        </w:rPr>
      </w:pPr>
      <w:r>
        <w:rPr>
          <w:rFonts w:hint="eastAsia"/>
          <w:color w:val="000000"/>
          <w:szCs w:val="21"/>
          <w:lang w:bidi="ar"/>
        </w:rPr>
        <w:t>本课程允许教师在各评价环节根据具体情况采取多样化、个性化的考核手段，其评价标准应当在《SIE-CT-01：授课计划》中明确并向学生公布，教学过程中的考核评价应当严格按照标准完成。</w:t>
      </w:r>
    </w:p>
    <w:p>
      <w:pPr>
        <w:adjustRightInd w:val="0"/>
        <w:snapToGrid w:val="0"/>
        <w:spacing w:before="156" w:beforeLines="50" w:line="360" w:lineRule="auto"/>
        <w:rPr>
          <w:rFonts w:hint="eastAsia" w:eastAsia="黑体"/>
          <w:color w:val="000000"/>
          <w:szCs w:val="21"/>
        </w:rPr>
      </w:pPr>
      <w:r>
        <w:rPr>
          <w:rFonts w:hint="eastAsia" w:eastAsia="黑体"/>
          <w:color w:val="000000"/>
          <w:szCs w:val="21"/>
        </w:rPr>
        <w:t>八、课程目标达成评价结果用于持续改进</w:t>
      </w:r>
    </w:p>
    <w:p>
      <w:pPr>
        <w:adjustRightInd w:val="0"/>
        <w:snapToGrid w:val="0"/>
        <w:spacing w:line="360" w:lineRule="auto"/>
        <w:ind w:firstLine="420" w:firstLineChars="200"/>
        <w:rPr>
          <w:rFonts w:hint="eastAsia"/>
          <w:color w:val="000000"/>
          <w:szCs w:val="21"/>
          <w:lang w:bidi="ar"/>
        </w:rPr>
      </w:pPr>
      <w:r>
        <w:rPr>
          <w:rFonts w:hint="eastAsia"/>
          <w:color w:val="000000"/>
          <w:szCs w:val="21"/>
          <w:lang w:bidi="ar"/>
        </w:rPr>
        <w:t>课程目标达成评价结果将用于后续教学过程的持续改进。</w:t>
      </w:r>
    </w:p>
    <w:p>
      <w:pPr>
        <w:adjustRightInd w:val="0"/>
        <w:snapToGrid w:val="0"/>
        <w:spacing w:line="360" w:lineRule="auto"/>
        <w:ind w:firstLine="420" w:firstLineChars="200"/>
        <w:rPr>
          <w:rFonts w:hint="eastAsia"/>
          <w:color w:val="000000"/>
          <w:szCs w:val="21"/>
          <w:lang w:bidi="ar"/>
        </w:rPr>
      </w:pPr>
      <w:r>
        <w:rPr>
          <w:rFonts w:hint="eastAsia"/>
          <w:color w:val="000000"/>
          <w:szCs w:val="21"/>
          <w:lang w:bidi="ar"/>
        </w:rPr>
        <w:t>针对课程目标达成评价中发现的问题与不足，重点是达成值相对较低的项，在本次授课总结中应由授课教师分析具体原因，并给出改进建议。后续任课教师应当针对以前的问题和建议，在授课计划中做好落实改进计划，并在授课过程中予以落实。</w:t>
      </w:r>
    </w:p>
    <w:p>
      <w:pPr>
        <w:adjustRightInd w:val="0"/>
        <w:snapToGrid w:val="0"/>
        <w:spacing w:before="156" w:beforeLines="50" w:line="360" w:lineRule="auto"/>
        <w:rPr>
          <w:rFonts w:hint="eastAsia" w:eastAsia="黑体"/>
          <w:color w:val="000000"/>
          <w:szCs w:val="21"/>
        </w:rPr>
      </w:pPr>
      <w:r>
        <w:rPr>
          <w:rFonts w:hint="eastAsia" w:eastAsia="黑体"/>
          <w:color w:val="000000"/>
          <w:szCs w:val="21"/>
        </w:rPr>
        <w:t>九、覆盖课程目标达成评价的知识点及权重</w:t>
      </w:r>
    </w:p>
    <w:p>
      <w:pPr>
        <w:jc w:val="center"/>
        <w:rPr>
          <w:rFonts w:hint="eastAsia" w:eastAsia="黑体"/>
          <w:color w:val="000000"/>
          <w:szCs w:val="21"/>
          <w:highlight w:val="yellow"/>
        </w:rPr>
      </w:pPr>
      <w:r>
        <w:rPr>
          <w:b/>
          <w:bCs/>
          <w:color w:val="000000"/>
          <w:sz w:val="18"/>
          <w:szCs w:val="18"/>
        </w:rPr>
        <w:t>表</w:t>
      </w:r>
      <w:r>
        <w:rPr>
          <w:rFonts w:hint="eastAsia"/>
          <w:b/>
          <w:bCs/>
          <w:color w:val="000000"/>
          <w:sz w:val="18"/>
          <w:szCs w:val="18"/>
        </w:rPr>
        <w:t xml:space="preserve">9.1   </w:t>
      </w:r>
      <w:r>
        <w:rPr>
          <w:b/>
          <w:bCs/>
          <w:color w:val="000000"/>
          <w:sz w:val="18"/>
          <w:szCs w:val="18"/>
        </w:rPr>
        <w:t>各考核方式对课程目标达成评价的</w:t>
      </w:r>
      <w:r>
        <w:rPr>
          <w:rFonts w:hint="eastAsia"/>
          <w:b/>
          <w:bCs/>
          <w:color w:val="000000"/>
          <w:sz w:val="18"/>
          <w:szCs w:val="18"/>
        </w:rPr>
        <w:t>权重</w:t>
      </w:r>
      <w:r>
        <w:rPr>
          <w:b/>
          <w:bCs/>
          <w:color w:val="000000"/>
          <w:sz w:val="18"/>
          <w:szCs w:val="18"/>
        </w:rPr>
        <w:t>占比分配</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6"/>
        <w:gridCol w:w="1666"/>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6" w:type="pct"/>
            <w:tcBorders>
              <w:bottom w:val="single" w:color="auto" w:sz="4" w:space="0"/>
              <w:right w:val="single" w:color="auto" w:sz="4" w:space="0"/>
            </w:tcBorders>
            <w:vAlign w:val="center"/>
          </w:tcPr>
          <w:p>
            <w:pPr>
              <w:jc w:val="center"/>
              <w:rPr>
                <w:color w:val="000000"/>
                <w:sz w:val="18"/>
                <w:szCs w:val="18"/>
                <w:highlight w:val="yellow"/>
              </w:rPr>
            </w:pPr>
            <w:r>
              <w:rPr>
                <w:rFonts w:hint="eastAsia" w:cs="宋体"/>
                <w:color w:val="000000"/>
                <w:sz w:val="18"/>
                <w:szCs w:val="18"/>
                <w:lang w:bidi="ar"/>
              </w:rPr>
              <w:t>知识点</w:t>
            </w:r>
          </w:p>
        </w:tc>
        <w:tc>
          <w:tcPr>
            <w:tcW w:w="897" w:type="pct"/>
            <w:tcBorders>
              <w:left w:val="single" w:color="auto" w:sz="4" w:space="0"/>
              <w:bottom w:val="single" w:color="auto" w:sz="4" w:space="0"/>
              <w:right w:val="single" w:color="auto" w:sz="4" w:space="0"/>
            </w:tcBorders>
            <w:vAlign w:val="center"/>
          </w:tcPr>
          <w:p>
            <w:pPr>
              <w:jc w:val="center"/>
              <w:rPr>
                <w:color w:val="000000"/>
                <w:sz w:val="18"/>
                <w:szCs w:val="18"/>
              </w:rPr>
            </w:pPr>
            <w:r>
              <w:rPr>
                <w:rFonts w:hint="eastAsia" w:cs="宋体"/>
                <w:color w:val="000000"/>
                <w:sz w:val="18"/>
                <w:szCs w:val="18"/>
                <w:lang w:bidi="ar"/>
              </w:rPr>
              <w:t>权重</w:t>
            </w:r>
          </w:p>
        </w:tc>
        <w:tc>
          <w:tcPr>
            <w:tcW w:w="1047" w:type="pct"/>
            <w:tcBorders>
              <w:left w:val="single" w:color="auto" w:sz="4" w:space="0"/>
              <w:bottom w:val="single" w:color="auto" w:sz="4" w:space="0"/>
            </w:tcBorders>
            <w:vAlign w:val="center"/>
          </w:tcPr>
          <w:p>
            <w:pPr>
              <w:jc w:val="center"/>
              <w:rPr>
                <w:color w:val="000000"/>
                <w:sz w:val="18"/>
                <w:szCs w:val="18"/>
              </w:rPr>
            </w:pPr>
            <w:r>
              <w:rPr>
                <w:rFonts w:hint="eastAsia" w:cs="宋体"/>
                <w:color w:val="000000"/>
                <w:sz w:val="18"/>
                <w:szCs w:val="18"/>
                <w:lang w:bidi="ar"/>
              </w:rPr>
              <w:t>支撑课程目标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6" w:type="pct"/>
            <w:tcBorders>
              <w:top w:val="single" w:color="auto" w:sz="4" w:space="0"/>
              <w:bottom w:val="single" w:color="auto" w:sz="4" w:space="0"/>
              <w:right w:val="single" w:color="auto" w:sz="4" w:space="0"/>
            </w:tcBorders>
            <w:vAlign w:val="center"/>
          </w:tcPr>
          <w:p>
            <w:pPr>
              <w:widowControl/>
              <w:ind w:left="174" w:leftChars="83"/>
              <w:rPr>
                <w:snapToGrid w:val="0"/>
                <w:color w:val="000000"/>
                <w:kern w:val="0"/>
                <w:sz w:val="18"/>
                <w:szCs w:val="18"/>
              </w:rPr>
            </w:pPr>
            <w:r>
              <w:rPr>
                <w:snapToGrid w:val="0"/>
                <w:color w:val="000000"/>
                <w:kern w:val="0"/>
                <w:sz w:val="18"/>
                <w:szCs w:val="18"/>
                <w:lang w:bidi="ar"/>
              </w:rPr>
              <w:t xml:space="preserve">1 </w:t>
            </w:r>
            <w:r>
              <w:rPr>
                <w:rFonts w:hint="eastAsia" w:cs="宋体"/>
                <w:snapToGrid w:val="0"/>
                <w:color w:val="000000"/>
                <w:kern w:val="0"/>
                <w:sz w:val="18"/>
                <w:szCs w:val="18"/>
                <w:lang w:bidi="ar"/>
              </w:rPr>
              <w:t>机器视觉的发展及基本知识</w:t>
            </w:r>
          </w:p>
        </w:tc>
        <w:tc>
          <w:tcPr>
            <w:tcW w:w="897" w:type="pct"/>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color w:val="000000"/>
                <w:sz w:val="18"/>
                <w:szCs w:val="18"/>
                <w:lang w:bidi="ar"/>
              </w:rPr>
              <w:t>0.05</w:t>
            </w:r>
          </w:p>
        </w:tc>
        <w:tc>
          <w:tcPr>
            <w:tcW w:w="1047" w:type="pct"/>
            <w:tcBorders>
              <w:top w:val="single" w:color="auto" w:sz="4" w:space="0"/>
              <w:left w:val="single" w:color="auto" w:sz="4" w:space="0"/>
              <w:bottom w:val="single" w:color="auto" w:sz="4" w:space="0"/>
            </w:tcBorders>
            <w:vAlign w:val="center"/>
          </w:tcPr>
          <w:p>
            <w:pPr>
              <w:jc w:val="center"/>
              <w:rPr>
                <w:color w:val="000000"/>
                <w:sz w:val="18"/>
                <w:szCs w:val="18"/>
              </w:rPr>
            </w:pPr>
            <w:r>
              <w:rPr>
                <w:color w:val="000000"/>
                <w:sz w:val="18"/>
                <w:szCs w:val="18"/>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6" w:type="pct"/>
            <w:tcBorders>
              <w:top w:val="single" w:color="auto" w:sz="4" w:space="0"/>
              <w:bottom w:val="single" w:color="auto" w:sz="4" w:space="0"/>
              <w:right w:val="single" w:color="auto" w:sz="4" w:space="0"/>
            </w:tcBorders>
            <w:vAlign w:val="center"/>
          </w:tcPr>
          <w:p>
            <w:pPr>
              <w:widowControl/>
              <w:ind w:left="174" w:leftChars="83"/>
              <w:rPr>
                <w:snapToGrid w:val="0"/>
                <w:color w:val="000000"/>
                <w:kern w:val="0"/>
                <w:sz w:val="18"/>
                <w:szCs w:val="18"/>
              </w:rPr>
            </w:pPr>
            <w:r>
              <w:rPr>
                <w:snapToGrid w:val="0"/>
                <w:color w:val="000000"/>
                <w:kern w:val="0"/>
                <w:sz w:val="18"/>
                <w:szCs w:val="18"/>
                <w:lang w:bidi="ar"/>
              </w:rPr>
              <w:t xml:space="preserve">2 </w:t>
            </w:r>
            <w:r>
              <w:rPr>
                <w:rFonts w:hint="eastAsia" w:cs="宋体"/>
                <w:snapToGrid w:val="0"/>
                <w:color w:val="000000"/>
                <w:kern w:val="0"/>
                <w:sz w:val="18"/>
                <w:szCs w:val="18"/>
                <w:lang w:bidi="ar"/>
              </w:rPr>
              <w:t>成像与图像采集</w:t>
            </w:r>
          </w:p>
        </w:tc>
        <w:tc>
          <w:tcPr>
            <w:tcW w:w="897" w:type="pct"/>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color w:val="000000"/>
                <w:sz w:val="18"/>
                <w:szCs w:val="18"/>
                <w:lang w:bidi="ar"/>
              </w:rPr>
              <w:t>0.25</w:t>
            </w:r>
          </w:p>
        </w:tc>
        <w:tc>
          <w:tcPr>
            <w:tcW w:w="1047" w:type="pct"/>
            <w:tcBorders>
              <w:top w:val="single" w:color="auto" w:sz="4" w:space="0"/>
              <w:left w:val="single" w:color="auto" w:sz="4" w:space="0"/>
              <w:bottom w:val="single" w:color="auto" w:sz="4" w:space="0"/>
            </w:tcBorders>
            <w:vAlign w:val="center"/>
          </w:tcPr>
          <w:p>
            <w:pPr>
              <w:jc w:val="center"/>
              <w:rPr>
                <w:color w:val="000000"/>
                <w:sz w:val="18"/>
                <w:szCs w:val="18"/>
              </w:rPr>
            </w:pPr>
            <w:r>
              <w:rPr>
                <w:color w:val="000000"/>
                <w:sz w:val="18"/>
                <w:szCs w:val="18"/>
                <w:lang w:bidi="ar"/>
              </w:rPr>
              <w:t>1</w:t>
            </w:r>
            <w:r>
              <w:rPr>
                <w:rFonts w:hint="eastAsia" w:cs="宋体"/>
                <w:color w:val="000000"/>
                <w:sz w:val="18"/>
                <w:szCs w:val="18"/>
                <w:lang w:bidi="ar"/>
              </w:rPr>
              <w:t>、</w:t>
            </w:r>
            <w:r>
              <w:rPr>
                <w:color w:val="000000"/>
                <w:sz w:val="18"/>
                <w:szCs w:val="18"/>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6" w:type="pct"/>
            <w:tcBorders>
              <w:top w:val="single" w:color="auto" w:sz="4" w:space="0"/>
              <w:bottom w:val="single" w:color="auto" w:sz="4" w:space="0"/>
              <w:right w:val="single" w:color="auto" w:sz="4" w:space="0"/>
            </w:tcBorders>
            <w:vAlign w:val="center"/>
          </w:tcPr>
          <w:p>
            <w:pPr>
              <w:widowControl/>
              <w:ind w:left="174" w:leftChars="83"/>
              <w:rPr>
                <w:color w:val="000000"/>
                <w:kern w:val="0"/>
                <w:sz w:val="18"/>
                <w:szCs w:val="18"/>
              </w:rPr>
            </w:pPr>
            <w:r>
              <w:rPr>
                <w:snapToGrid w:val="0"/>
                <w:color w:val="000000"/>
                <w:kern w:val="0"/>
                <w:sz w:val="18"/>
                <w:szCs w:val="18"/>
                <w:lang w:bidi="ar"/>
              </w:rPr>
              <w:t xml:space="preserve">3 </w:t>
            </w:r>
            <w:r>
              <w:rPr>
                <w:rFonts w:hint="eastAsia" w:cs="宋体"/>
                <w:snapToGrid w:val="0"/>
                <w:color w:val="000000"/>
                <w:kern w:val="0"/>
                <w:sz w:val="18"/>
                <w:szCs w:val="18"/>
                <w:lang w:bidi="ar"/>
              </w:rPr>
              <w:t>图像预处理基础</w:t>
            </w:r>
          </w:p>
        </w:tc>
        <w:tc>
          <w:tcPr>
            <w:tcW w:w="897" w:type="pct"/>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color w:val="000000"/>
                <w:sz w:val="18"/>
                <w:szCs w:val="18"/>
                <w:lang w:bidi="ar"/>
              </w:rPr>
              <w:t>0.3</w:t>
            </w:r>
          </w:p>
        </w:tc>
        <w:tc>
          <w:tcPr>
            <w:tcW w:w="1047" w:type="pct"/>
            <w:tcBorders>
              <w:top w:val="single" w:color="auto" w:sz="4" w:space="0"/>
              <w:left w:val="single" w:color="auto" w:sz="4" w:space="0"/>
              <w:bottom w:val="single" w:color="auto" w:sz="4" w:space="0"/>
            </w:tcBorders>
            <w:vAlign w:val="center"/>
          </w:tcPr>
          <w:p>
            <w:pPr>
              <w:jc w:val="center"/>
              <w:rPr>
                <w:color w:val="000000"/>
                <w:sz w:val="18"/>
                <w:szCs w:val="18"/>
              </w:rPr>
            </w:pPr>
            <w:r>
              <w:rPr>
                <w:color w:val="000000"/>
                <w:sz w:val="18"/>
                <w:szCs w:val="18"/>
                <w:lang w:bidi="ar"/>
              </w:rPr>
              <w:t>1</w:t>
            </w:r>
            <w:r>
              <w:rPr>
                <w:rFonts w:hint="eastAsia"/>
                <w:color w:val="000000"/>
                <w:sz w:val="18"/>
                <w:szCs w:val="18"/>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6" w:type="pct"/>
            <w:tcBorders>
              <w:top w:val="single" w:color="auto" w:sz="4" w:space="0"/>
              <w:bottom w:val="single" w:color="auto" w:sz="4" w:space="0"/>
              <w:right w:val="single" w:color="auto" w:sz="4" w:space="0"/>
            </w:tcBorders>
            <w:vAlign w:val="center"/>
          </w:tcPr>
          <w:p>
            <w:pPr>
              <w:widowControl/>
              <w:ind w:left="174" w:leftChars="83"/>
              <w:rPr>
                <w:color w:val="000000"/>
                <w:kern w:val="0"/>
                <w:sz w:val="18"/>
                <w:szCs w:val="18"/>
              </w:rPr>
            </w:pPr>
            <w:r>
              <w:rPr>
                <w:snapToGrid w:val="0"/>
                <w:color w:val="000000"/>
                <w:kern w:val="0"/>
                <w:sz w:val="18"/>
                <w:szCs w:val="18"/>
                <w:lang w:bidi="ar"/>
              </w:rPr>
              <w:t xml:space="preserve">4 </w:t>
            </w:r>
            <w:r>
              <w:rPr>
                <w:rFonts w:hint="eastAsia" w:cs="宋体"/>
                <w:snapToGrid w:val="0"/>
                <w:color w:val="000000"/>
                <w:kern w:val="0"/>
                <w:sz w:val="18"/>
                <w:szCs w:val="18"/>
                <w:lang w:bidi="ar"/>
              </w:rPr>
              <w:t>图像分割和特征匹配</w:t>
            </w:r>
          </w:p>
        </w:tc>
        <w:tc>
          <w:tcPr>
            <w:tcW w:w="897" w:type="pct"/>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color w:val="000000"/>
                <w:sz w:val="18"/>
                <w:szCs w:val="18"/>
                <w:lang w:bidi="ar"/>
              </w:rPr>
              <w:t>0.3</w:t>
            </w:r>
          </w:p>
        </w:tc>
        <w:tc>
          <w:tcPr>
            <w:tcW w:w="1047" w:type="pct"/>
            <w:tcBorders>
              <w:top w:val="single" w:color="auto" w:sz="4" w:space="0"/>
              <w:left w:val="single" w:color="auto" w:sz="4" w:space="0"/>
              <w:bottom w:val="single" w:color="auto" w:sz="4" w:space="0"/>
            </w:tcBorders>
            <w:vAlign w:val="center"/>
          </w:tcPr>
          <w:p>
            <w:pPr>
              <w:jc w:val="center"/>
              <w:rPr>
                <w:color w:val="000000"/>
                <w:sz w:val="18"/>
                <w:szCs w:val="18"/>
              </w:rPr>
            </w:pPr>
            <w:r>
              <w:rPr>
                <w:color w:val="000000"/>
                <w:sz w:val="18"/>
                <w:szCs w:val="18"/>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6" w:type="pct"/>
            <w:tcBorders>
              <w:top w:val="single" w:color="auto" w:sz="4" w:space="0"/>
              <w:bottom w:val="single" w:color="auto" w:sz="4" w:space="0"/>
              <w:right w:val="single" w:color="auto" w:sz="4" w:space="0"/>
            </w:tcBorders>
            <w:vAlign w:val="center"/>
          </w:tcPr>
          <w:p>
            <w:pPr>
              <w:widowControl/>
              <w:ind w:left="174" w:leftChars="83"/>
              <w:rPr>
                <w:color w:val="000000"/>
                <w:kern w:val="0"/>
                <w:sz w:val="18"/>
                <w:szCs w:val="18"/>
              </w:rPr>
            </w:pPr>
            <w:r>
              <w:rPr>
                <w:snapToGrid w:val="0"/>
                <w:color w:val="000000"/>
                <w:kern w:val="0"/>
                <w:sz w:val="18"/>
                <w:szCs w:val="18"/>
                <w:lang w:bidi="ar"/>
              </w:rPr>
              <w:t xml:space="preserve">5 </w:t>
            </w:r>
            <w:r>
              <w:rPr>
                <w:rFonts w:hint="eastAsia" w:cs="宋体"/>
                <w:snapToGrid w:val="0"/>
                <w:color w:val="000000"/>
                <w:kern w:val="0"/>
                <w:sz w:val="18"/>
                <w:szCs w:val="18"/>
                <w:lang w:bidi="ar"/>
              </w:rPr>
              <w:t>立体视觉与三维重建</w:t>
            </w:r>
          </w:p>
        </w:tc>
        <w:tc>
          <w:tcPr>
            <w:tcW w:w="897" w:type="pct"/>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color w:val="000000"/>
                <w:sz w:val="18"/>
                <w:szCs w:val="18"/>
                <w:lang w:bidi="ar"/>
              </w:rPr>
              <w:t>0.1</w:t>
            </w:r>
          </w:p>
        </w:tc>
        <w:tc>
          <w:tcPr>
            <w:tcW w:w="1047" w:type="pct"/>
            <w:tcBorders>
              <w:top w:val="single" w:color="auto" w:sz="4" w:space="0"/>
              <w:left w:val="single" w:color="auto" w:sz="4" w:space="0"/>
              <w:bottom w:val="single" w:color="auto" w:sz="4" w:space="0"/>
            </w:tcBorders>
            <w:vAlign w:val="center"/>
          </w:tcPr>
          <w:p>
            <w:pPr>
              <w:jc w:val="center"/>
              <w:rPr>
                <w:color w:val="000000"/>
                <w:sz w:val="18"/>
                <w:szCs w:val="18"/>
              </w:rPr>
            </w:pPr>
            <w:r>
              <w:rPr>
                <w:color w:val="000000"/>
                <w:sz w:val="18"/>
                <w:szCs w:val="18"/>
                <w:lang w:bidi="ar"/>
              </w:rPr>
              <w:t>1</w:t>
            </w:r>
            <w:r>
              <w:rPr>
                <w:rFonts w:hint="eastAsia"/>
                <w:color w:val="000000"/>
                <w:sz w:val="18"/>
                <w:szCs w:val="18"/>
                <w:lang w:bidi="ar"/>
              </w:rPr>
              <w:t>、2</w:t>
            </w:r>
          </w:p>
        </w:tc>
      </w:tr>
    </w:tbl>
    <w:p>
      <w:pPr>
        <w:adjustRightInd w:val="0"/>
        <w:snapToGrid w:val="0"/>
        <w:spacing w:line="360" w:lineRule="auto"/>
        <w:ind w:firstLine="420" w:firstLineChars="200"/>
        <w:rPr>
          <w:color w:val="000000"/>
          <w:szCs w:val="21"/>
          <w:highlight w:val="yellow"/>
          <w:lang w:bidi="ar"/>
        </w:rPr>
      </w:pPr>
    </w:p>
    <w:p>
      <w:pPr>
        <w:adjustRightInd w:val="0"/>
        <w:snapToGrid w:val="0"/>
        <w:spacing w:line="360" w:lineRule="auto"/>
        <w:ind w:firstLine="420" w:firstLineChars="200"/>
        <w:rPr>
          <w:color w:val="000000"/>
          <w:szCs w:val="21"/>
          <w:lang w:bidi="ar"/>
        </w:rPr>
      </w:pPr>
      <w:r>
        <w:rPr>
          <w:rFonts w:hint="eastAsia"/>
          <w:color w:val="000000"/>
          <w:szCs w:val="21"/>
          <w:lang w:bidi="ar"/>
        </w:rPr>
        <w:t>学生可以依据仪器与电子学院相关文件，以允许的第二课堂成果折算单项成绩，与对应知识点加权累计达到</w:t>
      </w:r>
      <w:r>
        <w:rPr>
          <w:color w:val="000000"/>
          <w:szCs w:val="21"/>
          <w:lang w:bidi="ar"/>
        </w:rPr>
        <w:t>75</w:t>
      </w:r>
      <w:r>
        <w:rPr>
          <w:rFonts w:hint="eastAsia"/>
          <w:color w:val="000000"/>
          <w:szCs w:val="21"/>
          <w:lang w:bidi="ar"/>
        </w:rPr>
        <w:t>分（含）以上，且对所有课程目标的支撑不能有缺项，即可申请本门课程免修。</w:t>
      </w:r>
    </w:p>
    <w:p>
      <w:pPr>
        <w:adjustRightInd w:val="0"/>
        <w:snapToGrid w:val="0"/>
        <w:spacing w:before="156" w:beforeLines="50" w:line="360" w:lineRule="auto"/>
        <w:rPr>
          <w:rFonts w:hint="eastAsia" w:eastAsia="黑体"/>
          <w:color w:val="000000"/>
          <w:szCs w:val="21"/>
        </w:rPr>
      </w:pPr>
      <w:r>
        <w:rPr>
          <w:rFonts w:hint="eastAsia" w:eastAsia="黑体"/>
          <w:color w:val="000000"/>
          <w:szCs w:val="21"/>
        </w:rPr>
        <w:t>八、参考书目及学习资料</w:t>
      </w:r>
    </w:p>
    <w:p>
      <w:pPr>
        <w:adjustRightInd w:val="0"/>
        <w:snapToGrid w:val="0"/>
        <w:spacing w:line="360" w:lineRule="auto"/>
        <w:ind w:firstLine="420" w:firstLineChars="200"/>
        <w:rPr>
          <w:rFonts w:hint="eastAsia"/>
          <w:color w:val="000000"/>
          <w:szCs w:val="21"/>
          <w:lang w:bidi="ar"/>
        </w:rPr>
      </w:pPr>
      <w:r>
        <w:rPr>
          <w:color w:val="000000"/>
          <w:szCs w:val="21"/>
          <w:lang w:bidi="ar"/>
        </w:rPr>
        <w:t>1</w:t>
      </w:r>
      <w:r>
        <w:rPr>
          <w:rFonts w:hint="eastAsia"/>
          <w:color w:val="000000"/>
          <w:szCs w:val="21"/>
          <w:lang w:bidi="ar"/>
        </w:rPr>
        <w:t>、曹其新等编著，《机器视觉与应用》，</w:t>
      </w:r>
      <w:r>
        <w:rPr>
          <w:color w:val="000000"/>
          <w:szCs w:val="21"/>
          <w:lang w:bidi="ar"/>
        </w:rPr>
        <w:t>ISBN</w:t>
      </w:r>
      <w:r>
        <w:rPr>
          <w:rFonts w:hint="eastAsia"/>
          <w:color w:val="000000"/>
          <w:szCs w:val="21"/>
          <w:lang w:bidi="ar"/>
        </w:rPr>
        <w:t>:</w:t>
      </w:r>
      <w:r>
        <w:rPr>
          <w:color w:val="000000"/>
          <w:szCs w:val="21"/>
          <w:lang w:bidi="ar"/>
        </w:rPr>
        <w:t xml:space="preserve"> 9787111686866</w:t>
      </w:r>
      <w:r>
        <w:rPr>
          <w:rFonts w:hint="eastAsia"/>
          <w:color w:val="000000"/>
          <w:szCs w:val="21"/>
          <w:lang w:bidi="ar"/>
        </w:rPr>
        <w:t>，机械工业出版社。</w:t>
      </w:r>
    </w:p>
    <w:p>
      <w:pPr>
        <w:adjustRightInd w:val="0"/>
        <w:snapToGrid w:val="0"/>
        <w:spacing w:line="360" w:lineRule="auto"/>
        <w:ind w:firstLine="420" w:firstLineChars="200"/>
        <w:rPr>
          <w:rFonts w:hint="eastAsia"/>
          <w:color w:val="000000"/>
          <w:szCs w:val="21"/>
          <w:lang w:bidi="ar"/>
        </w:rPr>
      </w:pPr>
      <w:r>
        <w:rPr>
          <w:color w:val="000000"/>
          <w:szCs w:val="21"/>
          <w:lang w:bidi="ar"/>
        </w:rPr>
        <w:t>2</w:t>
      </w:r>
      <w:r>
        <w:rPr>
          <w:rFonts w:hint="eastAsia"/>
          <w:color w:val="000000"/>
          <w:szCs w:val="21"/>
          <w:lang w:bidi="ar"/>
        </w:rPr>
        <w:t>、工控帮教研组编著，《机器视觉原理与案例详解》，</w:t>
      </w:r>
      <w:r>
        <w:rPr>
          <w:color w:val="000000"/>
          <w:szCs w:val="21"/>
          <w:lang w:bidi="ar"/>
        </w:rPr>
        <w:t>ISBN: 9787121390845</w:t>
      </w:r>
      <w:r>
        <w:rPr>
          <w:rFonts w:hint="eastAsia"/>
          <w:color w:val="000000"/>
          <w:szCs w:val="21"/>
          <w:lang w:bidi="ar"/>
        </w:rPr>
        <w:t>，电子工业出版社。</w:t>
      </w:r>
    </w:p>
    <w:p>
      <w:pPr>
        <w:adjustRightInd w:val="0"/>
        <w:snapToGrid w:val="0"/>
        <w:spacing w:line="360" w:lineRule="auto"/>
        <w:ind w:firstLine="420" w:firstLineChars="200"/>
        <w:rPr>
          <w:rFonts w:hint="eastAsia"/>
          <w:color w:val="000000"/>
          <w:szCs w:val="21"/>
          <w:lang w:bidi="ar"/>
        </w:rPr>
      </w:pPr>
      <w:r>
        <w:rPr>
          <w:color w:val="000000"/>
          <w:szCs w:val="21"/>
          <w:lang w:bidi="ar"/>
        </w:rPr>
        <w:t>3</w:t>
      </w:r>
      <w:r>
        <w:rPr>
          <w:rFonts w:hint="eastAsia"/>
          <w:color w:val="000000"/>
          <w:szCs w:val="21"/>
          <w:lang w:bidi="ar"/>
        </w:rPr>
        <w:t>、徐德等编著，《机器人视觉测量与控制（第3版）》，</w:t>
      </w:r>
      <w:r>
        <w:rPr>
          <w:color w:val="000000"/>
          <w:szCs w:val="21"/>
          <w:lang w:bidi="ar"/>
        </w:rPr>
        <w:t>ISBN: 9787118102109</w:t>
      </w:r>
      <w:r>
        <w:rPr>
          <w:rFonts w:hint="eastAsia"/>
          <w:color w:val="000000"/>
          <w:szCs w:val="21"/>
          <w:lang w:bidi="ar"/>
        </w:rPr>
        <w:t>，国防工业出版社。</w:t>
      </w:r>
    </w:p>
    <w:p>
      <w:pPr>
        <w:adjustRightInd w:val="0"/>
        <w:snapToGrid w:val="0"/>
        <w:spacing w:line="360" w:lineRule="auto"/>
        <w:ind w:firstLine="420" w:firstLineChars="200"/>
        <w:rPr>
          <w:color w:val="000000"/>
          <w:szCs w:val="21"/>
          <w:lang w:bidi="ar"/>
        </w:rPr>
      </w:pPr>
      <w:r>
        <w:rPr>
          <w:color w:val="000000"/>
          <w:szCs w:val="21"/>
          <w:lang w:bidi="ar"/>
        </w:rPr>
        <w:t>4</w:t>
      </w:r>
      <w:r>
        <w:rPr>
          <w:rFonts w:hint="eastAsia"/>
          <w:color w:val="000000"/>
          <w:szCs w:val="21"/>
          <w:lang w:bidi="ar"/>
        </w:rPr>
        <w:t>、李良福著，《智能视觉感知技术》，</w:t>
      </w:r>
      <w:r>
        <w:rPr>
          <w:color w:val="000000"/>
          <w:szCs w:val="21"/>
          <w:lang w:bidi="ar"/>
        </w:rPr>
        <w:t xml:space="preserve">ISBN: 9787030579294, </w:t>
      </w:r>
      <w:r>
        <w:rPr>
          <w:rFonts w:hint="eastAsia"/>
          <w:color w:val="000000"/>
          <w:szCs w:val="21"/>
          <w:lang w:bidi="ar"/>
        </w:rPr>
        <w:t>科学出版社。</w:t>
      </w:r>
    </w:p>
    <w:p>
      <w:pPr>
        <w:spacing w:line="360" w:lineRule="auto"/>
        <w:ind w:left="210" w:leftChars="50" w:hanging="105" w:hangingChars="50"/>
        <w:rPr>
          <w:b/>
          <w:bCs/>
          <w:color w:val="000000"/>
          <w:szCs w:val="21"/>
        </w:rPr>
      </w:pPr>
    </w:p>
    <w:p>
      <w:pPr>
        <w:spacing w:line="360" w:lineRule="auto"/>
        <w:ind w:left="210" w:leftChars="100"/>
        <w:jc w:val="center"/>
        <w:rPr>
          <w:rFonts w:hint="eastAsia" w:eastAsia="宋体"/>
          <w:color w:val="000000"/>
          <w:szCs w:val="21"/>
          <w:lang w:eastAsia="zh-CN"/>
        </w:rPr>
      </w:pPr>
      <w:r>
        <w:rPr>
          <w:rFonts w:hint="eastAsia"/>
          <w:b/>
          <w:bCs/>
          <w:color w:val="000000"/>
          <w:szCs w:val="21"/>
        </w:rPr>
        <w:t>制定人</w:t>
      </w:r>
      <w:r>
        <w:rPr>
          <w:rFonts w:hint="eastAsia"/>
          <w:color w:val="000000"/>
          <w:szCs w:val="21"/>
        </w:rPr>
        <w:t>：</w:t>
      </w:r>
      <w:r>
        <w:rPr>
          <w:rFonts w:hint="eastAsia"/>
          <w:color w:val="000000"/>
          <w:szCs w:val="21"/>
          <w:lang w:eastAsia="zh-CN"/>
        </w:rPr>
        <w:t>郭肖婷</w:t>
      </w:r>
      <w:r>
        <w:rPr>
          <w:rFonts w:hint="eastAsia"/>
          <w:color w:val="000000"/>
          <w:szCs w:val="21"/>
        </w:rPr>
        <w:t xml:space="preserve">     </w:t>
      </w:r>
      <w:r>
        <w:rPr>
          <w:rFonts w:hint="eastAsia"/>
          <w:color w:val="000000"/>
          <w:szCs w:val="21"/>
          <w:lang w:val="en-US" w:eastAsia="zh-CN"/>
        </w:rPr>
        <w:t xml:space="preserve">  </w:t>
      </w:r>
      <w:r>
        <w:rPr>
          <w:rFonts w:hint="eastAsia"/>
          <w:b/>
          <w:bCs/>
          <w:color w:val="000000"/>
          <w:szCs w:val="21"/>
        </w:rPr>
        <w:t>审定人</w:t>
      </w:r>
      <w:r>
        <w:rPr>
          <w:rFonts w:hint="eastAsia"/>
          <w:color w:val="000000"/>
          <w:szCs w:val="21"/>
        </w:rPr>
        <w:t>：</w:t>
      </w:r>
      <w:r>
        <w:rPr>
          <w:rFonts w:hint="eastAsia"/>
          <w:color w:val="000000"/>
          <w:szCs w:val="21"/>
          <w:lang w:eastAsia="zh-CN"/>
        </w:rPr>
        <w:t>刘文耀</w:t>
      </w:r>
      <w:r>
        <w:rPr>
          <w:rFonts w:hint="eastAsia"/>
          <w:color w:val="000000"/>
          <w:szCs w:val="21"/>
        </w:rPr>
        <w:t xml:space="preserve">       </w:t>
      </w:r>
      <w:r>
        <w:rPr>
          <w:rFonts w:hint="eastAsia"/>
          <w:b/>
          <w:bCs/>
          <w:color w:val="000000"/>
          <w:szCs w:val="21"/>
        </w:rPr>
        <w:t>批准人</w:t>
      </w:r>
      <w:r>
        <w:rPr>
          <w:rFonts w:hint="eastAsia"/>
          <w:color w:val="000000"/>
          <w:szCs w:val="21"/>
        </w:rPr>
        <w:t>：</w:t>
      </w:r>
      <w:r>
        <w:rPr>
          <w:rFonts w:hint="eastAsia"/>
          <w:color w:val="000000"/>
          <w:szCs w:val="21"/>
          <w:lang w:eastAsia="zh-CN"/>
        </w:rPr>
        <w:t>刘文怡</w:t>
      </w:r>
    </w:p>
    <w:p>
      <w:pPr>
        <w:spacing w:line="440" w:lineRule="exact"/>
        <w:ind w:right="480" w:firstLine="6090" w:firstLineChars="2900"/>
        <w:jc w:val="both"/>
        <w:rPr>
          <w:b/>
          <w:color w:val="000000"/>
          <w:spacing w:val="20"/>
          <w:szCs w:val="21"/>
        </w:rPr>
      </w:pPr>
      <w:r>
        <w:rPr>
          <w:rFonts w:hint="eastAsia"/>
          <w:color w:val="000000"/>
          <w:szCs w:val="21"/>
        </w:rPr>
        <w:t xml:space="preserve">2021年 12 月 </w:t>
      </w:r>
      <w:r>
        <w:rPr>
          <w:rFonts w:hint="eastAsia"/>
          <w:color w:val="000000"/>
          <w:szCs w:val="21"/>
          <w:lang w:val="en-US" w:eastAsia="zh-CN"/>
        </w:rPr>
        <w:t>1</w:t>
      </w:r>
      <w:r>
        <w:rPr>
          <w:rFonts w:hint="eastAsia"/>
          <w:color w:val="000000"/>
          <w:szCs w:val="21"/>
        </w:rPr>
        <w:t xml:space="preserve"> 日</w:t>
      </w:r>
    </w:p>
    <w:p/>
    <w:p/>
    <w:p/>
    <w:p/>
    <w:p/>
    <w:p/>
    <w:p/>
    <w:p/>
    <w:p/>
    <w:p/>
    <w:p/>
    <w:p/>
    <w:p/>
    <w:p/>
    <w:p/>
    <w:p/>
    <w:p/>
    <w:p/>
    <w:p/>
    <w:p/>
    <w:p/>
    <w:p/>
    <w:p/>
    <w:p/>
    <w:p/>
    <w:p/>
    <w:p/>
    <w:p/>
    <w:p/>
    <w:p/>
    <w:p/>
    <w:p/>
    <w:p/>
    <w:p/>
    <w:p/>
    <w:p/>
    <w:p/>
    <w:p/>
    <w:p/>
    <w:p>
      <w:pPr>
        <w:pStyle w:val="18"/>
        <w:spacing w:before="312" w:after="468"/>
        <w:rPr>
          <w:rFonts w:ascii="Times New Roman" w:hAnsi="Times New Roman" w:cs="Times New Roman"/>
        </w:rPr>
      </w:pPr>
      <w:bookmarkStart w:id="72" w:name="_Toc20230"/>
      <w:r>
        <w:rPr>
          <w:rFonts w:hint="eastAsia" w:ascii="Times New Roman" w:hAnsi="Times New Roman" w:cs="Times New Roman"/>
        </w:rPr>
        <w:t>《智能机器人技术》教学大纲</w:t>
      </w:r>
      <w:bookmarkEnd w:id="72"/>
    </w:p>
    <w:p>
      <w:pPr>
        <w:adjustRightInd w:val="0"/>
        <w:snapToGrid w:val="0"/>
        <w:spacing w:before="156" w:beforeLines="50" w:line="360" w:lineRule="auto"/>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一、课程基本信息</w:t>
      </w:r>
    </w:p>
    <w:p>
      <w:pPr>
        <w:snapToGrid w:val="0"/>
        <w:spacing w:line="360" w:lineRule="auto"/>
        <w:ind w:firstLine="420" w:firstLineChars="200"/>
        <w:rPr>
          <w:rFonts w:eastAsia="黑体"/>
          <w:bCs/>
          <w:szCs w:val="21"/>
        </w:rPr>
      </w:pPr>
      <w:r>
        <w:rPr>
          <w:rFonts w:hint="eastAsia" w:eastAsia="黑体"/>
          <w:bCs/>
          <w:szCs w:val="21"/>
        </w:rPr>
        <w:t>课程名称（中文）：智能机器人技术</w:t>
      </w:r>
    </w:p>
    <w:p>
      <w:pPr>
        <w:snapToGrid w:val="0"/>
        <w:spacing w:line="360" w:lineRule="auto"/>
        <w:ind w:firstLine="420" w:firstLineChars="200"/>
        <w:rPr>
          <w:rFonts w:eastAsia="黑体"/>
          <w:bCs/>
          <w:szCs w:val="21"/>
        </w:rPr>
      </w:pPr>
      <w:r>
        <w:rPr>
          <w:rFonts w:hint="eastAsia" w:eastAsia="黑体"/>
          <w:bCs/>
          <w:szCs w:val="21"/>
        </w:rPr>
        <w:t>课程名称（英文）：Intelligent</w:t>
      </w:r>
      <w:r>
        <w:rPr>
          <w:rFonts w:eastAsia="黑体"/>
          <w:bCs/>
          <w:szCs w:val="21"/>
        </w:rPr>
        <w:t xml:space="preserve"> </w:t>
      </w:r>
      <w:r>
        <w:rPr>
          <w:rFonts w:hint="eastAsia" w:eastAsia="黑体"/>
          <w:bCs/>
          <w:szCs w:val="21"/>
        </w:rPr>
        <w:t>robot</w:t>
      </w:r>
      <w:r>
        <w:rPr>
          <w:rFonts w:eastAsia="黑体"/>
          <w:bCs/>
          <w:szCs w:val="21"/>
        </w:rPr>
        <w:t xml:space="preserve"> </w:t>
      </w:r>
      <w:r>
        <w:rPr>
          <w:rFonts w:hint="eastAsia" w:eastAsia="黑体"/>
          <w:bCs/>
          <w:szCs w:val="21"/>
        </w:rPr>
        <w:t>technology</w:t>
      </w:r>
    </w:p>
    <w:p>
      <w:pPr>
        <w:snapToGrid w:val="0"/>
        <w:spacing w:line="360" w:lineRule="auto"/>
        <w:ind w:firstLine="420" w:firstLineChars="200"/>
        <w:rPr>
          <w:rFonts w:eastAsia="黑体"/>
          <w:bCs/>
          <w:szCs w:val="21"/>
        </w:rPr>
      </w:pPr>
      <w:r>
        <w:rPr>
          <w:rFonts w:hint="eastAsia" w:eastAsia="黑体"/>
          <w:bCs/>
          <w:szCs w:val="21"/>
        </w:rPr>
        <w:t>课程代码：</w:t>
      </w:r>
      <w:r>
        <w:rPr>
          <w:rFonts w:eastAsia="黑体"/>
          <w:bCs/>
          <w:szCs w:val="21"/>
        </w:rPr>
        <w:t xml:space="preserve">Z03060409 </w:t>
      </w:r>
      <w:r>
        <w:rPr>
          <w:rFonts w:hint="eastAsia" w:eastAsia="黑体"/>
          <w:bCs/>
          <w:szCs w:val="21"/>
        </w:rPr>
        <w:t xml:space="preserve"> </w:t>
      </w:r>
      <w:r>
        <w:rPr>
          <w:rFonts w:hint="eastAsia" w:eastAsia="黑体"/>
          <w:bCs/>
          <w:szCs w:val="21"/>
        </w:rPr>
        <w:tab/>
      </w:r>
      <w:r>
        <w:rPr>
          <w:rFonts w:hint="eastAsia" w:eastAsia="黑体"/>
          <w:bCs/>
          <w:szCs w:val="21"/>
        </w:rPr>
        <w:tab/>
      </w:r>
      <w:r>
        <w:rPr>
          <w:rFonts w:hint="eastAsia" w:eastAsia="黑体"/>
          <w:bCs/>
          <w:szCs w:val="21"/>
        </w:rPr>
        <w:tab/>
      </w:r>
      <w:r>
        <w:rPr>
          <w:rFonts w:hint="eastAsia" w:eastAsia="黑体"/>
          <w:bCs/>
          <w:szCs w:val="21"/>
        </w:rPr>
        <w:tab/>
      </w:r>
      <w:r>
        <w:rPr>
          <w:rFonts w:hint="eastAsia" w:eastAsia="黑体"/>
          <w:bCs/>
          <w:szCs w:val="21"/>
        </w:rPr>
        <w:tab/>
      </w:r>
      <w:r>
        <w:rPr>
          <w:rFonts w:hint="eastAsia" w:eastAsia="黑体"/>
          <w:bCs/>
          <w:szCs w:val="21"/>
        </w:rPr>
        <w:t>适用层次：本科</w:t>
      </w:r>
    </w:p>
    <w:p>
      <w:pPr>
        <w:snapToGrid w:val="0"/>
        <w:spacing w:line="360" w:lineRule="auto"/>
        <w:ind w:firstLine="420" w:firstLineChars="200"/>
        <w:rPr>
          <w:rFonts w:eastAsia="黑体"/>
          <w:bCs/>
          <w:szCs w:val="21"/>
        </w:rPr>
      </w:pPr>
      <w:r>
        <w:rPr>
          <w:rFonts w:hint="eastAsia" w:eastAsia="黑体"/>
          <w:bCs/>
          <w:szCs w:val="21"/>
        </w:rPr>
        <w:t xml:space="preserve">课程类别：专业类教育课程   </w:t>
      </w:r>
      <w:r>
        <w:rPr>
          <w:rFonts w:eastAsia="黑体"/>
          <w:bCs/>
          <w:szCs w:val="21"/>
        </w:rPr>
        <w:t xml:space="preserve"> </w:t>
      </w:r>
      <w:r>
        <w:rPr>
          <w:rFonts w:hint="eastAsia" w:eastAsia="黑体"/>
          <w:bCs/>
          <w:szCs w:val="21"/>
        </w:rPr>
        <w:t xml:space="preserve">            课程性质：选修 </w:t>
      </w:r>
    </w:p>
    <w:p>
      <w:pPr>
        <w:snapToGrid w:val="0"/>
        <w:spacing w:line="360" w:lineRule="auto"/>
        <w:ind w:firstLine="420" w:firstLineChars="200"/>
        <w:rPr>
          <w:rFonts w:eastAsia="黑体"/>
          <w:bCs/>
          <w:szCs w:val="21"/>
        </w:rPr>
      </w:pPr>
      <w:r>
        <w:rPr>
          <w:rFonts w:hint="eastAsia" w:eastAsia="黑体"/>
          <w:bCs/>
          <w:szCs w:val="21"/>
        </w:rPr>
        <w:t>适用专业：智能感知工程</w:t>
      </w:r>
      <w:r>
        <w:rPr>
          <w:rFonts w:eastAsia="黑体"/>
          <w:bCs/>
          <w:szCs w:val="21"/>
        </w:rPr>
        <w:t xml:space="preserve"> </w:t>
      </w:r>
      <w:r>
        <w:rPr>
          <w:rFonts w:hint="eastAsia" w:eastAsia="黑体"/>
          <w:bCs/>
          <w:szCs w:val="21"/>
        </w:rPr>
        <w:t xml:space="preserve">          </w:t>
      </w:r>
      <w:r>
        <w:rPr>
          <w:rFonts w:hint="eastAsia" w:eastAsia="黑体"/>
          <w:bCs/>
          <w:szCs w:val="21"/>
        </w:rPr>
        <w:tab/>
      </w:r>
      <w:r>
        <w:rPr>
          <w:rFonts w:hint="eastAsia" w:eastAsia="黑体"/>
          <w:bCs/>
          <w:szCs w:val="21"/>
        </w:rPr>
        <w:tab/>
      </w:r>
      <w:r>
        <w:rPr>
          <w:rFonts w:hint="eastAsia" w:eastAsia="黑体"/>
          <w:bCs/>
          <w:szCs w:val="21"/>
        </w:rPr>
        <w:t>计划学分：</w:t>
      </w:r>
      <w:r>
        <w:rPr>
          <w:rFonts w:eastAsia="黑体"/>
          <w:bCs/>
          <w:szCs w:val="21"/>
        </w:rPr>
        <w:t>2</w:t>
      </w:r>
    </w:p>
    <w:p>
      <w:pPr>
        <w:snapToGrid w:val="0"/>
        <w:spacing w:line="360" w:lineRule="auto"/>
        <w:ind w:firstLine="420" w:firstLineChars="200"/>
        <w:rPr>
          <w:rFonts w:eastAsia="黑体"/>
          <w:bCs/>
          <w:szCs w:val="21"/>
        </w:rPr>
      </w:pPr>
      <w:r>
        <w:rPr>
          <w:rFonts w:hint="eastAsia" w:eastAsia="黑体"/>
          <w:bCs/>
          <w:szCs w:val="21"/>
        </w:rPr>
        <w:t xml:space="preserve">计划学时（周数）： </w:t>
      </w:r>
      <w:r>
        <w:rPr>
          <w:rFonts w:eastAsia="黑体"/>
          <w:bCs/>
          <w:szCs w:val="21"/>
        </w:rPr>
        <w:t>32</w:t>
      </w:r>
      <w:r>
        <w:rPr>
          <w:rFonts w:hint="eastAsia" w:eastAsia="黑体"/>
          <w:bCs/>
          <w:szCs w:val="21"/>
        </w:rPr>
        <w:t xml:space="preserve">         </w:t>
      </w:r>
      <w:r>
        <w:rPr>
          <w:rFonts w:hint="eastAsia" w:eastAsia="黑体"/>
          <w:bCs/>
          <w:szCs w:val="21"/>
        </w:rPr>
        <w:tab/>
      </w:r>
      <w:r>
        <w:rPr>
          <w:rFonts w:hint="eastAsia" w:eastAsia="黑体"/>
          <w:bCs/>
          <w:szCs w:val="21"/>
        </w:rPr>
        <w:tab/>
      </w:r>
      <w:r>
        <w:rPr>
          <w:rFonts w:hint="eastAsia" w:eastAsia="黑体"/>
          <w:bCs/>
          <w:szCs w:val="21"/>
        </w:rPr>
        <w:tab/>
      </w:r>
      <w:r>
        <w:rPr>
          <w:rFonts w:hint="eastAsia" w:eastAsia="黑体"/>
          <w:bCs/>
          <w:szCs w:val="21"/>
        </w:rPr>
        <w:t>讲课学时：</w:t>
      </w:r>
      <w:r>
        <w:rPr>
          <w:rFonts w:eastAsia="黑体"/>
          <w:bCs/>
          <w:szCs w:val="21"/>
        </w:rPr>
        <w:t>24</w:t>
      </w:r>
      <w:r>
        <w:rPr>
          <w:rFonts w:hint="eastAsia" w:eastAsia="黑体"/>
          <w:bCs/>
          <w:szCs w:val="21"/>
        </w:rPr>
        <w:t xml:space="preserve">       实验学时：</w:t>
      </w:r>
      <w:r>
        <w:rPr>
          <w:rFonts w:eastAsia="黑体"/>
          <w:bCs/>
          <w:szCs w:val="21"/>
        </w:rPr>
        <w:t>8</w:t>
      </w:r>
    </w:p>
    <w:p>
      <w:pPr>
        <w:snapToGrid w:val="0"/>
        <w:spacing w:line="360" w:lineRule="auto"/>
        <w:ind w:firstLine="420" w:firstLineChars="200"/>
        <w:rPr>
          <w:rFonts w:eastAsia="黑体"/>
          <w:bCs/>
          <w:szCs w:val="21"/>
        </w:rPr>
      </w:pPr>
      <w:r>
        <w:rPr>
          <w:rFonts w:hint="eastAsia" w:eastAsia="黑体"/>
          <w:bCs/>
          <w:szCs w:val="21"/>
        </w:rPr>
        <w:t>开课学期：</w:t>
      </w:r>
      <w:r>
        <w:rPr>
          <w:rFonts w:eastAsia="黑体"/>
          <w:bCs/>
          <w:szCs w:val="21"/>
        </w:rPr>
        <w:t>6</w:t>
      </w:r>
      <w:r>
        <w:rPr>
          <w:rFonts w:hint="eastAsia" w:eastAsia="黑体"/>
          <w:bCs/>
          <w:szCs w:val="21"/>
        </w:rPr>
        <w:t xml:space="preserve">                       </w:t>
      </w:r>
      <w:r>
        <w:rPr>
          <w:rFonts w:hint="eastAsia" w:eastAsia="黑体"/>
          <w:bCs/>
          <w:szCs w:val="21"/>
        </w:rPr>
        <w:tab/>
      </w:r>
      <w:r>
        <w:rPr>
          <w:rFonts w:hint="eastAsia" w:eastAsia="黑体"/>
          <w:bCs/>
          <w:szCs w:val="21"/>
        </w:rPr>
        <w:tab/>
      </w:r>
      <w:r>
        <w:rPr>
          <w:rFonts w:hint="eastAsia" w:eastAsia="黑体"/>
          <w:bCs/>
          <w:szCs w:val="21"/>
        </w:rPr>
        <w:t xml:space="preserve">考核方式：考查 </w:t>
      </w:r>
    </w:p>
    <w:p>
      <w:pPr>
        <w:snapToGrid w:val="0"/>
        <w:spacing w:line="360" w:lineRule="auto"/>
        <w:ind w:firstLine="420" w:firstLineChars="200"/>
        <w:rPr>
          <w:rFonts w:hint="eastAsia" w:eastAsia="黑体"/>
          <w:bCs/>
          <w:szCs w:val="21"/>
          <w:lang w:eastAsia="zh-CN"/>
        </w:rPr>
      </w:pPr>
      <w:r>
        <w:rPr>
          <w:rFonts w:hint="eastAsia" w:eastAsia="黑体"/>
          <w:bCs/>
          <w:szCs w:val="21"/>
        </w:rPr>
        <w:t>先修课程：传感器原理及</w:t>
      </w:r>
      <w:r>
        <w:rPr>
          <w:rFonts w:hint="eastAsia" w:eastAsia="黑体"/>
          <w:bCs/>
          <w:szCs w:val="21"/>
          <w:lang w:eastAsia="zh-CN"/>
        </w:rPr>
        <w:t>设计、智能控制理论基础</w:t>
      </w:r>
    </w:p>
    <w:p>
      <w:pPr>
        <w:snapToGrid w:val="0"/>
        <w:spacing w:line="360" w:lineRule="auto"/>
        <w:ind w:firstLine="420" w:firstLineChars="200"/>
        <w:rPr>
          <w:rFonts w:eastAsia="黑体"/>
          <w:bCs/>
          <w:szCs w:val="21"/>
        </w:rPr>
      </w:pPr>
      <w:r>
        <w:rPr>
          <w:rFonts w:hint="eastAsia" w:eastAsia="黑体"/>
          <w:bCs/>
          <w:szCs w:val="21"/>
        </w:rPr>
        <w:t>后续课程：智能感知综合实践</w:t>
      </w:r>
    </w:p>
    <w:p>
      <w:pPr>
        <w:snapToGrid w:val="0"/>
        <w:spacing w:line="360" w:lineRule="auto"/>
        <w:ind w:firstLine="420" w:firstLineChars="200"/>
        <w:rPr>
          <w:rFonts w:eastAsia="黑体"/>
          <w:bCs/>
          <w:szCs w:val="21"/>
        </w:rPr>
      </w:pPr>
      <w:r>
        <w:rPr>
          <w:rFonts w:hint="eastAsia" w:eastAsia="黑体"/>
          <w:bCs/>
          <w:szCs w:val="21"/>
        </w:rPr>
        <w:t xml:space="preserve">制定人：  高晋阳                 </w:t>
      </w:r>
      <w:r>
        <w:rPr>
          <w:rFonts w:hint="eastAsia" w:eastAsia="黑体"/>
          <w:bCs/>
          <w:szCs w:val="21"/>
        </w:rPr>
        <w:tab/>
      </w:r>
      <w:r>
        <w:rPr>
          <w:rFonts w:hint="eastAsia" w:eastAsia="黑体"/>
          <w:bCs/>
          <w:szCs w:val="21"/>
        </w:rPr>
        <w:tab/>
      </w:r>
      <w:r>
        <w:rPr>
          <w:rFonts w:hint="eastAsia" w:eastAsia="黑体"/>
          <w:bCs/>
          <w:szCs w:val="21"/>
        </w:rPr>
        <w:t>教学基层组织审核人：刘文耀</w:t>
      </w:r>
    </w:p>
    <w:p>
      <w:pPr>
        <w:snapToGrid w:val="0"/>
        <w:spacing w:line="360" w:lineRule="auto"/>
        <w:ind w:firstLine="420" w:firstLineChars="200"/>
        <w:rPr>
          <w:rFonts w:eastAsia="黑体"/>
          <w:bCs/>
          <w:szCs w:val="21"/>
        </w:rPr>
      </w:pPr>
      <w:r>
        <w:rPr>
          <w:rFonts w:hint="eastAsia" w:eastAsia="黑体"/>
          <w:bCs/>
          <w:szCs w:val="21"/>
        </w:rPr>
        <w:t>开课学院：仪器与电子学院</w:t>
      </w:r>
      <w:r>
        <w:rPr>
          <w:rFonts w:eastAsia="黑体"/>
          <w:bCs/>
          <w:szCs w:val="21"/>
        </w:rPr>
        <w:t xml:space="preserve"> </w:t>
      </w:r>
      <w:r>
        <w:rPr>
          <w:rFonts w:hint="eastAsia" w:eastAsia="黑体"/>
          <w:bCs/>
          <w:szCs w:val="21"/>
        </w:rPr>
        <w:t xml:space="preserve">         </w:t>
      </w:r>
      <w:r>
        <w:rPr>
          <w:rFonts w:hint="eastAsia" w:eastAsia="黑体"/>
          <w:bCs/>
          <w:szCs w:val="21"/>
        </w:rPr>
        <w:tab/>
      </w:r>
      <w:r>
        <w:rPr>
          <w:rFonts w:hint="eastAsia" w:eastAsia="黑体"/>
          <w:bCs/>
          <w:szCs w:val="21"/>
        </w:rPr>
        <w:tab/>
      </w:r>
      <w:r>
        <w:rPr>
          <w:rFonts w:hint="eastAsia" w:eastAsia="黑体"/>
          <w:bCs/>
          <w:szCs w:val="21"/>
        </w:rPr>
        <w:t>开课学院审核人：刘文怡</w:t>
      </w:r>
    </w:p>
    <w:p>
      <w:pPr>
        <w:adjustRightInd w:val="0"/>
        <w:snapToGrid w:val="0"/>
        <w:spacing w:before="156" w:beforeLines="50" w:line="360" w:lineRule="auto"/>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二、课程性质与教学目标</w:t>
      </w:r>
    </w:p>
    <w:p>
      <w:pPr>
        <w:snapToGrid w:val="0"/>
        <w:spacing w:line="360" w:lineRule="auto"/>
        <w:ind w:firstLine="422" w:firstLineChars="200"/>
        <w:rPr>
          <w:rFonts w:ascii="宋体" w:hAnsi="宋体"/>
          <w:b/>
          <w:color w:val="000000"/>
          <w:szCs w:val="21"/>
        </w:rPr>
      </w:pPr>
      <w:r>
        <w:rPr>
          <w:rFonts w:hint="eastAsia" w:ascii="宋体" w:hAnsi="宋体"/>
          <w:b/>
          <w:color w:val="000000"/>
          <w:szCs w:val="21"/>
        </w:rPr>
        <w:t>1、课程性质与任务</w:t>
      </w:r>
    </w:p>
    <w:p>
      <w:pPr>
        <w:snapToGrid w:val="0"/>
        <w:spacing w:line="360" w:lineRule="auto"/>
        <w:ind w:firstLine="420" w:firstLineChars="200"/>
        <w:rPr>
          <w:rFonts w:ascii="宋体" w:hAnsi="宋体"/>
          <w:bCs/>
          <w:color w:val="000000"/>
          <w:szCs w:val="21"/>
        </w:rPr>
      </w:pPr>
      <w:r>
        <w:rPr>
          <w:rFonts w:hint="eastAsia" w:ascii="宋体" w:hAnsi="宋体"/>
          <w:bCs/>
          <w:color w:val="000000"/>
          <w:szCs w:val="21"/>
        </w:rPr>
        <w:t>智能机器人技术是智能感知工程专业智能系统集成方向的一门专业选修课程。智能机器人是智能科技融合的前沿领域，融合了计算机科学、人工智能、工学、神经科学、心理学、仿生学的智慧与技术。该课程的主要任务是扩展学生的专业视野，讲授机器人各组成部分的功能和机器人在各个领域的应用。通过课程的学习能够使学生了解机器人技术，开阔视野，拓宽思路，了解机器人技术在新一轮工业革命中的作用，并激发他们研究机器人的兴趣。借助机器人这一载体让学生加深对计算机、电学、力学、机械原理、数学思维等知识的了解与运用，培养学生的思维创新与动手能力。</w:t>
      </w:r>
    </w:p>
    <w:p>
      <w:pPr>
        <w:snapToGrid w:val="0"/>
        <w:spacing w:line="360" w:lineRule="auto"/>
        <w:ind w:firstLine="422" w:firstLineChars="200"/>
        <w:rPr>
          <w:rFonts w:ascii="宋体" w:hAnsi="宋体"/>
          <w:b/>
          <w:color w:val="000000"/>
          <w:szCs w:val="21"/>
        </w:rPr>
      </w:pPr>
      <w:r>
        <w:rPr>
          <w:rFonts w:hint="eastAsia" w:ascii="宋体" w:hAnsi="宋体"/>
          <w:b/>
          <w:color w:val="000000"/>
          <w:szCs w:val="21"/>
        </w:rPr>
        <w:t>2、课程</w:t>
      </w:r>
      <w:r>
        <w:rPr>
          <w:rFonts w:ascii="宋体" w:hAnsi="宋体"/>
          <w:b/>
          <w:color w:val="000000"/>
          <w:szCs w:val="21"/>
        </w:rPr>
        <w:t>目标</w:t>
      </w:r>
    </w:p>
    <w:p>
      <w:pPr>
        <w:adjustRightInd w:val="0"/>
        <w:snapToGrid w:val="0"/>
        <w:spacing w:line="360" w:lineRule="auto"/>
        <w:ind w:firstLine="420" w:firstLineChars="200"/>
        <w:rPr>
          <w:rFonts w:hAnsi="宋体"/>
          <w:bCs/>
          <w:color w:val="000000"/>
          <w:szCs w:val="21"/>
        </w:rPr>
      </w:pPr>
      <w:r>
        <w:rPr>
          <w:rFonts w:hint="eastAsia" w:hAnsi="宋体"/>
          <w:bCs/>
          <w:color w:val="000000"/>
          <w:szCs w:val="21"/>
        </w:rPr>
        <w:t>课程目标1：通过学习智能</w:t>
      </w:r>
      <w:r>
        <w:rPr>
          <w:szCs w:val="21"/>
        </w:rPr>
        <w:t>机器人技术的起源、定义、分类</w:t>
      </w:r>
      <w:r>
        <w:rPr>
          <w:rFonts w:hint="eastAsia" w:hAnsi="宋体"/>
          <w:bCs/>
          <w:color w:val="000000"/>
          <w:szCs w:val="21"/>
        </w:rPr>
        <w:t>，以及在</w:t>
      </w:r>
      <w:r>
        <w:rPr>
          <w:szCs w:val="21"/>
        </w:rPr>
        <w:t>工业制造、科学探索、生活医疗、军事安全等领域的应用</w:t>
      </w:r>
      <w:r>
        <w:rPr>
          <w:rFonts w:hint="eastAsia"/>
          <w:szCs w:val="21"/>
        </w:rPr>
        <w:t>，能够对</w:t>
      </w:r>
      <w:r>
        <w:rPr>
          <w:rFonts w:hint="eastAsia" w:hAnsi="宋体"/>
          <w:bCs/>
          <w:color w:val="000000"/>
          <w:szCs w:val="21"/>
        </w:rPr>
        <w:t>智能机器人领域的国内外研究现状有清晰的认识。</w:t>
      </w:r>
      <w:r>
        <w:rPr>
          <w:rFonts w:hAnsi="宋体"/>
          <w:bCs/>
          <w:color w:val="000000"/>
          <w:szCs w:val="21"/>
        </w:rPr>
        <w:t>（支撑毕业要求</w:t>
      </w:r>
      <w:r>
        <w:rPr>
          <w:rFonts w:hint="eastAsia" w:hAnsi="宋体"/>
          <w:bCs/>
          <w:color w:val="000000"/>
          <w:szCs w:val="21"/>
          <w:lang w:eastAsia="zh-CN"/>
        </w:rPr>
        <w:t>指标点</w:t>
      </w:r>
      <w:r>
        <w:rPr>
          <w:bCs/>
          <w:color w:val="000000"/>
          <w:szCs w:val="21"/>
        </w:rPr>
        <w:t>4</w:t>
      </w:r>
      <w:r>
        <w:rPr>
          <w:rFonts w:hint="eastAsia"/>
          <w:bCs/>
          <w:color w:val="000000"/>
          <w:szCs w:val="21"/>
        </w:rPr>
        <w:t>-</w:t>
      </w:r>
      <w:r>
        <w:rPr>
          <w:bCs/>
          <w:color w:val="000000"/>
          <w:szCs w:val="21"/>
        </w:rPr>
        <w:t>1</w:t>
      </w:r>
      <w:r>
        <w:rPr>
          <w:rFonts w:hAnsi="宋体"/>
          <w:bCs/>
          <w:color w:val="000000"/>
          <w:szCs w:val="21"/>
        </w:rPr>
        <w:t>）</w:t>
      </w:r>
    </w:p>
    <w:p>
      <w:pPr>
        <w:adjustRightInd w:val="0"/>
        <w:snapToGrid w:val="0"/>
        <w:spacing w:line="360" w:lineRule="auto"/>
        <w:ind w:firstLine="420" w:firstLineChars="200"/>
        <w:rPr>
          <w:rFonts w:hAnsi="宋体"/>
          <w:bCs/>
          <w:color w:val="000000"/>
          <w:szCs w:val="21"/>
        </w:rPr>
      </w:pPr>
      <w:r>
        <w:rPr>
          <w:rFonts w:hint="eastAsia" w:hAnsi="宋体"/>
          <w:bCs/>
          <w:color w:val="000000"/>
          <w:szCs w:val="21"/>
        </w:rPr>
        <w:t>课程目标2：</w:t>
      </w:r>
      <w:r>
        <w:rPr>
          <w:rFonts w:hint="eastAsia" w:hAnsi="宋体" w:cs="宋体"/>
          <w:spacing w:val="5"/>
          <w:kern w:val="0"/>
          <w:szCs w:val="16"/>
        </w:rPr>
        <w:t>根据应用需求，具有初步进行智能机器人感知功能的方案设计、硬件实现、感知结果处理的基本能力</w:t>
      </w:r>
      <w:r>
        <w:rPr>
          <w:rFonts w:hint="eastAsia"/>
        </w:rPr>
        <w:t>。</w:t>
      </w:r>
      <w:r>
        <w:rPr>
          <w:rFonts w:hAnsi="宋体"/>
          <w:bCs/>
          <w:color w:val="000000"/>
          <w:szCs w:val="21"/>
        </w:rPr>
        <w:t>（支撑毕业要求</w:t>
      </w:r>
      <w:r>
        <w:rPr>
          <w:rFonts w:hint="eastAsia" w:hAnsi="宋体"/>
          <w:bCs/>
          <w:color w:val="000000"/>
          <w:szCs w:val="21"/>
          <w:lang w:eastAsia="zh-CN"/>
        </w:rPr>
        <w:t>指标点</w:t>
      </w:r>
      <w:r>
        <w:rPr>
          <w:bCs/>
          <w:color w:val="000000"/>
          <w:szCs w:val="21"/>
        </w:rPr>
        <w:t>4</w:t>
      </w:r>
      <w:r>
        <w:rPr>
          <w:rFonts w:hint="eastAsia"/>
          <w:bCs/>
          <w:color w:val="000000"/>
          <w:szCs w:val="21"/>
        </w:rPr>
        <w:t>-</w:t>
      </w:r>
      <w:r>
        <w:rPr>
          <w:bCs/>
          <w:color w:val="000000"/>
          <w:szCs w:val="21"/>
        </w:rPr>
        <w:t>3</w:t>
      </w:r>
      <w:r>
        <w:rPr>
          <w:rFonts w:hAnsi="宋体"/>
          <w:bCs/>
          <w:color w:val="000000"/>
          <w:szCs w:val="21"/>
        </w:rPr>
        <w:t>）</w:t>
      </w:r>
    </w:p>
    <w:p>
      <w:pPr>
        <w:adjustRightInd w:val="0"/>
        <w:snapToGrid w:val="0"/>
        <w:spacing w:line="360" w:lineRule="auto"/>
        <w:ind w:firstLine="420" w:firstLineChars="200"/>
        <w:rPr>
          <w:rFonts w:hAnsi="宋体"/>
          <w:bCs/>
          <w:color w:val="000000"/>
          <w:szCs w:val="21"/>
        </w:rPr>
      </w:pPr>
      <w:r>
        <w:rPr>
          <w:rFonts w:hint="eastAsia" w:hAnsi="宋体"/>
          <w:bCs/>
          <w:color w:val="000000"/>
          <w:szCs w:val="21"/>
        </w:rPr>
        <w:t>思政目标：通过阐述智能技术的</w:t>
      </w:r>
      <w:r>
        <w:rPr>
          <w:szCs w:val="21"/>
        </w:rPr>
        <w:t>起源、定义、分类、现状</w:t>
      </w:r>
      <w:r>
        <w:rPr>
          <w:rFonts w:hint="eastAsia"/>
          <w:szCs w:val="21"/>
        </w:rPr>
        <w:t>、</w:t>
      </w:r>
      <w:r>
        <w:rPr>
          <w:szCs w:val="21"/>
        </w:rPr>
        <w:t>发展趋势</w:t>
      </w:r>
      <w:r>
        <w:rPr>
          <w:rFonts w:hint="eastAsia"/>
          <w:szCs w:val="21"/>
        </w:rPr>
        <w:t>等，使学生</w:t>
      </w:r>
      <w:r>
        <w:rPr>
          <w:rFonts w:hint="eastAsia" w:hAnsi="宋体"/>
        </w:rPr>
        <w:t>了解我国机器人技术水平，理解我国在产业升级中所处的国际地位，增强学生使命感与危机感；通过介绍智能机器人技术在</w:t>
      </w:r>
      <w:r>
        <w:rPr>
          <w:szCs w:val="21"/>
        </w:rPr>
        <w:t>工业制造、科学探索、生活医疗、军事安全等领域的应用</w:t>
      </w:r>
      <w:r>
        <w:rPr>
          <w:rFonts w:hint="eastAsia"/>
          <w:szCs w:val="21"/>
        </w:rPr>
        <w:t>，激发学生学习兴趣。</w:t>
      </w:r>
    </w:p>
    <w:p>
      <w:pPr>
        <w:adjustRightInd w:val="0"/>
        <w:snapToGrid w:val="0"/>
        <w:spacing w:line="360" w:lineRule="auto"/>
        <w:ind w:firstLine="420" w:firstLineChars="200"/>
        <w:rPr>
          <w:rFonts w:hAnsi="宋体"/>
          <w:bCs/>
          <w:color w:val="000000"/>
          <w:szCs w:val="21"/>
        </w:rPr>
      </w:pPr>
    </w:p>
    <w:p>
      <w:pPr>
        <w:adjustRightInd w:val="0"/>
        <w:snapToGrid w:val="0"/>
        <w:spacing w:before="156" w:beforeLines="50" w:line="360" w:lineRule="auto"/>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三、课程内容、思政融入点、学时分配及对毕业要求指标点的支撑</w:t>
      </w:r>
    </w:p>
    <w:p>
      <w:pPr>
        <w:spacing w:line="360" w:lineRule="auto"/>
        <w:ind w:firstLine="420" w:firstLineChars="200"/>
        <w:rPr>
          <w:szCs w:val="21"/>
        </w:rPr>
      </w:pPr>
      <w:r>
        <w:rPr>
          <w:szCs w:val="21"/>
        </w:rPr>
        <w:t>1、本课程为专业任选课，要求先修</w:t>
      </w:r>
      <w:r>
        <w:rPr>
          <w:rFonts w:hint="eastAsia"/>
        </w:rPr>
        <w:t>传感器原理及应用</w:t>
      </w:r>
      <w:r>
        <w:t>、自动控制基础、数字信号处理</w:t>
      </w:r>
      <w:r>
        <w:rPr>
          <w:szCs w:val="21"/>
        </w:rPr>
        <w:t>，在教学中应注重基础知识、基本概念和思维方法的传授，同时运用类比式和启发式教学，使学生掌握机器人各个硬件结构组成部分及相关的技术知识，学会设计思路与方法，以培养设计能力。</w:t>
      </w:r>
    </w:p>
    <w:p>
      <w:pPr>
        <w:spacing w:line="360" w:lineRule="auto"/>
        <w:ind w:firstLine="420" w:firstLineChars="200"/>
        <w:rPr>
          <w:szCs w:val="21"/>
        </w:rPr>
      </w:pPr>
      <w:r>
        <w:rPr>
          <w:rFonts w:hint="eastAsia"/>
        </w:rPr>
        <w:t>2、</w:t>
      </w:r>
      <w:r>
        <w:t>本课程重点讲授的内容包括：机器人的起源、定义、分类和现状；机器人的运动机构和执行机构、机器人的感知系统和控制系统；机器人技术在各个领域的应用；</w:t>
      </w:r>
      <w:r>
        <w:rPr>
          <w:snapToGrid w:val="0"/>
          <w:kern w:val="0"/>
          <w:szCs w:val="21"/>
        </w:rPr>
        <w:t>机器人技术与产业的发展历程、产业现状和竞争格局</w:t>
      </w:r>
      <w:r>
        <w:rPr>
          <w:rFonts w:hint="eastAsia"/>
          <w:snapToGrid w:val="0"/>
          <w:kern w:val="0"/>
          <w:szCs w:val="21"/>
        </w:rPr>
        <w:t>。</w:t>
      </w:r>
    </w:p>
    <w:p>
      <w:pPr>
        <w:spacing w:line="360" w:lineRule="auto"/>
        <w:ind w:firstLine="420" w:firstLineChars="200"/>
        <w:rPr>
          <w:snapToGrid w:val="0"/>
          <w:kern w:val="0"/>
          <w:szCs w:val="21"/>
        </w:rPr>
      </w:pPr>
      <w:r>
        <w:rPr>
          <w:szCs w:val="21"/>
        </w:rPr>
        <w:t>3、教师采用互动式教学，使学生了解</w:t>
      </w:r>
      <w:r>
        <w:rPr>
          <w:rFonts w:hint="eastAsia"/>
          <w:szCs w:val="21"/>
        </w:rPr>
        <w:t>智能</w:t>
      </w:r>
      <w:r>
        <w:rPr>
          <w:szCs w:val="21"/>
        </w:rPr>
        <w:t>机器人技术在各个领域的应用及对</w:t>
      </w:r>
      <w:r>
        <w:rPr>
          <w:snapToGrid w:val="0"/>
          <w:kern w:val="0"/>
          <w:szCs w:val="21"/>
        </w:rPr>
        <w:t>智能制造时代影响。</w:t>
      </w:r>
      <w:r>
        <w:rPr>
          <w:rFonts w:hint="eastAsia"/>
          <w:snapToGrid w:val="0"/>
          <w:kern w:val="0"/>
          <w:szCs w:val="21"/>
        </w:rPr>
        <w:t>其中，</w:t>
      </w:r>
      <w:r>
        <w:t>机器人的各硬件组成部分工作原理在机器人设计中占有非常重要的地位，因此教师要重点讲授以使学生完全理解。</w:t>
      </w:r>
    </w:p>
    <w:p>
      <w:pPr>
        <w:adjustRightInd w:val="0"/>
        <w:snapToGrid w:val="0"/>
        <w:spacing w:line="360" w:lineRule="auto"/>
        <w:ind w:firstLine="420" w:firstLineChars="200"/>
        <w:rPr>
          <w:szCs w:val="21"/>
          <w:lang w:bidi="ar"/>
        </w:rPr>
      </w:pPr>
      <w:r>
        <w:rPr>
          <w:szCs w:val="21"/>
          <w:lang w:bidi="ar"/>
        </w:rPr>
        <w:t>4</w:t>
      </w:r>
      <w:r>
        <w:rPr>
          <w:rFonts w:hint="eastAsia"/>
          <w:szCs w:val="21"/>
          <w:lang w:bidi="ar"/>
        </w:rPr>
        <w:t>、学生能够阐述智能机器人技术在各领域的应用，具备</w:t>
      </w:r>
      <w:r>
        <w:rPr>
          <w:rFonts w:hint="eastAsia" w:hAnsi="宋体" w:cs="宋体"/>
          <w:spacing w:val="5"/>
          <w:kern w:val="0"/>
          <w:szCs w:val="16"/>
        </w:rPr>
        <w:t>初步进行智能机器人感知功能的方案设计、硬件实现的基本能力</w:t>
      </w:r>
      <w:r>
        <w:rPr>
          <w:rFonts w:hint="eastAsia"/>
        </w:rPr>
        <w:t>。</w:t>
      </w:r>
    </w:p>
    <w:p>
      <w:pPr>
        <w:adjustRightInd w:val="0"/>
        <w:snapToGrid w:val="0"/>
        <w:spacing w:line="360" w:lineRule="auto"/>
        <w:ind w:firstLine="420" w:firstLineChars="200"/>
      </w:pPr>
      <w:r>
        <w:rPr>
          <w:rFonts w:hint="eastAsia"/>
        </w:rPr>
        <w:t>5、</w:t>
      </w:r>
      <w:r>
        <w:t>深度和广度说明：对机器人内部各个硬件结构组成部分深入讲解，对机器人技术的应用、机器人产业的发展和智能制造的介绍应涵盖广泛些。</w:t>
      </w:r>
    </w:p>
    <w:p>
      <w:pPr>
        <w:adjustRightInd w:val="0"/>
        <w:snapToGrid w:val="0"/>
        <w:spacing w:line="360" w:lineRule="auto"/>
        <w:ind w:firstLine="420" w:firstLineChars="200"/>
        <w:rPr>
          <w:szCs w:val="21"/>
          <w:lang w:bidi="ar"/>
        </w:rPr>
      </w:pPr>
      <w:r>
        <w:rPr>
          <w:rFonts w:hint="eastAsia"/>
          <w:color w:val="000000"/>
          <w:szCs w:val="21"/>
        </w:rPr>
        <w:t>6、</w:t>
      </w:r>
      <w:r>
        <w:rPr>
          <w:color w:val="000000"/>
          <w:szCs w:val="21"/>
        </w:rPr>
        <w:t>偏差说明：为了鼓励教师引入个人授课风格或者适应技术发展的紧迫性，本课程允许教师授课内容做适当调整，最大正偏差为10%，不允许负偏差。正偏差通过压缩同等内容的学时数来完成。特殊情况，最大正偏差和置换偏差累计可达到20%，但在开课前要申请专业责任人批准。（正偏差指大纲知识点不变，新增知识点；负偏差是大纲知识点减少；置换偏差是指大纲中部分知识点被其它类似知识点替换）。</w:t>
      </w:r>
    </w:p>
    <w:p>
      <w:pPr>
        <w:adjustRightInd w:val="0"/>
        <w:snapToGrid w:val="0"/>
        <w:spacing w:line="360" w:lineRule="auto"/>
        <w:ind w:firstLine="420" w:firstLineChars="200"/>
        <w:rPr>
          <w:szCs w:val="21"/>
          <w:highlight w:val="yellow"/>
        </w:rPr>
      </w:pPr>
    </w:p>
    <w:p>
      <w:pPr>
        <w:spacing w:before="156" w:beforeLines="50" w:after="156" w:afterLines="50" w:line="360" w:lineRule="auto"/>
        <w:ind w:left="422"/>
        <w:jc w:val="center"/>
        <w:rPr>
          <w:rFonts w:ascii="宋体" w:hAnsi="宋体" w:cs="宋体"/>
          <w:b/>
          <w:szCs w:val="21"/>
        </w:rPr>
      </w:pPr>
      <w:r>
        <w:rPr>
          <w:rFonts w:hint="eastAsia" w:ascii="宋体" w:hAnsi="宋体" w:cs="宋体"/>
          <w:b/>
          <w:szCs w:val="21"/>
        </w:rPr>
        <w:t>表3.1课程内容、学时分配及对毕业要求指标点的支撑</w:t>
      </w:r>
    </w:p>
    <w:tbl>
      <w:tblPr>
        <w:tblStyle w:val="19"/>
        <w:tblW w:w="485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5"/>
        <w:gridCol w:w="5606"/>
        <w:gridCol w:w="512"/>
        <w:gridCol w:w="566"/>
        <w:gridCol w:w="547"/>
        <w:gridCol w:w="601"/>
        <w:gridCol w:w="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319" w:type="pct"/>
            <w:shd w:val="clear" w:color="auto" w:fill="D9D9D9"/>
            <w:vAlign w:val="center"/>
          </w:tcPr>
          <w:p>
            <w:pPr>
              <w:snapToGrid w:val="0"/>
              <w:jc w:val="center"/>
              <w:rPr>
                <w:b/>
                <w:color w:val="000000"/>
                <w:sz w:val="18"/>
                <w:szCs w:val="18"/>
              </w:rPr>
            </w:pPr>
            <w:r>
              <w:rPr>
                <w:rFonts w:hint="eastAsia"/>
                <w:b/>
                <w:color w:val="000000"/>
                <w:sz w:val="18"/>
                <w:szCs w:val="18"/>
              </w:rPr>
              <w:t>序号</w:t>
            </w:r>
          </w:p>
        </w:tc>
        <w:tc>
          <w:tcPr>
            <w:tcW w:w="3108" w:type="pct"/>
            <w:shd w:val="clear" w:color="auto" w:fill="D9D9D9"/>
            <w:vAlign w:val="center"/>
          </w:tcPr>
          <w:p>
            <w:pPr>
              <w:snapToGrid w:val="0"/>
              <w:jc w:val="center"/>
              <w:rPr>
                <w:b/>
                <w:color w:val="000000"/>
                <w:sz w:val="18"/>
                <w:szCs w:val="18"/>
              </w:rPr>
            </w:pPr>
            <w:r>
              <w:rPr>
                <w:rFonts w:hint="eastAsia"/>
                <w:b/>
                <w:color w:val="000000"/>
                <w:sz w:val="18"/>
                <w:szCs w:val="18"/>
              </w:rPr>
              <w:t>内            容</w:t>
            </w:r>
          </w:p>
        </w:tc>
        <w:tc>
          <w:tcPr>
            <w:tcW w:w="284" w:type="pct"/>
            <w:shd w:val="clear" w:color="auto" w:fill="D9D9D9"/>
            <w:vAlign w:val="center"/>
          </w:tcPr>
          <w:p>
            <w:pPr>
              <w:snapToGrid w:val="0"/>
              <w:jc w:val="center"/>
              <w:rPr>
                <w:b/>
                <w:color w:val="000000"/>
                <w:sz w:val="18"/>
                <w:szCs w:val="18"/>
              </w:rPr>
            </w:pPr>
            <w:r>
              <w:rPr>
                <w:b/>
                <w:color w:val="000000"/>
                <w:sz w:val="18"/>
                <w:szCs w:val="18"/>
              </w:rPr>
              <w:t>讲课</w:t>
            </w:r>
          </w:p>
        </w:tc>
        <w:tc>
          <w:tcPr>
            <w:tcW w:w="314" w:type="pct"/>
            <w:shd w:val="clear" w:color="auto" w:fill="D9D9D9"/>
            <w:vAlign w:val="center"/>
          </w:tcPr>
          <w:p>
            <w:pPr>
              <w:snapToGrid w:val="0"/>
              <w:jc w:val="center"/>
              <w:rPr>
                <w:b/>
                <w:color w:val="000000"/>
                <w:sz w:val="18"/>
                <w:szCs w:val="18"/>
              </w:rPr>
            </w:pPr>
            <w:r>
              <w:rPr>
                <w:b/>
                <w:color w:val="000000"/>
                <w:sz w:val="18"/>
                <w:szCs w:val="18"/>
              </w:rPr>
              <w:t>实验</w:t>
            </w:r>
          </w:p>
        </w:tc>
        <w:tc>
          <w:tcPr>
            <w:tcW w:w="303" w:type="pct"/>
            <w:shd w:val="clear" w:color="auto" w:fill="D9D9D9"/>
            <w:vAlign w:val="center"/>
          </w:tcPr>
          <w:p>
            <w:pPr>
              <w:snapToGrid w:val="0"/>
              <w:jc w:val="center"/>
              <w:rPr>
                <w:b/>
                <w:color w:val="000000"/>
                <w:sz w:val="18"/>
                <w:szCs w:val="18"/>
              </w:rPr>
            </w:pPr>
            <w:r>
              <w:rPr>
                <w:rFonts w:hint="eastAsia"/>
                <w:b/>
                <w:color w:val="000000"/>
                <w:sz w:val="18"/>
                <w:szCs w:val="18"/>
              </w:rPr>
              <w:t>小计</w:t>
            </w:r>
          </w:p>
        </w:tc>
        <w:tc>
          <w:tcPr>
            <w:tcW w:w="333" w:type="pct"/>
            <w:shd w:val="clear" w:color="auto" w:fill="D9D9D9"/>
            <w:vAlign w:val="center"/>
          </w:tcPr>
          <w:p>
            <w:pPr>
              <w:snapToGrid w:val="0"/>
              <w:jc w:val="center"/>
              <w:rPr>
                <w:b/>
                <w:color w:val="000000"/>
                <w:sz w:val="18"/>
                <w:szCs w:val="18"/>
              </w:rPr>
            </w:pPr>
            <w:r>
              <w:rPr>
                <w:b/>
                <w:color w:val="000000"/>
                <w:sz w:val="18"/>
                <w:szCs w:val="18"/>
              </w:rPr>
              <w:t>支撑课程目标</w:t>
            </w:r>
          </w:p>
        </w:tc>
        <w:tc>
          <w:tcPr>
            <w:tcW w:w="339" w:type="pct"/>
            <w:shd w:val="clear" w:color="auto" w:fill="D9D9D9"/>
            <w:vAlign w:val="center"/>
          </w:tcPr>
          <w:p>
            <w:pPr>
              <w:snapToGrid w:val="0"/>
              <w:jc w:val="center"/>
              <w:rPr>
                <w:b/>
                <w:color w:val="000000"/>
                <w:sz w:val="18"/>
                <w:szCs w:val="18"/>
              </w:rPr>
            </w:pPr>
            <w:r>
              <w:rPr>
                <w:b/>
                <w:color w:val="000000"/>
                <w:sz w:val="18"/>
                <w:szCs w:val="18"/>
              </w:rPr>
              <w:t>支撑指标点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 w:type="pct"/>
            <w:vAlign w:val="center"/>
          </w:tcPr>
          <w:p>
            <w:pPr>
              <w:spacing w:line="280" w:lineRule="exact"/>
              <w:jc w:val="center"/>
              <w:rPr>
                <w:sz w:val="18"/>
                <w:szCs w:val="18"/>
              </w:rPr>
            </w:pPr>
            <w:r>
              <w:rPr>
                <w:rFonts w:hint="eastAsia"/>
                <w:sz w:val="18"/>
                <w:szCs w:val="18"/>
              </w:rPr>
              <w:t>1</w:t>
            </w:r>
          </w:p>
        </w:tc>
        <w:tc>
          <w:tcPr>
            <w:tcW w:w="3108" w:type="pct"/>
          </w:tcPr>
          <w:p>
            <w:pPr>
              <w:spacing w:line="280" w:lineRule="exact"/>
              <w:rPr>
                <w:b/>
                <w:bCs/>
                <w:sz w:val="18"/>
                <w:szCs w:val="18"/>
              </w:rPr>
            </w:pPr>
            <w:r>
              <w:rPr>
                <w:b/>
                <w:bCs/>
                <w:sz w:val="18"/>
                <w:szCs w:val="18"/>
              </w:rPr>
              <w:t>1 绪论</w:t>
            </w:r>
          </w:p>
          <w:p>
            <w:pPr>
              <w:spacing w:line="280" w:lineRule="exact"/>
              <w:ind w:firstLine="180" w:firstLineChars="100"/>
              <w:rPr>
                <w:sz w:val="18"/>
                <w:szCs w:val="18"/>
              </w:rPr>
            </w:pPr>
            <w:r>
              <w:rPr>
                <w:sz w:val="18"/>
                <w:szCs w:val="18"/>
              </w:rPr>
              <w:t>1.1、本课程在专业课程体系中的地位和作用介绍；</w:t>
            </w:r>
          </w:p>
          <w:p>
            <w:pPr>
              <w:spacing w:line="280" w:lineRule="exact"/>
              <w:ind w:firstLine="180" w:firstLineChars="100"/>
              <w:rPr>
                <w:sz w:val="18"/>
                <w:szCs w:val="18"/>
              </w:rPr>
            </w:pPr>
            <w:r>
              <w:rPr>
                <w:sz w:val="18"/>
                <w:szCs w:val="18"/>
              </w:rPr>
              <w:t>1.2、课程内容、学习方法、讲授方式、评价方式介绍；</w:t>
            </w:r>
          </w:p>
          <w:p>
            <w:pPr>
              <w:spacing w:line="280" w:lineRule="exact"/>
              <w:ind w:firstLine="180" w:firstLineChars="100"/>
              <w:rPr>
                <w:sz w:val="18"/>
                <w:szCs w:val="18"/>
              </w:rPr>
            </w:pPr>
            <w:r>
              <w:rPr>
                <w:sz w:val="18"/>
                <w:szCs w:val="18"/>
              </w:rPr>
              <w:t>1.3、了解</w:t>
            </w:r>
            <w:r>
              <w:rPr>
                <w:rFonts w:hint="eastAsia"/>
                <w:sz w:val="18"/>
                <w:szCs w:val="18"/>
              </w:rPr>
              <w:t>智能</w:t>
            </w:r>
            <w:r>
              <w:rPr>
                <w:sz w:val="18"/>
                <w:szCs w:val="18"/>
              </w:rPr>
              <w:t>机器人的</w:t>
            </w:r>
            <w:r>
              <w:rPr>
                <w:rFonts w:hint="eastAsia"/>
                <w:sz w:val="18"/>
                <w:szCs w:val="18"/>
              </w:rPr>
              <w:t>起源</w:t>
            </w:r>
            <w:r>
              <w:rPr>
                <w:sz w:val="18"/>
                <w:szCs w:val="18"/>
              </w:rPr>
              <w:t>、</w:t>
            </w:r>
            <w:r>
              <w:rPr>
                <w:rFonts w:hint="eastAsia"/>
                <w:sz w:val="18"/>
                <w:szCs w:val="18"/>
              </w:rPr>
              <w:t>发展、定义</w:t>
            </w:r>
            <w:r>
              <w:rPr>
                <w:sz w:val="18"/>
                <w:szCs w:val="18"/>
              </w:rPr>
              <w:t>和</w:t>
            </w:r>
            <w:r>
              <w:rPr>
                <w:rFonts w:hint="eastAsia"/>
                <w:sz w:val="18"/>
                <w:szCs w:val="18"/>
              </w:rPr>
              <w:t>分类</w:t>
            </w:r>
            <w:r>
              <w:rPr>
                <w:sz w:val="18"/>
                <w:szCs w:val="18"/>
              </w:rPr>
              <w:t>。（重点）</w:t>
            </w:r>
          </w:p>
        </w:tc>
        <w:tc>
          <w:tcPr>
            <w:tcW w:w="284" w:type="pct"/>
            <w:vAlign w:val="center"/>
          </w:tcPr>
          <w:p>
            <w:pPr>
              <w:spacing w:line="280" w:lineRule="exact"/>
              <w:jc w:val="center"/>
              <w:rPr>
                <w:rFonts w:cs="Calibri"/>
                <w:b/>
                <w:color w:val="000000"/>
                <w:sz w:val="18"/>
                <w:szCs w:val="18"/>
              </w:rPr>
            </w:pPr>
            <w:r>
              <w:rPr>
                <w:rFonts w:cs="Calibri"/>
                <w:b/>
                <w:color w:val="000000"/>
                <w:sz w:val="18"/>
                <w:szCs w:val="18"/>
              </w:rPr>
              <w:t>2</w:t>
            </w:r>
          </w:p>
        </w:tc>
        <w:tc>
          <w:tcPr>
            <w:tcW w:w="314" w:type="pct"/>
            <w:vAlign w:val="center"/>
          </w:tcPr>
          <w:p>
            <w:pPr>
              <w:spacing w:line="280" w:lineRule="exact"/>
              <w:jc w:val="center"/>
              <w:rPr>
                <w:rFonts w:cs="Calibri"/>
                <w:b/>
                <w:color w:val="000000"/>
                <w:sz w:val="18"/>
                <w:szCs w:val="18"/>
              </w:rPr>
            </w:pPr>
          </w:p>
        </w:tc>
        <w:tc>
          <w:tcPr>
            <w:tcW w:w="303" w:type="pct"/>
            <w:vAlign w:val="center"/>
          </w:tcPr>
          <w:p>
            <w:pPr>
              <w:spacing w:line="280" w:lineRule="exact"/>
              <w:jc w:val="center"/>
              <w:rPr>
                <w:rFonts w:cs="Calibri"/>
                <w:b/>
                <w:color w:val="000000"/>
                <w:sz w:val="18"/>
                <w:szCs w:val="18"/>
              </w:rPr>
            </w:pPr>
            <w:r>
              <w:rPr>
                <w:rFonts w:cs="Calibri"/>
                <w:b/>
                <w:color w:val="000000"/>
                <w:sz w:val="18"/>
                <w:szCs w:val="18"/>
              </w:rPr>
              <w:t>2</w:t>
            </w:r>
          </w:p>
        </w:tc>
        <w:tc>
          <w:tcPr>
            <w:tcW w:w="333" w:type="pct"/>
            <w:vAlign w:val="center"/>
          </w:tcPr>
          <w:p>
            <w:pPr>
              <w:spacing w:line="280" w:lineRule="exact"/>
              <w:jc w:val="center"/>
              <w:rPr>
                <w:rFonts w:cs="Calibri"/>
                <w:b/>
                <w:color w:val="000000"/>
                <w:sz w:val="18"/>
                <w:szCs w:val="18"/>
              </w:rPr>
            </w:pPr>
            <w:r>
              <w:rPr>
                <w:rFonts w:cs="Calibri"/>
                <w:b/>
                <w:color w:val="000000"/>
                <w:sz w:val="18"/>
                <w:szCs w:val="18"/>
              </w:rPr>
              <w:t>1</w:t>
            </w:r>
          </w:p>
        </w:tc>
        <w:tc>
          <w:tcPr>
            <w:tcW w:w="339" w:type="pct"/>
            <w:vAlign w:val="center"/>
          </w:tcPr>
          <w:p>
            <w:pPr>
              <w:spacing w:line="280" w:lineRule="exact"/>
              <w:jc w:val="center"/>
              <w:rPr>
                <w:rFonts w:cs="Calibri"/>
                <w:b/>
                <w:color w:val="000000"/>
                <w:sz w:val="18"/>
                <w:szCs w:val="18"/>
              </w:rPr>
            </w:pPr>
            <w:r>
              <w:rPr>
                <w:rFonts w:cs="Calibri"/>
                <w:b/>
                <w:color w:val="000000"/>
                <w:sz w:val="18"/>
                <w:szCs w:val="18"/>
              </w:rPr>
              <w:t>4</w:t>
            </w:r>
            <w:r>
              <w:rPr>
                <w:rFonts w:hint="eastAsia" w:cs="Calibri"/>
                <w:b/>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 w:type="pct"/>
            <w:vAlign w:val="center"/>
          </w:tcPr>
          <w:p>
            <w:pPr>
              <w:spacing w:line="280" w:lineRule="exact"/>
              <w:jc w:val="center"/>
              <w:rPr>
                <w:sz w:val="18"/>
                <w:szCs w:val="18"/>
              </w:rPr>
            </w:pPr>
            <w:r>
              <w:rPr>
                <w:rFonts w:hint="eastAsia"/>
                <w:sz w:val="18"/>
                <w:szCs w:val="18"/>
              </w:rPr>
              <w:t>2</w:t>
            </w:r>
          </w:p>
        </w:tc>
        <w:tc>
          <w:tcPr>
            <w:tcW w:w="3108" w:type="pct"/>
          </w:tcPr>
          <w:p>
            <w:pPr>
              <w:spacing w:line="280" w:lineRule="exact"/>
              <w:rPr>
                <w:b/>
                <w:bCs/>
                <w:sz w:val="18"/>
                <w:szCs w:val="18"/>
              </w:rPr>
            </w:pPr>
            <w:r>
              <w:rPr>
                <w:b/>
                <w:bCs/>
                <w:sz w:val="18"/>
                <w:szCs w:val="18"/>
              </w:rPr>
              <w:t xml:space="preserve">2 </w:t>
            </w:r>
            <w:r>
              <w:rPr>
                <w:rFonts w:hint="eastAsia"/>
                <w:b/>
                <w:bCs/>
                <w:sz w:val="18"/>
                <w:szCs w:val="18"/>
              </w:rPr>
              <w:t>智能</w:t>
            </w:r>
            <w:r>
              <w:rPr>
                <w:b/>
                <w:bCs/>
                <w:sz w:val="18"/>
                <w:szCs w:val="18"/>
              </w:rPr>
              <w:t>机器人的硬件结构组成及相关的技术知识</w:t>
            </w:r>
          </w:p>
          <w:p>
            <w:pPr>
              <w:spacing w:line="280" w:lineRule="exact"/>
              <w:ind w:firstLine="180" w:firstLineChars="100"/>
              <w:rPr>
                <w:sz w:val="18"/>
                <w:szCs w:val="18"/>
              </w:rPr>
            </w:pPr>
            <w:r>
              <w:rPr>
                <w:sz w:val="18"/>
                <w:szCs w:val="18"/>
              </w:rPr>
              <w:t>2.1、</w:t>
            </w:r>
            <w:r>
              <w:rPr>
                <w:rFonts w:hint="eastAsia"/>
                <w:sz w:val="18"/>
                <w:szCs w:val="18"/>
              </w:rPr>
              <w:t>智能</w:t>
            </w:r>
            <w:r>
              <w:rPr>
                <w:sz w:val="18"/>
                <w:szCs w:val="18"/>
              </w:rPr>
              <w:t>机器人的运动机构与执行机构，包括直线运动机构、旋转运动机构、减速运动机构和液压驱动、气压驱动、电气驱动。</w:t>
            </w:r>
          </w:p>
          <w:p>
            <w:pPr>
              <w:spacing w:line="300" w:lineRule="exact"/>
              <w:ind w:firstLine="180" w:firstLineChars="100"/>
              <w:jc w:val="left"/>
              <w:rPr>
                <w:sz w:val="18"/>
                <w:szCs w:val="18"/>
              </w:rPr>
            </w:pPr>
            <w:r>
              <w:rPr>
                <w:sz w:val="18"/>
                <w:szCs w:val="18"/>
              </w:rPr>
              <w:t>2</w:t>
            </w:r>
            <w:r>
              <w:rPr>
                <w:rFonts w:hint="eastAsia"/>
                <w:sz w:val="18"/>
                <w:szCs w:val="18"/>
              </w:rPr>
              <w:t>.</w:t>
            </w:r>
            <w:r>
              <w:rPr>
                <w:sz w:val="18"/>
                <w:szCs w:val="18"/>
              </w:rPr>
              <w:t>2</w:t>
            </w:r>
            <w:r>
              <w:rPr>
                <w:rFonts w:hint="eastAsia"/>
                <w:sz w:val="18"/>
                <w:szCs w:val="18"/>
              </w:rPr>
              <w:t xml:space="preserve"> 智能机器人感知系统的体系结构</w:t>
            </w:r>
          </w:p>
          <w:p>
            <w:pPr>
              <w:spacing w:line="300" w:lineRule="exact"/>
              <w:ind w:firstLine="180" w:firstLineChars="100"/>
              <w:jc w:val="left"/>
              <w:rPr>
                <w:sz w:val="18"/>
                <w:szCs w:val="18"/>
              </w:rPr>
            </w:pPr>
            <w:r>
              <w:rPr>
                <w:sz w:val="18"/>
                <w:szCs w:val="18"/>
              </w:rPr>
              <w:t>2</w:t>
            </w:r>
            <w:r>
              <w:rPr>
                <w:rFonts w:hint="eastAsia"/>
                <w:sz w:val="18"/>
                <w:szCs w:val="18"/>
              </w:rPr>
              <w:t>.</w:t>
            </w:r>
            <w:r>
              <w:rPr>
                <w:sz w:val="18"/>
                <w:szCs w:val="18"/>
              </w:rPr>
              <w:t>3</w:t>
            </w:r>
            <w:r>
              <w:rPr>
                <w:rFonts w:hint="eastAsia"/>
                <w:sz w:val="18"/>
                <w:szCs w:val="18"/>
              </w:rPr>
              <w:t xml:space="preserve"> 智能机器人距离与位置测量</w:t>
            </w:r>
          </w:p>
          <w:p>
            <w:pPr>
              <w:spacing w:line="300" w:lineRule="exact"/>
              <w:ind w:firstLine="180" w:firstLineChars="100"/>
              <w:jc w:val="left"/>
              <w:rPr>
                <w:sz w:val="18"/>
                <w:szCs w:val="18"/>
              </w:rPr>
            </w:pPr>
            <w:r>
              <w:rPr>
                <w:sz w:val="18"/>
                <w:szCs w:val="18"/>
              </w:rPr>
              <w:t>2</w:t>
            </w:r>
            <w:r>
              <w:rPr>
                <w:rFonts w:hint="eastAsia"/>
                <w:sz w:val="18"/>
                <w:szCs w:val="18"/>
              </w:rPr>
              <w:t>.</w:t>
            </w:r>
            <w:r>
              <w:rPr>
                <w:sz w:val="18"/>
                <w:szCs w:val="18"/>
              </w:rPr>
              <w:t>4</w:t>
            </w:r>
            <w:r>
              <w:rPr>
                <w:rFonts w:hint="eastAsia"/>
                <w:sz w:val="18"/>
                <w:szCs w:val="18"/>
              </w:rPr>
              <w:t xml:space="preserve"> 智能机器人触觉、压觉、姿态测量</w:t>
            </w:r>
          </w:p>
          <w:p>
            <w:pPr>
              <w:spacing w:line="300" w:lineRule="exact"/>
              <w:ind w:firstLine="180" w:firstLineChars="100"/>
              <w:jc w:val="left"/>
              <w:rPr>
                <w:sz w:val="18"/>
                <w:szCs w:val="18"/>
              </w:rPr>
            </w:pPr>
            <w:r>
              <w:rPr>
                <w:sz w:val="18"/>
                <w:szCs w:val="18"/>
              </w:rPr>
              <w:t>2</w:t>
            </w:r>
            <w:r>
              <w:rPr>
                <w:rFonts w:hint="eastAsia"/>
                <w:sz w:val="18"/>
                <w:szCs w:val="18"/>
              </w:rPr>
              <w:t>.</w:t>
            </w:r>
            <w:r>
              <w:rPr>
                <w:sz w:val="18"/>
                <w:szCs w:val="18"/>
              </w:rPr>
              <w:t xml:space="preserve">5 </w:t>
            </w:r>
            <w:r>
              <w:rPr>
                <w:rFonts w:hint="eastAsia"/>
                <w:sz w:val="18"/>
                <w:szCs w:val="18"/>
              </w:rPr>
              <w:t>视觉测量</w:t>
            </w:r>
          </w:p>
          <w:p>
            <w:pPr>
              <w:spacing w:line="280" w:lineRule="exact"/>
              <w:ind w:firstLine="180" w:firstLineChars="100"/>
              <w:rPr>
                <w:sz w:val="18"/>
                <w:szCs w:val="18"/>
              </w:rPr>
            </w:pPr>
            <w:r>
              <w:rPr>
                <w:sz w:val="18"/>
                <w:szCs w:val="18"/>
              </w:rPr>
              <w:t>2</w:t>
            </w:r>
            <w:r>
              <w:rPr>
                <w:rFonts w:hint="eastAsia"/>
                <w:sz w:val="18"/>
                <w:szCs w:val="18"/>
              </w:rPr>
              <w:t>.</w:t>
            </w:r>
            <w:r>
              <w:rPr>
                <w:sz w:val="18"/>
                <w:szCs w:val="18"/>
              </w:rPr>
              <w:t xml:space="preserve">6 </w:t>
            </w:r>
            <w:r>
              <w:rPr>
                <w:rFonts w:hint="eastAsia"/>
                <w:sz w:val="18"/>
                <w:szCs w:val="18"/>
              </w:rPr>
              <w:t>多传感器融合</w:t>
            </w:r>
          </w:p>
        </w:tc>
        <w:tc>
          <w:tcPr>
            <w:tcW w:w="284" w:type="pct"/>
            <w:vAlign w:val="center"/>
          </w:tcPr>
          <w:p>
            <w:pPr>
              <w:spacing w:line="280" w:lineRule="exact"/>
              <w:jc w:val="center"/>
              <w:rPr>
                <w:rFonts w:cs="Calibri"/>
                <w:b/>
                <w:color w:val="000000"/>
                <w:sz w:val="18"/>
                <w:szCs w:val="18"/>
              </w:rPr>
            </w:pPr>
            <w:r>
              <w:rPr>
                <w:rFonts w:cs="Calibri"/>
                <w:b/>
                <w:color w:val="000000"/>
                <w:sz w:val="18"/>
                <w:szCs w:val="18"/>
              </w:rPr>
              <w:t>12</w:t>
            </w:r>
          </w:p>
        </w:tc>
        <w:tc>
          <w:tcPr>
            <w:tcW w:w="314" w:type="pct"/>
            <w:vAlign w:val="center"/>
          </w:tcPr>
          <w:p>
            <w:pPr>
              <w:spacing w:line="280" w:lineRule="exact"/>
              <w:jc w:val="center"/>
              <w:rPr>
                <w:rFonts w:cs="Calibri"/>
                <w:b/>
                <w:color w:val="000000"/>
                <w:sz w:val="18"/>
                <w:szCs w:val="18"/>
              </w:rPr>
            </w:pPr>
            <w:r>
              <w:rPr>
                <w:rFonts w:hint="eastAsia" w:cs="Calibri"/>
                <w:b/>
                <w:color w:val="000000"/>
                <w:sz w:val="18"/>
                <w:szCs w:val="18"/>
              </w:rPr>
              <w:t>8</w:t>
            </w:r>
          </w:p>
        </w:tc>
        <w:tc>
          <w:tcPr>
            <w:tcW w:w="303" w:type="pct"/>
            <w:vAlign w:val="center"/>
          </w:tcPr>
          <w:p>
            <w:pPr>
              <w:spacing w:line="280" w:lineRule="exact"/>
              <w:jc w:val="center"/>
              <w:rPr>
                <w:rFonts w:cs="Calibri"/>
                <w:b/>
                <w:color w:val="000000"/>
                <w:sz w:val="18"/>
                <w:szCs w:val="18"/>
              </w:rPr>
            </w:pPr>
            <w:r>
              <w:rPr>
                <w:rFonts w:cs="Calibri"/>
                <w:b/>
                <w:color w:val="000000"/>
                <w:sz w:val="18"/>
                <w:szCs w:val="18"/>
              </w:rPr>
              <w:t>20</w:t>
            </w:r>
          </w:p>
        </w:tc>
        <w:tc>
          <w:tcPr>
            <w:tcW w:w="333" w:type="pct"/>
            <w:vAlign w:val="center"/>
          </w:tcPr>
          <w:p>
            <w:pPr>
              <w:spacing w:line="280" w:lineRule="exact"/>
              <w:jc w:val="center"/>
              <w:rPr>
                <w:rFonts w:cs="Calibri"/>
                <w:b/>
                <w:color w:val="000000"/>
                <w:sz w:val="18"/>
                <w:szCs w:val="18"/>
              </w:rPr>
            </w:pPr>
            <w:r>
              <w:rPr>
                <w:rFonts w:cs="Calibri"/>
                <w:b/>
                <w:color w:val="000000"/>
                <w:sz w:val="18"/>
                <w:szCs w:val="18"/>
              </w:rPr>
              <w:t>1</w:t>
            </w:r>
            <w:r>
              <w:rPr>
                <w:rFonts w:hint="eastAsia" w:cs="Calibri"/>
                <w:b/>
                <w:color w:val="000000"/>
                <w:sz w:val="18"/>
                <w:szCs w:val="18"/>
              </w:rPr>
              <w:t>、3</w:t>
            </w:r>
          </w:p>
        </w:tc>
        <w:tc>
          <w:tcPr>
            <w:tcW w:w="339" w:type="pct"/>
            <w:vAlign w:val="center"/>
          </w:tcPr>
          <w:p>
            <w:pPr>
              <w:spacing w:line="280" w:lineRule="exact"/>
              <w:jc w:val="center"/>
              <w:rPr>
                <w:rFonts w:cs="Calibri"/>
                <w:b/>
                <w:color w:val="000000"/>
                <w:sz w:val="18"/>
                <w:szCs w:val="18"/>
              </w:rPr>
            </w:pPr>
            <w:r>
              <w:rPr>
                <w:rFonts w:cs="Calibri"/>
                <w:b/>
                <w:color w:val="000000"/>
                <w:sz w:val="18"/>
                <w:szCs w:val="18"/>
              </w:rPr>
              <w:t>4</w:t>
            </w:r>
            <w:r>
              <w:rPr>
                <w:rFonts w:hint="eastAsia" w:cs="Calibri"/>
                <w:b/>
                <w:color w:val="000000"/>
                <w:sz w:val="18"/>
                <w:szCs w:val="18"/>
              </w:rPr>
              <w:t>-</w:t>
            </w:r>
            <w:r>
              <w:rPr>
                <w:rFonts w:cs="Calibri"/>
                <w:b/>
                <w:color w:val="000000"/>
                <w:sz w:val="18"/>
                <w:szCs w:val="18"/>
              </w:rPr>
              <w:t>1</w:t>
            </w:r>
          </w:p>
          <w:p>
            <w:pPr>
              <w:spacing w:line="280" w:lineRule="exact"/>
              <w:jc w:val="center"/>
              <w:rPr>
                <w:rFonts w:cs="Calibri"/>
                <w:b/>
                <w:color w:val="000000"/>
                <w:sz w:val="18"/>
                <w:szCs w:val="18"/>
              </w:rPr>
            </w:pPr>
            <w:r>
              <w:rPr>
                <w:rFonts w:hint="eastAsia" w:cs="Calibri"/>
                <w:b/>
                <w:color w:val="000000"/>
                <w:sz w:val="18"/>
                <w:szCs w:val="18"/>
                <w:lang w:val="en-US" w:eastAsia="zh-CN"/>
              </w:rPr>
              <w:t>4</w:t>
            </w:r>
            <w:r>
              <w:rPr>
                <w:rFonts w:hint="eastAsia" w:cs="Calibri"/>
                <w:b/>
                <w:color w:val="000000"/>
                <w:sz w:val="18"/>
                <w:szCs w:val="18"/>
              </w:rPr>
              <w:t>-</w:t>
            </w:r>
            <w:r>
              <w:rPr>
                <w:rFonts w:cs="Calibri"/>
                <w:b/>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 w:type="pct"/>
            <w:vAlign w:val="center"/>
          </w:tcPr>
          <w:p>
            <w:pPr>
              <w:spacing w:line="280" w:lineRule="exact"/>
              <w:jc w:val="center"/>
              <w:rPr>
                <w:sz w:val="18"/>
                <w:szCs w:val="18"/>
              </w:rPr>
            </w:pPr>
            <w:r>
              <w:rPr>
                <w:rFonts w:hint="eastAsia"/>
                <w:sz w:val="18"/>
                <w:szCs w:val="18"/>
              </w:rPr>
              <w:t>3</w:t>
            </w:r>
          </w:p>
        </w:tc>
        <w:tc>
          <w:tcPr>
            <w:tcW w:w="3108" w:type="pct"/>
          </w:tcPr>
          <w:p>
            <w:pPr>
              <w:spacing w:line="280" w:lineRule="exact"/>
              <w:rPr>
                <w:b/>
                <w:bCs/>
                <w:sz w:val="18"/>
                <w:szCs w:val="18"/>
              </w:rPr>
            </w:pPr>
            <w:r>
              <w:rPr>
                <w:b/>
                <w:bCs/>
                <w:sz w:val="18"/>
                <w:szCs w:val="18"/>
              </w:rPr>
              <w:t>3  </w:t>
            </w:r>
            <w:r>
              <w:rPr>
                <w:rFonts w:hint="eastAsia"/>
                <w:b/>
                <w:bCs/>
                <w:sz w:val="18"/>
                <w:szCs w:val="18"/>
              </w:rPr>
              <w:t>智能</w:t>
            </w:r>
            <w:r>
              <w:rPr>
                <w:b/>
                <w:bCs/>
                <w:sz w:val="18"/>
                <w:szCs w:val="18"/>
              </w:rPr>
              <w:t>机器人在各个领域的前沿应用技术</w:t>
            </w:r>
          </w:p>
          <w:p>
            <w:pPr>
              <w:spacing w:line="280" w:lineRule="exact"/>
              <w:ind w:firstLine="180" w:firstLineChars="100"/>
              <w:rPr>
                <w:color w:val="000000"/>
                <w:sz w:val="18"/>
                <w:szCs w:val="18"/>
              </w:rPr>
            </w:pPr>
            <w:r>
              <w:rPr>
                <w:color w:val="000000"/>
                <w:sz w:val="18"/>
                <w:szCs w:val="18"/>
              </w:rPr>
              <w:t>3.1、了解机器人技术在工业制造领域的最新应用；（难点、重点）</w:t>
            </w:r>
          </w:p>
          <w:p>
            <w:pPr>
              <w:spacing w:line="280" w:lineRule="exact"/>
              <w:ind w:firstLine="180" w:firstLineChars="100"/>
              <w:rPr>
                <w:color w:val="000000"/>
                <w:sz w:val="18"/>
                <w:szCs w:val="18"/>
              </w:rPr>
            </w:pPr>
            <w:r>
              <w:rPr>
                <w:color w:val="000000"/>
                <w:sz w:val="18"/>
                <w:szCs w:val="18"/>
              </w:rPr>
              <w:t>3.2、了解机器人技术在科学探索领域的最新应用；（难点、重点）</w:t>
            </w:r>
          </w:p>
          <w:p>
            <w:pPr>
              <w:spacing w:line="280" w:lineRule="exact"/>
              <w:ind w:firstLine="180" w:firstLineChars="100"/>
              <w:rPr>
                <w:color w:val="000000"/>
                <w:sz w:val="18"/>
                <w:szCs w:val="18"/>
              </w:rPr>
            </w:pPr>
            <w:r>
              <w:rPr>
                <w:color w:val="000000"/>
                <w:sz w:val="18"/>
                <w:szCs w:val="18"/>
              </w:rPr>
              <w:t>3.3、了解机器人技术在生活、医疗领域的应用；</w:t>
            </w:r>
          </w:p>
          <w:p>
            <w:pPr>
              <w:spacing w:line="280" w:lineRule="exact"/>
              <w:ind w:firstLine="180" w:firstLineChars="100"/>
              <w:rPr>
                <w:color w:val="000000"/>
                <w:sz w:val="18"/>
                <w:szCs w:val="18"/>
              </w:rPr>
            </w:pPr>
            <w:r>
              <w:rPr>
                <w:color w:val="000000"/>
                <w:sz w:val="18"/>
                <w:szCs w:val="18"/>
              </w:rPr>
              <w:t>3.4、了解机器人技术在军事安全领域的应用。</w:t>
            </w:r>
          </w:p>
        </w:tc>
        <w:tc>
          <w:tcPr>
            <w:tcW w:w="284" w:type="pct"/>
            <w:vAlign w:val="center"/>
          </w:tcPr>
          <w:p>
            <w:pPr>
              <w:spacing w:line="280" w:lineRule="exact"/>
              <w:jc w:val="center"/>
              <w:rPr>
                <w:rFonts w:cs="Calibri"/>
                <w:b/>
                <w:color w:val="000000"/>
                <w:sz w:val="18"/>
                <w:szCs w:val="18"/>
              </w:rPr>
            </w:pPr>
            <w:r>
              <w:rPr>
                <w:rFonts w:cs="Calibri"/>
                <w:b/>
                <w:color w:val="000000"/>
                <w:sz w:val="18"/>
                <w:szCs w:val="18"/>
              </w:rPr>
              <w:t>8</w:t>
            </w:r>
          </w:p>
        </w:tc>
        <w:tc>
          <w:tcPr>
            <w:tcW w:w="314" w:type="pct"/>
            <w:vAlign w:val="center"/>
          </w:tcPr>
          <w:p>
            <w:pPr>
              <w:spacing w:line="280" w:lineRule="exact"/>
              <w:jc w:val="center"/>
              <w:rPr>
                <w:rFonts w:cs="Calibri"/>
                <w:b/>
                <w:color w:val="000000"/>
                <w:sz w:val="18"/>
                <w:szCs w:val="18"/>
              </w:rPr>
            </w:pPr>
          </w:p>
        </w:tc>
        <w:tc>
          <w:tcPr>
            <w:tcW w:w="303" w:type="pct"/>
            <w:vAlign w:val="center"/>
          </w:tcPr>
          <w:p>
            <w:pPr>
              <w:spacing w:line="280" w:lineRule="exact"/>
              <w:jc w:val="center"/>
              <w:rPr>
                <w:rFonts w:cs="Calibri"/>
                <w:b/>
                <w:color w:val="000000"/>
                <w:sz w:val="18"/>
                <w:szCs w:val="18"/>
              </w:rPr>
            </w:pPr>
            <w:r>
              <w:rPr>
                <w:rFonts w:cs="Calibri"/>
                <w:b/>
                <w:color w:val="000000"/>
                <w:sz w:val="18"/>
                <w:szCs w:val="18"/>
              </w:rPr>
              <w:t>8</w:t>
            </w:r>
          </w:p>
        </w:tc>
        <w:tc>
          <w:tcPr>
            <w:tcW w:w="333" w:type="pct"/>
            <w:vAlign w:val="center"/>
          </w:tcPr>
          <w:p>
            <w:pPr>
              <w:spacing w:line="280" w:lineRule="exact"/>
              <w:jc w:val="center"/>
              <w:rPr>
                <w:rFonts w:cs="Calibri"/>
                <w:b/>
                <w:color w:val="000000"/>
                <w:sz w:val="18"/>
                <w:szCs w:val="18"/>
              </w:rPr>
            </w:pPr>
            <w:r>
              <w:rPr>
                <w:rFonts w:cs="Calibri"/>
                <w:b/>
                <w:color w:val="000000"/>
                <w:sz w:val="18"/>
                <w:szCs w:val="18"/>
              </w:rPr>
              <w:t>2</w:t>
            </w:r>
          </w:p>
        </w:tc>
        <w:tc>
          <w:tcPr>
            <w:tcW w:w="339" w:type="pct"/>
            <w:vAlign w:val="center"/>
          </w:tcPr>
          <w:p>
            <w:pPr>
              <w:spacing w:line="280" w:lineRule="exact"/>
              <w:jc w:val="center"/>
              <w:rPr>
                <w:rFonts w:cs="Calibri"/>
                <w:b/>
                <w:color w:val="000000"/>
                <w:sz w:val="18"/>
                <w:szCs w:val="18"/>
              </w:rPr>
            </w:pPr>
            <w:r>
              <w:rPr>
                <w:rFonts w:cs="Calibri"/>
                <w:b/>
                <w:color w:val="000000"/>
                <w:sz w:val="18"/>
                <w:szCs w:val="18"/>
              </w:rPr>
              <w:t>4</w:t>
            </w:r>
            <w:r>
              <w:rPr>
                <w:rFonts w:hint="eastAsia" w:cs="Calibri"/>
                <w:b/>
                <w:color w:val="000000"/>
                <w:sz w:val="18"/>
                <w:szCs w:val="18"/>
              </w:rPr>
              <w:t>-</w:t>
            </w:r>
            <w:r>
              <w:rPr>
                <w:rFonts w:cs="Calibri"/>
                <w:b/>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 w:type="pct"/>
            <w:vAlign w:val="center"/>
          </w:tcPr>
          <w:p>
            <w:pPr>
              <w:spacing w:line="280" w:lineRule="exact"/>
              <w:jc w:val="center"/>
              <w:rPr>
                <w:sz w:val="18"/>
                <w:szCs w:val="18"/>
              </w:rPr>
            </w:pPr>
            <w:r>
              <w:rPr>
                <w:rFonts w:hint="eastAsia"/>
                <w:sz w:val="18"/>
                <w:szCs w:val="18"/>
              </w:rPr>
              <w:t>4</w:t>
            </w:r>
          </w:p>
        </w:tc>
        <w:tc>
          <w:tcPr>
            <w:tcW w:w="3108" w:type="pct"/>
          </w:tcPr>
          <w:p>
            <w:pPr>
              <w:spacing w:line="280" w:lineRule="exact"/>
              <w:rPr>
                <w:b/>
                <w:bCs/>
                <w:color w:val="000000"/>
                <w:sz w:val="18"/>
                <w:szCs w:val="18"/>
              </w:rPr>
            </w:pPr>
            <w:r>
              <w:rPr>
                <w:rFonts w:hint="eastAsia"/>
                <w:b/>
                <w:bCs/>
                <w:color w:val="000000"/>
                <w:sz w:val="18"/>
                <w:szCs w:val="18"/>
              </w:rPr>
              <w:t>4  智能机器人产业现状和发展趋势</w:t>
            </w:r>
          </w:p>
          <w:p>
            <w:pPr>
              <w:spacing w:line="280" w:lineRule="exact"/>
              <w:ind w:firstLine="180" w:firstLineChars="100"/>
              <w:rPr>
                <w:color w:val="000000"/>
                <w:sz w:val="18"/>
                <w:szCs w:val="18"/>
              </w:rPr>
            </w:pPr>
            <w:r>
              <w:rPr>
                <w:rFonts w:hint="eastAsia"/>
                <w:color w:val="000000"/>
                <w:sz w:val="18"/>
                <w:szCs w:val="18"/>
              </w:rPr>
              <w:t>4.1、了解全球智能机器人技术的产业现状和竞争格局；</w:t>
            </w:r>
          </w:p>
          <w:p>
            <w:pPr>
              <w:spacing w:line="280" w:lineRule="exact"/>
              <w:ind w:firstLine="180" w:firstLineChars="100"/>
              <w:rPr>
                <w:color w:val="000000"/>
                <w:sz w:val="18"/>
                <w:szCs w:val="18"/>
              </w:rPr>
            </w:pPr>
            <w:r>
              <w:rPr>
                <w:rFonts w:hint="eastAsia"/>
                <w:color w:val="000000"/>
                <w:sz w:val="18"/>
                <w:szCs w:val="18"/>
              </w:rPr>
              <w:t>4.2、了解中国智能机器人技术的产业现状和发展趋势；（重点）</w:t>
            </w:r>
          </w:p>
        </w:tc>
        <w:tc>
          <w:tcPr>
            <w:tcW w:w="284" w:type="pct"/>
            <w:vAlign w:val="center"/>
          </w:tcPr>
          <w:p>
            <w:pPr>
              <w:spacing w:line="280" w:lineRule="exact"/>
              <w:jc w:val="center"/>
              <w:rPr>
                <w:rFonts w:cs="Calibri"/>
                <w:b/>
                <w:color w:val="000000"/>
                <w:sz w:val="18"/>
                <w:szCs w:val="18"/>
              </w:rPr>
            </w:pPr>
            <w:r>
              <w:rPr>
                <w:rFonts w:cs="Calibri"/>
                <w:b/>
                <w:color w:val="000000"/>
                <w:sz w:val="18"/>
                <w:szCs w:val="18"/>
              </w:rPr>
              <w:t>2</w:t>
            </w:r>
          </w:p>
        </w:tc>
        <w:tc>
          <w:tcPr>
            <w:tcW w:w="314" w:type="pct"/>
            <w:vAlign w:val="center"/>
          </w:tcPr>
          <w:p>
            <w:pPr>
              <w:spacing w:line="280" w:lineRule="exact"/>
              <w:jc w:val="center"/>
              <w:rPr>
                <w:rFonts w:cs="Calibri"/>
                <w:b/>
                <w:color w:val="000000"/>
                <w:sz w:val="18"/>
                <w:szCs w:val="18"/>
              </w:rPr>
            </w:pPr>
          </w:p>
        </w:tc>
        <w:tc>
          <w:tcPr>
            <w:tcW w:w="303" w:type="pct"/>
            <w:vAlign w:val="center"/>
          </w:tcPr>
          <w:p>
            <w:pPr>
              <w:spacing w:line="280" w:lineRule="exact"/>
              <w:jc w:val="center"/>
              <w:rPr>
                <w:rFonts w:cs="Calibri"/>
                <w:b/>
                <w:color w:val="000000"/>
                <w:sz w:val="18"/>
                <w:szCs w:val="18"/>
              </w:rPr>
            </w:pPr>
            <w:r>
              <w:rPr>
                <w:rFonts w:cs="Calibri"/>
                <w:b/>
                <w:color w:val="000000"/>
                <w:sz w:val="18"/>
                <w:szCs w:val="18"/>
              </w:rPr>
              <w:t>2</w:t>
            </w:r>
          </w:p>
        </w:tc>
        <w:tc>
          <w:tcPr>
            <w:tcW w:w="333" w:type="pct"/>
            <w:vAlign w:val="center"/>
          </w:tcPr>
          <w:p>
            <w:pPr>
              <w:spacing w:line="280" w:lineRule="exact"/>
              <w:jc w:val="center"/>
              <w:rPr>
                <w:rFonts w:cs="Calibri"/>
                <w:b/>
                <w:color w:val="000000"/>
                <w:sz w:val="18"/>
                <w:szCs w:val="18"/>
              </w:rPr>
            </w:pPr>
            <w:r>
              <w:rPr>
                <w:rFonts w:hint="eastAsia" w:cs="Calibri"/>
                <w:b/>
                <w:color w:val="000000"/>
                <w:sz w:val="18"/>
                <w:szCs w:val="18"/>
              </w:rPr>
              <w:t>2、3</w:t>
            </w:r>
          </w:p>
        </w:tc>
        <w:tc>
          <w:tcPr>
            <w:tcW w:w="339" w:type="pct"/>
            <w:vAlign w:val="center"/>
          </w:tcPr>
          <w:p>
            <w:pPr>
              <w:spacing w:line="280" w:lineRule="exact"/>
              <w:jc w:val="center"/>
              <w:rPr>
                <w:rFonts w:cs="Calibri"/>
                <w:b/>
                <w:color w:val="000000"/>
                <w:sz w:val="18"/>
                <w:szCs w:val="18"/>
              </w:rPr>
            </w:pPr>
            <w:r>
              <w:rPr>
                <w:rFonts w:cs="Calibri"/>
                <w:b/>
                <w:color w:val="000000"/>
                <w:sz w:val="18"/>
                <w:szCs w:val="18"/>
              </w:rPr>
              <w:t>4</w:t>
            </w:r>
            <w:r>
              <w:rPr>
                <w:rFonts w:hint="eastAsia" w:cs="Calibri"/>
                <w:b/>
                <w:color w:val="000000"/>
                <w:sz w:val="18"/>
                <w:szCs w:val="18"/>
              </w:rPr>
              <w:t>-1</w:t>
            </w:r>
          </w:p>
          <w:p>
            <w:pPr>
              <w:spacing w:line="280" w:lineRule="exact"/>
              <w:jc w:val="center"/>
              <w:rPr>
                <w:rFonts w:cs="Calibri"/>
                <w:b/>
                <w:color w:val="000000"/>
                <w:sz w:val="18"/>
                <w:szCs w:val="18"/>
              </w:rPr>
            </w:pPr>
            <w:r>
              <w:rPr>
                <w:rFonts w:hint="eastAsia" w:cs="Calibri"/>
                <w:b/>
                <w:color w:val="000000"/>
                <w:sz w:val="18"/>
                <w:szCs w:val="18"/>
                <w:lang w:val="en-US" w:eastAsia="zh-CN"/>
              </w:rPr>
              <w:t>4</w:t>
            </w:r>
            <w:r>
              <w:rPr>
                <w:rFonts w:hint="eastAsia" w:cs="Calibri"/>
                <w:b/>
                <w:color w:val="000000"/>
                <w:sz w:val="18"/>
                <w:szCs w:val="18"/>
              </w:rPr>
              <w:t>-</w:t>
            </w:r>
            <w:r>
              <w:rPr>
                <w:rFonts w:cs="Calibri"/>
                <w:b/>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319" w:type="pct"/>
            <w:vAlign w:val="center"/>
          </w:tcPr>
          <w:p>
            <w:pPr>
              <w:spacing w:line="280" w:lineRule="exact"/>
              <w:jc w:val="center"/>
              <w:rPr>
                <w:b/>
                <w:sz w:val="18"/>
                <w:szCs w:val="18"/>
              </w:rPr>
            </w:pPr>
            <w:r>
              <w:rPr>
                <w:b/>
                <w:sz w:val="18"/>
                <w:szCs w:val="18"/>
              </w:rPr>
              <w:t>合 计</w:t>
            </w:r>
          </w:p>
        </w:tc>
        <w:tc>
          <w:tcPr>
            <w:tcW w:w="3108" w:type="pct"/>
            <w:vAlign w:val="center"/>
          </w:tcPr>
          <w:p>
            <w:pPr>
              <w:spacing w:line="280" w:lineRule="exact"/>
              <w:jc w:val="center"/>
              <w:rPr>
                <w:rFonts w:cs="Calibri"/>
                <w:b/>
                <w:color w:val="000000"/>
                <w:sz w:val="18"/>
                <w:szCs w:val="18"/>
              </w:rPr>
            </w:pPr>
            <w:r>
              <w:rPr>
                <w:rFonts w:hint="eastAsia" w:cs="Calibri"/>
                <w:b/>
                <w:color w:val="000000"/>
                <w:sz w:val="18"/>
                <w:szCs w:val="18"/>
              </w:rPr>
              <w:t>/</w:t>
            </w:r>
          </w:p>
        </w:tc>
        <w:tc>
          <w:tcPr>
            <w:tcW w:w="284" w:type="pct"/>
            <w:vAlign w:val="center"/>
          </w:tcPr>
          <w:p>
            <w:pPr>
              <w:spacing w:line="280" w:lineRule="exact"/>
              <w:jc w:val="center"/>
              <w:rPr>
                <w:rFonts w:cs="Calibri"/>
                <w:b/>
                <w:color w:val="000000"/>
                <w:sz w:val="18"/>
                <w:szCs w:val="18"/>
              </w:rPr>
            </w:pPr>
            <w:r>
              <w:rPr>
                <w:rFonts w:cs="Calibri"/>
                <w:b/>
                <w:color w:val="000000"/>
                <w:sz w:val="18"/>
                <w:szCs w:val="18"/>
              </w:rPr>
              <w:t>24</w:t>
            </w:r>
          </w:p>
        </w:tc>
        <w:tc>
          <w:tcPr>
            <w:tcW w:w="314" w:type="pct"/>
            <w:vAlign w:val="center"/>
          </w:tcPr>
          <w:p>
            <w:pPr>
              <w:spacing w:line="280" w:lineRule="exact"/>
              <w:jc w:val="center"/>
              <w:rPr>
                <w:rFonts w:cs="Calibri"/>
                <w:b/>
                <w:color w:val="000000"/>
                <w:sz w:val="18"/>
                <w:szCs w:val="18"/>
              </w:rPr>
            </w:pPr>
            <w:r>
              <w:rPr>
                <w:rFonts w:cs="Calibri"/>
                <w:b/>
                <w:color w:val="000000"/>
                <w:sz w:val="18"/>
                <w:szCs w:val="18"/>
              </w:rPr>
              <w:t>8</w:t>
            </w:r>
          </w:p>
        </w:tc>
        <w:tc>
          <w:tcPr>
            <w:tcW w:w="303" w:type="pct"/>
            <w:vAlign w:val="center"/>
          </w:tcPr>
          <w:p>
            <w:pPr>
              <w:spacing w:line="280" w:lineRule="exact"/>
              <w:jc w:val="center"/>
              <w:rPr>
                <w:rFonts w:cs="Calibri"/>
                <w:b/>
                <w:color w:val="000000"/>
                <w:sz w:val="18"/>
                <w:szCs w:val="18"/>
              </w:rPr>
            </w:pPr>
            <w:r>
              <w:rPr>
                <w:rFonts w:cs="Calibri"/>
                <w:b/>
                <w:color w:val="000000"/>
                <w:sz w:val="18"/>
                <w:szCs w:val="18"/>
              </w:rPr>
              <w:t>32</w:t>
            </w:r>
          </w:p>
        </w:tc>
        <w:tc>
          <w:tcPr>
            <w:tcW w:w="333" w:type="pct"/>
            <w:vAlign w:val="center"/>
          </w:tcPr>
          <w:p>
            <w:pPr>
              <w:spacing w:line="280" w:lineRule="exact"/>
              <w:jc w:val="center"/>
              <w:rPr>
                <w:rFonts w:cs="Calibri"/>
                <w:b/>
                <w:color w:val="000000"/>
                <w:sz w:val="18"/>
                <w:szCs w:val="18"/>
              </w:rPr>
            </w:pPr>
            <w:r>
              <w:rPr>
                <w:rFonts w:hint="eastAsia" w:cs="Calibri"/>
                <w:b/>
                <w:color w:val="000000"/>
                <w:sz w:val="18"/>
                <w:szCs w:val="18"/>
              </w:rPr>
              <w:t>/</w:t>
            </w:r>
          </w:p>
        </w:tc>
        <w:tc>
          <w:tcPr>
            <w:tcW w:w="339" w:type="pct"/>
            <w:vAlign w:val="center"/>
          </w:tcPr>
          <w:p>
            <w:pPr>
              <w:spacing w:line="280" w:lineRule="exact"/>
              <w:jc w:val="center"/>
              <w:rPr>
                <w:rFonts w:cs="Calibri"/>
                <w:b/>
                <w:color w:val="000000"/>
                <w:sz w:val="18"/>
                <w:szCs w:val="18"/>
              </w:rPr>
            </w:pPr>
            <w:r>
              <w:rPr>
                <w:rFonts w:hint="eastAsia" w:cs="Calibri"/>
                <w:b/>
                <w:color w:val="000000"/>
                <w:sz w:val="18"/>
                <w:szCs w:val="18"/>
              </w:rPr>
              <w:t>/</w:t>
            </w:r>
          </w:p>
        </w:tc>
      </w:tr>
    </w:tbl>
    <w:p>
      <w:pPr>
        <w:spacing w:before="156" w:beforeLines="50" w:after="156" w:afterLines="50" w:line="360" w:lineRule="auto"/>
        <w:ind w:left="422"/>
        <w:jc w:val="center"/>
        <w:rPr>
          <w:rFonts w:ascii="宋体" w:hAnsi="宋体" w:cs="宋体"/>
          <w:b/>
          <w:szCs w:val="21"/>
        </w:rPr>
      </w:pPr>
      <w:r>
        <w:rPr>
          <w:rFonts w:hint="eastAsia" w:ascii="宋体" w:hAnsi="宋体" w:cs="宋体"/>
          <w:b/>
          <w:szCs w:val="21"/>
        </w:rPr>
        <w:t>表3.2 课程内容与思政融入点对应关系</w:t>
      </w:r>
    </w:p>
    <w:tbl>
      <w:tblPr>
        <w:tblStyle w:val="1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2"/>
        <w:gridCol w:w="3677"/>
        <w:gridCol w:w="4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7" w:type="pct"/>
            <w:shd w:val="clear" w:color="auto" w:fill="auto"/>
            <w:vAlign w:val="center"/>
          </w:tcPr>
          <w:p>
            <w:pPr>
              <w:spacing w:line="360" w:lineRule="auto"/>
              <w:jc w:val="center"/>
              <w:rPr>
                <w:rFonts w:ascii="宋体" w:hAnsi="宋体" w:cs="宋体"/>
                <w:b/>
                <w:kern w:val="0"/>
                <w:sz w:val="18"/>
                <w:szCs w:val="18"/>
              </w:rPr>
            </w:pPr>
            <w:r>
              <w:rPr>
                <w:rFonts w:hint="eastAsia" w:ascii="宋体" w:hAnsi="宋体" w:cs="宋体"/>
                <w:b/>
                <w:kern w:val="0"/>
                <w:sz w:val="18"/>
                <w:szCs w:val="18"/>
              </w:rPr>
              <w:t>序号</w:t>
            </w:r>
          </w:p>
        </w:tc>
        <w:tc>
          <w:tcPr>
            <w:tcW w:w="1980" w:type="pct"/>
            <w:shd w:val="clear" w:color="auto" w:fill="auto"/>
            <w:vAlign w:val="center"/>
          </w:tcPr>
          <w:p>
            <w:pPr>
              <w:spacing w:line="360" w:lineRule="auto"/>
              <w:jc w:val="center"/>
              <w:rPr>
                <w:rFonts w:ascii="宋体" w:hAnsi="宋体" w:cs="宋体"/>
                <w:b/>
                <w:kern w:val="0"/>
                <w:sz w:val="18"/>
                <w:szCs w:val="18"/>
              </w:rPr>
            </w:pPr>
            <w:r>
              <w:rPr>
                <w:rFonts w:hint="eastAsia" w:ascii="宋体" w:hAnsi="宋体" w:cs="宋体"/>
                <w:b/>
                <w:kern w:val="0"/>
                <w:sz w:val="18"/>
                <w:szCs w:val="18"/>
              </w:rPr>
              <w:t>知识点</w:t>
            </w:r>
          </w:p>
        </w:tc>
        <w:tc>
          <w:tcPr>
            <w:tcW w:w="2651" w:type="pct"/>
            <w:shd w:val="clear" w:color="auto" w:fill="auto"/>
            <w:vAlign w:val="center"/>
          </w:tcPr>
          <w:p>
            <w:pPr>
              <w:spacing w:line="360" w:lineRule="auto"/>
              <w:jc w:val="center"/>
              <w:rPr>
                <w:rFonts w:ascii="宋体" w:hAnsi="宋体" w:cs="宋体"/>
                <w:b/>
                <w:kern w:val="0"/>
                <w:sz w:val="18"/>
                <w:szCs w:val="18"/>
              </w:rPr>
            </w:pPr>
            <w:r>
              <w:rPr>
                <w:rFonts w:hint="eastAsia" w:ascii="宋体" w:hAnsi="宋体" w:cs="宋体"/>
                <w:b/>
                <w:color w:val="000000"/>
                <w:kern w:val="0"/>
                <w:sz w:val="18"/>
                <w:szCs w:val="18"/>
              </w:rPr>
              <w:t>思政融入点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367" w:type="pct"/>
            <w:shd w:val="clear" w:color="auto" w:fill="auto"/>
            <w:vAlign w:val="center"/>
          </w:tcPr>
          <w:p>
            <w:pPr>
              <w:snapToGrid w:val="0"/>
              <w:jc w:val="center"/>
              <w:rPr>
                <w:rFonts w:eastAsia="黑体"/>
                <w:b/>
                <w:kern w:val="0"/>
                <w:sz w:val="20"/>
                <w:szCs w:val="21"/>
              </w:rPr>
            </w:pPr>
            <w:r>
              <w:rPr>
                <w:rFonts w:hint="eastAsia" w:eastAsia="黑体"/>
                <w:b/>
                <w:kern w:val="0"/>
                <w:sz w:val="20"/>
                <w:szCs w:val="21"/>
              </w:rPr>
              <w:t>1</w:t>
            </w:r>
          </w:p>
        </w:tc>
        <w:tc>
          <w:tcPr>
            <w:tcW w:w="1980" w:type="pct"/>
            <w:shd w:val="clear" w:color="auto" w:fill="auto"/>
            <w:vAlign w:val="center"/>
          </w:tcPr>
          <w:p>
            <w:pPr>
              <w:snapToGrid w:val="0"/>
              <w:ind w:left="105" w:leftChars="50"/>
              <w:jc w:val="left"/>
              <w:rPr>
                <w:kern w:val="0"/>
                <w:sz w:val="20"/>
              </w:rPr>
            </w:pPr>
            <w:r>
              <w:rPr>
                <w:rFonts w:hint="eastAsia"/>
                <w:color w:val="000000"/>
                <w:sz w:val="18"/>
                <w:szCs w:val="18"/>
              </w:rPr>
              <w:t xml:space="preserve"> </w:t>
            </w:r>
            <w:r>
              <w:rPr>
                <w:rFonts w:hint="eastAsia"/>
                <w:sz w:val="18"/>
                <w:szCs w:val="18"/>
              </w:rPr>
              <w:t>智能</w:t>
            </w:r>
            <w:r>
              <w:rPr>
                <w:sz w:val="18"/>
                <w:szCs w:val="18"/>
              </w:rPr>
              <w:t>机器人的</w:t>
            </w:r>
            <w:r>
              <w:rPr>
                <w:rFonts w:hint="eastAsia"/>
                <w:sz w:val="18"/>
                <w:szCs w:val="18"/>
              </w:rPr>
              <w:t>起源</w:t>
            </w:r>
            <w:r>
              <w:rPr>
                <w:sz w:val="18"/>
                <w:szCs w:val="18"/>
              </w:rPr>
              <w:t>、</w:t>
            </w:r>
            <w:r>
              <w:rPr>
                <w:rFonts w:hint="eastAsia"/>
                <w:sz w:val="18"/>
                <w:szCs w:val="18"/>
              </w:rPr>
              <w:t>发展、定义</w:t>
            </w:r>
            <w:r>
              <w:rPr>
                <w:sz w:val="18"/>
                <w:szCs w:val="18"/>
              </w:rPr>
              <w:t>和</w:t>
            </w:r>
            <w:r>
              <w:rPr>
                <w:rFonts w:hint="eastAsia"/>
                <w:sz w:val="18"/>
                <w:szCs w:val="18"/>
              </w:rPr>
              <w:t>分类</w:t>
            </w:r>
          </w:p>
        </w:tc>
        <w:tc>
          <w:tcPr>
            <w:tcW w:w="2651" w:type="pct"/>
            <w:shd w:val="clear" w:color="auto" w:fill="auto"/>
            <w:vAlign w:val="center"/>
          </w:tcPr>
          <w:p>
            <w:pPr>
              <w:snapToGrid w:val="0"/>
              <w:jc w:val="left"/>
              <w:rPr>
                <w:color w:val="000000"/>
                <w:sz w:val="18"/>
                <w:szCs w:val="18"/>
              </w:rPr>
            </w:pPr>
            <w:r>
              <w:rPr>
                <w:rFonts w:hint="eastAsia"/>
                <w:color w:val="000000"/>
                <w:sz w:val="18"/>
                <w:szCs w:val="18"/>
              </w:rPr>
              <w:t>使学生了解我国机器人技术水平，理解我国在产业升级中所处的国际地位，增强学生使命感与危机感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367" w:type="pct"/>
            <w:shd w:val="clear" w:color="auto" w:fill="auto"/>
            <w:vAlign w:val="center"/>
          </w:tcPr>
          <w:p>
            <w:pPr>
              <w:snapToGrid w:val="0"/>
              <w:jc w:val="center"/>
              <w:rPr>
                <w:rFonts w:eastAsia="黑体"/>
                <w:b/>
                <w:kern w:val="0"/>
                <w:sz w:val="20"/>
                <w:szCs w:val="21"/>
              </w:rPr>
            </w:pPr>
            <w:r>
              <w:rPr>
                <w:rFonts w:hint="eastAsia" w:eastAsia="黑体"/>
                <w:b/>
                <w:kern w:val="0"/>
                <w:sz w:val="20"/>
                <w:szCs w:val="21"/>
              </w:rPr>
              <w:t>2</w:t>
            </w:r>
          </w:p>
        </w:tc>
        <w:tc>
          <w:tcPr>
            <w:tcW w:w="1980" w:type="pct"/>
            <w:shd w:val="clear" w:color="auto" w:fill="auto"/>
            <w:vAlign w:val="center"/>
          </w:tcPr>
          <w:p>
            <w:pPr>
              <w:snapToGrid w:val="0"/>
              <w:ind w:left="105" w:leftChars="50"/>
              <w:jc w:val="left"/>
              <w:rPr>
                <w:rFonts w:eastAsia="黑体"/>
                <w:b/>
                <w:kern w:val="0"/>
                <w:sz w:val="20"/>
                <w:szCs w:val="21"/>
              </w:rPr>
            </w:pPr>
            <w:r>
              <w:rPr>
                <w:rFonts w:hint="eastAsia"/>
                <w:color w:val="000000"/>
                <w:sz w:val="18"/>
                <w:szCs w:val="18"/>
              </w:rPr>
              <w:t>智能机器人在各个领域的前沿应用技术</w:t>
            </w:r>
          </w:p>
        </w:tc>
        <w:tc>
          <w:tcPr>
            <w:tcW w:w="2651" w:type="pct"/>
            <w:shd w:val="clear" w:color="auto" w:fill="auto"/>
            <w:vAlign w:val="center"/>
          </w:tcPr>
          <w:p>
            <w:pPr>
              <w:snapToGrid w:val="0"/>
              <w:jc w:val="left"/>
              <w:rPr>
                <w:color w:val="000000"/>
                <w:sz w:val="18"/>
                <w:szCs w:val="18"/>
              </w:rPr>
            </w:pPr>
            <w:r>
              <w:rPr>
                <w:rFonts w:hint="eastAsia"/>
                <w:color w:val="000000"/>
                <w:sz w:val="18"/>
                <w:szCs w:val="18"/>
              </w:rPr>
              <w:t>通过介绍智能机器人技术在工业制造、科学探索、生活医疗、军事安全等领域的应用，激发学生学习兴趣；通过介绍机器人各技术领域领军人物献身科学的案例，激发学生在专业领域的责任与担当。</w:t>
            </w:r>
          </w:p>
        </w:tc>
      </w:tr>
    </w:tbl>
    <w:p>
      <w:pPr>
        <w:spacing w:before="156" w:beforeLines="50" w:after="156" w:afterLines="50" w:line="360" w:lineRule="auto"/>
        <w:ind w:firstLine="420" w:firstLineChars="200"/>
        <w:rPr>
          <w:rFonts w:eastAsia="黑体"/>
          <w:color w:val="0070C0"/>
          <w:szCs w:val="21"/>
        </w:rPr>
      </w:pPr>
    </w:p>
    <w:p>
      <w:pPr>
        <w:adjustRightInd w:val="0"/>
        <w:snapToGrid w:val="0"/>
        <w:spacing w:before="156" w:beforeLines="50" w:line="360" w:lineRule="auto"/>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四、本课程开设的实验项目</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3202"/>
        <w:gridCol w:w="709"/>
        <w:gridCol w:w="851"/>
        <w:gridCol w:w="850"/>
        <w:gridCol w:w="1418"/>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691" w:type="dxa"/>
            <w:shd w:val="clear" w:color="auto" w:fill="F2F2F2"/>
            <w:vAlign w:val="center"/>
          </w:tcPr>
          <w:p>
            <w:pPr>
              <w:snapToGrid w:val="0"/>
              <w:jc w:val="center"/>
              <w:rPr>
                <w:b/>
                <w:color w:val="000000"/>
                <w:sz w:val="18"/>
                <w:szCs w:val="18"/>
              </w:rPr>
            </w:pPr>
            <w:r>
              <w:rPr>
                <w:rFonts w:hint="eastAsia"/>
                <w:b/>
                <w:color w:val="000000"/>
                <w:sz w:val="18"/>
                <w:szCs w:val="18"/>
              </w:rPr>
              <w:t>编号</w:t>
            </w:r>
          </w:p>
        </w:tc>
        <w:tc>
          <w:tcPr>
            <w:tcW w:w="3202" w:type="dxa"/>
            <w:shd w:val="clear" w:color="auto" w:fill="F2F2F2"/>
            <w:vAlign w:val="center"/>
          </w:tcPr>
          <w:p>
            <w:pPr>
              <w:snapToGrid w:val="0"/>
              <w:jc w:val="center"/>
              <w:rPr>
                <w:b/>
                <w:color w:val="000000"/>
                <w:sz w:val="18"/>
                <w:szCs w:val="18"/>
              </w:rPr>
            </w:pPr>
            <w:r>
              <w:rPr>
                <w:rFonts w:hint="eastAsia"/>
                <w:b/>
                <w:color w:val="000000"/>
                <w:sz w:val="18"/>
                <w:szCs w:val="18"/>
              </w:rPr>
              <w:t>实验项目名称</w:t>
            </w:r>
          </w:p>
        </w:tc>
        <w:tc>
          <w:tcPr>
            <w:tcW w:w="709" w:type="dxa"/>
            <w:shd w:val="clear" w:color="auto" w:fill="F2F2F2"/>
            <w:vAlign w:val="center"/>
          </w:tcPr>
          <w:p>
            <w:pPr>
              <w:snapToGrid w:val="0"/>
              <w:jc w:val="center"/>
              <w:rPr>
                <w:b/>
                <w:color w:val="000000"/>
                <w:sz w:val="18"/>
                <w:szCs w:val="18"/>
              </w:rPr>
            </w:pPr>
            <w:r>
              <w:rPr>
                <w:rFonts w:hint="eastAsia"/>
                <w:b/>
                <w:color w:val="000000"/>
                <w:sz w:val="18"/>
                <w:szCs w:val="18"/>
              </w:rPr>
              <w:t>学时</w:t>
            </w:r>
          </w:p>
        </w:tc>
        <w:tc>
          <w:tcPr>
            <w:tcW w:w="851" w:type="dxa"/>
            <w:shd w:val="clear" w:color="auto" w:fill="F2F2F2"/>
            <w:vAlign w:val="center"/>
          </w:tcPr>
          <w:p>
            <w:pPr>
              <w:snapToGrid w:val="0"/>
              <w:jc w:val="center"/>
              <w:rPr>
                <w:b/>
                <w:color w:val="000000"/>
                <w:sz w:val="18"/>
                <w:szCs w:val="18"/>
              </w:rPr>
            </w:pPr>
            <w:r>
              <w:rPr>
                <w:rFonts w:hint="eastAsia"/>
                <w:b/>
                <w:color w:val="000000"/>
                <w:sz w:val="18"/>
                <w:szCs w:val="18"/>
              </w:rPr>
              <w:t>类型</w:t>
            </w:r>
          </w:p>
        </w:tc>
        <w:tc>
          <w:tcPr>
            <w:tcW w:w="850" w:type="dxa"/>
            <w:shd w:val="clear" w:color="auto" w:fill="F2F2F2"/>
            <w:vAlign w:val="center"/>
          </w:tcPr>
          <w:p>
            <w:pPr>
              <w:snapToGrid w:val="0"/>
              <w:jc w:val="center"/>
              <w:rPr>
                <w:b/>
                <w:color w:val="000000"/>
                <w:sz w:val="18"/>
                <w:szCs w:val="18"/>
              </w:rPr>
            </w:pPr>
            <w:r>
              <w:rPr>
                <w:rFonts w:hint="eastAsia"/>
                <w:b/>
                <w:color w:val="000000"/>
                <w:sz w:val="18"/>
                <w:szCs w:val="18"/>
              </w:rPr>
              <w:t>要求</w:t>
            </w:r>
          </w:p>
        </w:tc>
        <w:tc>
          <w:tcPr>
            <w:tcW w:w="1418" w:type="dxa"/>
            <w:shd w:val="clear" w:color="auto" w:fill="F2F2F2"/>
            <w:vAlign w:val="center"/>
          </w:tcPr>
          <w:p>
            <w:pPr>
              <w:snapToGrid w:val="0"/>
              <w:jc w:val="center"/>
              <w:rPr>
                <w:b/>
                <w:color w:val="000000"/>
                <w:sz w:val="18"/>
                <w:szCs w:val="18"/>
              </w:rPr>
            </w:pPr>
            <w:r>
              <w:rPr>
                <w:rFonts w:hint="eastAsia"/>
                <w:b/>
                <w:color w:val="000000"/>
                <w:sz w:val="18"/>
                <w:szCs w:val="18"/>
              </w:rPr>
              <w:t>支撑课程目标</w:t>
            </w:r>
          </w:p>
        </w:tc>
        <w:tc>
          <w:tcPr>
            <w:tcW w:w="1197" w:type="dxa"/>
            <w:shd w:val="clear" w:color="auto" w:fill="F2F2F2"/>
            <w:vAlign w:val="center"/>
          </w:tcPr>
          <w:p>
            <w:pPr>
              <w:snapToGrid w:val="0"/>
              <w:jc w:val="center"/>
              <w:rPr>
                <w:b/>
                <w:color w:val="000000"/>
                <w:sz w:val="18"/>
                <w:szCs w:val="18"/>
              </w:rPr>
            </w:pPr>
            <w:r>
              <w:rPr>
                <w:rFonts w:hint="eastAsia"/>
                <w:b/>
                <w:color w:val="000000"/>
                <w:sz w:val="18"/>
                <w:szCs w:val="18"/>
              </w:rPr>
              <w:t>支撑的毕业要求指标点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91" w:type="dxa"/>
            <w:vAlign w:val="center"/>
          </w:tcPr>
          <w:p>
            <w:pPr>
              <w:jc w:val="center"/>
              <w:rPr>
                <w:bCs/>
                <w:sz w:val="18"/>
                <w:szCs w:val="18"/>
              </w:rPr>
            </w:pPr>
            <w:r>
              <w:rPr>
                <w:rFonts w:hint="eastAsia"/>
                <w:bCs/>
                <w:sz w:val="18"/>
                <w:szCs w:val="18"/>
              </w:rPr>
              <w:t>1</w:t>
            </w:r>
          </w:p>
        </w:tc>
        <w:tc>
          <w:tcPr>
            <w:tcW w:w="3202" w:type="dxa"/>
            <w:vAlign w:val="center"/>
          </w:tcPr>
          <w:p>
            <w:pPr>
              <w:jc w:val="center"/>
              <w:rPr>
                <w:bCs/>
                <w:sz w:val="18"/>
                <w:szCs w:val="18"/>
              </w:rPr>
            </w:pPr>
            <w:r>
              <w:rPr>
                <w:rFonts w:hint="eastAsia" w:hAnsi="宋体"/>
                <w:bCs/>
                <w:sz w:val="18"/>
                <w:szCs w:val="18"/>
              </w:rPr>
              <w:t>微型机器人三维姿态感知实验</w:t>
            </w:r>
          </w:p>
        </w:tc>
        <w:tc>
          <w:tcPr>
            <w:tcW w:w="709" w:type="dxa"/>
            <w:vAlign w:val="center"/>
          </w:tcPr>
          <w:p>
            <w:pPr>
              <w:jc w:val="center"/>
              <w:rPr>
                <w:bCs/>
                <w:sz w:val="18"/>
                <w:szCs w:val="18"/>
              </w:rPr>
            </w:pPr>
            <w:r>
              <w:rPr>
                <w:bCs/>
                <w:sz w:val="18"/>
                <w:szCs w:val="18"/>
              </w:rPr>
              <w:t>8</w:t>
            </w:r>
          </w:p>
        </w:tc>
        <w:tc>
          <w:tcPr>
            <w:tcW w:w="851" w:type="dxa"/>
            <w:vAlign w:val="center"/>
          </w:tcPr>
          <w:p>
            <w:pPr>
              <w:jc w:val="center"/>
              <w:rPr>
                <w:bCs/>
                <w:sz w:val="18"/>
                <w:szCs w:val="18"/>
              </w:rPr>
            </w:pPr>
            <w:r>
              <w:rPr>
                <w:rFonts w:hint="eastAsia" w:hAnsi="宋体"/>
                <w:bCs/>
                <w:sz w:val="18"/>
                <w:szCs w:val="18"/>
              </w:rPr>
              <w:t>综合性</w:t>
            </w:r>
          </w:p>
        </w:tc>
        <w:tc>
          <w:tcPr>
            <w:tcW w:w="850" w:type="dxa"/>
            <w:vAlign w:val="center"/>
          </w:tcPr>
          <w:p>
            <w:pPr>
              <w:jc w:val="center"/>
              <w:rPr>
                <w:bCs/>
                <w:sz w:val="18"/>
                <w:szCs w:val="18"/>
              </w:rPr>
            </w:pPr>
            <w:r>
              <w:rPr>
                <w:rFonts w:hint="eastAsia"/>
                <w:bCs/>
                <w:sz w:val="18"/>
                <w:szCs w:val="18"/>
              </w:rPr>
              <w:t>必做</w:t>
            </w:r>
          </w:p>
        </w:tc>
        <w:tc>
          <w:tcPr>
            <w:tcW w:w="1418" w:type="dxa"/>
            <w:vAlign w:val="center"/>
          </w:tcPr>
          <w:p>
            <w:pPr>
              <w:jc w:val="center"/>
              <w:rPr>
                <w:bCs/>
                <w:sz w:val="18"/>
                <w:szCs w:val="18"/>
              </w:rPr>
            </w:pPr>
            <w:r>
              <w:rPr>
                <w:bCs/>
                <w:sz w:val="18"/>
                <w:szCs w:val="18"/>
              </w:rPr>
              <w:t>1</w:t>
            </w:r>
            <w:r>
              <w:rPr>
                <w:rFonts w:hint="eastAsia"/>
                <w:bCs/>
                <w:sz w:val="18"/>
                <w:szCs w:val="18"/>
              </w:rPr>
              <w:t>、2、3</w:t>
            </w:r>
          </w:p>
        </w:tc>
        <w:tc>
          <w:tcPr>
            <w:tcW w:w="1197" w:type="dxa"/>
            <w:vAlign w:val="center"/>
          </w:tcPr>
          <w:p>
            <w:pPr>
              <w:jc w:val="center"/>
              <w:rPr>
                <w:bCs/>
                <w:color w:val="000000"/>
                <w:sz w:val="18"/>
                <w:szCs w:val="18"/>
              </w:rPr>
            </w:pPr>
            <w:r>
              <w:rPr>
                <w:bCs/>
                <w:color w:val="000000"/>
                <w:sz w:val="18"/>
                <w:szCs w:val="18"/>
              </w:rPr>
              <w:t>4</w:t>
            </w:r>
            <w:r>
              <w:rPr>
                <w:rFonts w:hint="eastAsia"/>
                <w:bCs/>
                <w:color w:val="000000"/>
                <w:sz w:val="18"/>
                <w:szCs w:val="18"/>
              </w:rPr>
              <w:t>-</w:t>
            </w:r>
            <w:r>
              <w:rPr>
                <w:bCs/>
                <w:color w:val="000000"/>
                <w:sz w:val="18"/>
                <w:szCs w:val="18"/>
              </w:rPr>
              <w:t>1</w:t>
            </w:r>
          </w:p>
          <w:p>
            <w:pPr>
              <w:jc w:val="center"/>
              <w:rPr>
                <w:b/>
                <w:color w:val="000000"/>
                <w:sz w:val="18"/>
                <w:szCs w:val="18"/>
              </w:rPr>
            </w:pPr>
            <w:r>
              <w:rPr>
                <w:rFonts w:hint="eastAsia"/>
                <w:bCs/>
                <w:color w:val="000000"/>
                <w:sz w:val="18"/>
                <w:szCs w:val="18"/>
                <w:lang w:val="en-US" w:eastAsia="zh-CN"/>
              </w:rPr>
              <w:t>4</w:t>
            </w:r>
            <w:r>
              <w:rPr>
                <w:bCs/>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91" w:type="dxa"/>
            <w:vAlign w:val="center"/>
          </w:tcPr>
          <w:p>
            <w:pPr>
              <w:jc w:val="center"/>
              <w:rPr>
                <w:bCs/>
                <w:sz w:val="18"/>
                <w:szCs w:val="18"/>
              </w:rPr>
            </w:pPr>
            <w:r>
              <w:rPr>
                <w:bCs/>
                <w:sz w:val="18"/>
                <w:szCs w:val="18"/>
              </w:rPr>
              <w:t>2</w:t>
            </w:r>
          </w:p>
        </w:tc>
        <w:tc>
          <w:tcPr>
            <w:tcW w:w="3202" w:type="dxa"/>
            <w:vAlign w:val="center"/>
          </w:tcPr>
          <w:p>
            <w:pPr>
              <w:jc w:val="center"/>
              <w:rPr>
                <w:rFonts w:hAnsi="宋体"/>
                <w:bCs/>
                <w:sz w:val="18"/>
                <w:szCs w:val="18"/>
              </w:rPr>
            </w:pPr>
            <w:r>
              <w:rPr>
                <w:rFonts w:hint="eastAsia" w:hAnsi="宋体"/>
                <w:bCs/>
                <w:sz w:val="18"/>
                <w:szCs w:val="18"/>
              </w:rPr>
              <w:t>微型机器人三维位置感知实验</w:t>
            </w:r>
          </w:p>
        </w:tc>
        <w:tc>
          <w:tcPr>
            <w:tcW w:w="709" w:type="dxa"/>
            <w:vAlign w:val="center"/>
          </w:tcPr>
          <w:p>
            <w:pPr>
              <w:jc w:val="center"/>
              <w:rPr>
                <w:bCs/>
                <w:sz w:val="18"/>
                <w:szCs w:val="18"/>
              </w:rPr>
            </w:pPr>
            <w:r>
              <w:rPr>
                <w:bCs/>
                <w:sz w:val="18"/>
                <w:szCs w:val="18"/>
              </w:rPr>
              <w:t>8</w:t>
            </w:r>
          </w:p>
        </w:tc>
        <w:tc>
          <w:tcPr>
            <w:tcW w:w="851" w:type="dxa"/>
            <w:vAlign w:val="center"/>
          </w:tcPr>
          <w:p>
            <w:pPr>
              <w:jc w:val="center"/>
              <w:rPr>
                <w:rFonts w:hAnsi="宋体"/>
                <w:bCs/>
                <w:sz w:val="18"/>
                <w:szCs w:val="18"/>
              </w:rPr>
            </w:pPr>
            <w:r>
              <w:rPr>
                <w:rFonts w:hint="eastAsia" w:hAnsi="宋体"/>
                <w:bCs/>
                <w:sz w:val="18"/>
                <w:szCs w:val="18"/>
              </w:rPr>
              <w:t>综合性</w:t>
            </w:r>
          </w:p>
        </w:tc>
        <w:tc>
          <w:tcPr>
            <w:tcW w:w="850" w:type="dxa"/>
            <w:vAlign w:val="center"/>
          </w:tcPr>
          <w:p>
            <w:pPr>
              <w:jc w:val="center"/>
              <w:rPr>
                <w:bCs/>
                <w:sz w:val="18"/>
                <w:szCs w:val="18"/>
              </w:rPr>
            </w:pPr>
            <w:r>
              <w:rPr>
                <w:rFonts w:hint="eastAsia" w:hAnsi="宋体"/>
                <w:bCs/>
                <w:sz w:val="18"/>
                <w:szCs w:val="18"/>
              </w:rPr>
              <w:t>必做</w:t>
            </w:r>
          </w:p>
        </w:tc>
        <w:tc>
          <w:tcPr>
            <w:tcW w:w="1418" w:type="dxa"/>
            <w:vAlign w:val="center"/>
          </w:tcPr>
          <w:p>
            <w:pPr>
              <w:jc w:val="center"/>
              <w:rPr>
                <w:bCs/>
                <w:sz w:val="18"/>
                <w:szCs w:val="18"/>
              </w:rPr>
            </w:pPr>
            <w:r>
              <w:rPr>
                <w:rFonts w:hint="eastAsia"/>
                <w:bCs/>
                <w:sz w:val="18"/>
                <w:szCs w:val="18"/>
              </w:rPr>
              <w:t>1、2、3</w:t>
            </w:r>
          </w:p>
        </w:tc>
        <w:tc>
          <w:tcPr>
            <w:tcW w:w="1197" w:type="dxa"/>
            <w:vAlign w:val="center"/>
          </w:tcPr>
          <w:p>
            <w:pPr>
              <w:ind w:firstLine="360"/>
              <w:rPr>
                <w:bCs/>
                <w:color w:val="000000"/>
                <w:sz w:val="18"/>
                <w:szCs w:val="18"/>
              </w:rPr>
            </w:pPr>
            <w:r>
              <w:rPr>
                <w:bCs/>
                <w:color w:val="000000"/>
                <w:sz w:val="18"/>
                <w:szCs w:val="18"/>
              </w:rPr>
              <w:t>4</w:t>
            </w:r>
            <w:r>
              <w:rPr>
                <w:rFonts w:hint="eastAsia"/>
                <w:bCs/>
                <w:color w:val="000000"/>
                <w:sz w:val="18"/>
                <w:szCs w:val="18"/>
              </w:rPr>
              <w:t>-</w:t>
            </w:r>
            <w:r>
              <w:rPr>
                <w:bCs/>
                <w:color w:val="000000"/>
                <w:sz w:val="18"/>
                <w:szCs w:val="18"/>
              </w:rPr>
              <w:t>1</w:t>
            </w:r>
          </w:p>
          <w:p>
            <w:pPr>
              <w:jc w:val="center"/>
              <w:rPr>
                <w:bCs/>
                <w:sz w:val="18"/>
                <w:szCs w:val="18"/>
              </w:rPr>
            </w:pPr>
            <w:r>
              <w:rPr>
                <w:rFonts w:hint="eastAsia"/>
                <w:bCs/>
                <w:color w:val="000000"/>
                <w:sz w:val="18"/>
                <w:szCs w:val="18"/>
                <w:lang w:val="en-US" w:eastAsia="zh-CN"/>
              </w:rPr>
              <w:t>4</w:t>
            </w:r>
            <w:r>
              <w:rPr>
                <w:bCs/>
                <w:color w:val="000000"/>
                <w:sz w:val="18"/>
                <w:szCs w:val="18"/>
              </w:rPr>
              <w:t>-3</w:t>
            </w:r>
          </w:p>
        </w:tc>
      </w:tr>
    </w:tbl>
    <w:p>
      <w:pPr>
        <w:adjustRightInd w:val="0"/>
        <w:snapToGrid w:val="0"/>
        <w:spacing w:line="360" w:lineRule="auto"/>
        <w:ind w:firstLine="420" w:firstLineChars="200"/>
        <w:rPr>
          <w:szCs w:val="21"/>
          <w:lang w:bidi="ar"/>
        </w:rPr>
      </w:pPr>
    </w:p>
    <w:p>
      <w:pPr>
        <w:adjustRightInd w:val="0"/>
        <w:snapToGrid w:val="0"/>
        <w:spacing w:line="360" w:lineRule="auto"/>
        <w:ind w:firstLine="420" w:firstLineChars="200"/>
        <w:rPr>
          <w:rFonts w:ascii="宋体" w:hAnsi="宋体" w:cs="宋体"/>
          <w:kern w:val="0"/>
          <w:szCs w:val="21"/>
        </w:rPr>
      </w:pPr>
      <w:r>
        <w:rPr>
          <w:kern w:val="0"/>
          <w:szCs w:val="21"/>
        </w:rPr>
        <w:t>实验环节采用分组实验形式，预计2~5人</w:t>
      </w:r>
      <w:r>
        <w:rPr>
          <w:rFonts w:hint="eastAsia"/>
          <w:kern w:val="0"/>
          <w:szCs w:val="21"/>
        </w:rPr>
        <w:t>一组。实验时，学生首先</w:t>
      </w:r>
      <w:r>
        <w:rPr>
          <w:rFonts w:hint="eastAsia" w:ascii="宋体" w:hAnsi="宋体" w:cs="宋体"/>
          <w:kern w:val="0"/>
          <w:szCs w:val="21"/>
        </w:rPr>
        <w:t>需采用计算机自行完成电路设计，教师检查学生电路设计正确性。电路设计完成后，教师提供传感模块和单片机模块，学生自行完成硬件连接，程序调试，实现将传感数据采回计算机。接着，学生基于传感数据和构建模型，完成微型机器人的三维姿态和三维位置解算。最后，</w:t>
      </w:r>
      <w:r>
        <w:rPr>
          <w:rFonts w:hint="eastAsia" w:cs="宋体"/>
          <w:kern w:val="0"/>
          <w:szCs w:val="21"/>
        </w:rPr>
        <w:t>每位学生独立提交规范的实验报告。</w:t>
      </w:r>
    </w:p>
    <w:p>
      <w:pPr>
        <w:adjustRightInd w:val="0"/>
        <w:snapToGrid w:val="0"/>
        <w:spacing w:line="360" w:lineRule="auto"/>
        <w:ind w:firstLine="420" w:firstLineChars="200"/>
        <w:rPr>
          <w:rFonts w:cs="宋体"/>
          <w:kern w:val="0"/>
          <w:szCs w:val="21"/>
        </w:rPr>
      </w:pPr>
    </w:p>
    <w:p>
      <w:pPr>
        <w:widowControl/>
        <w:spacing w:line="360" w:lineRule="auto"/>
        <w:ind w:left="420" w:leftChars="200"/>
        <w:jc w:val="left"/>
        <w:rPr>
          <w:rFonts w:ascii="黑体" w:hAnsi="宋体" w:eastAsia="黑体" w:cs="宋体"/>
          <w:snapToGrid w:val="0"/>
          <w:kern w:val="0"/>
          <w:szCs w:val="21"/>
        </w:rPr>
      </w:pPr>
      <w:r>
        <w:rPr>
          <w:rFonts w:hint="eastAsia" w:ascii="黑体" w:hAnsi="宋体" w:eastAsia="黑体" w:cs="宋体"/>
          <w:snapToGrid w:val="0"/>
          <w:kern w:val="0"/>
          <w:szCs w:val="21"/>
        </w:rPr>
        <w:t>实验一 微型机器人三维姿态感知实验（</w:t>
      </w:r>
      <w:r>
        <w:rPr>
          <w:rFonts w:ascii="黑体" w:hAnsi="宋体" w:eastAsia="黑体" w:cs="宋体"/>
          <w:snapToGrid w:val="0"/>
          <w:kern w:val="0"/>
          <w:szCs w:val="21"/>
        </w:rPr>
        <w:t>8</w:t>
      </w:r>
      <w:r>
        <w:rPr>
          <w:rFonts w:hint="eastAsia" w:ascii="黑体" w:hAnsi="宋体" w:eastAsia="黑体" w:cs="宋体"/>
          <w:snapToGrid w:val="0"/>
          <w:kern w:val="0"/>
          <w:szCs w:val="21"/>
        </w:rPr>
        <w:t>学时）</w:t>
      </w:r>
    </w:p>
    <w:p>
      <w:pPr>
        <w:spacing w:line="360" w:lineRule="auto"/>
        <w:ind w:firstLine="424"/>
        <w:rPr>
          <w:rFonts w:ascii="宋体" w:hAnsi="宋体" w:cs="宋体"/>
          <w:kern w:val="0"/>
          <w:szCs w:val="21"/>
        </w:rPr>
      </w:pPr>
      <w:r>
        <w:rPr>
          <w:rFonts w:hint="eastAsia" w:ascii="宋体" w:hAnsi="宋体" w:cs="宋体"/>
          <w:kern w:val="0"/>
          <w:szCs w:val="21"/>
        </w:rPr>
        <w:t>内容：微型机器人姿态感知电路设计、绘制、硬件实现、调试</w:t>
      </w:r>
    </w:p>
    <w:p>
      <w:pPr>
        <w:spacing w:line="360" w:lineRule="auto"/>
        <w:ind w:firstLine="424"/>
        <w:rPr>
          <w:rFonts w:ascii="宋体" w:hAnsi="宋体" w:cs="宋体"/>
          <w:kern w:val="0"/>
          <w:szCs w:val="21"/>
        </w:rPr>
      </w:pPr>
      <w:r>
        <w:rPr>
          <w:rFonts w:hint="eastAsia" w:ascii="宋体" w:hAnsi="宋体" w:cs="宋体"/>
          <w:kern w:val="0"/>
          <w:szCs w:val="21"/>
        </w:rPr>
        <w:t>基本要求：</w:t>
      </w:r>
    </w:p>
    <w:p>
      <w:pPr>
        <w:spacing w:line="360" w:lineRule="auto"/>
        <w:ind w:firstLine="424"/>
        <w:rPr>
          <w:rFonts w:ascii="宋体" w:hAnsi="宋体" w:cs="宋体"/>
          <w:kern w:val="0"/>
          <w:szCs w:val="21"/>
        </w:rPr>
      </w:pPr>
      <w:r>
        <w:rPr>
          <w:rFonts w:hint="eastAsia" w:ascii="宋体" w:hAnsi="宋体" w:cs="宋体"/>
          <w:kern w:val="0"/>
          <w:szCs w:val="21"/>
        </w:rPr>
        <w:t>1、掌握采用Altium</w:t>
      </w:r>
      <w:r>
        <w:rPr>
          <w:rFonts w:ascii="宋体" w:hAnsi="宋体" w:cs="宋体"/>
          <w:kern w:val="0"/>
          <w:szCs w:val="21"/>
        </w:rPr>
        <w:t xml:space="preserve"> </w:t>
      </w:r>
      <w:r>
        <w:rPr>
          <w:rFonts w:hint="eastAsia" w:ascii="宋体" w:hAnsi="宋体" w:cs="宋体"/>
          <w:kern w:val="0"/>
          <w:szCs w:val="21"/>
        </w:rPr>
        <w:t>Designer软件进行基本电路绘制的方法；</w:t>
      </w:r>
    </w:p>
    <w:p>
      <w:pPr>
        <w:spacing w:line="360" w:lineRule="auto"/>
        <w:ind w:firstLine="424"/>
        <w:rPr>
          <w:rFonts w:ascii="宋体" w:hAnsi="宋体" w:cs="宋体"/>
          <w:kern w:val="0"/>
          <w:szCs w:val="21"/>
        </w:rPr>
      </w:pPr>
      <w:r>
        <w:rPr>
          <w:rFonts w:hint="eastAsia" w:ascii="宋体" w:hAnsi="宋体" w:cs="宋体"/>
          <w:kern w:val="0"/>
          <w:szCs w:val="21"/>
        </w:rPr>
        <w:t>2、掌握姿态传感器的测量原理及姿态解算方法；</w:t>
      </w:r>
    </w:p>
    <w:p>
      <w:pPr>
        <w:spacing w:line="360" w:lineRule="auto"/>
        <w:ind w:firstLine="424"/>
        <w:rPr>
          <w:rFonts w:ascii="宋体" w:hAnsi="宋体" w:cs="宋体"/>
          <w:kern w:val="0"/>
          <w:szCs w:val="21"/>
        </w:rPr>
      </w:pPr>
      <w:r>
        <w:rPr>
          <w:rFonts w:ascii="宋体" w:hAnsi="宋体" w:cs="宋体"/>
          <w:kern w:val="0"/>
          <w:szCs w:val="21"/>
        </w:rPr>
        <w:t>3</w:t>
      </w:r>
      <w:r>
        <w:rPr>
          <w:rFonts w:hint="eastAsia" w:ascii="宋体" w:hAnsi="宋体" w:cs="宋体"/>
          <w:kern w:val="0"/>
          <w:szCs w:val="21"/>
        </w:rPr>
        <w:t>、掌握姿态传感器与单片机的硬件连接方法；</w:t>
      </w:r>
    </w:p>
    <w:p>
      <w:pPr>
        <w:spacing w:line="360" w:lineRule="auto"/>
        <w:ind w:firstLine="424"/>
        <w:rPr>
          <w:rFonts w:ascii="宋体" w:hAnsi="宋体" w:cs="宋体"/>
          <w:kern w:val="0"/>
          <w:szCs w:val="21"/>
        </w:rPr>
      </w:pPr>
      <w:r>
        <w:rPr>
          <w:rFonts w:hint="eastAsia" w:ascii="宋体" w:hAnsi="宋体" w:cs="宋体"/>
          <w:kern w:val="0"/>
          <w:szCs w:val="21"/>
        </w:rPr>
        <w:t>4、掌握姿态感知相应的单片机程序的调试方法。</w:t>
      </w:r>
    </w:p>
    <w:p>
      <w:pPr>
        <w:spacing w:line="360" w:lineRule="auto"/>
        <w:ind w:firstLine="424"/>
        <w:rPr>
          <w:rFonts w:ascii="宋体" w:hAnsi="宋体" w:cs="宋体"/>
          <w:kern w:val="0"/>
          <w:szCs w:val="21"/>
        </w:rPr>
      </w:pPr>
      <w:r>
        <w:rPr>
          <w:rFonts w:cs="宋体"/>
          <w:bCs/>
          <w:snapToGrid w:val="0"/>
          <w:kern w:val="0"/>
          <w:szCs w:val="21"/>
        </w:rPr>
        <w:t>本实验支撑课程目标</w:t>
      </w:r>
      <w:r>
        <w:rPr>
          <w:rFonts w:hint="eastAsia" w:cs="宋体"/>
          <w:bCs/>
          <w:snapToGrid w:val="0"/>
          <w:kern w:val="0"/>
          <w:szCs w:val="21"/>
        </w:rPr>
        <w:t>1、</w:t>
      </w:r>
      <w:r>
        <w:rPr>
          <w:rFonts w:cs="宋体"/>
          <w:bCs/>
          <w:snapToGrid w:val="0"/>
          <w:kern w:val="0"/>
          <w:szCs w:val="21"/>
        </w:rPr>
        <w:t>2</w:t>
      </w:r>
      <w:r>
        <w:rPr>
          <w:rFonts w:hint="eastAsia" w:cs="宋体"/>
          <w:bCs/>
          <w:snapToGrid w:val="0"/>
          <w:kern w:val="0"/>
          <w:szCs w:val="21"/>
        </w:rPr>
        <w:t>、</w:t>
      </w:r>
      <w:r>
        <w:rPr>
          <w:rFonts w:cs="宋体"/>
          <w:bCs/>
          <w:snapToGrid w:val="0"/>
          <w:kern w:val="0"/>
          <w:szCs w:val="21"/>
        </w:rPr>
        <w:t>3</w:t>
      </w:r>
      <w:r>
        <w:rPr>
          <w:rFonts w:hint="eastAsia" w:cs="宋体"/>
          <w:bCs/>
          <w:snapToGrid w:val="0"/>
          <w:kern w:val="0"/>
          <w:szCs w:val="21"/>
        </w:rPr>
        <w:t>。</w:t>
      </w:r>
    </w:p>
    <w:p>
      <w:pPr>
        <w:spacing w:line="360" w:lineRule="auto"/>
        <w:ind w:firstLine="424"/>
        <w:rPr>
          <w:rFonts w:ascii="宋体" w:hAnsi="宋体" w:cs="宋体"/>
          <w:kern w:val="0"/>
          <w:szCs w:val="21"/>
        </w:rPr>
      </w:pPr>
    </w:p>
    <w:p>
      <w:pPr>
        <w:widowControl/>
        <w:spacing w:line="360" w:lineRule="auto"/>
        <w:ind w:left="420" w:leftChars="200"/>
        <w:jc w:val="left"/>
        <w:rPr>
          <w:rFonts w:ascii="黑体" w:hAnsi="宋体" w:eastAsia="黑体" w:cs="宋体"/>
          <w:snapToGrid w:val="0"/>
          <w:kern w:val="0"/>
          <w:szCs w:val="21"/>
        </w:rPr>
      </w:pPr>
      <w:r>
        <w:rPr>
          <w:rFonts w:hint="eastAsia" w:ascii="黑体" w:hAnsi="宋体" w:eastAsia="黑体" w:cs="宋体"/>
          <w:snapToGrid w:val="0"/>
          <w:kern w:val="0"/>
          <w:szCs w:val="21"/>
        </w:rPr>
        <w:t>实验二 微型机器人三维位置感知实验（</w:t>
      </w:r>
      <w:r>
        <w:rPr>
          <w:rFonts w:ascii="黑体" w:hAnsi="宋体" w:eastAsia="黑体" w:cs="宋体"/>
          <w:snapToGrid w:val="0"/>
          <w:kern w:val="0"/>
          <w:szCs w:val="21"/>
        </w:rPr>
        <w:t>8</w:t>
      </w:r>
      <w:r>
        <w:rPr>
          <w:rFonts w:hint="eastAsia" w:ascii="黑体" w:hAnsi="宋体" w:eastAsia="黑体" w:cs="宋体"/>
          <w:snapToGrid w:val="0"/>
          <w:kern w:val="0"/>
          <w:szCs w:val="21"/>
        </w:rPr>
        <w:t>学时）</w:t>
      </w:r>
    </w:p>
    <w:p>
      <w:pPr>
        <w:spacing w:line="360" w:lineRule="auto"/>
        <w:ind w:firstLine="424"/>
        <w:rPr>
          <w:rFonts w:ascii="宋体" w:hAnsi="宋体" w:cs="宋体"/>
          <w:kern w:val="0"/>
          <w:szCs w:val="21"/>
        </w:rPr>
      </w:pPr>
      <w:r>
        <w:rPr>
          <w:rFonts w:hint="eastAsia" w:ascii="宋体" w:hAnsi="宋体" w:cs="宋体"/>
          <w:kern w:val="0"/>
          <w:szCs w:val="21"/>
        </w:rPr>
        <w:t>内容：微型机器人位置感知电路设计、绘制、硬件实现、调试</w:t>
      </w:r>
    </w:p>
    <w:p>
      <w:pPr>
        <w:spacing w:line="360" w:lineRule="auto"/>
        <w:ind w:firstLine="424"/>
        <w:rPr>
          <w:rFonts w:ascii="宋体" w:hAnsi="宋体" w:cs="宋体"/>
          <w:kern w:val="0"/>
          <w:szCs w:val="21"/>
        </w:rPr>
      </w:pPr>
      <w:r>
        <w:rPr>
          <w:rFonts w:hint="eastAsia" w:ascii="宋体" w:hAnsi="宋体" w:cs="宋体"/>
          <w:kern w:val="0"/>
          <w:szCs w:val="21"/>
        </w:rPr>
        <w:t>基本要求：</w:t>
      </w:r>
    </w:p>
    <w:p>
      <w:pPr>
        <w:spacing w:line="360" w:lineRule="auto"/>
        <w:ind w:firstLine="424"/>
        <w:rPr>
          <w:rFonts w:ascii="宋体" w:hAnsi="宋体" w:cs="宋体"/>
          <w:kern w:val="0"/>
          <w:szCs w:val="21"/>
        </w:rPr>
      </w:pPr>
      <w:r>
        <w:rPr>
          <w:rFonts w:hint="eastAsia" w:ascii="宋体" w:hAnsi="宋体" w:cs="宋体"/>
          <w:kern w:val="0"/>
          <w:szCs w:val="21"/>
        </w:rPr>
        <w:t>1、掌握采用Altium</w:t>
      </w:r>
      <w:r>
        <w:rPr>
          <w:rFonts w:ascii="宋体" w:hAnsi="宋体" w:cs="宋体"/>
          <w:kern w:val="0"/>
          <w:szCs w:val="21"/>
        </w:rPr>
        <w:t xml:space="preserve"> </w:t>
      </w:r>
      <w:r>
        <w:rPr>
          <w:rFonts w:hint="eastAsia" w:ascii="宋体" w:hAnsi="宋体" w:cs="宋体"/>
          <w:kern w:val="0"/>
          <w:szCs w:val="21"/>
        </w:rPr>
        <w:t>Designer软件进行基本电路绘制的方法；</w:t>
      </w:r>
    </w:p>
    <w:p>
      <w:pPr>
        <w:spacing w:line="360" w:lineRule="auto"/>
        <w:ind w:firstLine="424"/>
        <w:rPr>
          <w:rFonts w:ascii="宋体" w:hAnsi="宋体" w:cs="宋体"/>
          <w:kern w:val="0"/>
          <w:szCs w:val="21"/>
        </w:rPr>
      </w:pPr>
      <w:r>
        <w:rPr>
          <w:rFonts w:hint="eastAsia" w:ascii="宋体" w:hAnsi="宋体" w:cs="宋体"/>
          <w:kern w:val="0"/>
          <w:szCs w:val="21"/>
        </w:rPr>
        <w:t>2、掌握微型机器人位置测量原理及位置解算方法；</w:t>
      </w:r>
    </w:p>
    <w:p>
      <w:pPr>
        <w:spacing w:line="360" w:lineRule="auto"/>
        <w:ind w:firstLine="424"/>
        <w:rPr>
          <w:rFonts w:ascii="宋体" w:hAnsi="宋体" w:cs="宋体"/>
          <w:kern w:val="0"/>
          <w:szCs w:val="21"/>
        </w:rPr>
      </w:pPr>
      <w:r>
        <w:rPr>
          <w:rFonts w:ascii="宋体" w:hAnsi="宋体" w:cs="宋体"/>
          <w:kern w:val="0"/>
          <w:szCs w:val="21"/>
        </w:rPr>
        <w:t>3</w:t>
      </w:r>
      <w:r>
        <w:rPr>
          <w:rFonts w:hint="eastAsia" w:ascii="宋体" w:hAnsi="宋体" w:cs="宋体"/>
          <w:kern w:val="0"/>
          <w:szCs w:val="21"/>
        </w:rPr>
        <w:t>、掌握位置感知传感器与单片机的硬件连接方法；</w:t>
      </w:r>
    </w:p>
    <w:p>
      <w:pPr>
        <w:spacing w:line="360" w:lineRule="auto"/>
        <w:ind w:firstLine="424"/>
        <w:rPr>
          <w:rFonts w:ascii="宋体" w:hAnsi="宋体" w:cs="宋体"/>
          <w:kern w:val="0"/>
          <w:szCs w:val="21"/>
        </w:rPr>
      </w:pPr>
      <w:r>
        <w:rPr>
          <w:rFonts w:hint="eastAsia" w:ascii="宋体" w:hAnsi="宋体" w:cs="宋体"/>
          <w:kern w:val="0"/>
          <w:szCs w:val="21"/>
        </w:rPr>
        <w:t>4、掌握位置感知相应的单片机程序的调试方法。</w:t>
      </w:r>
    </w:p>
    <w:p>
      <w:pPr>
        <w:spacing w:line="360" w:lineRule="auto"/>
        <w:ind w:firstLine="424"/>
        <w:rPr>
          <w:rFonts w:ascii="宋体" w:hAnsi="宋体" w:cs="宋体"/>
          <w:kern w:val="0"/>
          <w:szCs w:val="21"/>
        </w:rPr>
      </w:pPr>
      <w:r>
        <w:rPr>
          <w:rFonts w:cs="宋体"/>
          <w:bCs/>
          <w:snapToGrid w:val="0"/>
          <w:kern w:val="0"/>
          <w:szCs w:val="21"/>
        </w:rPr>
        <w:t>本实验支撑课程目标</w:t>
      </w:r>
      <w:r>
        <w:rPr>
          <w:rFonts w:hint="eastAsia" w:cs="宋体"/>
          <w:bCs/>
          <w:snapToGrid w:val="0"/>
          <w:kern w:val="0"/>
          <w:szCs w:val="21"/>
        </w:rPr>
        <w:t>1、</w:t>
      </w:r>
      <w:r>
        <w:rPr>
          <w:rFonts w:cs="宋体"/>
          <w:bCs/>
          <w:snapToGrid w:val="0"/>
          <w:kern w:val="0"/>
          <w:szCs w:val="21"/>
        </w:rPr>
        <w:t>2</w:t>
      </w:r>
      <w:r>
        <w:rPr>
          <w:rFonts w:hint="eastAsia" w:cs="宋体"/>
          <w:bCs/>
          <w:snapToGrid w:val="0"/>
          <w:kern w:val="0"/>
          <w:szCs w:val="21"/>
        </w:rPr>
        <w:t>、</w:t>
      </w:r>
      <w:r>
        <w:rPr>
          <w:rFonts w:cs="宋体"/>
          <w:bCs/>
          <w:snapToGrid w:val="0"/>
          <w:kern w:val="0"/>
          <w:szCs w:val="21"/>
        </w:rPr>
        <w:t>3</w:t>
      </w:r>
      <w:r>
        <w:rPr>
          <w:rFonts w:hint="eastAsia" w:cs="宋体"/>
          <w:bCs/>
          <w:snapToGrid w:val="0"/>
          <w:kern w:val="0"/>
          <w:szCs w:val="21"/>
        </w:rPr>
        <w:t>。</w:t>
      </w:r>
    </w:p>
    <w:p>
      <w:pPr>
        <w:adjustRightInd w:val="0"/>
        <w:snapToGrid w:val="0"/>
        <w:spacing w:before="156" w:beforeLines="50" w:line="360" w:lineRule="auto"/>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五、达成课程目标的途径和措施</w:t>
      </w:r>
    </w:p>
    <w:p>
      <w:pPr>
        <w:spacing w:line="360" w:lineRule="auto"/>
        <w:ind w:firstLine="420" w:firstLineChars="200"/>
        <w:rPr>
          <w:szCs w:val="21"/>
        </w:rPr>
      </w:pPr>
      <w:r>
        <w:rPr>
          <w:szCs w:val="21"/>
        </w:rPr>
        <w:t>1</w:t>
      </w:r>
      <w:r>
        <w:rPr>
          <w:rFonts w:hint="eastAsia"/>
          <w:szCs w:val="21"/>
        </w:rPr>
        <w:t>、 充分利用</w:t>
      </w:r>
      <w:r>
        <w:rPr>
          <w:szCs w:val="21"/>
        </w:rPr>
        <w:t>多媒体教学手段，</w:t>
      </w:r>
      <w:r>
        <w:rPr>
          <w:rFonts w:hint="eastAsia"/>
          <w:szCs w:val="21"/>
        </w:rPr>
        <w:t>将智能机器人技术各知识点尽量进行动画展示，使学生对智能机器人的认识形象化和具体化，提升学生的对知识点的掌握程度。</w:t>
      </w:r>
    </w:p>
    <w:p>
      <w:pPr>
        <w:spacing w:line="360" w:lineRule="auto"/>
        <w:ind w:firstLine="420" w:firstLineChars="200"/>
        <w:rPr>
          <w:szCs w:val="21"/>
        </w:rPr>
      </w:pPr>
      <w:r>
        <w:rPr>
          <w:szCs w:val="21"/>
        </w:rPr>
        <w:t>2</w:t>
      </w:r>
      <w:r>
        <w:rPr>
          <w:rFonts w:hint="eastAsia"/>
          <w:szCs w:val="21"/>
        </w:rPr>
        <w:t xml:space="preserve">、 </w:t>
      </w:r>
      <w:r>
        <w:rPr>
          <w:szCs w:val="21"/>
        </w:rPr>
        <w:t>采用案例式教学，</w:t>
      </w:r>
      <w:r>
        <w:rPr>
          <w:rFonts w:hint="eastAsia"/>
          <w:szCs w:val="21"/>
        </w:rPr>
        <w:t>向学生展示智能机器人在各领域的具体应用案例、介绍智能机器人各领域领军人物及主要工作，提升学生的学习兴趣，培养学生在专业领域的责任与担当。</w:t>
      </w:r>
    </w:p>
    <w:p>
      <w:pPr>
        <w:spacing w:line="360" w:lineRule="auto"/>
        <w:ind w:firstLine="420" w:firstLineChars="200"/>
        <w:rPr>
          <w:szCs w:val="21"/>
          <w:highlight w:val="red"/>
        </w:rPr>
      </w:pPr>
      <w:r>
        <w:rPr>
          <w:szCs w:val="21"/>
        </w:rPr>
        <w:t>3</w:t>
      </w:r>
      <w:r>
        <w:rPr>
          <w:rFonts w:hint="eastAsia"/>
          <w:szCs w:val="21"/>
        </w:rPr>
        <w:t xml:space="preserve">、 </w:t>
      </w:r>
      <w:r>
        <w:rPr>
          <w:szCs w:val="21"/>
        </w:rPr>
        <w:t>本课程有10个学时的实验，</w:t>
      </w:r>
      <w:r>
        <w:rPr>
          <w:rFonts w:hint="eastAsia"/>
          <w:szCs w:val="21"/>
        </w:rPr>
        <w:t>通过实验使学生掌握机器人智能感知的实现方法，</w:t>
      </w:r>
      <w:r>
        <w:rPr>
          <w:rFonts w:hint="eastAsia" w:hAnsi="宋体" w:cs="宋体"/>
          <w:spacing w:val="5"/>
          <w:kern w:val="0"/>
          <w:szCs w:val="16"/>
        </w:rPr>
        <w:t>使学生初步具备对机器人感知功能进行方案设计、硬件实现的基本能力</w:t>
      </w:r>
      <w:r>
        <w:rPr>
          <w:rFonts w:hint="eastAsia"/>
        </w:rPr>
        <w:t>，</w:t>
      </w:r>
      <w:r>
        <w:rPr>
          <w:szCs w:val="21"/>
        </w:rPr>
        <w:t>具体实验内容见</w:t>
      </w:r>
      <w:r>
        <w:rPr>
          <w:rFonts w:hint="eastAsia"/>
          <w:szCs w:val="21"/>
        </w:rPr>
        <w:t>“四、本课程开设的实验项目”</w:t>
      </w:r>
      <w:r>
        <w:rPr>
          <w:szCs w:val="21"/>
        </w:rPr>
        <w:t>。</w:t>
      </w:r>
    </w:p>
    <w:p>
      <w:pPr>
        <w:spacing w:line="360" w:lineRule="auto"/>
        <w:ind w:firstLine="420" w:firstLineChars="200"/>
        <w:rPr>
          <w:szCs w:val="21"/>
        </w:rPr>
      </w:pPr>
    </w:p>
    <w:p>
      <w:pPr>
        <w:adjustRightInd w:val="0"/>
        <w:snapToGrid w:val="0"/>
        <w:spacing w:before="156" w:beforeLines="50" w:line="360" w:lineRule="auto"/>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六、考核方式</w:t>
      </w:r>
    </w:p>
    <w:p>
      <w:pPr>
        <w:spacing w:line="360" w:lineRule="auto"/>
        <w:ind w:firstLine="420" w:firstLineChars="200"/>
        <w:rPr>
          <w:szCs w:val="21"/>
        </w:rPr>
      </w:pPr>
      <w:r>
        <w:rPr>
          <w:szCs w:val="21"/>
        </w:rPr>
        <w:t>在考核学生对机器人的基本知识、基本原理和方法的基础上，重点考核学生的对机器人内各硬件组成部工作原理掌握程度。</w:t>
      </w:r>
    </w:p>
    <w:p>
      <w:pPr>
        <w:adjustRightInd w:val="0"/>
        <w:snapToGrid w:val="0"/>
        <w:spacing w:line="360" w:lineRule="auto"/>
        <w:ind w:firstLine="422" w:firstLineChars="200"/>
        <w:rPr>
          <w:b/>
          <w:bCs/>
          <w:szCs w:val="21"/>
          <w:lang w:bidi="ar"/>
        </w:rPr>
      </w:pPr>
      <w:r>
        <w:rPr>
          <w:rFonts w:hint="eastAsia"/>
          <w:b/>
          <w:bCs/>
          <w:szCs w:val="21"/>
          <w:lang w:bidi="ar"/>
        </w:rPr>
        <w:t>1、评价环节</w:t>
      </w:r>
    </w:p>
    <w:p>
      <w:pPr>
        <w:adjustRightInd w:val="0"/>
        <w:snapToGrid w:val="0"/>
        <w:spacing w:line="360" w:lineRule="auto"/>
        <w:ind w:firstLine="420" w:firstLineChars="200"/>
        <w:rPr>
          <w:szCs w:val="21"/>
          <w:lang w:bidi="ar"/>
        </w:rPr>
      </w:pPr>
      <w:r>
        <w:rPr>
          <w:rFonts w:hint="eastAsia"/>
          <w:szCs w:val="21"/>
          <w:lang w:bidi="ar"/>
        </w:rPr>
        <w:t>课程考核方式包括分组实验、大作业</w:t>
      </w:r>
    </w:p>
    <w:p>
      <w:pPr>
        <w:adjustRightInd w:val="0"/>
        <w:snapToGrid w:val="0"/>
        <w:spacing w:line="360" w:lineRule="auto"/>
        <w:ind w:firstLine="422" w:firstLineChars="200"/>
        <w:rPr>
          <w:b/>
          <w:bCs/>
          <w:szCs w:val="21"/>
          <w:lang w:bidi="ar"/>
        </w:rPr>
      </w:pPr>
      <w:r>
        <w:rPr>
          <w:rFonts w:hint="eastAsia"/>
          <w:b/>
          <w:bCs/>
          <w:szCs w:val="21"/>
          <w:lang w:bidi="ar"/>
        </w:rPr>
        <w:t>2、定量评价</w:t>
      </w:r>
    </w:p>
    <w:p>
      <w:pPr>
        <w:adjustRightInd w:val="0"/>
        <w:snapToGrid w:val="0"/>
        <w:spacing w:line="360" w:lineRule="auto"/>
        <w:ind w:firstLine="420" w:firstLineChars="200"/>
        <w:rPr>
          <w:szCs w:val="21"/>
          <w:lang w:bidi="ar"/>
        </w:rPr>
      </w:pPr>
      <w:r>
        <w:rPr>
          <w:rFonts w:hint="eastAsia"/>
          <w:szCs w:val="21"/>
          <w:lang w:bidi="ar"/>
        </w:rPr>
        <w:t>本课程包含</w:t>
      </w:r>
      <w:r>
        <w:rPr>
          <w:rFonts w:hint="eastAsia"/>
          <w:szCs w:val="21"/>
          <w:lang w:val="en-US" w:eastAsia="zh-CN" w:bidi="ar"/>
        </w:rPr>
        <w:t>2</w:t>
      </w:r>
      <w:r>
        <w:rPr>
          <w:rFonts w:hint="eastAsia"/>
          <w:szCs w:val="21"/>
          <w:lang w:bidi="ar"/>
        </w:rPr>
        <w:t>个分课程目标，有</w:t>
      </w:r>
      <w:r>
        <w:rPr>
          <w:szCs w:val="21"/>
          <w:lang w:bidi="ar"/>
        </w:rPr>
        <w:t>2</w:t>
      </w:r>
      <w:r>
        <w:rPr>
          <w:rFonts w:hint="eastAsia"/>
          <w:szCs w:val="21"/>
          <w:lang w:bidi="ar"/>
        </w:rPr>
        <w:t>个考核环节，各考核方式对课程目标达成评价的权重占比分配如下表6.1。教师每个环节出题或布置作业时，要尽量做到按照以上比例布局，并对照完成合理化审查。</w:t>
      </w:r>
    </w:p>
    <w:p>
      <w:pPr>
        <w:adjustRightInd w:val="0"/>
        <w:snapToGrid w:val="0"/>
        <w:spacing w:line="360" w:lineRule="auto"/>
        <w:ind w:firstLine="420" w:firstLineChars="200"/>
        <w:rPr>
          <w:rFonts w:hint="eastAsia"/>
          <w:szCs w:val="21"/>
          <w:lang w:bidi="ar"/>
        </w:rPr>
      </w:pPr>
    </w:p>
    <w:p>
      <w:pPr>
        <w:spacing w:line="360" w:lineRule="auto"/>
        <w:jc w:val="center"/>
        <w:rPr>
          <w:sz w:val="18"/>
          <w:szCs w:val="18"/>
        </w:rPr>
      </w:pPr>
      <w:r>
        <w:rPr>
          <w:color w:val="000000"/>
          <w:sz w:val="18"/>
          <w:szCs w:val="18"/>
        </w:rPr>
        <w:t>表</w:t>
      </w:r>
      <w:r>
        <w:rPr>
          <w:rFonts w:hint="eastAsia"/>
          <w:color w:val="000000"/>
          <w:sz w:val="18"/>
          <w:szCs w:val="18"/>
        </w:rPr>
        <w:t xml:space="preserve">6.1   </w:t>
      </w:r>
      <w:r>
        <w:rPr>
          <w:sz w:val="18"/>
          <w:szCs w:val="18"/>
        </w:rPr>
        <w:t>各考核方式对课程目标达成评价的</w:t>
      </w:r>
      <w:r>
        <w:rPr>
          <w:rFonts w:hint="eastAsia"/>
          <w:sz w:val="18"/>
          <w:szCs w:val="18"/>
        </w:rPr>
        <w:t>权重</w:t>
      </w:r>
      <w:r>
        <w:rPr>
          <w:sz w:val="18"/>
          <w:szCs w:val="18"/>
        </w:rPr>
        <w:t>占比分配</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7"/>
        <w:gridCol w:w="1857"/>
        <w:gridCol w:w="185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vMerge w:val="restart"/>
            <w:shd w:val="clear" w:color="auto" w:fill="auto"/>
            <w:vAlign w:val="center"/>
          </w:tcPr>
          <w:p>
            <w:pPr>
              <w:jc w:val="center"/>
              <w:rPr>
                <w:sz w:val="18"/>
                <w:szCs w:val="18"/>
              </w:rPr>
            </w:pPr>
            <w:r>
              <w:rPr>
                <w:b/>
                <w:color w:val="000000"/>
                <w:kern w:val="0"/>
                <w:sz w:val="18"/>
                <w:szCs w:val="18"/>
              </w:rPr>
              <w:t>课程目标</w:t>
            </w:r>
          </w:p>
        </w:tc>
        <w:tc>
          <w:tcPr>
            <w:tcW w:w="3714" w:type="dxa"/>
            <w:gridSpan w:val="2"/>
            <w:shd w:val="clear" w:color="auto" w:fill="auto"/>
            <w:vAlign w:val="center"/>
          </w:tcPr>
          <w:p>
            <w:pPr>
              <w:jc w:val="center"/>
              <w:rPr>
                <w:sz w:val="18"/>
                <w:szCs w:val="18"/>
              </w:rPr>
            </w:pPr>
            <w:r>
              <w:rPr>
                <w:rFonts w:hint="eastAsia"/>
                <w:b/>
                <w:color w:val="000000"/>
                <w:sz w:val="18"/>
                <w:szCs w:val="18"/>
              </w:rPr>
              <w:t>考核方式以及成绩占比</w:t>
            </w:r>
            <w:r>
              <w:rPr>
                <w:position w:val="-12"/>
              </w:rPr>
              <w:object>
                <v:shape id="_x0000_i1181" o:spt="75" type="#_x0000_t75" style="height:15.5pt;width:15.5pt;" o:ole="t" filled="f" o:preferrelative="t" stroked="f" coordsize="21600,21600">
                  <v:path/>
                  <v:fill on="f" focussize="0,0"/>
                  <v:stroke on="f" joinstyle="miter"/>
                  <v:imagedata r:id="rId300" o:title=""/>
                  <o:lock v:ext="edit" aspectratio="t"/>
                  <w10:wrap type="none"/>
                  <w10:anchorlock/>
                </v:shape>
                <o:OLEObject Type="Embed" ProgID="Equation.3" ShapeID="_x0000_i1181" DrawAspect="Content" ObjectID="_1468075881" r:id="rId323">
                  <o:LockedField>false</o:LockedField>
                </o:OLEObject>
              </w:object>
            </w:r>
            <w:r>
              <w:rPr>
                <w:rFonts w:hint="eastAsia"/>
                <w:b/>
                <w:color w:val="000000"/>
                <w:sz w:val="18"/>
                <w:szCs w:val="18"/>
              </w:rPr>
              <w:t>（%）</w:t>
            </w:r>
          </w:p>
        </w:tc>
        <w:tc>
          <w:tcPr>
            <w:tcW w:w="1858" w:type="dxa"/>
            <w:vMerge w:val="restart"/>
            <w:shd w:val="clear" w:color="auto" w:fill="auto"/>
            <w:vAlign w:val="center"/>
          </w:tcPr>
          <w:p>
            <w:pPr>
              <w:snapToGrid w:val="0"/>
              <w:jc w:val="center"/>
              <w:rPr>
                <w:b/>
                <w:color w:val="000000"/>
                <w:kern w:val="0"/>
                <w:sz w:val="18"/>
                <w:szCs w:val="18"/>
              </w:rPr>
            </w:pPr>
            <w:r>
              <w:rPr>
                <w:b/>
                <w:color w:val="000000"/>
                <w:kern w:val="0"/>
                <w:sz w:val="18"/>
                <w:szCs w:val="18"/>
              </w:rPr>
              <w:t>分课程</w:t>
            </w:r>
          </w:p>
          <w:p>
            <w:pPr>
              <w:snapToGrid w:val="0"/>
              <w:jc w:val="center"/>
              <w:rPr>
                <w:b/>
                <w:i/>
                <w:color w:val="000000"/>
                <w:kern w:val="0"/>
                <w:sz w:val="18"/>
                <w:szCs w:val="18"/>
              </w:rPr>
            </w:pPr>
            <w:r>
              <w:rPr>
                <w:b/>
                <w:color w:val="000000"/>
                <w:kern w:val="0"/>
                <w:sz w:val="18"/>
                <w:szCs w:val="18"/>
              </w:rPr>
              <w:t>目标权重</w:t>
            </w:r>
            <w:r>
              <w:rPr>
                <w:b/>
                <w:i/>
                <w:color w:val="000000"/>
                <w:kern w:val="0"/>
                <w:sz w:val="18"/>
                <w:szCs w:val="18"/>
              </w:rPr>
              <w:t>P</w:t>
            </w:r>
            <w:r>
              <w:rPr>
                <w:b/>
                <w:i/>
                <w:color w:val="000000"/>
                <w:kern w:val="0"/>
                <w:sz w:val="18"/>
                <w:szCs w:val="18"/>
                <w:vertAlign w:val="subscript"/>
              </w:rPr>
              <w:t>i</w:t>
            </w:r>
          </w:p>
          <w:p>
            <w:pPr>
              <w:jc w:val="center"/>
              <w:rPr>
                <w:sz w:val="18"/>
                <w:szCs w:val="18"/>
              </w:rPr>
            </w:pPr>
            <w:r>
              <w:rPr>
                <w:rFonts w:hint="eastAsia"/>
                <w:b/>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vMerge w:val="continue"/>
            <w:shd w:val="clear" w:color="auto" w:fill="auto"/>
            <w:vAlign w:val="center"/>
          </w:tcPr>
          <w:p>
            <w:pPr>
              <w:jc w:val="center"/>
              <w:rPr>
                <w:sz w:val="18"/>
                <w:szCs w:val="18"/>
              </w:rPr>
            </w:pPr>
          </w:p>
        </w:tc>
        <w:tc>
          <w:tcPr>
            <w:tcW w:w="1857" w:type="dxa"/>
            <w:shd w:val="clear" w:color="auto" w:fill="auto"/>
            <w:vAlign w:val="center"/>
          </w:tcPr>
          <w:p>
            <w:pPr>
              <w:jc w:val="center"/>
              <w:rPr>
                <w:sz w:val="18"/>
                <w:szCs w:val="18"/>
              </w:rPr>
            </w:pPr>
            <w:r>
              <w:rPr>
                <w:rFonts w:hint="eastAsia"/>
                <w:sz w:val="18"/>
                <w:szCs w:val="18"/>
              </w:rPr>
              <w:t>分组实验</w:t>
            </w:r>
          </w:p>
        </w:tc>
        <w:tc>
          <w:tcPr>
            <w:tcW w:w="1857" w:type="dxa"/>
            <w:shd w:val="clear" w:color="auto" w:fill="auto"/>
            <w:vAlign w:val="center"/>
          </w:tcPr>
          <w:p>
            <w:pPr>
              <w:jc w:val="center"/>
              <w:rPr>
                <w:sz w:val="18"/>
                <w:szCs w:val="18"/>
              </w:rPr>
            </w:pPr>
            <w:r>
              <w:rPr>
                <w:rFonts w:hint="eastAsia"/>
                <w:sz w:val="18"/>
                <w:szCs w:val="18"/>
              </w:rPr>
              <w:t>大作业</w:t>
            </w:r>
          </w:p>
        </w:tc>
        <w:tc>
          <w:tcPr>
            <w:tcW w:w="1858" w:type="dxa"/>
            <w:vMerge w:val="continue"/>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shd w:val="clear" w:color="auto" w:fill="auto"/>
            <w:vAlign w:val="center"/>
          </w:tcPr>
          <w:p>
            <w:pPr>
              <w:jc w:val="center"/>
              <w:rPr>
                <w:sz w:val="18"/>
                <w:szCs w:val="18"/>
              </w:rPr>
            </w:pPr>
            <w:r>
              <w:rPr>
                <w:rFonts w:hint="eastAsia"/>
                <w:sz w:val="18"/>
                <w:szCs w:val="18"/>
              </w:rPr>
              <w:t>1</w:t>
            </w:r>
          </w:p>
        </w:tc>
        <w:tc>
          <w:tcPr>
            <w:tcW w:w="1857" w:type="dxa"/>
            <w:shd w:val="clear" w:color="auto" w:fill="auto"/>
            <w:vAlign w:val="center"/>
          </w:tcPr>
          <w:p>
            <w:pPr>
              <w:jc w:val="center"/>
              <w:rPr>
                <w:sz w:val="18"/>
                <w:szCs w:val="18"/>
              </w:rPr>
            </w:pPr>
            <w:r>
              <w:rPr>
                <w:sz w:val="18"/>
                <w:szCs w:val="18"/>
              </w:rPr>
              <w:t>10</w:t>
            </w:r>
          </w:p>
        </w:tc>
        <w:tc>
          <w:tcPr>
            <w:tcW w:w="1857" w:type="dxa"/>
            <w:shd w:val="clear" w:color="auto" w:fill="auto"/>
            <w:vAlign w:val="center"/>
          </w:tcPr>
          <w:p>
            <w:pPr>
              <w:jc w:val="center"/>
              <w:rPr>
                <w:sz w:val="18"/>
                <w:szCs w:val="18"/>
              </w:rPr>
            </w:pPr>
            <w:r>
              <w:rPr>
                <w:rFonts w:hint="eastAsia"/>
                <w:sz w:val="18"/>
                <w:szCs w:val="18"/>
              </w:rPr>
              <w:t>4</w:t>
            </w:r>
            <w:r>
              <w:rPr>
                <w:sz w:val="18"/>
                <w:szCs w:val="18"/>
              </w:rPr>
              <w:t>0</w:t>
            </w:r>
          </w:p>
        </w:tc>
        <w:tc>
          <w:tcPr>
            <w:tcW w:w="1858" w:type="dxa"/>
            <w:shd w:val="clear" w:color="auto" w:fill="auto"/>
            <w:vAlign w:val="center"/>
          </w:tcPr>
          <w:p>
            <w:pPr>
              <w:jc w:val="center"/>
              <w:rPr>
                <w:sz w:val="18"/>
                <w:szCs w:val="18"/>
              </w:rPr>
            </w:pPr>
            <w:r>
              <w:rPr>
                <w:rFonts w:hint="eastAsia"/>
                <w:sz w:val="18"/>
                <w:szCs w:val="18"/>
              </w:rPr>
              <w:t>5</w:t>
            </w:r>
            <w:r>
              <w:rPr>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shd w:val="clear" w:color="auto" w:fill="auto"/>
            <w:vAlign w:val="center"/>
          </w:tcPr>
          <w:p>
            <w:pPr>
              <w:jc w:val="center"/>
              <w:rPr>
                <w:sz w:val="18"/>
                <w:szCs w:val="18"/>
              </w:rPr>
            </w:pPr>
            <w:r>
              <w:rPr>
                <w:rFonts w:hint="eastAsia"/>
                <w:sz w:val="18"/>
                <w:szCs w:val="18"/>
              </w:rPr>
              <w:t>2</w:t>
            </w:r>
          </w:p>
        </w:tc>
        <w:tc>
          <w:tcPr>
            <w:tcW w:w="1857" w:type="dxa"/>
            <w:shd w:val="clear" w:color="auto" w:fill="auto"/>
            <w:vAlign w:val="center"/>
          </w:tcPr>
          <w:p>
            <w:pPr>
              <w:jc w:val="center"/>
              <w:rPr>
                <w:sz w:val="18"/>
                <w:szCs w:val="18"/>
              </w:rPr>
            </w:pPr>
            <w:r>
              <w:rPr>
                <w:sz w:val="18"/>
                <w:szCs w:val="18"/>
              </w:rPr>
              <w:t>40</w:t>
            </w:r>
          </w:p>
        </w:tc>
        <w:tc>
          <w:tcPr>
            <w:tcW w:w="1857" w:type="dxa"/>
            <w:shd w:val="clear" w:color="auto" w:fill="auto"/>
            <w:vAlign w:val="center"/>
          </w:tcPr>
          <w:p>
            <w:pPr>
              <w:jc w:val="center"/>
              <w:rPr>
                <w:sz w:val="18"/>
                <w:szCs w:val="18"/>
              </w:rPr>
            </w:pPr>
            <w:r>
              <w:rPr>
                <w:rFonts w:hint="eastAsia"/>
                <w:sz w:val="18"/>
                <w:szCs w:val="18"/>
              </w:rPr>
              <w:t>1</w:t>
            </w:r>
            <w:r>
              <w:rPr>
                <w:sz w:val="18"/>
                <w:szCs w:val="18"/>
              </w:rPr>
              <w:t>0</w:t>
            </w:r>
          </w:p>
        </w:tc>
        <w:tc>
          <w:tcPr>
            <w:tcW w:w="1858" w:type="dxa"/>
            <w:shd w:val="clear" w:color="auto" w:fill="auto"/>
            <w:vAlign w:val="center"/>
          </w:tcPr>
          <w:p>
            <w:pPr>
              <w:jc w:val="center"/>
              <w:rPr>
                <w:sz w:val="18"/>
                <w:szCs w:val="18"/>
              </w:rPr>
            </w:pPr>
            <w:r>
              <w:rPr>
                <w:rFonts w:hint="eastAsia"/>
                <w:sz w:val="18"/>
                <w:szCs w:val="18"/>
              </w:rPr>
              <w:t>5</w:t>
            </w:r>
            <w:r>
              <w:rPr>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shd w:val="clear" w:color="auto" w:fill="auto"/>
            <w:vAlign w:val="center"/>
          </w:tcPr>
          <w:p>
            <w:pPr>
              <w:jc w:val="center"/>
              <w:rPr>
                <w:sz w:val="18"/>
                <w:szCs w:val="18"/>
              </w:rPr>
            </w:pPr>
            <w:r>
              <w:rPr>
                <w:rFonts w:hint="eastAsia"/>
                <w:color w:val="000000"/>
                <w:kern w:val="0"/>
                <w:sz w:val="18"/>
                <w:szCs w:val="18"/>
              </w:rPr>
              <w:t>考核环节成绩比例合计（%）</w:t>
            </w:r>
          </w:p>
        </w:tc>
        <w:tc>
          <w:tcPr>
            <w:tcW w:w="1857" w:type="dxa"/>
            <w:shd w:val="clear" w:color="auto" w:fill="auto"/>
            <w:vAlign w:val="center"/>
          </w:tcPr>
          <w:p>
            <w:pPr>
              <w:jc w:val="center"/>
              <w:rPr>
                <w:sz w:val="18"/>
                <w:szCs w:val="18"/>
              </w:rPr>
            </w:pPr>
            <w:r>
              <w:rPr>
                <w:rFonts w:hint="eastAsia"/>
                <w:sz w:val="18"/>
                <w:szCs w:val="18"/>
              </w:rPr>
              <w:t>5</w:t>
            </w:r>
            <w:r>
              <w:rPr>
                <w:sz w:val="18"/>
                <w:szCs w:val="18"/>
              </w:rPr>
              <w:t>0</w:t>
            </w:r>
          </w:p>
        </w:tc>
        <w:tc>
          <w:tcPr>
            <w:tcW w:w="1857" w:type="dxa"/>
            <w:shd w:val="clear" w:color="auto" w:fill="auto"/>
            <w:vAlign w:val="center"/>
          </w:tcPr>
          <w:p>
            <w:pPr>
              <w:jc w:val="center"/>
              <w:rPr>
                <w:sz w:val="18"/>
                <w:szCs w:val="18"/>
              </w:rPr>
            </w:pPr>
            <w:r>
              <w:rPr>
                <w:rFonts w:hint="eastAsia"/>
                <w:sz w:val="18"/>
                <w:szCs w:val="18"/>
              </w:rPr>
              <w:t>5</w:t>
            </w:r>
            <w:r>
              <w:rPr>
                <w:sz w:val="18"/>
                <w:szCs w:val="18"/>
              </w:rPr>
              <w:t>0</w:t>
            </w:r>
          </w:p>
        </w:tc>
        <w:tc>
          <w:tcPr>
            <w:tcW w:w="1858" w:type="dxa"/>
            <w:shd w:val="clear" w:color="auto" w:fill="auto"/>
            <w:vAlign w:val="center"/>
          </w:tcPr>
          <w:p>
            <w:pPr>
              <w:jc w:val="center"/>
              <w:rPr>
                <w:sz w:val="18"/>
                <w:szCs w:val="18"/>
              </w:rPr>
            </w:pPr>
            <w:r>
              <w:rPr>
                <w:rFonts w:hint="eastAsia"/>
                <w:sz w:val="18"/>
                <w:szCs w:val="18"/>
              </w:rPr>
              <w:t>1</w:t>
            </w:r>
            <w:r>
              <w:rPr>
                <w:sz w:val="18"/>
                <w:szCs w:val="18"/>
              </w:rPr>
              <w:t>00</w:t>
            </w:r>
          </w:p>
        </w:tc>
      </w:tr>
    </w:tbl>
    <w:p>
      <w:pPr>
        <w:spacing w:line="360" w:lineRule="auto"/>
        <w:jc w:val="center"/>
        <w:rPr>
          <w:sz w:val="18"/>
          <w:szCs w:val="18"/>
        </w:rPr>
      </w:pPr>
    </w:p>
    <w:p>
      <w:pPr>
        <w:adjustRightInd w:val="0"/>
        <w:snapToGrid w:val="0"/>
        <w:spacing w:line="360" w:lineRule="auto"/>
        <w:ind w:firstLine="420" w:firstLineChars="200"/>
        <w:rPr>
          <w:szCs w:val="21"/>
          <w:lang w:bidi="ar"/>
        </w:rPr>
      </w:pPr>
      <w:r>
        <w:rPr>
          <w:rFonts w:hint="eastAsia"/>
          <w:szCs w:val="21"/>
          <w:lang w:bidi="ar"/>
        </w:rPr>
        <w:t>第i个分课程目标的达成度</w:t>
      </w:r>
      <w:r>
        <w:rPr>
          <w:position w:val="-10"/>
          <w:szCs w:val="21"/>
          <w:lang w:bidi="ar"/>
        </w:rPr>
        <w:object>
          <v:shape id="_x0000_i1182" o:spt="75" type="#_x0000_t75" style="height:15.5pt;width:15.5pt;" o:ole="t" filled="f" o:preferrelative="t" stroked="f" coordsize="21600,21600">
            <v:path/>
            <v:fill on="f" focussize="0,0"/>
            <v:stroke on="f" joinstyle="miter"/>
            <v:imagedata r:id="rId325" o:title=""/>
            <o:lock v:ext="edit" aspectratio="t"/>
            <w10:wrap type="none"/>
            <w10:anchorlock/>
          </v:shape>
          <o:OLEObject Type="Embed" ProgID="Equation.3" ShapeID="_x0000_i1182" DrawAspect="Content" ObjectID="_1468075882" r:id="rId324">
            <o:LockedField>false</o:LockedField>
          </o:OLEObject>
        </w:object>
      </w:r>
      <w:r>
        <w:rPr>
          <w:rFonts w:hint="eastAsia"/>
          <w:szCs w:val="21"/>
          <w:lang w:bidi="ar"/>
        </w:rPr>
        <w:t xml:space="preserve"> ： </w:t>
      </w:r>
    </w:p>
    <w:p>
      <w:pPr>
        <w:adjustRightInd w:val="0"/>
        <w:snapToGrid w:val="0"/>
        <w:spacing w:line="360" w:lineRule="auto"/>
        <w:ind w:firstLine="420" w:firstLineChars="200"/>
        <w:rPr>
          <w:szCs w:val="21"/>
          <w:lang w:bidi="ar"/>
        </w:rPr>
      </w:pPr>
      <w:r>
        <w:rPr>
          <w:rFonts w:hint="eastAsia"/>
          <w:szCs w:val="21"/>
          <w:lang w:bidi="ar"/>
        </w:rPr>
        <w:object>
          <v:shape id="_x0000_i1183" o:spt="75" type="#_x0000_t75" style="height:20.5pt;width:108pt;" o:ole="t" filled="f" o:preferrelative="t" stroked="f" coordsize="21600,21600">
            <v:path/>
            <v:fill on="f" focussize="0,0"/>
            <v:stroke on="f" joinstyle="miter"/>
            <v:imagedata r:id="rId296" o:title=""/>
            <o:lock v:ext="edit" aspectratio="t"/>
            <w10:wrap type="none"/>
            <w10:anchorlock/>
          </v:shape>
          <o:OLEObject Type="Embed" ProgID="Equation.DSMT4" ShapeID="_x0000_i1183" DrawAspect="Content" ObjectID="_1468075883" r:id="rId326">
            <o:LockedField>false</o:LockedField>
          </o:OLEObject>
        </w:object>
      </w:r>
      <w:r>
        <w:rPr>
          <w:rFonts w:hint="eastAsia"/>
          <w:szCs w:val="21"/>
          <w:lang w:bidi="ar"/>
        </w:rPr>
        <w:t xml:space="preserve">                                    </w:t>
      </w:r>
      <w:r>
        <w:rPr>
          <w:rFonts w:hint="eastAsia"/>
          <w:szCs w:val="21"/>
          <w:lang w:bidi="ar"/>
        </w:rPr>
        <w:tab/>
      </w:r>
      <w:r>
        <w:rPr>
          <w:rFonts w:hint="eastAsia"/>
          <w:szCs w:val="21"/>
          <w:lang w:bidi="ar"/>
        </w:rPr>
        <w:tab/>
      </w:r>
      <w:r>
        <w:rPr>
          <w:rFonts w:hint="eastAsia"/>
          <w:szCs w:val="21"/>
          <w:lang w:bidi="ar"/>
        </w:rPr>
        <w:tab/>
      </w:r>
      <w:r>
        <w:rPr>
          <w:rFonts w:hint="eastAsia"/>
          <w:szCs w:val="21"/>
          <w:lang w:bidi="ar"/>
        </w:rPr>
        <w:tab/>
      </w:r>
      <w:r>
        <w:rPr>
          <w:rFonts w:hint="eastAsia"/>
          <w:szCs w:val="21"/>
          <w:lang w:bidi="ar"/>
        </w:rPr>
        <w:t>6-1</w:t>
      </w:r>
    </w:p>
    <w:p>
      <w:pPr>
        <w:adjustRightInd w:val="0"/>
        <w:snapToGrid w:val="0"/>
        <w:spacing w:line="360" w:lineRule="auto"/>
        <w:ind w:firstLine="420" w:firstLineChars="200"/>
        <w:rPr>
          <w:szCs w:val="21"/>
          <w:lang w:bidi="ar"/>
        </w:rPr>
      </w:pPr>
      <w:r>
        <w:rPr>
          <w:rFonts w:hint="eastAsia"/>
          <w:szCs w:val="21"/>
          <w:lang w:bidi="ar"/>
        </w:rPr>
        <w:t>总课程目标达成度</w:t>
      </w:r>
      <w:r>
        <w:rPr>
          <w:rFonts w:hint="eastAsia"/>
          <w:i/>
          <w:szCs w:val="21"/>
          <w:lang w:bidi="ar"/>
        </w:rPr>
        <w:t>A</w:t>
      </w:r>
      <w:r>
        <w:rPr>
          <w:rFonts w:hint="eastAsia"/>
          <w:szCs w:val="21"/>
          <w:lang w:bidi="ar"/>
        </w:rPr>
        <w:t>，由多个分课程目标再根据权重加权求和：</w:t>
      </w:r>
    </w:p>
    <w:p>
      <w:pPr>
        <w:adjustRightInd w:val="0"/>
        <w:snapToGrid w:val="0"/>
        <w:spacing w:line="360" w:lineRule="auto"/>
        <w:ind w:firstLine="420" w:firstLineChars="200"/>
        <w:rPr>
          <w:szCs w:val="21"/>
          <w:lang w:bidi="ar"/>
        </w:rPr>
      </w:pPr>
      <w:r>
        <w:rPr>
          <w:rFonts w:hint="eastAsia"/>
          <w:szCs w:val="21"/>
          <w:lang w:bidi="ar"/>
        </w:rPr>
        <w:object>
          <v:shape id="_x0000_i1184" o:spt="75" type="#_x0000_t75" style="height:20.5pt;width:61.5pt;" o:ole="t" filled="f" o:preferrelative="t" stroked="f" coordsize="21600,21600">
            <v:path/>
            <v:fill on="f" focussize="0,0"/>
            <v:stroke on="f" joinstyle="miter"/>
            <v:imagedata r:id="rId298" o:title=""/>
            <o:lock v:ext="edit" aspectratio="t"/>
            <w10:wrap type="none"/>
            <w10:anchorlock/>
          </v:shape>
          <o:OLEObject Type="Embed" ProgID="Equation.DSMT4" ShapeID="_x0000_i1184" DrawAspect="Content" ObjectID="_1468075884" r:id="rId327">
            <o:LockedField>false</o:LockedField>
          </o:OLEObject>
        </w:object>
      </w:r>
      <w:r>
        <w:rPr>
          <w:rFonts w:hint="eastAsia"/>
          <w:szCs w:val="21"/>
          <w:lang w:bidi="ar"/>
        </w:rPr>
        <w:t xml:space="preserve">                                      </w:t>
      </w:r>
      <w:r>
        <w:rPr>
          <w:rFonts w:hint="eastAsia"/>
          <w:szCs w:val="21"/>
          <w:lang w:bidi="ar"/>
        </w:rPr>
        <w:tab/>
      </w:r>
      <w:r>
        <w:rPr>
          <w:rFonts w:hint="eastAsia"/>
          <w:szCs w:val="21"/>
          <w:lang w:bidi="ar"/>
        </w:rPr>
        <w:tab/>
      </w:r>
      <w:r>
        <w:rPr>
          <w:rFonts w:hint="eastAsia"/>
          <w:szCs w:val="21"/>
          <w:lang w:bidi="ar"/>
        </w:rPr>
        <w:tab/>
      </w:r>
      <w:r>
        <w:rPr>
          <w:rFonts w:hint="eastAsia"/>
          <w:szCs w:val="21"/>
          <w:lang w:bidi="ar"/>
        </w:rPr>
        <w:tab/>
      </w:r>
      <w:r>
        <w:rPr>
          <w:rFonts w:hint="eastAsia"/>
          <w:szCs w:val="21"/>
          <w:lang w:bidi="ar"/>
        </w:rPr>
        <w:tab/>
      </w:r>
      <w:r>
        <w:rPr>
          <w:rFonts w:hint="eastAsia"/>
          <w:szCs w:val="21"/>
          <w:lang w:bidi="ar"/>
        </w:rPr>
        <w:tab/>
      </w:r>
      <w:r>
        <w:rPr>
          <w:rFonts w:hint="eastAsia"/>
          <w:szCs w:val="21"/>
          <w:lang w:bidi="ar"/>
        </w:rPr>
        <w:t>6-2</w:t>
      </w:r>
    </w:p>
    <w:p>
      <w:pPr>
        <w:adjustRightInd w:val="0"/>
        <w:snapToGrid w:val="0"/>
        <w:spacing w:line="360" w:lineRule="auto"/>
        <w:ind w:firstLine="420" w:firstLineChars="200"/>
        <w:rPr>
          <w:szCs w:val="21"/>
          <w:lang w:bidi="ar"/>
        </w:rPr>
      </w:pPr>
      <w:r>
        <w:rPr>
          <w:rFonts w:hint="eastAsia"/>
          <w:szCs w:val="21"/>
          <w:lang w:bidi="ar"/>
        </w:rPr>
        <w:t>其中：k表示不同的考核方式，i表示不同的分课程目标；</w:t>
      </w:r>
    </w:p>
    <w:p>
      <w:pPr>
        <w:adjustRightInd w:val="0"/>
        <w:snapToGrid w:val="0"/>
        <w:spacing w:line="360" w:lineRule="auto"/>
        <w:ind w:firstLine="420" w:firstLineChars="200"/>
        <w:rPr>
          <w:szCs w:val="21"/>
          <w:lang w:bidi="ar"/>
        </w:rPr>
      </w:pPr>
      <w:r>
        <w:rPr>
          <w:rFonts w:hint="eastAsia"/>
          <w:position w:val="-12"/>
          <w:szCs w:val="21"/>
          <w:lang w:bidi="ar"/>
        </w:rPr>
        <w:object>
          <v:shape id="_x0000_i1185" o:spt="75" type="#_x0000_t75" style="height:15.5pt;width:15.5pt;" o:ole="t" filled="f" o:preferrelative="t" stroked="f" coordsize="21600,21600">
            <v:path/>
            <v:fill on="f" focussize="0,0"/>
            <v:stroke on="f" joinstyle="miter"/>
            <v:imagedata r:id="rId329" o:title=""/>
            <o:lock v:ext="edit" aspectratio="t"/>
            <w10:wrap type="none"/>
            <w10:anchorlock/>
          </v:shape>
          <o:OLEObject Type="Embed" ProgID="Equation.3" ShapeID="_x0000_i1185" DrawAspect="Content" ObjectID="_1468075885" r:id="rId328">
            <o:LockedField>false</o:LockedField>
          </o:OLEObject>
        </w:object>
      </w:r>
      <w:r>
        <w:rPr>
          <w:rFonts w:hint="eastAsia"/>
          <w:szCs w:val="21"/>
          <w:lang w:bidi="ar"/>
        </w:rPr>
        <w:t>表示第i个课程目标中第k种考核方式在总成绩中的占比；</w:t>
      </w:r>
    </w:p>
    <w:p>
      <w:pPr>
        <w:adjustRightInd w:val="0"/>
        <w:snapToGrid w:val="0"/>
        <w:spacing w:line="360" w:lineRule="auto"/>
        <w:ind w:firstLine="420" w:firstLineChars="200"/>
        <w:rPr>
          <w:szCs w:val="21"/>
          <w:lang w:bidi="ar"/>
        </w:rPr>
      </w:pPr>
      <w:r>
        <w:rPr>
          <w:rFonts w:hint="eastAsia"/>
          <w:position w:val="-12"/>
          <w:szCs w:val="21"/>
          <w:lang w:bidi="ar"/>
        </w:rPr>
        <w:object>
          <v:shape id="_x0000_i1186" o:spt="75" type="#_x0000_t75" style="height:15.5pt;width:10.5pt;" o:ole="t" filled="f" o:preferrelative="t" stroked="f" coordsize="21600,21600">
            <v:path/>
            <v:fill on="f" focussize="0,0"/>
            <v:stroke on="f" joinstyle="miter"/>
            <v:imagedata r:id="rId331" o:title=""/>
            <o:lock v:ext="edit" aspectratio="t"/>
            <w10:wrap type="none"/>
            <w10:anchorlock/>
          </v:shape>
          <o:OLEObject Type="Embed" ProgID="Equation.3" ShapeID="_x0000_i1186" DrawAspect="Content" ObjectID="_1468075886" r:id="rId330">
            <o:LockedField>false</o:LockedField>
          </o:OLEObject>
        </w:object>
      </w:r>
      <w:r>
        <w:rPr>
          <w:rFonts w:hint="eastAsia"/>
          <w:szCs w:val="21"/>
          <w:lang w:bidi="ar"/>
        </w:rPr>
        <w:t>表示第i个课程目标在课程总评价中的占比；</w:t>
      </w:r>
    </w:p>
    <w:p>
      <w:pPr>
        <w:adjustRightInd w:val="0"/>
        <w:snapToGrid w:val="0"/>
        <w:spacing w:line="360" w:lineRule="auto"/>
        <w:ind w:firstLine="420" w:firstLineChars="200"/>
        <w:rPr>
          <w:szCs w:val="21"/>
          <w:lang w:bidi="ar"/>
        </w:rPr>
      </w:pPr>
      <w:r>
        <w:rPr>
          <w:position w:val="-10"/>
          <w:szCs w:val="21"/>
          <w:lang w:bidi="ar"/>
        </w:rPr>
        <w:object>
          <v:shape id="_x0000_i1187" o:spt="75" type="#_x0000_t75" style="height:15.5pt;width:20.5pt;" o:ole="t" filled="f" o:preferrelative="t" stroked="f" coordsize="21600,21600">
            <v:path/>
            <v:fill on="f" focussize="0,0"/>
            <v:stroke on="f" joinstyle="miter"/>
            <v:imagedata r:id="rId333" o:title=""/>
            <o:lock v:ext="edit" aspectratio="t"/>
            <w10:wrap type="none"/>
            <w10:anchorlock/>
          </v:shape>
          <o:OLEObject Type="Embed" ProgID="Equation.3" ShapeID="_x0000_i1187" DrawAspect="Content" ObjectID="_1468075887" r:id="rId332">
            <o:LockedField>false</o:LockedField>
          </o:OLEObject>
        </w:object>
      </w:r>
      <w:r>
        <w:rPr>
          <w:rFonts w:hint="eastAsia"/>
          <w:szCs w:val="21"/>
          <w:lang w:bidi="ar"/>
        </w:rPr>
        <w:t>表示第k种考核方式支撑第i个课程目标的达成度（第k种考核方式支撑第i个课程目标的学生得分平均值除以第k种考核方式支撑第i个课程目标的总分值）。</w:t>
      </w:r>
    </w:p>
    <w:p>
      <w:pPr>
        <w:adjustRightInd w:val="0"/>
        <w:snapToGrid w:val="0"/>
        <w:spacing w:line="360" w:lineRule="auto"/>
        <w:ind w:firstLine="422" w:firstLineChars="200"/>
        <w:rPr>
          <w:b/>
          <w:bCs/>
          <w:szCs w:val="21"/>
          <w:lang w:bidi="ar"/>
        </w:rPr>
      </w:pPr>
      <w:r>
        <w:rPr>
          <w:rFonts w:hint="eastAsia"/>
          <w:b/>
          <w:bCs/>
          <w:szCs w:val="21"/>
          <w:lang w:bidi="ar"/>
        </w:rPr>
        <w:t>3、定性评价</w:t>
      </w:r>
    </w:p>
    <w:p>
      <w:pPr>
        <w:adjustRightInd w:val="0"/>
        <w:snapToGrid w:val="0"/>
        <w:spacing w:line="360" w:lineRule="auto"/>
        <w:ind w:firstLine="420" w:firstLineChars="200"/>
        <w:rPr>
          <w:szCs w:val="21"/>
          <w:lang w:bidi="ar"/>
        </w:rPr>
      </w:pPr>
      <w:r>
        <w:rPr>
          <w:rFonts w:hint="eastAsia"/>
          <w:szCs w:val="21"/>
          <w:lang w:bidi="ar"/>
        </w:rPr>
        <w:t>针对每门课的课程目标，直接设计问题，并要求学生明确给出目标能力达到的程度“很好（0.95）、较好（0.75）、中（0.60）、较差（0.45）、很差（0.25）”，根据各区段统计比例与括号中的目标分值加权后求和得出定性评价的结果。</w:t>
      </w:r>
    </w:p>
    <w:p>
      <w:pPr>
        <w:adjustRightInd w:val="0"/>
        <w:snapToGrid w:val="0"/>
        <w:spacing w:line="360" w:lineRule="auto"/>
        <w:ind w:firstLine="422" w:firstLineChars="200"/>
        <w:rPr>
          <w:b/>
          <w:bCs/>
          <w:szCs w:val="21"/>
          <w:lang w:bidi="ar"/>
        </w:rPr>
      </w:pPr>
      <w:r>
        <w:rPr>
          <w:rFonts w:hint="eastAsia"/>
          <w:b/>
          <w:bCs/>
          <w:szCs w:val="21"/>
          <w:lang w:bidi="ar"/>
        </w:rPr>
        <w:t>4、定性评价和定量评价结果的综合</w:t>
      </w:r>
    </w:p>
    <w:p>
      <w:pPr>
        <w:adjustRightInd w:val="0"/>
        <w:snapToGrid w:val="0"/>
        <w:spacing w:line="360" w:lineRule="auto"/>
        <w:ind w:firstLine="420" w:firstLineChars="200"/>
        <w:rPr>
          <w:szCs w:val="21"/>
          <w:lang w:bidi="ar"/>
        </w:rPr>
      </w:pPr>
      <w:r>
        <w:rPr>
          <w:rFonts w:hint="eastAsia"/>
          <w:szCs w:val="21"/>
          <w:lang w:bidi="ar"/>
        </w:rPr>
        <w:t>同一课程目标的评价，取定性评价和定量评价的平均值，作为最终评价结果。</w:t>
      </w:r>
    </w:p>
    <w:p>
      <w:pPr>
        <w:adjustRightInd w:val="0"/>
        <w:snapToGrid w:val="0"/>
        <w:spacing w:before="156" w:beforeLines="50" w:line="360" w:lineRule="auto"/>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七、评价标准：</w:t>
      </w:r>
    </w:p>
    <w:p>
      <w:pPr>
        <w:adjustRightInd w:val="0"/>
        <w:snapToGrid w:val="0"/>
        <w:spacing w:line="360" w:lineRule="auto"/>
        <w:ind w:firstLine="420" w:firstLineChars="200"/>
        <w:rPr>
          <w:szCs w:val="21"/>
          <w:lang w:bidi="ar"/>
        </w:rPr>
      </w:pPr>
      <w:r>
        <w:rPr>
          <w:rFonts w:hint="eastAsia"/>
          <w:szCs w:val="21"/>
          <w:lang w:bidi="ar"/>
        </w:rPr>
        <w:t>本课程允许教师在各评价环节根据具体情况采取多样化、个性化的考核手段，其评价标准应当在《SIE-CT-01：授课计划》中明确并向学生公布，教学过程中的考核评价应当严格按照标准完成。</w:t>
      </w:r>
    </w:p>
    <w:p>
      <w:pPr>
        <w:adjustRightInd w:val="0"/>
        <w:snapToGrid w:val="0"/>
        <w:spacing w:before="156" w:beforeLines="50" w:line="360" w:lineRule="auto"/>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八、课程目标达成评价结果用于持续改进</w:t>
      </w:r>
    </w:p>
    <w:p>
      <w:pPr>
        <w:adjustRightInd w:val="0"/>
        <w:snapToGrid w:val="0"/>
        <w:spacing w:line="360" w:lineRule="auto"/>
        <w:ind w:firstLine="420" w:firstLineChars="200"/>
        <w:rPr>
          <w:szCs w:val="21"/>
          <w:lang w:bidi="ar"/>
        </w:rPr>
      </w:pPr>
      <w:r>
        <w:rPr>
          <w:rFonts w:hint="eastAsia"/>
          <w:szCs w:val="21"/>
          <w:lang w:bidi="ar"/>
        </w:rPr>
        <w:t>课程目标达成评价结果将用于后续教学过程的持续改进。</w:t>
      </w:r>
    </w:p>
    <w:p>
      <w:pPr>
        <w:adjustRightInd w:val="0"/>
        <w:snapToGrid w:val="0"/>
        <w:spacing w:line="360" w:lineRule="auto"/>
        <w:ind w:firstLine="420" w:firstLineChars="200"/>
        <w:rPr>
          <w:szCs w:val="21"/>
          <w:lang w:bidi="ar"/>
        </w:rPr>
      </w:pPr>
      <w:r>
        <w:rPr>
          <w:rFonts w:hint="eastAsia"/>
          <w:szCs w:val="21"/>
          <w:lang w:bidi="ar"/>
        </w:rPr>
        <w:t>针对课程目标达成评价中发现的问题与不足，重点是达成值相对较低的项，在本次授课总结中应由授课教师分析具体原因，并给出改进建议。后续任课教师应当针对以前的问题和建议，在授课计划中做好落实改进计划，并在授课过程中予以落实。</w:t>
      </w:r>
    </w:p>
    <w:p>
      <w:pPr>
        <w:adjustRightInd w:val="0"/>
        <w:snapToGrid w:val="0"/>
        <w:spacing w:before="156" w:beforeLines="50" w:line="360" w:lineRule="auto"/>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九、覆盖课程目标达成评价的知识点及权重</w:t>
      </w:r>
    </w:p>
    <w:p>
      <w:pPr>
        <w:jc w:val="center"/>
        <w:rPr>
          <w:b/>
          <w:bCs/>
          <w:sz w:val="18"/>
          <w:szCs w:val="18"/>
        </w:rPr>
      </w:pPr>
      <w:r>
        <w:rPr>
          <w:b/>
          <w:bCs/>
          <w:color w:val="000000"/>
          <w:sz w:val="18"/>
          <w:szCs w:val="18"/>
        </w:rPr>
        <w:t>表</w:t>
      </w:r>
      <w:r>
        <w:rPr>
          <w:rFonts w:hint="eastAsia"/>
          <w:b/>
          <w:bCs/>
          <w:color w:val="000000"/>
          <w:sz w:val="18"/>
          <w:szCs w:val="18"/>
        </w:rPr>
        <w:t xml:space="preserve">9.1   </w:t>
      </w:r>
      <w:r>
        <w:rPr>
          <w:b/>
          <w:bCs/>
          <w:sz w:val="18"/>
          <w:szCs w:val="18"/>
        </w:rPr>
        <w:t>各考核方式对课程目标达成评价的</w:t>
      </w:r>
      <w:r>
        <w:rPr>
          <w:rFonts w:hint="eastAsia"/>
          <w:b/>
          <w:bCs/>
          <w:sz w:val="18"/>
          <w:szCs w:val="18"/>
        </w:rPr>
        <w:t>权重</w:t>
      </w:r>
      <w:r>
        <w:rPr>
          <w:b/>
          <w:bCs/>
          <w:sz w:val="18"/>
          <w:szCs w:val="18"/>
        </w:rPr>
        <w:t>占比分配</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56"/>
        <w:gridCol w:w="1283"/>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shd w:val="clear" w:color="auto" w:fill="auto"/>
            <w:vAlign w:val="center"/>
          </w:tcPr>
          <w:p>
            <w:pPr>
              <w:jc w:val="center"/>
              <w:rPr>
                <w:sz w:val="18"/>
                <w:szCs w:val="18"/>
              </w:rPr>
            </w:pPr>
            <w:r>
              <w:rPr>
                <w:sz w:val="18"/>
                <w:szCs w:val="18"/>
              </w:rPr>
              <w:t>知识点</w:t>
            </w:r>
          </w:p>
        </w:tc>
        <w:tc>
          <w:tcPr>
            <w:tcW w:w="691" w:type="pct"/>
            <w:shd w:val="clear" w:color="auto" w:fill="auto"/>
            <w:vAlign w:val="center"/>
          </w:tcPr>
          <w:p>
            <w:pPr>
              <w:jc w:val="center"/>
              <w:rPr>
                <w:sz w:val="18"/>
                <w:szCs w:val="18"/>
              </w:rPr>
            </w:pPr>
            <w:r>
              <w:rPr>
                <w:sz w:val="18"/>
                <w:szCs w:val="18"/>
              </w:rPr>
              <w:t>权重</w:t>
            </w:r>
          </w:p>
        </w:tc>
        <w:tc>
          <w:tcPr>
            <w:tcW w:w="1048" w:type="pct"/>
            <w:shd w:val="clear" w:color="auto" w:fill="auto"/>
            <w:vAlign w:val="center"/>
          </w:tcPr>
          <w:p>
            <w:pPr>
              <w:jc w:val="center"/>
              <w:rPr>
                <w:sz w:val="18"/>
                <w:szCs w:val="18"/>
              </w:rPr>
            </w:pPr>
            <w:r>
              <w:rPr>
                <w:sz w:val="18"/>
                <w:szCs w:val="18"/>
              </w:rPr>
              <w:t>支撑课程目标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shd w:val="clear" w:color="auto" w:fill="auto"/>
            <w:vAlign w:val="center"/>
          </w:tcPr>
          <w:p>
            <w:pPr>
              <w:rPr>
                <w:b/>
                <w:sz w:val="18"/>
                <w:szCs w:val="18"/>
              </w:rPr>
            </w:pPr>
            <w:r>
              <w:rPr>
                <w:sz w:val="18"/>
                <w:szCs w:val="18"/>
              </w:rPr>
              <w:t>1、</w:t>
            </w:r>
            <w:r>
              <w:rPr>
                <w:rFonts w:hint="eastAsia"/>
                <w:sz w:val="18"/>
                <w:szCs w:val="18"/>
              </w:rPr>
              <w:t>智能</w:t>
            </w:r>
            <w:r>
              <w:rPr>
                <w:sz w:val="18"/>
                <w:szCs w:val="18"/>
              </w:rPr>
              <w:t>机器人的</w:t>
            </w:r>
            <w:r>
              <w:rPr>
                <w:rFonts w:hint="eastAsia"/>
                <w:sz w:val="18"/>
                <w:szCs w:val="18"/>
              </w:rPr>
              <w:t>起源</w:t>
            </w:r>
            <w:r>
              <w:rPr>
                <w:sz w:val="18"/>
                <w:szCs w:val="18"/>
              </w:rPr>
              <w:t>、</w:t>
            </w:r>
            <w:r>
              <w:rPr>
                <w:rFonts w:hint="eastAsia"/>
                <w:sz w:val="18"/>
                <w:szCs w:val="18"/>
              </w:rPr>
              <w:t>发展、定义</w:t>
            </w:r>
            <w:r>
              <w:rPr>
                <w:sz w:val="18"/>
                <w:szCs w:val="18"/>
              </w:rPr>
              <w:t>和</w:t>
            </w:r>
            <w:r>
              <w:rPr>
                <w:rFonts w:hint="eastAsia"/>
                <w:sz w:val="18"/>
                <w:szCs w:val="18"/>
              </w:rPr>
              <w:t>分类</w:t>
            </w:r>
          </w:p>
        </w:tc>
        <w:tc>
          <w:tcPr>
            <w:tcW w:w="691" w:type="pct"/>
            <w:shd w:val="clear" w:color="auto" w:fill="auto"/>
            <w:vAlign w:val="center"/>
          </w:tcPr>
          <w:p>
            <w:pPr>
              <w:jc w:val="center"/>
              <w:rPr>
                <w:sz w:val="18"/>
                <w:szCs w:val="18"/>
              </w:rPr>
            </w:pPr>
            <w:r>
              <w:rPr>
                <w:sz w:val="18"/>
                <w:szCs w:val="18"/>
              </w:rPr>
              <w:t>0.1</w:t>
            </w:r>
          </w:p>
        </w:tc>
        <w:tc>
          <w:tcPr>
            <w:tcW w:w="1048" w:type="pct"/>
            <w:shd w:val="clear" w:color="auto" w:fill="auto"/>
            <w:vAlign w:val="center"/>
          </w:tcPr>
          <w:p>
            <w:pPr>
              <w:jc w:val="center"/>
              <w:rPr>
                <w:sz w:val="18"/>
                <w:szCs w:val="18"/>
              </w:rPr>
            </w:pP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shd w:val="clear" w:color="auto" w:fill="auto"/>
            <w:vAlign w:val="center"/>
          </w:tcPr>
          <w:p>
            <w:pPr>
              <w:rPr>
                <w:sz w:val="18"/>
                <w:szCs w:val="18"/>
              </w:rPr>
            </w:pPr>
            <w:r>
              <w:rPr>
                <w:sz w:val="18"/>
                <w:szCs w:val="18"/>
              </w:rPr>
              <w:t>2、</w:t>
            </w:r>
            <w:r>
              <w:rPr>
                <w:rFonts w:hint="eastAsia"/>
                <w:sz w:val="18"/>
                <w:szCs w:val="18"/>
              </w:rPr>
              <w:t>智能机器人的硬件结构组成及相关的技术知识</w:t>
            </w:r>
          </w:p>
        </w:tc>
        <w:tc>
          <w:tcPr>
            <w:tcW w:w="691" w:type="pct"/>
            <w:shd w:val="clear" w:color="auto" w:fill="auto"/>
            <w:vAlign w:val="center"/>
          </w:tcPr>
          <w:p>
            <w:pPr>
              <w:jc w:val="center"/>
              <w:rPr>
                <w:sz w:val="18"/>
                <w:szCs w:val="18"/>
              </w:rPr>
            </w:pPr>
            <w:r>
              <w:rPr>
                <w:sz w:val="18"/>
                <w:szCs w:val="18"/>
              </w:rPr>
              <w:t>0.6</w:t>
            </w:r>
          </w:p>
        </w:tc>
        <w:tc>
          <w:tcPr>
            <w:tcW w:w="1048" w:type="pct"/>
            <w:shd w:val="clear" w:color="auto" w:fill="auto"/>
            <w:vAlign w:val="center"/>
          </w:tcPr>
          <w:p>
            <w:pPr>
              <w:jc w:val="center"/>
              <w:rPr>
                <w:sz w:val="18"/>
                <w:szCs w:val="18"/>
              </w:rPr>
            </w:pPr>
            <w:r>
              <w:rPr>
                <w:sz w:val="18"/>
                <w:szCs w:val="18"/>
              </w:rPr>
              <w:t>1</w:t>
            </w:r>
            <w:r>
              <w:rPr>
                <w:rFonts w:hint="eastAsia"/>
                <w:sz w:val="18"/>
                <w:szCs w:val="1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shd w:val="clear" w:color="auto" w:fill="auto"/>
            <w:vAlign w:val="center"/>
          </w:tcPr>
          <w:p>
            <w:pPr>
              <w:rPr>
                <w:sz w:val="18"/>
                <w:szCs w:val="18"/>
              </w:rPr>
            </w:pPr>
            <w:r>
              <w:rPr>
                <w:sz w:val="18"/>
                <w:szCs w:val="18"/>
              </w:rPr>
              <w:t>3、</w:t>
            </w:r>
            <w:r>
              <w:rPr>
                <w:rFonts w:hint="eastAsia"/>
                <w:sz w:val="18"/>
                <w:szCs w:val="18"/>
              </w:rPr>
              <w:t>智能机器人在各个领域的前沿应用技术</w:t>
            </w:r>
          </w:p>
        </w:tc>
        <w:tc>
          <w:tcPr>
            <w:tcW w:w="691" w:type="pct"/>
            <w:shd w:val="clear" w:color="auto" w:fill="auto"/>
            <w:vAlign w:val="center"/>
          </w:tcPr>
          <w:p>
            <w:pPr>
              <w:jc w:val="center"/>
              <w:rPr>
                <w:sz w:val="18"/>
                <w:szCs w:val="18"/>
              </w:rPr>
            </w:pPr>
            <w:r>
              <w:rPr>
                <w:sz w:val="18"/>
                <w:szCs w:val="18"/>
              </w:rPr>
              <w:t>0.2</w:t>
            </w:r>
          </w:p>
        </w:tc>
        <w:tc>
          <w:tcPr>
            <w:tcW w:w="1048" w:type="pct"/>
            <w:shd w:val="clear" w:color="auto" w:fill="auto"/>
            <w:vAlign w:val="center"/>
          </w:tcPr>
          <w:p>
            <w:pPr>
              <w:jc w:val="center"/>
              <w:rPr>
                <w:sz w:val="18"/>
                <w:szCs w:val="18"/>
              </w:rPr>
            </w:pPr>
            <w:r>
              <w:rPr>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61" w:type="pct"/>
            <w:shd w:val="clear" w:color="auto" w:fill="auto"/>
            <w:vAlign w:val="center"/>
          </w:tcPr>
          <w:p>
            <w:pPr>
              <w:rPr>
                <w:sz w:val="18"/>
                <w:szCs w:val="18"/>
              </w:rPr>
            </w:pPr>
            <w:r>
              <w:rPr>
                <w:sz w:val="18"/>
                <w:szCs w:val="18"/>
              </w:rPr>
              <w:t>4、</w:t>
            </w:r>
            <w:r>
              <w:rPr>
                <w:rFonts w:hint="eastAsia"/>
                <w:sz w:val="18"/>
                <w:szCs w:val="18"/>
              </w:rPr>
              <w:t>智能机器人产业现状和发展趋势</w:t>
            </w:r>
          </w:p>
        </w:tc>
        <w:tc>
          <w:tcPr>
            <w:tcW w:w="691" w:type="pct"/>
            <w:shd w:val="clear" w:color="auto" w:fill="auto"/>
            <w:vAlign w:val="center"/>
          </w:tcPr>
          <w:p>
            <w:pPr>
              <w:jc w:val="center"/>
              <w:rPr>
                <w:sz w:val="18"/>
                <w:szCs w:val="18"/>
              </w:rPr>
            </w:pPr>
            <w:r>
              <w:rPr>
                <w:sz w:val="18"/>
                <w:szCs w:val="18"/>
              </w:rPr>
              <w:t>0.1</w:t>
            </w:r>
          </w:p>
        </w:tc>
        <w:tc>
          <w:tcPr>
            <w:tcW w:w="1048" w:type="pct"/>
            <w:shd w:val="clear" w:color="auto" w:fill="auto"/>
            <w:vAlign w:val="center"/>
          </w:tcPr>
          <w:p>
            <w:pPr>
              <w:jc w:val="center"/>
              <w:rPr>
                <w:sz w:val="18"/>
                <w:szCs w:val="18"/>
              </w:rPr>
            </w:pPr>
            <w:r>
              <w:rPr>
                <w:sz w:val="18"/>
                <w:szCs w:val="18"/>
              </w:rPr>
              <w:t>2</w:t>
            </w:r>
            <w:r>
              <w:rPr>
                <w:rFonts w:hint="eastAsia"/>
                <w:sz w:val="18"/>
                <w:szCs w:val="18"/>
              </w:rPr>
              <w:t>、3</w:t>
            </w:r>
          </w:p>
        </w:tc>
      </w:tr>
    </w:tbl>
    <w:p>
      <w:pPr>
        <w:spacing w:line="360" w:lineRule="auto"/>
        <w:ind w:firstLine="420" w:firstLineChars="200"/>
        <w:jc w:val="center"/>
      </w:pPr>
    </w:p>
    <w:p>
      <w:pPr>
        <w:adjustRightInd w:val="0"/>
        <w:snapToGrid w:val="0"/>
        <w:spacing w:line="360" w:lineRule="auto"/>
        <w:ind w:firstLine="420" w:firstLineChars="200"/>
        <w:rPr>
          <w:szCs w:val="21"/>
          <w:lang w:bidi="ar"/>
        </w:rPr>
      </w:pPr>
      <w:r>
        <w:rPr>
          <w:rFonts w:hint="eastAsia"/>
          <w:szCs w:val="21"/>
          <w:lang w:bidi="ar"/>
        </w:rPr>
        <w:t>学生可以依据仪器与电子学院相关文件，以允许的第二课堂成果折算单项成绩，与对应知识点加权累计达到</w:t>
      </w:r>
      <w:r>
        <w:rPr>
          <w:szCs w:val="21"/>
          <w:lang w:bidi="ar"/>
        </w:rPr>
        <w:t>75</w:t>
      </w:r>
      <w:r>
        <w:rPr>
          <w:rFonts w:hint="eastAsia"/>
          <w:szCs w:val="21"/>
          <w:lang w:bidi="ar"/>
        </w:rPr>
        <w:t>分（含）以上，且对所有课程目标的支撑不能有缺项，即可申请本门课程免修。</w:t>
      </w:r>
    </w:p>
    <w:p>
      <w:pPr>
        <w:adjustRightInd w:val="0"/>
        <w:snapToGrid w:val="0"/>
        <w:spacing w:before="156" w:beforeLines="50" w:line="360" w:lineRule="auto"/>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十、参考书目及学习资料</w:t>
      </w:r>
    </w:p>
    <w:p>
      <w:pPr>
        <w:spacing w:line="360" w:lineRule="auto"/>
        <w:ind w:firstLine="420" w:firstLineChars="200"/>
      </w:pPr>
      <w:r>
        <w:rPr>
          <w:rFonts w:hint="eastAsia"/>
          <w:szCs w:val="21"/>
        </w:rPr>
        <w:t>1、</w:t>
      </w:r>
      <w:r>
        <w:rPr>
          <w:rFonts w:hint="eastAsia"/>
        </w:rPr>
        <w:t>陈雯柏等著，《智能机器人原理与实践》，ISBN</w:t>
      </w:r>
      <w:r>
        <w:t xml:space="preserve"> 9787302433514</w:t>
      </w:r>
      <w:r>
        <w:rPr>
          <w:rFonts w:hint="eastAsia"/>
        </w:rPr>
        <w:t>， 清华大学出版社，2016。</w:t>
      </w:r>
    </w:p>
    <w:p>
      <w:pPr>
        <w:spacing w:line="360" w:lineRule="auto"/>
        <w:ind w:firstLine="420" w:firstLineChars="200"/>
        <w:rPr>
          <w:szCs w:val="21"/>
        </w:rPr>
      </w:pPr>
      <w:r>
        <w:rPr>
          <w:szCs w:val="21"/>
        </w:rPr>
        <w:t>2</w:t>
      </w:r>
      <w:r>
        <w:rPr>
          <w:rFonts w:hint="eastAsia"/>
          <w:szCs w:val="21"/>
        </w:rPr>
        <w:t>、</w:t>
      </w:r>
      <w:r>
        <w:rPr>
          <w:szCs w:val="21"/>
        </w:rPr>
        <w:t>郭彤颖等编著，《机器人学及其智能控制》-21世纪高等院校电气工程与自动化规划教材，ISBN 9787115361585，人民邮电出版社。</w:t>
      </w:r>
    </w:p>
    <w:p>
      <w:pPr>
        <w:spacing w:line="360" w:lineRule="auto"/>
        <w:ind w:firstLine="420" w:firstLineChars="200"/>
        <w:rPr>
          <w:szCs w:val="21"/>
        </w:rPr>
      </w:pPr>
      <w:r>
        <w:rPr>
          <w:szCs w:val="21"/>
        </w:rPr>
        <w:t>3</w:t>
      </w:r>
      <w:r>
        <w:rPr>
          <w:rFonts w:hint="eastAsia"/>
          <w:szCs w:val="21"/>
        </w:rPr>
        <w:t>、</w:t>
      </w:r>
      <w:r>
        <w:rPr>
          <w:szCs w:val="21"/>
        </w:rPr>
        <w:t>（美）尼库著，孙富春等译，《</w:t>
      </w:r>
      <w:r>
        <w:t>机器人学导论——分析、控制及应用（第二版）</w:t>
      </w:r>
      <w:r>
        <w:rPr>
          <w:szCs w:val="21"/>
        </w:rPr>
        <w:t>》-国外计算机科学教材系列，ISBN 9787121197833，电子工业出版社。</w:t>
      </w:r>
    </w:p>
    <w:p>
      <w:pPr>
        <w:spacing w:line="360" w:lineRule="auto"/>
        <w:ind w:firstLine="420" w:firstLineChars="200"/>
        <w:rPr>
          <w:szCs w:val="21"/>
        </w:rPr>
      </w:pPr>
      <w:r>
        <w:rPr>
          <w:szCs w:val="21"/>
        </w:rPr>
        <w:t>4、韩建海，《工业机器人（第三版）》-普通高等院校“十二五”规划教材，ISBN 9787568009829，华中科技大学出版社。</w:t>
      </w:r>
    </w:p>
    <w:p>
      <w:pPr>
        <w:spacing w:line="360" w:lineRule="auto"/>
        <w:ind w:firstLine="420" w:firstLineChars="200"/>
        <w:rPr>
          <w:szCs w:val="21"/>
        </w:rPr>
      </w:pPr>
      <w:r>
        <w:rPr>
          <w:szCs w:val="21"/>
        </w:rPr>
        <w:t>5、宋伟刚等编著，《机器人技术基础(第2版)》-普通高等教育“十二五”规划教材，ISBN 9787502469382, 冶金工业出版社。</w:t>
      </w:r>
    </w:p>
    <w:p>
      <w:pPr>
        <w:spacing w:line="360" w:lineRule="auto"/>
        <w:ind w:firstLine="420" w:firstLineChars="200"/>
        <w:rPr>
          <w:szCs w:val="21"/>
        </w:rPr>
      </w:pPr>
      <w:r>
        <w:rPr>
          <w:szCs w:val="21"/>
        </w:rPr>
        <w:t>6、张玫等编著，《机器人技术》-普通高等教育十二五规划教材， ISBN 9787111330691，机械工业出版社。</w:t>
      </w:r>
    </w:p>
    <w:p>
      <w:pPr>
        <w:tabs>
          <w:tab w:val="left" w:pos="420"/>
        </w:tabs>
        <w:spacing w:line="360" w:lineRule="auto"/>
        <w:ind w:left="420" w:hanging="420"/>
      </w:pPr>
      <w:r>
        <w:t xml:space="preserve">    7、视频资料：网易公开课，斯坦福大学公开课：机器人学，http://open.163.com/special/ opencourse/robotics.html。</w:t>
      </w:r>
    </w:p>
    <w:p>
      <w:pPr>
        <w:adjustRightInd w:val="0"/>
        <w:snapToGrid w:val="0"/>
        <w:spacing w:line="360" w:lineRule="auto"/>
        <w:ind w:left="1155" w:leftChars="300" w:hanging="525" w:hangingChars="250"/>
        <w:jc w:val="left"/>
        <w:rPr>
          <w:szCs w:val="21"/>
          <w:u w:val="single"/>
        </w:rPr>
      </w:pPr>
    </w:p>
    <w:p>
      <w:pPr>
        <w:spacing w:line="360" w:lineRule="auto"/>
        <w:ind w:left="210" w:leftChars="50" w:hanging="105" w:hangingChars="50"/>
        <w:rPr>
          <w:b/>
          <w:bCs/>
          <w:szCs w:val="21"/>
        </w:rPr>
      </w:pPr>
    </w:p>
    <w:p>
      <w:pPr>
        <w:spacing w:line="360" w:lineRule="auto"/>
        <w:ind w:left="210" w:leftChars="100"/>
        <w:jc w:val="center"/>
        <w:rPr>
          <w:rFonts w:hint="eastAsia" w:eastAsia="宋体"/>
          <w:color w:val="000000"/>
          <w:szCs w:val="21"/>
          <w:lang w:eastAsia="zh-CN"/>
        </w:rPr>
      </w:pPr>
      <w:r>
        <w:rPr>
          <w:rFonts w:hint="eastAsia"/>
          <w:b/>
          <w:bCs/>
          <w:szCs w:val="21"/>
          <w:lang w:val="en-US" w:eastAsia="zh-CN"/>
        </w:rPr>
        <w:t xml:space="preserve">                   </w:t>
      </w:r>
      <w:r>
        <w:rPr>
          <w:rFonts w:hint="eastAsia"/>
          <w:b/>
          <w:bCs/>
          <w:szCs w:val="21"/>
        </w:rPr>
        <w:t>制定人</w:t>
      </w:r>
      <w:r>
        <w:rPr>
          <w:rFonts w:hint="eastAsia"/>
          <w:szCs w:val="21"/>
        </w:rPr>
        <w:t>：</w:t>
      </w:r>
      <w:r>
        <w:rPr>
          <w:rFonts w:hint="eastAsia"/>
          <w:szCs w:val="21"/>
          <w:lang w:eastAsia="zh-CN"/>
        </w:rPr>
        <w:t>高晋阳</w:t>
      </w:r>
      <w:r>
        <w:rPr>
          <w:rFonts w:hint="eastAsia"/>
          <w:szCs w:val="21"/>
        </w:rPr>
        <w:t xml:space="preserve">     </w:t>
      </w:r>
      <w:r>
        <w:rPr>
          <w:rFonts w:hint="eastAsia"/>
          <w:b/>
          <w:bCs/>
          <w:szCs w:val="21"/>
        </w:rPr>
        <w:t>审定人</w:t>
      </w:r>
      <w:r>
        <w:rPr>
          <w:rFonts w:hint="eastAsia"/>
          <w:szCs w:val="21"/>
        </w:rPr>
        <w:t>：</w:t>
      </w:r>
      <w:r>
        <w:rPr>
          <w:rFonts w:hint="eastAsia"/>
          <w:szCs w:val="21"/>
          <w:lang w:eastAsia="zh-CN"/>
        </w:rPr>
        <w:t>刘文耀</w:t>
      </w:r>
      <w:r>
        <w:rPr>
          <w:rFonts w:hint="eastAsia"/>
          <w:szCs w:val="21"/>
        </w:rPr>
        <w:t xml:space="preserve">     </w:t>
      </w:r>
      <w:r>
        <w:rPr>
          <w:rFonts w:hint="eastAsia"/>
          <w:b/>
          <w:bCs/>
          <w:szCs w:val="21"/>
        </w:rPr>
        <w:t>批准人</w:t>
      </w:r>
      <w:r>
        <w:rPr>
          <w:rFonts w:hint="eastAsia"/>
          <w:szCs w:val="21"/>
        </w:rPr>
        <w:t>：</w:t>
      </w:r>
      <w:r>
        <w:rPr>
          <w:rFonts w:hint="eastAsia"/>
          <w:szCs w:val="21"/>
          <w:lang w:eastAsia="zh-CN"/>
        </w:rPr>
        <w:t>刘文怡</w:t>
      </w:r>
    </w:p>
    <w:p>
      <w:pPr>
        <w:spacing w:line="440" w:lineRule="exact"/>
        <w:ind w:right="480" w:firstLine="5670" w:firstLineChars="2700"/>
        <w:jc w:val="right"/>
        <w:rPr>
          <w:b/>
          <w:spacing w:val="20"/>
          <w:szCs w:val="21"/>
        </w:rPr>
      </w:pPr>
      <w:r>
        <w:rPr>
          <w:rFonts w:hint="eastAsia"/>
          <w:szCs w:val="21"/>
        </w:rPr>
        <w:t>2021年 12 月 1 日</w:t>
      </w:r>
    </w:p>
    <w:p/>
    <w:p/>
    <w:p/>
    <w:p/>
    <w:p/>
    <w:p/>
    <w:p/>
    <w:p>
      <w:pPr>
        <w:pStyle w:val="18"/>
        <w:spacing w:before="312" w:after="468"/>
        <w:rPr>
          <w:rFonts w:ascii="Times New Roman" w:hAnsi="Times New Roman" w:cs="Times New Roman"/>
        </w:rPr>
      </w:pPr>
      <w:bookmarkStart w:id="73" w:name="_Toc14174"/>
      <w:r>
        <w:rPr>
          <w:rFonts w:hint="eastAsia" w:ascii="Times New Roman" w:hAnsi="Times New Roman" w:cs="Times New Roman"/>
        </w:rPr>
        <w:t>《人工智能导论》课程教学大纲</w:t>
      </w:r>
      <w:bookmarkEnd w:id="73"/>
    </w:p>
    <w:p>
      <w:pPr>
        <w:adjustRightInd w:val="0"/>
        <w:snapToGrid w:val="0"/>
        <w:spacing w:before="156" w:beforeLines="50" w:line="360" w:lineRule="auto"/>
        <w:rPr>
          <w:rFonts w:hint="eastAsia"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一、课程基本信息</w:t>
      </w:r>
    </w:p>
    <w:p>
      <w:pPr>
        <w:snapToGrid w:val="0"/>
        <w:spacing w:line="360" w:lineRule="auto"/>
        <w:ind w:firstLine="420" w:firstLineChars="200"/>
        <w:rPr>
          <w:rFonts w:hint="eastAsia" w:eastAsia="黑体"/>
          <w:bCs/>
          <w:szCs w:val="21"/>
        </w:rPr>
      </w:pPr>
      <w:r>
        <w:rPr>
          <w:rFonts w:hint="eastAsia" w:eastAsia="黑体"/>
          <w:bCs/>
          <w:szCs w:val="21"/>
        </w:rPr>
        <w:t>课程名称（中文）：人工智能导论</w:t>
      </w:r>
      <w:r>
        <w:rPr>
          <w:rFonts w:eastAsia="黑体"/>
          <w:bCs/>
          <w:szCs w:val="21"/>
        </w:rPr>
        <w:t xml:space="preserve"> </w:t>
      </w:r>
    </w:p>
    <w:p>
      <w:pPr>
        <w:snapToGrid w:val="0"/>
        <w:spacing w:line="360" w:lineRule="auto"/>
        <w:ind w:firstLine="420" w:firstLineChars="200"/>
        <w:rPr>
          <w:rFonts w:hint="eastAsia" w:eastAsia="黑体"/>
          <w:bCs/>
          <w:szCs w:val="21"/>
        </w:rPr>
      </w:pPr>
      <w:r>
        <w:rPr>
          <w:rFonts w:hint="eastAsia" w:eastAsia="黑体"/>
          <w:bCs/>
          <w:szCs w:val="21"/>
        </w:rPr>
        <w:t>课程名称（英文）：</w:t>
      </w:r>
      <w:r>
        <w:rPr>
          <w:rFonts w:eastAsia="黑体"/>
          <w:bCs/>
          <w:szCs w:val="21"/>
        </w:rPr>
        <w:t>Introduction to artificial intelligen</w:t>
      </w:r>
      <w:r>
        <w:rPr>
          <w:rFonts w:hint="eastAsia" w:eastAsia="黑体"/>
          <w:bCs/>
          <w:szCs w:val="21"/>
        </w:rPr>
        <w:t>ce</w:t>
      </w:r>
    </w:p>
    <w:p>
      <w:pPr>
        <w:snapToGrid w:val="0"/>
        <w:spacing w:line="360" w:lineRule="auto"/>
        <w:ind w:firstLine="420" w:firstLineChars="200"/>
        <w:rPr>
          <w:rFonts w:hint="eastAsia" w:eastAsia="黑体"/>
          <w:bCs/>
          <w:szCs w:val="21"/>
        </w:rPr>
      </w:pPr>
      <w:r>
        <w:rPr>
          <w:rFonts w:hint="eastAsia" w:eastAsia="黑体"/>
          <w:bCs/>
          <w:szCs w:val="21"/>
        </w:rPr>
        <w:t>课程代码：</w:t>
      </w:r>
      <w:r>
        <w:rPr>
          <w:rFonts w:eastAsia="黑体"/>
          <w:bCs/>
          <w:szCs w:val="21"/>
        </w:rPr>
        <w:t xml:space="preserve">Z03060412 </w:t>
      </w:r>
      <w:r>
        <w:rPr>
          <w:rFonts w:hint="eastAsia" w:eastAsia="黑体"/>
          <w:bCs/>
          <w:szCs w:val="21"/>
        </w:rPr>
        <w:t xml:space="preserve"> </w:t>
      </w:r>
      <w:r>
        <w:rPr>
          <w:rFonts w:hint="eastAsia" w:eastAsia="黑体"/>
          <w:bCs/>
          <w:szCs w:val="21"/>
        </w:rPr>
        <w:tab/>
      </w:r>
      <w:r>
        <w:rPr>
          <w:rFonts w:hint="eastAsia" w:eastAsia="黑体"/>
          <w:bCs/>
          <w:szCs w:val="21"/>
        </w:rPr>
        <w:tab/>
      </w:r>
      <w:r>
        <w:rPr>
          <w:rFonts w:hint="eastAsia" w:eastAsia="黑体"/>
          <w:bCs/>
          <w:szCs w:val="21"/>
        </w:rPr>
        <w:tab/>
      </w:r>
      <w:r>
        <w:rPr>
          <w:rFonts w:hint="eastAsia" w:eastAsia="黑体"/>
          <w:bCs/>
          <w:szCs w:val="21"/>
        </w:rPr>
        <w:tab/>
      </w:r>
      <w:r>
        <w:rPr>
          <w:rFonts w:hint="eastAsia" w:eastAsia="黑体"/>
          <w:bCs/>
          <w:szCs w:val="21"/>
        </w:rPr>
        <w:tab/>
      </w:r>
      <w:r>
        <w:rPr>
          <w:rFonts w:hint="eastAsia" w:eastAsia="黑体"/>
          <w:bCs/>
          <w:szCs w:val="21"/>
        </w:rPr>
        <w:t>适用层次：本科</w:t>
      </w:r>
    </w:p>
    <w:p>
      <w:pPr>
        <w:snapToGrid w:val="0"/>
        <w:spacing w:line="360" w:lineRule="auto"/>
        <w:ind w:firstLine="420" w:firstLineChars="200"/>
        <w:rPr>
          <w:rFonts w:hint="eastAsia" w:eastAsia="黑体"/>
          <w:bCs/>
          <w:szCs w:val="21"/>
        </w:rPr>
      </w:pPr>
      <w:r>
        <w:rPr>
          <w:rFonts w:hint="eastAsia" w:eastAsia="黑体"/>
          <w:bCs/>
          <w:szCs w:val="21"/>
        </w:rPr>
        <w:t xml:space="preserve">课程类别：专业类教育课程               </w:t>
      </w:r>
      <w:r>
        <w:rPr>
          <w:rFonts w:hint="eastAsia" w:eastAsia="黑体"/>
          <w:bCs/>
          <w:szCs w:val="21"/>
        </w:rPr>
        <w:tab/>
      </w:r>
      <w:r>
        <w:rPr>
          <w:rFonts w:hint="eastAsia" w:eastAsia="黑体"/>
          <w:bCs/>
          <w:szCs w:val="21"/>
        </w:rPr>
        <w:t xml:space="preserve">课程性质：必修 </w:t>
      </w:r>
    </w:p>
    <w:p>
      <w:pPr>
        <w:snapToGrid w:val="0"/>
        <w:spacing w:line="360" w:lineRule="auto"/>
        <w:ind w:firstLine="420" w:firstLineChars="200"/>
        <w:rPr>
          <w:rFonts w:hint="eastAsia" w:eastAsia="黑体"/>
          <w:bCs/>
          <w:szCs w:val="21"/>
        </w:rPr>
      </w:pPr>
      <w:r>
        <w:rPr>
          <w:rFonts w:hint="eastAsia" w:eastAsia="黑体"/>
          <w:bCs/>
          <w:szCs w:val="21"/>
        </w:rPr>
        <w:t>适用专业：智能感知工程</w:t>
      </w:r>
      <w:r>
        <w:rPr>
          <w:rFonts w:eastAsia="黑体"/>
          <w:bCs/>
          <w:szCs w:val="21"/>
        </w:rPr>
        <w:t xml:space="preserve"> </w:t>
      </w:r>
      <w:r>
        <w:rPr>
          <w:rFonts w:hint="eastAsia" w:eastAsia="黑体"/>
          <w:bCs/>
          <w:szCs w:val="21"/>
        </w:rPr>
        <w:t xml:space="preserve">          </w:t>
      </w:r>
      <w:r>
        <w:rPr>
          <w:rFonts w:hint="eastAsia" w:eastAsia="黑体"/>
          <w:bCs/>
          <w:szCs w:val="21"/>
        </w:rPr>
        <w:tab/>
      </w:r>
      <w:r>
        <w:rPr>
          <w:rFonts w:hint="eastAsia" w:eastAsia="黑体"/>
          <w:bCs/>
          <w:szCs w:val="21"/>
        </w:rPr>
        <w:tab/>
      </w:r>
      <w:r>
        <w:rPr>
          <w:rFonts w:hint="eastAsia" w:eastAsia="黑体"/>
          <w:bCs/>
          <w:szCs w:val="21"/>
        </w:rPr>
        <w:t>计划学分：</w:t>
      </w:r>
      <w:r>
        <w:rPr>
          <w:rFonts w:eastAsia="黑体"/>
          <w:bCs/>
          <w:szCs w:val="21"/>
        </w:rPr>
        <w:t>3</w:t>
      </w:r>
    </w:p>
    <w:p>
      <w:pPr>
        <w:snapToGrid w:val="0"/>
        <w:spacing w:line="360" w:lineRule="auto"/>
        <w:ind w:firstLine="420" w:firstLineChars="200"/>
        <w:rPr>
          <w:rFonts w:eastAsia="黑体"/>
          <w:bCs/>
          <w:szCs w:val="21"/>
        </w:rPr>
      </w:pPr>
      <w:r>
        <w:rPr>
          <w:rFonts w:hint="eastAsia" w:eastAsia="黑体"/>
          <w:bCs/>
          <w:szCs w:val="21"/>
        </w:rPr>
        <w:t xml:space="preserve">计划学时（周数）： </w:t>
      </w:r>
      <w:r>
        <w:rPr>
          <w:rFonts w:eastAsia="黑体"/>
          <w:bCs/>
          <w:szCs w:val="21"/>
        </w:rPr>
        <w:t>48</w:t>
      </w:r>
      <w:r>
        <w:rPr>
          <w:rFonts w:hint="eastAsia" w:eastAsia="黑体"/>
          <w:bCs/>
          <w:szCs w:val="21"/>
        </w:rPr>
        <w:t xml:space="preserve">         </w:t>
      </w:r>
      <w:r>
        <w:rPr>
          <w:rFonts w:hint="eastAsia" w:eastAsia="黑体"/>
          <w:bCs/>
          <w:szCs w:val="21"/>
        </w:rPr>
        <w:tab/>
      </w:r>
      <w:r>
        <w:rPr>
          <w:rFonts w:hint="eastAsia" w:eastAsia="黑体"/>
          <w:bCs/>
          <w:szCs w:val="21"/>
        </w:rPr>
        <w:tab/>
      </w:r>
      <w:r>
        <w:rPr>
          <w:rFonts w:hint="eastAsia" w:eastAsia="黑体"/>
          <w:bCs/>
          <w:szCs w:val="21"/>
        </w:rPr>
        <w:tab/>
      </w:r>
      <w:r>
        <w:rPr>
          <w:rFonts w:hint="eastAsia" w:eastAsia="黑体"/>
          <w:bCs/>
          <w:szCs w:val="21"/>
        </w:rPr>
        <w:t>讲课学时：</w:t>
      </w:r>
      <w:r>
        <w:rPr>
          <w:rFonts w:eastAsia="黑体"/>
          <w:bCs/>
          <w:szCs w:val="21"/>
        </w:rPr>
        <w:t>40</w:t>
      </w:r>
      <w:r>
        <w:rPr>
          <w:rFonts w:hint="eastAsia" w:eastAsia="黑体"/>
          <w:bCs/>
          <w:szCs w:val="21"/>
        </w:rPr>
        <w:t xml:space="preserve">       实验学时：</w:t>
      </w:r>
      <w:r>
        <w:rPr>
          <w:rFonts w:eastAsia="黑体"/>
          <w:bCs/>
          <w:szCs w:val="21"/>
        </w:rPr>
        <w:t>8</w:t>
      </w:r>
    </w:p>
    <w:p>
      <w:pPr>
        <w:snapToGrid w:val="0"/>
        <w:spacing w:line="360" w:lineRule="auto"/>
        <w:ind w:firstLine="420" w:firstLineChars="200"/>
        <w:rPr>
          <w:rFonts w:hint="eastAsia" w:eastAsia="黑体"/>
          <w:bCs/>
          <w:szCs w:val="21"/>
        </w:rPr>
      </w:pPr>
      <w:r>
        <w:rPr>
          <w:rFonts w:hint="eastAsia" w:eastAsia="黑体"/>
          <w:bCs/>
          <w:szCs w:val="21"/>
        </w:rPr>
        <w:t>开课学期：</w:t>
      </w:r>
      <w:r>
        <w:rPr>
          <w:rFonts w:eastAsia="黑体"/>
          <w:bCs/>
          <w:szCs w:val="21"/>
        </w:rPr>
        <w:t>4</w:t>
      </w:r>
      <w:r>
        <w:rPr>
          <w:rFonts w:hint="eastAsia" w:eastAsia="黑体"/>
          <w:bCs/>
          <w:szCs w:val="21"/>
        </w:rPr>
        <w:t xml:space="preserve">                       </w:t>
      </w:r>
      <w:r>
        <w:rPr>
          <w:rFonts w:hint="eastAsia" w:eastAsia="黑体"/>
          <w:bCs/>
          <w:szCs w:val="21"/>
        </w:rPr>
        <w:tab/>
      </w:r>
      <w:r>
        <w:rPr>
          <w:rFonts w:hint="eastAsia" w:eastAsia="黑体"/>
          <w:bCs/>
          <w:szCs w:val="21"/>
        </w:rPr>
        <w:tab/>
      </w:r>
      <w:r>
        <w:rPr>
          <w:rFonts w:hint="eastAsia" w:eastAsia="黑体"/>
          <w:bCs/>
          <w:szCs w:val="21"/>
        </w:rPr>
        <w:t xml:space="preserve">考核方式：考查 </w:t>
      </w:r>
    </w:p>
    <w:p>
      <w:pPr>
        <w:snapToGrid w:val="0"/>
        <w:spacing w:line="360" w:lineRule="auto"/>
        <w:ind w:firstLine="420" w:firstLineChars="200"/>
        <w:rPr>
          <w:rFonts w:hint="eastAsia" w:eastAsia="黑体"/>
          <w:bCs/>
          <w:szCs w:val="21"/>
        </w:rPr>
      </w:pPr>
      <w:r>
        <w:rPr>
          <w:rFonts w:hint="eastAsia" w:eastAsia="黑体"/>
          <w:bCs/>
          <w:szCs w:val="21"/>
        </w:rPr>
        <w:t>先修课程：高等数学</w:t>
      </w:r>
      <w:r>
        <w:rPr>
          <w:rFonts w:hint="eastAsia" w:eastAsia="黑体"/>
          <w:bCs/>
          <w:szCs w:val="21"/>
          <w:lang w:eastAsia="zh-CN"/>
        </w:rPr>
        <w:t>、</w:t>
      </w:r>
      <w:r>
        <w:rPr>
          <w:rFonts w:hint="eastAsia" w:eastAsia="黑体"/>
          <w:bCs/>
          <w:szCs w:val="21"/>
        </w:rPr>
        <w:t>线性代数</w:t>
      </w:r>
      <w:r>
        <w:rPr>
          <w:rFonts w:hint="eastAsia" w:eastAsia="黑体"/>
          <w:bCs/>
          <w:szCs w:val="21"/>
          <w:lang w:eastAsia="zh-CN"/>
        </w:rPr>
        <w:t>、</w:t>
      </w:r>
      <w:r>
        <w:rPr>
          <w:rFonts w:hint="eastAsia" w:eastAsia="黑体"/>
          <w:bCs/>
          <w:szCs w:val="21"/>
        </w:rPr>
        <w:t>概率论与数理统计</w:t>
      </w:r>
      <w:r>
        <w:rPr>
          <w:rFonts w:eastAsia="黑体"/>
          <w:bCs/>
          <w:szCs w:val="21"/>
        </w:rPr>
        <w:t xml:space="preserve"> </w:t>
      </w:r>
    </w:p>
    <w:p>
      <w:pPr>
        <w:snapToGrid w:val="0"/>
        <w:spacing w:line="360" w:lineRule="auto"/>
        <w:ind w:firstLine="420" w:firstLineChars="200"/>
        <w:rPr>
          <w:rFonts w:hint="eastAsia" w:eastAsia="黑体"/>
          <w:bCs/>
          <w:szCs w:val="21"/>
          <w:lang w:eastAsia="zh-CN"/>
        </w:rPr>
      </w:pPr>
      <w:r>
        <w:rPr>
          <w:rFonts w:hint="eastAsia" w:eastAsia="黑体"/>
          <w:bCs/>
          <w:szCs w:val="21"/>
        </w:rPr>
        <w:t>后续课程：智能传感材料</w:t>
      </w:r>
      <w:r>
        <w:rPr>
          <w:rFonts w:hint="eastAsia" w:eastAsia="黑体"/>
          <w:bCs/>
          <w:szCs w:val="21"/>
          <w:lang w:eastAsia="zh-CN"/>
        </w:rPr>
        <w:t>、智能传感系统</w:t>
      </w:r>
    </w:p>
    <w:p>
      <w:pPr>
        <w:snapToGrid w:val="0"/>
        <w:spacing w:line="360" w:lineRule="auto"/>
        <w:ind w:firstLine="420" w:firstLineChars="200"/>
        <w:rPr>
          <w:rFonts w:hint="eastAsia" w:eastAsia="黑体"/>
          <w:bCs/>
          <w:szCs w:val="21"/>
        </w:rPr>
      </w:pPr>
      <w:r>
        <w:rPr>
          <w:rFonts w:hint="eastAsia" w:eastAsia="黑体"/>
          <w:bCs/>
          <w:szCs w:val="21"/>
        </w:rPr>
        <w:t xml:space="preserve">制定人：  李秀源                 </w:t>
      </w:r>
      <w:r>
        <w:rPr>
          <w:rFonts w:hint="eastAsia" w:eastAsia="黑体"/>
          <w:bCs/>
          <w:szCs w:val="21"/>
        </w:rPr>
        <w:tab/>
      </w:r>
      <w:r>
        <w:rPr>
          <w:rFonts w:hint="eastAsia" w:eastAsia="黑体"/>
          <w:bCs/>
          <w:szCs w:val="21"/>
        </w:rPr>
        <w:tab/>
      </w:r>
      <w:r>
        <w:rPr>
          <w:rFonts w:hint="eastAsia" w:eastAsia="黑体"/>
          <w:bCs/>
          <w:szCs w:val="21"/>
        </w:rPr>
        <w:t xml:space="preserve">教学基层组织审核人：刘文耀 </w:t>
      </w:r>
    </w:p>
    <w:p>
      <w:pPr>
        <w:snapToGrid w:val="0"/>
        <w:spacing w:line="360" w:lineRule="auto"/>
        <w:ind w:firstLine="420" w:firstLineChars="200"/>
        <w:rPr>
          <w:rFonts w:hint="eastAsia" w:eastAsia="黑体"/>
          <w:bCs/>
          <w:szCs w:val="21"/>
        </w:rPr>
      </w:pPr>
      <w:r>
        <w:rPr>
          <w:rFonts w:hint="eastAsia" w:eastAsia="黑体"/>
          <w:bCs/>
          <w:szCs w:val="21"/>
        </w:rPr>
        <w:t>开课学院：仪器与电子学院</w:t>
      </w:r>
      <w:r>
        <w:rPr>
          <w:rFonts w:eastAsia="黑体"/>
          <w:bCs/>
          <w:szCs w:val="21"/>
        </w:rPr>
        <w:t xml:space="preserve"> </w:t>
      </w:r>
      <w:r>
        <w:rPr>
          <w:rFonts w:hint="eastAsia" w:eastAsia="黑体"/>
          <w:bCs/>
          <w:szCs w:val="21"/>
        </w:rPr>
        <w:t xml:space="preserve">         </w:t>
      </w:r>
      <w:r>
        <w:rPr>
          <w:rFonts w:hint="eastAsia" w:eastAsia="黑体"/>
          <w:bCs/>
          <w:szCs w:val="21"/>
        </w:rPr>
        <w:tab/>
      </w:r>
      <w:r>
        <w:rPr>
          <w:rFonts w:hint="eastAsia" w:eastAsia="黑体"/>
          <w:bCs/>
          <w:szCs w:val="21"/>
        </w:rPr>
        <w:tab/>
      </w:r>
      <w:r>
        <w:rPr>
          <w:rFonts w:hint="eastAsia" w:eastAsia="黑体"/>
          <w:bCs/>
          <w:szCs w:val="21"/>
        </w:rPr>
        <w:t>开课学院审核人：刘文怡</w:t>
      </w:r>
    </w:p>
    <w:p>
      <w:pPr>
        <w:adjustRightInd w:val="0"/>
        <w:snapToGrid w:val="0"/>
        <w:spacing w:before="156" w:beforeLines="50" w:line="360" w:lineRule="auto"/>
        <w:rPr>
          <w:rFonts w:hint="eastAsia"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二、课程性质与教学目标</w:t>
      </w:r>
    </w:p>
    <w:p>
      <w:pPr>
        <w:snapToGrid w:val="0"/>
        <w:spacing w:line="360" w:lineRule="auto"/>
        <w:ind w:firstLine="422" w:firstLineChars="200"/>
        <w:rPr>
          <w:rFonts w:hint="eastAsia" w:ascii="宋体" w:hAnsi="宋体"/>
          <w:b/>
          <w:color w:val="000000"/>
          <w:szCs w:val="21"/>
        </w:rPr>
      </w:pPr>
      <w:r>
        <w:rPr>
          <w:rFonts w:hint="eastAsia" w:ascii="宋体" w:hAnsi="宋体"/>
          <w:b/>
          <w:color w:val="000000"/>
          <w:szCs w:val="21"/>
        </w:rPr>
        <w:t>1、课程性质与任务</w:t>
      </w:r>
    </w:p>
    <w:p>
      <w:pPr>
        <w:snapToGrid w:val="0"/>
        <w:spacing w:line="360" w:lineRule="auto"/>
        <w:ind w:firstLine="420" w:firstLineChars="200"/>
        <w:rPr>
          <w:rFonts w:ascii="宋体" w:hAnsi="宋体"/>
          <w:bCs/>
          <w:color w:val="000000"/>
          <w:szCs w:val="21"/>
        </w:rPr>
      </w:pPr>
      <w:r>
        <w:rPr>
          <w:rFonts w:hint="eastAsia" w:ascii="宋体" w:hAnsi="宋体"/>
          <w:bCs/>
          <w:color w:val="000000"/>
          <w:szCs w:val="21"/>
        </w:rPr>
        <w:t>本课程是一门属于智能感知工程专业的专业类教育课程。该课程以使学生理解人工智能的基本原理和设计思路为目的，其任务是讲授人工智能的基本概念和算法设计。通过该课程的学习使学生为进一步学习人工智能后续专业课程或从事人工智能的研究奠定基础。</w:t>
      </w:r>
    </w:p>
    <w:p>
      <w:pPr>
        <w:snapToGrid w:val="0"/>
        <w:spacing w:line="360" w:lineRule="auto"/>
        <w:ind w:firstLine="422" w:firstLineChars="200"/>
        <w:rPr>
          <w:rFonts w:hint="eastAsia" w:ascii="宋体" w:hAnsi="宋体"/>
          <w:b/>
          <w:color w:val="000000"/>
          <w:szCs w:val="21"/>
        </w:rPr>
      </w:pPr>
      <w:r>
        <w:rPr>
          <w:rFonts w:hint="eastAsia" w:ascii="宋体" w:hAnsi="宋体"/>
          <w:b/>
          <w:color w:val="000000"/>
          <w:szCs w:val="21"/>
        </w:rPr>
        <w:t>2、课程</w:t>
      </w:r>
      <w:r>
        <w:rPr>
          <w:rFonts w:ascii="宋体" w:hAnsi="宋体"/>
          <w:b/>
          <w:color w:val="000000"/>
          <w:szCs w:val="21"/>
        </w:rPr>
        <w:t>目标</w:t>
      </w:r>
    </w:p>
    <w:p>
      <w:pPr>
        <w:adjustRightInd w:val="0"/>
        <w:snapToGrid w:val="0"/>
        <w:spacing w:line="360" w:lineRule="auto"/>
        <w:ind w:firstLine="420" w:firstLineChars="200"/>
        <w:rPr>
          <w:rFonts w:hint="eastAsia" w:hAnsi="宋体"/>
          <w:bCs/>
          <w:color w:val="000000"/>
          <w:szCs w:val="21"/>
        </w:rPr>
      </w:pPr>
      <w:r>
        <w:rPr>
          <w:rFonts w:hint="eastAsia" w:hAnsi="宋体"/>
          <w:bCs/>
          <w:color w:val="000000"/>
          <w:szCs w:val="21"/>
        </w:rPr>
        <w:t>课程目标</w:t>
      </w:r>
      <w:r>
        <w:rPr>
          <w:rFonts w:hint="eastAsia"/>
          <w:bCs/>
          <w:color w:val="000000"/>
          <w:szCs w:val="21"/>
        </w:rPr>
        <w:t>1</w:t>
      </w:r>
      <w:r>
        <w:rPr>
          <w:rFonts w:hint="eastAsia" w:hAnsi="宋体"/>
          <w:bCs/>
          <w:color w:val="000000"/>
          <w:szCs w:val="21"/>
        </w:rPr>
        <w:t>：能够掌握人工智能的基本概念、知识体系和研究方法，理解人工智能中的重要方法和思想，为后续课程的学习打下基础。</w:t>
      </w:r>
      <w:r>
        <w:rPr>
          <w:rFonts w:hAnsi="宋体"/>
          <w:bCs/>
          <w:color w:val="000000"/>
          <w:szCs w:val="21"/>
        </w:rPr>
        <w:t>（支撑毕业要求</w:t>
      </w:r>
      <w:r>
        <w:rPr>
          <w:rFonts w:hint="eastAsia" w:hAnsi="宋体"/>
          <w:bCs/>
          <w:color w:val="000000"/>
          <w:szCs w:val="21"/>
        </w:rPr>
        <w:t>指标点</w:t>
      </w:r>
      <w:r>
        <w:rPr>
          <w:bCs/>
          <w:color w:val="000000"/>
          <w:szCs w:val="21"/>
        </w:rPr>
        <w:t>1</w:t>
      </w:r>
      <w:r>
        <w:rPr>
          <w:rFonts w:hint="eastAsia"/>
          <w:bCs/>
          <w:color w:val="000000"/>
          <w:szCs w:val="21"/>
        </w:rPr>
        <w:t>-1</w:t>
      </w:r>
      <w:r>
        <w:rPr>
          <w:rFonts w:hAnsi="宋体"/>
          <w:bCs/>
          <w:color w:val="000000"/>
          <w:szCs w:val="21"/>
        </w:rPr>
        <w:t>）</w:t>
      </w:r>
      <w:r>
        <w:rPr>
          <w:rFonts w:hint="eastAsia" w:hAnsi="宋体"/>
          <w:bCs/>
          <w:color w:val="000000"/>
          <w:szCs w:val="21"/>
        </w:rPr>
        <w:t>。</w:t>
      </w:r>
    </w:p>
    <w:p>
      <w:pPr>
        <w:adjustRightInd w:val="0"/>
        <w:snapToGrid w:val="0"/>
        <w:spacing w:line="360" w:lineRule="auto"/>
        <w:ind w:firstLine="420" w:firstLineChars="200"/>
        <w:rPr>
          <w:rFonts w:hint="eastAsia" w:hAnsi="宋体"/>
          <w:bCs/>
          <w:color w:val="000000"/>
          <w:szCs w:val="21"/>
        </w:rPr>
      </w:pPr>
      <w:r>
        <w:rPr>
          <w:rFonts w:hint="eastAsia" w:hAnsi="宋体"/>
          <w:bCs/>
          <w:color w:val="000000"/>
          <w:szCs w:val="21"/>
        </w:rPr>
        <w:t>课程目标</w:t>
      </w:r>
      <w:r>
        <w:rPr>
          <w:bCs/>
          <w:color w:val="000000"/>
          <w:szCs w:val="21"/>
        </w:rPr>
        <w:t>2</w:t>
      </w:r>
      <w:r>
        <w:rPr>
          <w:rFonts w:hint="eastAsia" w:hAnsi="宋体"/>
          <w:bCs/>
          <w:color w:val="000000"/>
          <w:szCs w:val="21"/>
        </w:rPr>
        <w:t>：能够掌握人工智能的基本算法，对不同算法的应用背景和特点有清晰的认识，具有根据复杂工程问题的特点设计适合的人工智能算法的能力。</w:t>
      </w:r>
      <w:r>
        <w:rPr>
          <w:rFonts w:hAnsi="宋体"/>
          <w:bCs/>
          <w:color w:val="000000"/>
          <w:szCs w:val="21"/>
        </w:rPr>
        <w:t>（支撑毕业要求</w:t>
      </w:r>
      <w:r>
        <w:rPr>
          <w:rFonts w:hint="eastAsia" w:hAnsi="宋体"/>
          <w:bCs/>
          <w:color w:val="000000"/>
          <w:szCs w:val="21"/>
        </w:rPr>
        <w:t>指标点</w:t>
      </w:r>
      <w:r>
        <w:rPr>
          <w:bCs/>
          <w:color w:val="000000"/>
          <w:szCs w:val="21"/>
        </w:rPr>
        <w:t>1</w:t>
      </w:r>
      <w:r>
        <w:rPr>
          <w:rFonts w:hint="eastAsia"/>
          <w:bCs/>
          <w:color w:val="000000"/>
          <w:szCs w:val="21"/>
        </w:rPr>
        <w:t>-</w:t>
      </w:r>
      <w:r>
        <w:rPr>
          <w:bCs/>
          <w:color w:val="000000"/>
          <w:szCs w:val="21"/>
        </w:rPr>
        <w:t>2</w:t>
      </w:r>
      <w:r>
        <w:rPr>
          <w:rFonts w:hAnsi="宋体"/>
          <w:bCs/>
          <w:color w:val="000000"/>
          <w:szCs w:val="21"/>
        </w:rPr>
        <w:t>）</w:t>
      </w:r>
      <w:r>
        <w:rPr>
          <w:rFonts w:hint="eastAsia" w:hAnsi="宋体"/>
          <w:bCs/>
          <w:color w:val="000000"/>
          <w:szCs w:val="21"/>
        </w:rPr>
        <w:t>。</w:t>
      </w:r>
    </w:p>
    <w:p>
      <w:pPr>
        <w:adjustRightInd w:val="0"/>
        <w:snapToGrid w:val="0"/>
        <w:spacing w:line="360" w:lineRule="auto"/>
        <w:ind w:firstLine="420" w:firstLineChars="200"/>
        <w:rPr>
          <w:rFonts w:hint="eastAsia" w:hAnsi="宋体"/>
          <w:bCs/>
          <w:color w:val="000000"/>
          <w:szCs w:val="21"/>
        </w:rPr>
      </w:pPr>
      <w:r>
        <w:rPr>
          <w:rFonts w:hint="eastAsia" w:hAnsi="宋体"/>
          <w:bCs/>
          <w:color w:val="000000"/>
          <w:szCs w:val="21"/>
        </w:rPr>
        <w:t>思政目标：人工智能是未来改变人类生活生产最重要的关键技术之一。通过了解国内外该技术的发展现状和差距，激发学生重视技术进步与创新，为国民经济发展和国家进步贡献力量的意识。</w:t>
      </w:r>
    </w:p>
    <w:p>
      <w:pPr>
        <w:adjustRightInd w:val="0"/>
        <w:snapToGrid w:val="0"/>
        <w:spacing w:before="156" w:beforeLines="50" w:line="360" w:lineRule="auto"/>
        <w:rPr>
          <w:rFonts w:hint="eastAsia"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三、课程内容、思政融入点、学时分配及对毕业要求指标点的支撑</w:t>
      </w:r>
    </w:p>
    <w:p>
      <w:pPr>
        <w:spacing w:line="360" w:lineRule="auto"/>
        <w:ind w:firstLine="420" w:firstLineChars="200"/>
        <w:rPr>
          <w:szCs w:val="21"/>
        </w:rPr>
      </w:pPr>
      <w:r>
        <w:rPr>
          <w:rFonts w:hint="eastAsia"/>
          <w:szCs w:val="21"/>
        </w:rPr>
        <w:t>1、本课程为专业类教育课程，要求先修高等数学、线性代数和概率论与数理统计课程，在教学中应注重基本概念与基础知识的传授，同时运用类比式和启发式教学，使学生掌握最重要的“人工智能”概念，了解人工智能的实现思路与方法，以培养学生对人工智能算法的分析设计能力。</w:t>
      </w:r>
    </w:p>
    <w:p>
      <w:pPr>
        <w:spacing w:line="360" w:lineRule="auto"/>
        <w:ind w:firstLine="420" w:firstLineChars="200"/>
        <w:rPr>
          <w:szCs w:val="21"/>
        </w:rPr>
      </w:pPr>
      <w:r>
        <w:rPr>
          <w:rFonts w:hint="eastAsia"/>
          <w:szCs w:val="21"/>
        </w:rPr>
        <w:t>2、教师通过人工智能概念、不同方法的原理以及实现的教学，结合实例，提高学生对人工智能算法的实际分析与设计能力。</w:t>
      </w:r>
    </w:p>
    <w:p>
      <w:pPr>
        <w:spacing w:line="360" w:lineRule="auto"/>
        <w:ind w:firstLine="420" w:firstLineChars="200"/>
        <w:rPr>
          <w:szCs w:val="21"/>
        </w:rPr>
      </w:pPr>
      <w:r>
        <w:rPr>
          <w:szCs w:val="21"/>
        </w:rPr>
        <w:t>3</w:t>
      </w:r>
      <w:r>
        <w:rPr>
          <w:rFonts w:hint="eastAsia"/>
          <w:szCs w:val="21"/>
        </w:rPr>
        <w:t>、人工智能具有极强的渗透性，在电子信息类具有广泛的应用潜力，本课程应通过对人工智能概念和基本方法的学习和理解，重点培养学生对人工智能算法的分析与设计能力，能够将理论知识运用到实际算法中的技能。</w:t>
      </w:r>
    </w:p>
    <w:p>
      <w:pPr>
        <w:spacing w:line="360" w:lineRule="auto"/>
        <w:ind w:firstLine="420" w:firstLineChars="200"/>
        <w:rPr>
          <w:szCs w:val="21"/>
        </w:rPr>
      </w:pPr>
      <w:r>
        <w:rPr>
          <w:szCs w:val="21"/>
        </w:rPr>
        <w:t>4</w:t>
      </w:r>
      <w:r>
        <w:rPr>
          <w:rFonts w:hint="eastAsia"/>
          <w:szCs w:val="21"/>
        </w:rPr>
        <w:t>、深度和广度说明：对人工智能概念与分类、知识与推理和机器学习等内容要深入讲解，对探索与求解只做简单介绍，对人工智能应用的介绍应涵盖广些，对神经网络的内部结构了解即可，人工智能各种方法的分析与设计是重点。</w:t>
      </w:r>
    </w:p>
    <w:p>
      <w:pPr>
        <w:spacing w:line="360" w:lineRule="auto"/>
        <w:ind w:firstLine="420" w:firstLineChars="200"/>
        <w:rPr>
          <w:szCs w:val="21"/>
        </w:rPr>
      </w:pPr>
      <w:r>
        <w:rPr>
          <w:szCs w:val="21"/>
        </w:rPr>
        <w:t>5</w:t>
      </w:r>
      <w:r>
        <w:rPr>
          <w:rFonts w:hint="eastAsia"/>
          <w:szCs w:val="21"/>
        </w:rPr>
        <w:t>、偏差说明：为了鼓励教师引入个人授课风格或者适应技术发展的紧迫性，本课程允许教师授课内容做适当调整，最大正偏差为10%，不允许负偏差。正偏差通过压缩同等内容的学时数来完成。特殊情况，最大正偏差和置换偏差累计可达到20%，但在开课前要申请专业责任人批准。（正偏差指大纲知识点不变，新增知识点；负偏差是大纲知识点减少；置换偏差是指大纲中部分知识点被其它类似知识点替换）。</w:t>
      </w:r>
    </w:p>
    <w:p>
      <w:pPr>
        <w:jc w:val="center"/>
        <w:rPr>
          <w:rFonts w:hint="eastAsia"/>
          <w:b/>
          <w:bCs/>
          <w:color w:val="000000"/>
          <w:sz w:val="18"/>
          <w:szCs w:val="18"/>
        </w:rPr>
      </w:pPr>
      <w:r>
        <w:rPr>
          <w:rFonts w:hint="eastAsia"/>
          <w:b/>
          <w:bCs/>
          <w:color w:val="000000"/>
          <w:sz w:val="18"/>
          <w:szCs w:val="18"/>
        </w:rPr>
        <w:t>表3.1课程内容、学时分配及对毕业要求指标点的支撑</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0"/>
        <w:gridCol w:w="5773"/>
        <w:gridCol w:w="527"/>
        <w:gridCol w:w="583"/>
        <w:gridCol w:w="562"/>
        <w:gridCol w:w="617"/>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318" w:type="pct"/>
            <w:shd w:val="clear" w:color="auto" w:fill="D9D9D9"/>
            <w:vAlign w:val="center"/>
          </w:tcPr>
          <w:p>
            <w:pPr>
              <w:snapToGrid w:val="0"/>
              <w:jc w:val="center"/>
              <w:rPr>
                <w:rFonts w:hint="eastAsia"/>
                <w:b/>
                <w:color w:val="000000"/>
                <w:sz w:val="18"/>
                <w:szCs w:val="18"/>
              </w:rPr>
            </w:pPr>
            <w:r>
              <w:rPr>
                <w:rFonts w:hint="eastAsia"/>
                <w:b/>
                <w:color w:val="000000"/>
                <w:sz w:val="18"/>
                <w:szCs w:val="18"/>
              </w:rPr>
              <w:t>序号</w:t>
            </w:r>
          </w:p>
        </w:tc>
        <w:tc>
          <w:tcPr>
            <w:tcW w:w="3110" w:type="pct"/>
            <w:shd w:val="clear" w:color="auto" w:fill="D9D9D9"/>
            <w:vAlign w:val="center"/>
          </w:tcPr>
          <w:p>
            <w:pPr>
              <w:snapToGrid w:val="0"/>
              <w:jc w:val="center"/>
              <w:rPr>
                <w:b/>
                <w:color w:val="000000"/>
                <w:sz w:val="18"/>
                <w:szCs w:val="18"/>
              </w:rPr>
            </w:pPr>
            <w:r>
              <w:rPr>
                <w:rFonts w:hint="eastAsia"/>
                <w:b/>
                <w:color w:val="000000"/>
                <w:sz w:val="18"/>
                <w:szCs w:val="18"/>
              </w:rPr>
              <w:t>内            容</w:t>
            </w:r>
          </w:p>
        </w:tc>
        <w:tc>
          <w:tcPr>
            <w:tcW w:w="284" w:type="pct"/>
            <w:shd w:val="clear" w:color="auto" w:fill="D9D9D9"/>
            <w:vAlign w:val="center"/>
          </w:tcPr>
          <w:p>
            <w:pPr>
              <w:snapToGrid w:val="0"/>
              <w:jc w:val="center"/>
              <w:rPr>
                <w:b/>
                <w:color w:val="000000"/>
                <w:sz w:val="18"/>
                <w:szCs w:val="18"/>
              </w:rPr>
            </w:pPr>
            <w:r>
              <w:rPr>
                <w:b/>
                <w:color w:val="000000"/>
                <w:sz w:val="18"/>
                <w:szCs w:val="18"/>
              </w:rPr>
              <w:t>讲课</w:t>
            </w:r>
          </w:p>
        </w:tc>
        <w:tc>
          <w:tcPr>
            <w:tcW w:w="314" w:type="pct"/>
            <w:shd w:val="clear" w:color="auto" w:fill="D9D9D9"/>
            <w:vAlign w:val="center"/>
          </w:tcPr>
          <w:p>
            <w:pPr>
              <w:snapToGrid w:val="0"/>
              <w:jc w:val="center"/>
              <w:rPr>
                <w:b/>
                <w:color w:val="000000"/>
                <w:sz w:val="18"/>
                <w:szCs w:val="18"/>
              </w:rPr>
            </w:pPr>
            <w:r>
              <w:rPr>
                <w:b/>
                <w:color w:val="000000"/>
                <w:sz w:val="18"/>
                <w:szCs w:val="18"/>
              </w:rPr>
              <w:t>实验</w:t>
            </w:r>
          </w:p>
        </w:tc>
        <w:tc>
          <w:tcPr>
            <w:tcW w:w="303" w:type="pct"/>
            <w:shd w:val="clear" w:color="auto" w:fill="D9D9D9"/>
            <w:vAlign w:val="center"/>
          </w:tcPr>
          <w:p>
            <w:pPr>
              <w:snapToGrid w:val="0"/>
              <w:jc w:val="center"/>
              <w:rPr>
                <w:b/>
                <w:color w:val="000000"/>
                <w:sz w:val="18"/>
                <w:szCs w:val="18"/>
              </w:rPr>
            </w:pPr>
            <w:r>
              <w:rPr>
                <w:rFonts w:hint="eastAsia"/>
                <w:b/>
                <w:color w:val="000000"/>
                <w:sz w:val="18"/>
                <w:szCs w:val="18"/>
              </w:rPr>
              <w:t>小计</w:t>
            </w:r>
          </w:p>
        </w:tc>
        <w:tc>
          <w:tcPr>
            <w:tcW w:w="332" w:type="pct"/>
            <w:shd w:val="clear" w:color="auto" w:fill="D9D9D9"/>
            <w:vAlign w:val="center"/>
          </w:tcPr>
          <w:p>
            <w:pPr>
              <w:snapToGrid w:val="0"/>
              <w:jc w:val="center"/>
              <w:rPr>
                <w:b/>
                <w:color w:val="000000"/>
                <w:sz w:val="18"/>
                <w:szCs w:val="18"/>
              </w:rPr>
            </w:pPr>
            <w:r>
              <w:rPr>
                <w:b/>
                <w:color w:val="000000"/>
                <w:sz w:val="18"/>
                <w:szCs w:val="18"/>
              </w:rPr>
              <w:t>支撑课程目标</w:t>
            </w:r>
          </w:p>
        </w:tc>
        <w:tc>
          <w:tcPr>
            <w:tcW w:w="339" w:type="pct"/>
            <w:shd w:val="clear" w:color="auto" w:fill="D9D9D9"/>
            <w:vAlign w:val="center"/>
          </w:tcPr>
          <w:p>
            <w:pPr>
              <w:snapToGrid w:val="0"/>
              <w:jc w:val="center"/>
              <w:rPr>
                <w:b/>
                <w:color w:val="000000"/>
                <w:sz w:val="18"/>
                <w:szCs w:val="18"/>
              </w:rPr>
            </w:pPr>
            <w:r>
              <w:rPr>
                <w:b/>
                <w:color w:val="000000"/>
                <w:sz w:val="18"/>
                <w:szCs w:val="18"/>
              </w:rPr>
              <w:t>支撑指标点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 w:type="pct"/>
            <w:vAlign w:val="center"/>
          </w:tcPr>
          <w:p>
            <w:pPr>
              <w:spacing w:line="280" w:lineRule="exact"/>
              <w:jc w:val="center"/>
              <w:rPr>
                <w:rFonts w:hint="eastAsia"/>
                <w:sz w:val="18"/>
                <w:szCs w:val="18"/>
              </w:rPr>
            </w:pPr>
            <w:r>
              <w:rPr>
                <w:rFonts w:hint="eastAsia"/>
                <w:sz w:val="18"/>
                <w:szCs w:val="18"/>
              </w:rPr>
              <w:t>1</w:t>
            </w:r>
          </w:p>
        </w:tc>
        <w:tc>
          <w:tcPr>
            <w:tcW w:w="3110" w:type="pct"/>
          </w:tcPr>
          <w:p>
            <w:pPr>
              <w:spacing w:line="280" w:lineRule="exact"/>
              <w:rPr>
                <w:rFonts w:hint="eastAsia"/>
                <w:b/>
                <w:bCs/>
                <w:sz w:val="18"/>
                <w:szCs w:val="18"/>
              </w:rPr>
            </w:pPr>
            <w:r>
              <w:rPr>
                <w:rFonts w:hint="eastAsia"/>
                <w:b/>
                <w:bCs/>
                <w:sz w:val="18"/>
                <w:szCs w:val="18"/>
              </w:rPr>
              <w:t>1人工智能概述</w:t>
            </w:r>
          </w:p>
          <w:p>
            <w:pPr>
              <w:spacing w:line="280" w:lineRule="exact"/>
              <w:ind w:firstLine="180" w:firstLineChars="100"/>
              <w:rPr>
                <w:rFonts w:hint="eastAsia"/>
                <w:sz w:val="18"/>
                <w:szCs w:val="18"/>
              </w:rPr>
            </w:pPr>
            <w:r>
              <w:rPr>
                <w:rFonts w:hint="eastAsia"/>
                <w:sz w:val="18"/>
                <w:szCs w:val="18"/>
              </w:rPr>
              <w:t>1.1、理解人工智能的概念、目标和研究策略；</w:t>
            </w:r>
          </w:p>
          <w:p>
            <w:pPr>
              <w:spacing w:line="280" w:lineRule="exact"/>
              <w:ind w:firstLine="180" w:firstLineChars="100"/>
              <w:rPr>
                <w:rFonts w:hint="eastAsia"/>
                <w:sz w:val="18"/>
                <w:szCs w:val="18"/>
              </w:rPr>
            </w:pPr>
            <w:r>
              <w:rPr>
                <w:rFonts w:hint="eastAsia"/>
                <w:sz w:val="18"/>
                <w:szCs w:val="18"/>
              </w:rPr>
              <w:t>1.2、理解人工智能的研究内容与方法；（重点）</w:t>
            </w:r>
          </w:p>
          <w:p>
            <w:pPr>
              <w:spacing w:line="280" w:lineRule="exact"/>
              <w:ind w:firstLine="180" w:firstLineChars="100"/>
              <w:rPr>
                <w:rFonts w:hint="eastAsia"/>
                <w:sz w:val="18"/>
                <w:szCs w:val="18"/>
              </w:rPr>
            </w:pPr>
            <w:r>
              <w:rPr>
                <w:rFonts w:hint="eastAsia"/>
                <w:sz w:val="18"/>
                <w:szCs w:val="18"/>
              </w:rPr>
              <w:t xml:space="preserve">1.3、了解人工智能的分支领域； </w:t>
            </w:r>
          </w:p>
          <w:p>
            <w:pPr>
              <w:spacing w:line="280" w:lineRule="exact"/>
              <w:ind w:firstLine="180" w:firstLineChars="100"/>
              <w:rPr>
                <w:rFonts w:hint="eastAsia"/>
                <w:b/>
                <w:bCs/>
                <w:sz w:val="18"/>
                <w:szCs w:val="18"/>
              </w:rPr>
            </w:pPr>
            <w:r>
              <w:rPr>
                <w:rFonts w:hint="eastAsia"/>
                <w:sz w:val="18"/>
                <w:szCs w:val="18"/>
              </w:rPr>
              <w:t>1.4、了解人工智能的应用与发展概况。</w:t>
            </w:r>
          </w:p>
        </w:tc>
        <w:tc>
          <w:tcPr>
            <w:tcW w:w="284" w:type="pct"/>
            <w:vAlign w:val="center"/>
          </w:tcPr>
          <w:p>
            <w:pPr>
              <w:spacing w:line="280" w:lineRule="exact"/>
              <w:jc w:val="center"/>
              <w:rPr>
                <w:rFonts w:hint="eastAsia" w:cs="Calibri"/>
                <w:b/>
                <w:color w:val="000000"/>
                <w:sz w:val="18"/>
                <w:szCs w:val="18"/>
              </w:rPr>
            </w:pPr>
            <w:r>
              <w:rPr>
                <w:rFonts w:cs="Calibri"/>
                <w:b/>
                <w:color w:val="000000"/>
                <w:sz w:val="18"/>
                <w:szCs w:val="18"/>
              </w:rPr>
              <w:t>2</w:t>
            </w:r>
          </w:p>
        </w:tc>
        <w:tc>
          <w:tcPr>
            <w:tcW w:w="314" w:type="pct"/>
            <w:vAlign w:val="center"/>
          </w:tcPr>
          <w:p>
            <w:pPr>
              <w:spacing w:line="280" w:lineRule="exact"/>
              <w:jc w:val="center"/>
              <w:rPr>
                <w:rFonts w:cs="Calibri"/>
                <w:b/>
                <w:color w:val="000000"/>
                <w:sz w:val="18"/>
                <w:szCs w:val="18"/>
              </w:rPr>
            </w:pPr>
          </w:p>
        </w:tc>
        <w:tc>
          <w:tcPr>
            <w:tcW w:w="303" w:type="pct"/>
            <w:vAlign w:val="center"/>
          </w:tcPr>
          <w:p>
            <w:pPr>
              <w:spacing w:line="280" w:lineRule="exact"/>
              <w:jc w:val="center"/>
              <w:rPr>
                <w:rFonts w:hint="eastAsia" w:cs="Calibri"/>
                <w:b/>
                <w:color w:val="000000"/>
                <w:sz w:val="18"/>
                <w:szCs w:val="18"/>
              </w:rPr>
            </w:pPr>
            <w:r>
              <w:rPr>
                <w:rFonts w:cs="Calibri"/>
                <w:b/>
                <w:color w:val="000000"/>
                <w:sz w:val="18"/>
                <w:szCs w:val="18"/>
              </w:rPr>
              <w:t>2</w:t>
            </w:r>
          </w:p>
        </w:tc>
        <w:tc>
          <w:tcPr>
            <w:tcW w:w="332" w:type="pct"/>
            <w:vAlign w:val="center"/>
          </w:tcPr>
          <w:p>
            <w:pPr>
              <w:spacing w:line="280" w:lineRule="exact"/>
              <w:jc w:val="center"/>
              <w:rPr>
                <w:rFonts w:hint="eastAsia" w:cs="Calibri"/>
                <w:b/>
                <w:color w:val="000000"/>
                <w:sz w:val="18"/>
                <w:szCs w:val="18"/>
              </w:rPr>
            </w:pPr>
            <w:r>
              <w:rPr>
                <w:rFonts w:cs="Calibri"/>
                <w:b/>
                <w:color w:val="000000"/>
                <w:sz w:val="18"/>
                <w:szCs w:val="18"/>
              </w:rPr>
              <w:t>1</w:t>
            </w:r>
          </w:p>
        </w:tc>
        <w:tc>
          <w:tcPr>
            <w:tcW w:w="339" w:type="pct"/>
            <w:vAlign w:val="center"/>
          </w:tcPr>
          <w:p>
            <w:pPr>
              <w:spacing w:line="280" w:lineRule="exact"/>
              <w:jc w:val="center"/>
              <w:rPr>
                <w:rFonts w:cs="Calibri"/>
                <w:b/>
                <w:color w:val="000000"/>
                <w:sz w:val="18"/>
                <w:szCs w:val="18"/>
              </w:rPr>
            </w:pPr>
            <w:r>
              <w:rPr>
                <w:rFonts w:cs="Calibri"/>
                <w:b/>
                <w:color w:val="000000"/>
                <w:sz w:val="18"/>
                <w:szCs w:val="18"/>
              </w:rPr>
              <w:t>1</w:t>
            </w:r>
            <w:r>
              <w:rPr>
                <w:rFonts w:hint="eastAsia" w:cs="Calibri"/>
                <w:b/>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 w:type="pct"/>
            <w:vAlign w:val="center"/>
          </w:tcPr>
          <w:p>
            <w:pPr>
              <w:spacing w:line="280" w:lineRule="exact"/>
              <w:jc w:val="center"/>
              <w:rPr>
                <w:rFonts w:hint="eastAsia"/>
                <w:sz w:val="18"/>
                <w:szCs w:val="18"/>
              </w:rPr>
            </w:pPr>
            <w:r>
              <w:rPr>
                <w:rFonts w:hint="eastAsia"/>
                <w:sz w:val="18"/>
                <w:szCs w:val="18"/>
              </w:rPr>
              <w:t>2</w:t>
            </w:r>
          </w:p>
        </w:tc>
        <w:tc>
          <w:tcPr>
            <w:tcW w:w="3110" w:type="pct"/>
          </w:tcPr>
          <w:p>
            <w:pPr>
              <w:spacing w:line="280" w:lineRule="exact"/>
              <w:rPr>
                <w:rFonts w:hint="eastAsia"/>
                <w:b/>
                <w:bCs/>
                <w:sz w:val="18"/>
                <w:szCs w:val="18"/>
              </w:rPr>
            </w:pPr>
            <w:r>
              <w:rPr>
                <w:rFonts w:hint="eastAsia"/>
                <w:b/>
                <w:bCs/>
                <w:sz w:val="18"/>
                <w:szCs w:val="18"/>
              </w:rPr>
              <w:t>2知识的表示与推理</w:t>
            </w:r>
          </w:p>
          <w:p>
            <w:pPr>
              <w:spacing w:line="280" w:lineRule="exact"/>
              <w:ind w:firstLine="180" w:firstLineChars="100"/>
              <w:rPr>
                <w:rFonts w:hint="eastAsia"/>
                <w:sz w:val="18"/>
                <w:szCs w:val="18"/>
              </w:rPr>
            </w:pPr>
            <w:r>
              <w:rPr>
                <w:rFonts w:hint="eastAsia"/>
                <w:sz w:val="18"/>
                <w:szCs w:val="18"/>
              </w:rPr>
              <w:t>2.1、理解并初步掌握元组、框架、语义网、知识图谱几种结构化知识表示；</w:t>
            </w:r>
          </w:p>
          <w:p>
            <w:pPr>
              <w:spacing w:line="280" w:lineRule="exact"/>
              <w:ind w:firstLine="180" w:firstLineChars="100"/>
              <w:rPr>
                <w:rFonts w:hint="eastAsia"/>
                <w:sz w:val="18"/>
                <w:szCs w:val="18"/>
              </w:rPr>
            </w:pPr>
            <w:r>
              <w:rPr>
                <w:rFonts w:hint="eastAsia"/>
                <w:sz w:val="18"/>
                <w:szCs w:val="18"/>
              </w:rPr>
              <w:t>2.2、理解不确定性信息和不确切性信息的特点和区别；</w:t>
            </w:r>
          </w:p>
          <w:p>
            <w:pPr>
              <w:spacing w:line="280" w:lineRule="exact"/>
              <w:ind w:firstLine="180" w:firstLineChars="100"/>
              <w:rPr>
                <w:rFonts w:hint="eastAsia"/>
                <w:sz w:val="18"/>
                <w:szCs w:val="18"/>
              </w:rPr>
            </w:pPr>
            <w:r>
              <w:rPr>
                <w:rFonts w:hint="eastAsia"/>
                <w:sz w:val="18"/>
                <w:szCs w:val="18"/>
              </w:rPr>
              <w:t>2.3、初步掌握不确定性知识的表示及推理方法，了解几种经典的不确定性推理模型，初步掌握贝叶斯网络和相应的概率推理方法；（重点）</w:t>
            </w:r>
          </w:p>
          <w:p>
            <w:pPr>
              <w:spacing w:line="280" w:lineRule="exact"/>
              <w:ind w:firstLine="180" w:firstLineChars="100"/>
              <w:rPr>
                <w:rFonts w:hint="eastAsia"/>
                <w:color w:val="000000"/>
                <w:sz w:val="18"/>
                <w:szCs w:val="18"/>
              </w:rPr>
            </w:pPr>
            <w:r>
              <w:rPr>
                <w:rFonts w:hint="eastAsia"/>
                <w:sz w:val="18"/>
                <w:szCs w:val="18"/>
              </w:rPr>
              <w:t>2.4、理解并初步掌握不确切性知识的表示及推理方法。</w:t>
            </w:r>
          </w:p>
        </w:tc>
        <w:tc>
          <w:tcPr>
            <w:tcW w:w="284" w:type="pct"/>
            <w:vAlign w:val="center"/>
          </w:tcPr>
          <w:p>
            <w:pPr>
              <w:spacing w:line="280" w:lineRule="exact"/>
              <w:jc w:val="center"/>
              <w:rPr>
                <w:rFonts w:hint="eastAsia" w:cs="Calibri"/>
                <w:b/>
                <w:color w:val="000000"/>
                <w:sz w:val="18"/>
                <w:szCs w:val="18"/>
              </w:rPr>
            </w:pPr>
            <w:r>
              <w:rPr>
                <w:rFonts w:cs="Calibri"/>
                <w:b/>
                <w:color w:val="000000"/>
                <w:sz w:val="18"/>
                <w:szCs w:val="18"/>
              </w:rPr>
              <w:t>4</w:t>
            </w:r>
          </w:p>
        </w:tc>
        <w:tc>
          <w:tcPr>
            <w:tcW w:w="314" w:type="pct"/>
            <w:vAlign w:val="center"/>
          </w:tcPr>
          <w:p>
            <w:pPr>
              <w:spacing w:line="280" w:lineRule="exact"/>
              <w:jc w:val="center"/>
              <w:rPr>
                <w:rFonts w:cs="Calibri"/>
                <w:b/>
                <w:color w:val="000000"/>
                <w:sz w:val="18"/>
                <w:szCs w:val="18"/>
              </w:rPr>
            </w:pPr>
          </w:p>
        </w:tc>
        <w:tc>
          <w:tcPr>
            <w:tcW w:w="303" w:type="pct"/>
            <w:vAlign w:val="center"/>
          </w:tcPr>
          <w:p>
            <w:pPr>
              <w:spacing w:line="280" w:lineRule="exact"/>
              <w:jc w:val="center"/>
              <w:rPr>
                <w:rFonts w:hint="eastAsia" w:cs="Calibri"/>
                <w:b/>
                <w:color w:val="000000"/>
                <w:sz w:val="18"/>
                <w:szCs w:val="18"/>
              </w:rPr>
            </w:pPr>
            <w:r>
              <w:rPr>
                <w:rFonts w:cs="Calibri"/>
                <w:b/>
                <w:color w:val="000000"/>
                <w:sz w:val="18"/>
                <w:szCs w:val="18"/>
              </w:rPr>
              <w:t>4</w:t>
            </w:r>
          </w:p>
        </w:tc>
        <w:tc>
          <w:tcPr>
            <w:tcW w:w="332" w:type="pct"/>
            <w:vAlign w:val="center"/>
          </w:tcPr>
          <w:p>
            <w:pPr>
              <w:spacing w:line="280" w:lineRule="exact"/>
              <w:jc w:val="center"/>
              <w:rPr>
                <w:rFonts w:cs="Calibri"/>
                <w:b/>
                <w:color w:val="000000"/>
                <w:sz w:val="18"/>
                <w:szCs w:val="18"/>
              </w:rPr>
            </w:pPr>
            <w:r>
              <w:rPr>
                <w:rFonts w:cs="Calibri"/>
                <w:b/>
                <w:color w:val="000000"/>
                <w:sz w:val="18"/>
                <w:szCs w:val="18"/>
              </w:rPr>
              <w:t>1</w:t>
            </w:r>
            <w:r>
              <w:rPr>
                <w:rFonts w:hint="eastAsia" w:cs="Calibri"/>
                <w:b/>
                <w:color w:val="000000"/>
                <w:sz w:val="18"/>
                <w:szCs w:val="18"/>
              </w:rPr>
              <w:t>、</w:t>
            </w:r>
            <w:r>
              <w:rPr>
                <w:rFonts w:cs="Calibri"/>
                <w:b/>
                <w:color w:val="000000"/>
                <w:sz w:val="18"/>
                <w:szCs w:val="18"/>
              </w:rPr>
              <w:t>2</w:t>
            </w:r>
          </w:p>
        </w:tc>
        <w:tc>
          <w:tcPr>
            <w:tcW w:w="339" w:type="pct"/>
            <w:vAlign w:val="center"/>
          </w:tcPr>
          <w:p>
            <w:pPr>
              <w:spacing w:line="280" w:lineRule="exact"/>
              <w:jc w:val="center"/>
              <w:rPr>
                <w:rFonts w:hint="eastAsia" w:cs="Calibri"/>
                <w:b/>
                <w:color w:val="000000"/>
                <w:sz w:val="18"/>
                <w:szCs w:val="18"/>
              </w:rPr>
            </w:pPr>
            <w:r>
              <w:rPr>
                <w:rFonts w:cs="Calibri"/>
                <w:b/>
                <w:color w:val="000000"/>
                <w:sz w:val="18"/>
                <w:szCs w:val="18"/>
              </w:rPr>
              <w:t>1</w:t>
            </w:r>
            <w:r>
              <w:rPr>
                <w:rFonts w:hint="eastAsia" w:cs="Calibri"/>
                <w:b/>
                <w:color w:val="000000"/>
                <w:sz w:val="18"/>
                <w:szCs w:val="18"/>
              </w:rPr>
              <w:t>-1</w:t>
            </w:r>
          </w:p>
          <w:p>
            <w:pPr>
              <w:spacing w:line="280" w:lineRule="exact"/>
              <w:jc w:val="center"/>
              <w:rPr>
                <w:rFonts w:cs="Calibri"/>
                <w:b/>
                <w:color w:val="000000"/>
                <w:sz w:val="18"/>
                <w:szCs w:val="18"/>
              </w:rPr>
            </w:pPr>
            <w:r>
              <w:rPr>
                <w:rFonts w:cs="Calibri"/>
                <w:b/>
                <w:color w:val="000000"/>
                <w:sz w:val="18"/>
                <w:szCs w:val="18"/>
              </w:rPr>
              <w:t>1</w:t>
            </w:r>
            <w:r>
              <w:rPr>
                <w:rFonts w:hint="eastAsia" w:cs="Calibri"/>
                <w:b/>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 w:type="pct"/>
            <w:vAlign w:val="center"/>
          </w:tcPr>
          <w:p>
            <w:pPr>
              <w:spacing w:line="280" w:lineRule="exact"/>
              <w:jc w:val="center"/>
              <w:rPr>
                <w:rFonts w:hint="eastAsia"/>
                <w:sz w:val="18"/>
                <w:szCs w:val="18"/>
              </w:rPr>
            </w:pPr>
            <w:r>
              <w:rPr>
                <w:rFonts w:hint="eastAsia"/>
                <w:sz w:val="18"/>
                <w:szCs w:val="18"/>
              </w:rPr>
              <w:t>3</w:t>
            </w:r>
          </w:p>
        </w:tc>
        <w:tc>
          <w:tcPr>
            <w:tcW w:w="3110" w:type="pct"/>
          </w:tcPr>
          <w:p>
            <w:pPr>
              <w:spacing w:line="280" w:lineRule="exact"/>
              <w:rPr>
                <w:rFonts w:hint="eastAsia"/>
                <w:b/>
                <w:bCs/>
                <w:sz w:val="18"/>
                <w:szCs w:val="18"/>
              </w:rPr>
            </w:pPr>
            <w:r>
              <w:rPr>
                <w:rFonts w:hint="eastAsia"/>
                <w:b/>
                <w:bCs/>
                <w:sz w:val="18"/>
                <w:szCs w:val="18"/>
              </w:rPr>
              <w:t>3搜索与求解</w:t>
            </w:r>
          </w:p>
          <w:p>
            <w:pPr>
              <w:spacing w:line="280" w:lineRule="exact"/>
              <w:ind w:firstLine="180" w:firstLineChars="100"/>
              <w:rPr>
                <w:rFonts w:hint="eastAsia"/>
                <w:sz w:val="18"/>
                <w:szCs w:val="18"/>
              </w:rPr>
            </w:pPr>
            <w:r>
              <w:rPr>
                <w:rFonts w:hint="eastAsia"/>
                <w:sz w:val="18"/>
                <w:szCs w:val="18"/>
              </w:rPr>
              <w:t>3.1、理解图搜索与问题求解的概念；</w:t>
            </w:r>
          </w:p>
          <w:p>
            <w:pPr>
              <w:spacing w:line="280" w:lineRule="exact"/>
              <w:ind w:firstLine="180" w:firstLineChars="100"/>
              <w:rPr>
                <w:rFonts w:hint="eastAsia"/>
                <w:color w:val="000000"/>
                <w:sz w:val="18"/>
                <w:szCs w:val="18"/>
              </w:rPr>
            </w:pPr>
            <w:r>
              <w:rPr>
                <w:rFonts w:hint="eastAsia"/>
                <w:sz w:val="18"/>
                <w:szCs w:val="18"/>
              </w:rPr>
              <w:t>3.2、理解基于遗传算法的随机优化搜索的基本原理和特点。</w:t>
            </w:r>
          </w:p>
        </w:tc>
        <w:tc>
          <w:tcPr>
            <w:tcW w:w="284" w:type="pct"/>
            <w:vAlign w:val="center"/>
          </w:tcPr>
          <w:p>
            <w:pPr>
              <w:spacing w:line="280" w:lineRule="exact"/>
              <w:jc w:val="center"/>
              <w:rPr>
                <w:rFonts w:hint="eastAsia" w:cs="Calibri"/>
                <w:b/>
                <w:color w:val="000000"/>
                <w:sz w:val="18"/>
                <w:szCs w:val="18"/>
              </w:rPr>
            </w:pPr>
            <w:r>
              <w:rPr>
                <w:rFonts w:cs="Calibri"/>
                <w:b/>
                <w:color w:val="000000"/>
                <w:sz w:val="18"/>
                <w:szCs w:val="18"/>
              </w:rPr>
              <w:t>2</w:t>
            </w:r>
          </w:p>
        </w:tc>
        <w:tc>
          <w:tcPr>
            <w:tcW w:w="314" w:type="pct"/>
            <w:vAlign w:val="center"/>
          </w:tcPr>
          <w:p>
            <w:pPr>
              <w:spacing w:line="280" w:lineRule="exact"/>
              <w:jc w:val="center"/>
              <w:rPr>
                <w:rFonts w:cs="Calibri"/>
                <w:b/>
                <w:color w:val="000000"/>
                <w:sz w:val="18"/>
                <w:szCs w:val="18"/>
              </w:rPr>
            </w:pPr>
            <w:r>
              <w:rPr>
                <w:rFonts w:hint="eastAsia" w:cs="Calibri"/>
                <w:b/>
                <w:color w:val="000000"/>
                <w:sz w:val="18"/>
                <w:szCs w:val="18"/>
              </w:rPr>
              <w:t>2</w:t>
            </w:r>
          </w:p>
        </w:tc>
        <w:tc>
          <w:tcPr>
            <w:tcW w:w="303" w:type="pct"/>
            <w:vAlign w:val="center"/>
          </w:tcPr>
          <w:p>
            <w:pPr>
              <w:spacing w:line="280" w:lineRule="exact"/>
              <w:jc w:val="center"/>
              <w:rPr>
                <w:rFonts w:hint="eastAsia" w:cs="Calibri"/>
                <w:b/>
                <w:color w:val="000000"/>
                <w:sz w:val="18"/>
                <w:szCs w:val="18"/>
              </w:rPr>
            </w:pPr>
            <w:r>
              <w:rPr>
                <w:rFonts w:cs="Calibri"/>
                <w:b/>
                <w:color w:val="000000"/>
                <w:sz w:val="18"/>
                <w:szCs w:val="18"/>
              </w:rPr>
              <w:t>4</w:t>
            </w:r>
          </w:p>
        </w:tc>
        <w:tc>
          <w:tcPr>
            <w:tcW w:w="332" w:type="pct"/>
            <w:vAlign w:val="center"/>
          </w:tcPr>
          <w:p>
            <w:pPr>
              <w:spacing w:line="280" w:lineRule="exact"/>
              <w:jc w:val="center"/>
              <w:rPr>
                <w:rFonts w:hint="eastAsia" w:cs="Calibri"/>
                <w:b/>
                <w:color w:val="000000"/>
                <w:sz w:val="18"/>
                <w:szCs w:val="18"/>
              </w:rPr>
            </w:pPr>
            <w:r>
              <w:rPr>
                <w:rFonts w:cs="Calibri"/>
                <w:b/>
                <w:color w:val="000000"/>
                <w:sz w:val="18"/>
                <w:szCs w:val="18"/>
              </w:rPr>
              <w:t>1</w:t>
            </w:r>
            <w:r>
              <w:rPr>
                <w:rFonts w:hint="eastAsia" w:cs="Calibri"/>
                <w:b/>
                <w:color w:val="000000"/>
                <w:sz w:val="18"/>
                <w:szCs w:val="18"/>
              </w:rPr>
              <w:t>、</w:t>
            </w:r>
            <w:r>
              <w:rPr>
                <w:rFonts w:cs="Calibri"/>
                <w:b/>
                <w:color w:val="000000"/>
                <w:sz w:val="18"/>
                <w:szCs w:val="18"/>
              </w:rPr>
              <w:t>2</w:t>
            </w:r>
          </w:p>
        </w:tc>
        <w:tc>
          <w:tcPr>
            <w:tcW w:w="339" w:type="pct"/>
            <w:vAlign w:val="center"/>
          </w:tcPr>
          <w:p>
            <w:pPr>
              <w:spacing w:line="280" w:lineRule="exact"/>
              <w:jc w:val="center"/>
              <w:rPr>
                <w:rFonts w:hint="eastAsia" w:cs="Calibri"/>
                <w:b/>
                <w:color w:val="000000"/>
                <w:sz w:val="18"/>
                <w:szCs w:val="18"/>
              </w:rPr>
            </w:pPr>
            <w:r>
              <w:rPr>
                <w:rFonts w:cs="Calibri"/>
                <w:b/>
                <w:color w:val="000000"/>
                <w:sz w:val="18"/>
                <w:szCs w:val="18"/>
              </w:rPr>
              <w:t>1</w:t>
            </w:r>
            <w:r>
              <w:rPr>
                <w:rFonts w:hint="eastAsia" w:cs="Calibri"/>
                <w:b/>
                <w:color w:val="000000"/>
                <w:sz w:val="18"/>
                <w:szCs w:val="18"/>
              </w:rPr>
              <w:t>-1</w:t>
            </w:r>
          </w:p>
          <w:p>
            <w:pPr>
              <w:spacing w:line="280" w:lineRule="exact"/>
              <w:jc w:val="center"/>
              <w:rPr>
                <w:rFonts w:cs="Calibri"/>
                <w:b/>
                <w:color w:val="000000"/>
                <w:sz w:val="18"/>
                <w:szCs w:val="18"/>
              </w:rPr>
            </w:pPr>
            <w:r>
              <w:rPr>
                <w:rFonts w:cs="Calibri"/>
                <w:b/>
                <w:color w:val="000000"/>
                <w:sz w:val="18"/>
                <w:szCs w:val="18"/>
              </w:rPr>
              <w:t>1</w:t>
            </w:r>
            <w:r>
              <w:rPr>
                <w:rFonts w:hint="eastAsia" w:cs="Calibri"/>
                <w:b/>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 w:type="pct"/>
            <w:vAlign w:val="center"/>
          </w:tcPr>
          <w:p>
            <w:pPr>
              <w:spacing w:line="280" w:lineRule="exact"/>
              <w:jc w:val="center"/>
              <w:rPr>
                <w:rFonts w:hint="eastAsia"/>
                <w:sz w:val="18"/>
                <w:szCs w:val="18"/>
              </w:rPr>
            </w:pPr>
            <w:r>
              <w:rPr>
                <w:rFonts w:hint="eastAsia"/>
                <w:sz w:val="18"/>
                <w:szCs w:val="18"/>
              </w:rPr>
              <w:t>4</w:t>
            </w:r>
          </w:p>
        </w:tc>
        <w:tc>
          <w:tcPr>
            <w:tcW w:w="3110" w:type="pct"/>
          </w:tcPr>
          <w:p>
            <w:pPr>
              <w:spacing w:line="280" w:lineRule="exact"/>
              <w:rPr>
                <w:rFonts w:hint="eastAsia"/>
                <w:b/>
                <w:bCs/>
                <w:color w:val="000000"/>
                <w:sz w:val="18"/>
                <w:szCs w:val="18"/>
              </w:rPr>
            </w:pPr>
            <w:r>
              <w:rPr>
                <w:rFonts w:hint="eastAsia"/>
                <w:b/>
                <w:bCs/>
                <w:color w:val="000000"/>
                <w:sz w:val="18"/>
                <w:szCs w:val="18"/>
              </w:rPr>
              <w:t>4传统监督机器学习</w:t>
            </w:r>
          </w:p>
          <w:p>
            <w:pPr>
              <w:spacing w:line="280" w:lineRule="exact"/>
              <w:ind w:firstLine="180" w:firstLineChars="100"/>
              <w:rPr>
                <w:color w:val="000000"/>
                <w:sz w:val="18"/>
                <w:szCs w:val="18"/>
              </w:rPr>
            </w:pPr>
            <w:r>
              <w:rPr>
                <w:rFonts w:hint="eastAsia"/>
                <w:color w:val="000000"/>
                <w:sz w:val="18"/>
                <w:szCs w:val="18"/>
              </w:rPr>
              <w:t>4.1、理解机器学习的基本概念，包括过拟合、正则化和泛化等；</w:t>
            </w:r>
          </w:p>
          <w:p>
            <w:pPr>
              <w:spacing w:line="280" w:lineRule="exact"/>
              <w:ind w:firstLine="180" w:firstLineChars="100"/>
              <w:rPr>
                <w:rFonts w:hint="eastAsia"/>
                <w:color w:val="000000"/>
                <w:sz w:val="18"/>
                <w:szCs w:val="18"/>
              </w:rPr>
            </w:pPr>
            <w:r>
              <w:rPr>
                <w:rFonts w:hint="eastAsia"/>
                <w:color w:val="000000"/>
                <w:sz w:val="18"/>
                <w:szCs w:val="18"/>
              </w:rPr>
              <w:t>4</w:t>
            </w:r>
            <w:r>
              <w:rPr>
                <w:color w:val="000000"/>
                <w:sz w:val="18"/>
                <w:szCs w:val="18"/>
              </w:rPr>
              <w:t>.2</w:t>
            </w:r>
            <w:r>
              <w:rPr>
                <w:rFonts w:hint="eastAsia"/>
                <w:color w:val="000000"/>
                <w:sz w:val="18"/>
                <w:szCs w:val="18"/>
              </w:rPr>
              <w:t>、理解线性模型的基本概念，包括基本线性回归、线性判别分析以及多分类学习等；</w:t>
            </w:r>
          </w:p>
          <w:p>
            <w:pPr>
              <w:spacing w:line="280" w:lineRule="exact"/>
              <w:ind w:firstLine="180" w:firstLineChars="100"/>
              <w:rPr>
                <w:rFonts w:hint="eastAsia"/>
                <w:color w:val="000000"/>
                <w:sz w:val="18"/>
                <w:szCs w:val="18"/>
              </w:rPr>
            </w:pPr>
            <w:r>
              <w:rPr>
                <w:rFonts w:hint="eastAsia"/>
                <w:color w:val="000000"/>
                <w:sz w:val="18"/>
                <w:szCs w:val="18"/>
              </w:rPr>
              <w:t>4.</w:t>
            </w:r>
            <w:r>
              <w:rPr>
                <w:color w:val="000000"/>
                <w:sz w:val="18"/>
                <w:szCs w:val="18"/>
              </w:rPr>
              <w:t>3</w:t>
            </w:r>
            <w:r>
              <w:rPr>
                <w:rFonts w:hint="eastAsia"/>
                <w:color w:val="000000"/>
                <w:sz w:val="18"/>
                <w:szCs w:val="18"/>
              </w:rPr>
              <w:t>、了解决策树的概念，理解决策树的划分选择和剪枝处理，理解基本的I</w:t>
            </w:r>
            <w:r>
              <w:rPr>
                <w:color w:val="000000"/>
                <w:sz w:val="18"/>
                <w:szCs w:val="18"/>
              </w:rPr>
              <w:t>D3</w:t>
            </w:r>
            <w:r>
              <w:rPr>
                <w:rFonts w:hint="eastAsia"/>
                <w:color w:val="000000"/>
                <w:sz w:val="18"/>
                <w:szCs w:val="18"/>
              </w:rPr>
              <w:t>算法和C</w:t>
            </w:r>
            <w:r>
              <w:rPr>
                <w:color w:val="000000"/>
                <w:sz w:val="18"/>
                <w:szCs w:val="18"/>
              </w:rPr>
              <w:t>ART</w:t>
            </w:r>
            <w:r>
              <w:rPr>
                <w:rFonts w:hint="eastAsia"/>
                <w:color w:val="000000"/>
                <w:sz w:val="18"/>
                <w:szCs w:val="18"/>
              </w:rPr>
              <w:t>算法的基本原理；（重点）</w:t>
            </w:r>
          </w:p>
          <w:p>
            <w:pPr>
              <w:spacing w:line="280" w:lineRule="exact"/>
              <w:ind w:firstLine="180" w:firstLineChars="100"/>
              <w:rPr>
                <w:rFonts w:hint="eastAsia"/>
                <w:color w:val="000000"/>
                <w:sz w:val="18"/>
                <w:szCs w:val="18"/>
              </w:rPr>
            </w:pPr>
            <w:r>
              <w:rPr>
                <w:rFonts w:hint="eastAsia"/>
                <w:color w:val="000000"/>
                <w:sz w:val="18"/>
                <w:szCs w:val="18"/>
              </w:rPr>
              <w:t>4.</w:t>
            </w:r>
            <w:r>
              <w:rPr>
                <w:color w:val="000000"/>
                <w:sz w:val="18"/>
                <w:szCs w:val="18"/>
              </w:rPr>
              <w:t>4</w:t>
            </w:r>
            <w:r>
              <w:rPr>
                <w:rFonts w:hint="eastAsia"/>
                <w:color w:val="000000"/>
                <w:sz w:val="18"/>
                <w:szCs w:val="18"/>
              </w:rPr>
              <w:t>、了解贝叶斯决策论，理解朴素贝叶斯分类器和半朴素贝叶斯分类器原理，理解并初步掌握E</w:t>
            </w:r>
            <w:r>
              <w:rPr>
                <w:color w:val="000000"/>
                <w:sz w:val="18"/>
                <w:szCs w:val="18"/>
              </w:rPr>
              <w:t>M</w:t>
            </w:r>
            <w:r>
              <w:rPr>
                <w:rFonts w:hint="eastAsia"/>
                <w:color w:val="000000"/>
                <w:sz w:val="18"/>
                <w:szCs w:val="18"/>
              </w:rPr>
              <w:t>算法；</w:t>
            </w:r>
          </w:p>
          <w:p>
            <w:pPr>
              <w:spacing w:line="280" w:lineRule="exact"/>
              <w:ind w:firstLine="180" w:firstLineChars="100"/>
              <w:rPr>
                <w:rFonts w:hint="eastAsia"/>
                <w:color w:val="000000"/>
                <w:sz w:val="18"/>
                <w:szCs w:val="18"/>
              </w:rPr>
            </w:pPr>
            <w:r>
              <w:rPr>
                <w:rFonts w:hint="eastAsia"/>
                <w:color w:val="000000"/>
                <w:sz w:val="18"/>
                <w:szCs w:val="18"/>
              </w:rPr>
              <w:t>4.</w:t>
            </w:r>
            <w:r>
              <w:rPr>
                <w:color w:val="000000"/>
                <w:sz w:val="18"/>
                <w:szCs w:val="18"/>
              </w:rPr>
              <w:t>5</w:t>
            </w:r>
            <w:r>
              <w:rPr>
                <w:rFonts w:hint="eastAsia"/>
                <w:color w:val="000000"/>
                <w:sz w:val="18"/>
                <w:szCs w:val="18"/>
              </w:rPr>
              <w:t>、理解支持向量机的数学原理及分类，包括最大间隔超平面、线性可分支持向量机、线性支持向量机和非线性支持向量机等。（重点、难点）</w:t>
            </w:r>
          </w:p>
          <w:p>
            <w:pPr>
              <w:spacing w:line="280" w:lineRule="exact"/>
              <w:ind w:firstLine="180" w:firstLineChars="100"/>
              <w:rPr>
                <w:color w:val="000000"/>
                <w:sz w:val="18"/>
                <w:szCs w:val="18"/>
              </w:rPr>
            </w:pPr>
            <w:r>
              <w:rPr>
                <w:rFonts w:hint="eastAsia"/>
                <w:color w:val="000000"/>
                <w:sz w:val="18"/>
                <w:szCs w:val="18"/>
              </w:rPr>
              <w:t>4.</w:t>
            </w:r>
            <w:r>
              <w:rPr>
                <w:color w:val="000000"/>
                <w:sz w:val="18"/>
                <w:szCs w:val="18"/>
              </w:rPr>
              <w:t>6</w:t>
            </w:r>
            <w:r>
              <w:rPr>
                <w:rFonts w:hint="eastAsia"/>
                <w:color w:val="000000"/>
                <w:sz w:val="18"/>
                <w:szCs w:val="18"/>
              </w:rPr>
              <w:t>、了解集成学习概念，理解并初步掌握B</w:t>
            </w:r>
            <w:r>
              <w:rPr>
                <w:color w:val="000000"/>
                <w:sz w:val="18"/>
                <w:szCs w:val="18"/>
              </w:rPr>
              <w:t>oosting</w:t>
            </w:r>
            <w:r>
              <w:rPr>
                <w:rFonts w:hint="eastAsia"/>
                <w:color w:val="000000"/>
                <w:sz w:val="18"/>
                <w:szCs w:val="18"/>
              </w:rPr>
              <w:t>、B</w:t>
            </w:r>
            <w:r>
              <w:rPr>
                <w:color w:val="000000"/>
                <w:sz w:val="18"/>
                <w:szCs w:val="18"/>
              </w:rPr>
              <w:t>agging</w:t>
            </w:r>
            <w:r>
              <w:rPr>
                <w:rFonts w:hint="eastAsia"/>
                <w:color w:val="000000"/>
                <w:sz w:val="18"/>
                <w:szCs w:val="18"/>
              </w:rPr>
              <w:t>以及随机森林算法；</w:t>
            </w:r>
          </w:p>
          <w:p>
            <w:pPr>
              <w:spacing w:line="280" w:lineRule="exact"/>
              <w:ind w:firstLine="180" w:firstLineChars="100"/>
              <w:rPr>
                <w:color w:val="000000"/>
                <w:sz w:val="18"/>
                <w:szCs w:val="18"/>
              </w:rPr>
            </w:pPr>
            <w:r>
              <w:rPr>
                <w:rFonts w:hint="eastAsia"/>
                <w:color w:val="000000"/>
                <w:sz w:val="18"/>
                <w:szCs w:val="18"/>
              </w:rPr>
              <w:t>4</w:t>
            </w:r>
            <w:r>
              <w:rPr>
                <w:color w:val="000000"/>
                <w:sz w:val="18"/>
                <w:szCs w:val="18"/>
              </w:rPr>
              <w:t xml:space="preserve">.7 </w:t>
            </w:r>
            <w:r>
              <w:rPr>
                <w:rFonts w:hint="eastAsia"/>
                <w:color w:val="000000"/>
                <w:sz w:val="18"/>
                <w:szCs w:val="18"/>
              </w:rPr>
              <w:t>了解常见的降维算法，包括</w:t>
            </w:r>
            <w:r>
              <w:rPr>
                <w:color w:val="000000"/>
                <w:sz w:val="18"/>
                <w:szCs w:val="18"/>
              </w:rPr>
              <w:t>k</w:t>
            </w:r>
            <w:r>
              <w:rPr>
                <w:rFonts w:hint="eastAsia"/>
                <w:color w:val="000000"/>
                <w:sz w:val="18"/>
                <w:szCs w:val="18"/>
              </w:rPr>
              <w:t>近邻学习、低维嵌入、核化线性降维、流形学习以及度量学习。</w:t>
            </w:r>
          </w:p>
          <w:p>
            <w:pPr>
              <w:spacing w:line="280" w:lineRule="exact"/>
              <w:ind w:firstLine="180" w:firstLineChars="100"/>
              <w:rPr>
                <w:rFonts w:hint="eastAsia"/>
                <w:color w:val="000000"/>
                <w:sz w:val="18"/>
                <w:szCs w:val="18"/>
              </w:rPr>
            </w:pPr>
            <w:r>
              <w:rPr>
                <w:rFonts w:hint="eastAsia"/>
                <w:color w:val="000000"/>
                <w:sz w:val="18"/>
                <w:szCs w:val="18"/>
              </w:rPr>
              <w:t>4</w:t>
            </w:r>
            <w:r>
              <w:rPr>
                <w:color w:val="000000"/>
                <w:sz w:val="18"/>
                <w:szCs w:val="18"/>
              </w:rPr>
              <w:t xml:space="preserve">.8 </w:t>
            </w:r>
            <w:r>
              <w:rPr>
                <w:rFonts w:hint="eastAsia"/>
                <w:color w:val="000000"/>
                <w:sz w:val="18"/>
                <w:szCs w:val="18"/>
              </w:rPr>
              <w:t>了解稀疏表示和字典学习，理解压缩感知算法。</w:t>
            </w:r>
          </w:p>
        </w:tc>
        <w:tc>
          <w:tcPr>
            <w:tcW w:w="284" w:type="pct"/>
            <w:vAlign w:val="center"/>
          </w:tcPr>
          <w:p>
            <w:pPr>
              <w:spacing w:line="280" w:lineRule="exact"/>
              <w:jc w:val="center"/>
              <w:rPr>
                <w:rFonts w:hint="eastAsia" w:cs="Calibri"/>
                <w:b/>
                <w:color w:val="000000"/>
                <w:sz w:val="18"/>
                <w:szCs w:val="18"/>
              </w:rPr>
            </w:pPr>
            <w:r>
              <w:rPr>
                <w:rFonts w:cs="Calibri"/>
                <w:b/>
                <w:color w:val="000000"/>
                <w:sz w:val="18"/>
                <w:szCs w:val="18"/>
              </w:rPr>
              <w:t>12</w:t>
            </w:r>
          </w:p>
        </w:tc>
        <w:tc>
          <w:tcPr>
            <w:tcW w:w="314" w:type="pct"/>
            <w:vAlign w:val="center"/>
          </w:tcPr>
          <w:p>
            <w:pPr>
              <w:spacing w:line="280" w:lineRule="exact"/>
              <w:jc w:val="center"/>
              <w:rPr>
                <w:rFonts w:cs="Calibri"/>
                <w:b/>
                <w:color w:val="000000"/>
                <w:sz w:val="18"/>
                <w:szCs w:val="18"/>
              </w:rPr>
            </w:pPr>
            <w:r>
              <w:rPr>
                <w:rFonts w:hint="eastAsia" w:cs="Calibri"/>
                <w:b/>
                <w:color w:val="000000"/>
                <w:sz w:val="18"/>
                <w:szCs w:val="18"/>
              </w:rPr>
              <w:t>2</w:t>
            </w:r>
          </w:p>
        </w:tc>
        <w:tc>
          <w:tcPr>
            <w:tcW w:w="303" w:type="pct"/>
            <w:vAlign w:val="center"/>
          </w:tcPr>
          <w:p>
            <w:pPr>
              <w:spacing w:line="280" w:lineRule="exact"/>
              <w:jc w:val="center"/>
              <w:rPr>
                <w:rFonts w:hint="eastAsia" w:cs="Calibri"/>
                <w:b/>
                <w:color w:val="000000"/>
                <w:sz w:val="18"/>
                <w:szCs w:val="18"/>
              </w:rPr>
            </w:pPr>
            <w:r>
              <w:rPr>
                <w:rFonts w:cs="Calibri"/>
                <w:b/>
                <w:color w:val="000000"/>
                <w:sz w:val="18"/>
                <w:szCs w:val="18"/>
              </w:rPr>
              <w:t>14</w:t>
            </w:r>
          </w:p>
        </w:tc>
        <w:tc>
          <w:tcPr>
            <w:tcW w:w="332" w:type="pct"/>
            <w:vAlign w:val="center"/>
          </w:tcPr>
          <w:p>
            <w:pPr>
              <w:spacing w:line="280" w:lineRule="exact"/>
              <w:jc w:val="center"/>
              <w:rPr>
                <w:rFonts w:hint="eastAsia" w:cs="Calibri"/>
                <w:b/>
                <w:color w:val="000000"/>
                <w:sz w:val="18"/>
                <w:szCs w:val="18"/>
              </w:rPr>
            </w:pPr>
            <w:r>
              <w:rPr>
                <w:rFonts w:cs="Calibri"/>
                <w:b/>
                <w:color w:val="000000"/>
                <w:sz w:val="18"/>
                <w:szCs w:val="18"/>
              </w:rPr>
              <w:t>1</w:t>
            </w:r>
            <w:r>
              <w:rPr>
                <w:rFonts w:hint="eastAsia" w:cs="Calibri"/>
                <w:b/>
                <w:color w:val="000000"/>
                <w:sz w:val="18"/>
                <w:szCs w:val="18"/>
              </w:rPr>
              <w:t>、</w:t>
            </w:r>
            <w:r>
              <w:rPr>
                <w:rFonts w:cs="Calibri"/>
                <w:b/>
                <w:color w:val="000000"/>
                <w:sz w:val="18"/>
                <w:szCs w:val="18"/>
              </w:rPr>
              <w:t>2</w:t>
            </w:r>
          </w:p>
        </w:tc>
        <w:tc>
          <w:tcPr>
            <w:tcW w:w="339" w:type="pct"/>
            <w:vAlign w:val="center"/>
          </w:tcPr>
          <w:p>
            <w:pPr>
              <w:spacing w:line="280" w:lineRule="exact"/>
              <w:jc w:val="center"/>
              <w:rPr>
                <w:rFonts w:hint="eastAsia" w:cs="Calibri"/>
                <w:b/>
                <w:color w:val="000000"/>
                <w:sz w:val="18"/>
                <w:szCs w:val="18"/>
              </w:rPr>
            </w:pPr>
          </w:p>
          <w:p>
            <w:pPr>
              <w:spacing w:line="280" w:lineRule="exact"/>
              <w:jc w:val="center"/>
              <w:rPr>
                <w:rFonts w:cs="Calibri"/>
                <w:b/>
                <w:color w:val="000000"/>
                <w:sz w:val="18"/>
                <w:szCs w:val="18"/>
              </w:rPr>
            </w:pPr>
            <w:r>
              <w:rPr>
                <w:rFonts w:cs="Calibri"/>
                <w:b/>
                <w:color w:val="000000"/>
                <w:sz w:val="18"/>
                <w:szCs w:val="18"/>
              </w:rPr>
              <w:t>1</w:t>
            </w:r>
            <w:r>
              <w:rPr>
                <w:rFonts w:hint="eastAsia" w:cs="Calibri"/>
                <w:b/>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 w:type="pct"/>
            <w:vAlign w:val="center"/>
          </w:tcPr>
          <w:p>
            <w:pPr>
              <w:spacing w:line="280" w:lineRule="exact"/>
              <w:rPr>
                <w:rFonts w:hint="eastAsia"/>
                <w:sz w:val="18"/>
                <w:szCs w:val="18"/>
              </w:rPr>
            </w:pPr>
          </w:p>
          <w:p>
            <w:pPr>
              <w:spacing w:line="280" w:lineRule="exact"/>
              <w:jc w:val="center"/>
              <w:rPr>
                <w:rFonts w:hint="eastAsia"/>
                <w:sz w:val="18"/>
                <w:szCs w:val="18"/>
              </w:rPr>
            </w:pPr>
            <w:r>
              <w:rPr>
                <w:rFonts w:hint="eastAsia"/>
                <w:sz w:val="18"/>
                <w:szCs w:val="18"/>
              </w:rPr>
              <w:t>5</w:t>
            </w:r>
          </w:p>
        </w:tc>
        <w:tc>
          <w:tcPr>
            <w:tcW w:w="3110" w:type="pct"/>
          </w:tcPr>
          <w:p>
            <w:pPr>
              <w:spacing w:line="280" w:lineRule="exact"/>
              <w:rPr>
                <w:rFonts w:hint="eastAsia"/>
                <w:b/>
                <w:bCs/>
                <w:color w:val="000000"/>
                <w:sz w:val="18"/>
                <w:szCs w:val="18"/>
              </w:rPr>
            </w:pPr>
            <w:r>
              <w:rPr>
                <w:b/>
                <w:bCs/>
                <w:color w:val="000000"/>
                <w:sz w:val="18"/>
                <w:szCs w:val="18"/>
              </w:rPr>
              <w:t>5</w:t>
            </w:r>
            <w:r>
              <w:rPr>
                <w:rFonts w:hint="eastAsia"/>
                <w:b/>
                <w:bCs/>
                <w:color w:val="000000"/>
                <w:sz w:val="18"/>
                <w:szCs w:val="18"/>
              </w:rPr>
              <w:t>传统无监督机器学习</w:t>
            </w:r>
          </w:p>
          <w:p>
            <w:pPr>
              <w:spacing w:line="280" w:lineRule="exact"/>
              <w:ind w:firstLine="180" w:firstLineChars="100"/>
              <w:rPr>
                <w:rFonts w:hint="eastAsia"/>
                <w:color w:val="000000"/>
                <w:sz w:val="18"/>
                <w:szCs w:val="18"/>
              </w:rPr>
            </w:pPr>
            <w:r>
              <w:rPr>
                <w:color w:val="000000"/>
                <w:sz w:val="18"/>
                <w:szCs w:val="18"/>
              </w:rPr>
              <w:t>5</w:t>
            </w:r>
            <w:r>
              <w:rPr>
                <w:rFonts w:hint="eastAsia"/>
                <w:color w:val="000000"/>
                <w:sz w:val="18"/>
                <w:szCs w:val="18"/>
              </w:rPr>
              <w:t>.1、了解聚类的基本概念，包括相似度、类等，了解层次聚类，理解并初步掌握</w:t>
            </w:r>
            <w:r>
              <w:rPr>
                <w:color w:val="000000"/>
                <w:sz w:val="18"/>
                <w:szCs w:val="18"/>
              </w:rPr>
              <w:t>k</w:t>
            </w:r>
            <w:r>
              <w:rPr>
                <w:rFonts w:hint="eastAsia"/>
                <w:color w:val="000000"/>
                <w:sz w:val="18"/>
                <w:szCs w:val="18"/>
              </w:rPr>
              <w:t>均值聚类算法；</w:t>
            </w:r>
          </w:p>
          <w:p>
            <w:pPr>
              <w:spacing w:line="280" w:lineRule="exact"/>
              <w:ind w:firstLine="180" w:firstLineChars="100"/>
              <w:rPr>
                <w:rFonts w:hint="eastAsia"/>
                <w:color w:val="000000"/>
                <w:sz w:val="18"/>
                <w:szCs w:val="18"/>
              </w:rPr>
            </w:pPr>
            <w:r>
              <w:rPr>
                <w:color w:val="000000"/>
                <w:sz w:val="18"/>
                <w:szCs w:val="18"/>
              </w:rPr>
              <w:t>5</w:t>
            </w:r>
            <w:r>
              <w:rPr>
                <w:rFonts w:hint="eastAsia"/>
                <w:color w:val="000000"/>
                <w:sz w:val="18"/>
                <w:szCs w:val="18"/>
              </w:rPr>
              <w:t>.2、了解主成分分析的概念，理解总体主成分分析和样本主成分分析的基本原理。</w:t>
            </w:r>
          </w:p>
        </w:tc>
        <w:tc>
          <w:tcPr>
            <w:tcW w:w="284" w:type="pct"/>
            <w:vAlign w:val="center"/>
          </w:tcPr>
          <w:p>
            <w:pPr>
              <w:spacing w:line="280" w:lineRule="exact"/>
              <w:jc w:val="center"/>
              <w:rPr>
                <w:rFonts w:cs="Calibri"/>
                <w:b/>
                <w:color w:val="000000"/>
                <w:sz w:val="18"/>
                <w:szCs w:val="18"/>
              </w:rPr>
            </w:pPr>
            <w:r>
              <w:rPr>
                <w:rFonts w:hint="eastAsia" w:cs="Calibri"/>
                <w:b/>
                <w:color w:val="000000"/>
                <w:sz w:val="18"/>
                <w:szCs w:val="18"/>
              </w:rPr>
              <w:t>4</w:t>
            </w:r>
          </w:p>
        </w:tc>
        <w:tc>
          <w:tcPr>
            <w:tcW w:w="314" w:type="pct"/>
            <w:vAlign w:val="center"/>
          </w:tcPr>
          <w:p>
            <w:pPr>
              <w:spacing w:line="280" w:lineRule="exact"/>
              <w:jc w:val="center"/>
              <w:rPr>
                <w:rFonts w:cs="Calibri"/>
                <w:b/>
                <w:color w:val="000000"/>
                <w:sz w:val="18"/>
                <w:szCs w:val="18"/>
              </w:rPr>
            </w:pPr>
          </w:p>
        </w:tc>
        <w:tc>
          <w:tcPr>
            <w:tcW w:w="303" w:type="pct"/>
            <w:vAlign w:val="center"/>
          </w:tcPr>
          <w:p>
            <w:pPr>
              <w:spacing w:line="280" w:lineRule="exact"/>
              <w:jc w:val="center"/>
              <w:rPr>
                <w:rFonts w:cs="Calibri"/>
                <w:b/>
                <w:color w:val="000000"/>
                <w:sz w:val="18"/>
                <w:szCs w:val="18"/>
              </w:rPr>
            </w:pPr>
            <w:r>
              <w:rPr>
                <w:rFonts w:hint="eastAsia" w:cs="Calibri"/>
                <w:b/>
                <w:color w:val="000000"/>
                <w:sz w:val="18"/>
                <w:szCs w:val="18"/>
              </w:rPr>
              <w:t>4</w:t>
            </w:r>
          </w:p>
        </w:tc>
        <w:tc>
          <w:tcPr>
            <w:tcW w:w="332" w:type="pct"/>
            <w:vAlign w:val="center"/>
          </w:tcPr>
          <w:p>
            <w:pPr>
              <w:spacing w:line="280" w:lineRule="exact"/>
              <w:jc w:val="center"/>
              <w:rPr>
                <w:rFonts w:hint="eastAsia" w:cs="Calibri"/>
                <w:b/>
                <w:color w:val="000000"/>
                <w:sz w:val="18"/>
                <w:szCs w:val="18"/>
              </w:rPr>
            </w:pPr>
            <w:r>
              <w:rPr>
                <w:rFonts w:cs="Calibri"/>
                <w:b/>
                <w:color w:val="000000"/>
                <w:sz w:val="18"/>
                <w:szCs w:val="18"/>
              </w:rPr>
              <w:t>1</w:t>
            </w:r>
            <w:r>
              <w:rPr>
                <w:rFonts w:hint="eastAsia" w:cs="Calibri"/>
                <w:b/>
                <w:color w:val="000000"/>
                <w:sz w:val="18"/>
                <w:szCs w:val="18"/>
              </w:rPr>
              <w:t>、</w:t>
            </w:r>
            <w:r>
              <w:rPr>
                <w:rFonts w:cs="Calibri"/>
                <w:b/>
                <w:color w:val="000000"/>
                <w:sz w:val="18"/>
                <w:szCs w:val="18"/>
              </w:rPr>
              <w:t>2</w:t>
            </w:r>
          </w:p>
        </w:tc>
        <w:tc>
          <w:tcPr>
            <w:tcW w:w="339" w:type="pct"/>
            <w:vAlign w:val="center"/>
          </w:tcPr>
          <w:p>
            <w:pPr>
              <w:spacing w:line="280" w:lineRule="exact"/>
              <w:rPr>
                <w:rFonts w:hint="eastAsia" w:cs="Calibri"/>
                <w:b/>
                <w:color w:val="000000"/>
                <w:sz w:val="18"/>
                <w:szCs w:val="18"/>
              </w:rPr>
            </w:pPr>
          </w:p>
          <w:p>
            <w:pPr>
              <w:spacing w:line="280" w:lineRule="exact"/>
              <w:jc w:val="center"/>
              <w:rPr>
                <w:rFonts w:cs="Calibri"/>
                <w:b/>
                <w:color w:val="000000"/>
                <w:sz w:val="18"/>
                <w:szCs w:val="18"/>
              </w:rPr>
            </w:pPr>
            <w:r>
              <w:rPr>
                <w:rFonts w:cs="Calibri"/>
                <w:b/>
                <w:color w:val="000000"/>
                <w:sz w:val="18"/>
                <w:szCs w:val="18"/>
              </w:rPr>
              <w:t>1</w:t>
            </w:r>
            <w:r>
              <w:rPr>
                <w:rFonts w:hint="eastAsia" w:cs="Calibri"/>
                <w:b/>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 w:type="pct"/>
            <w:vAlign w:val="center"/>
          </w:tcPr>
          <w:p>
            <w:pPr>
              <w:spacing w:line="280" w:lineRule="exact"/>
              <w:ind w:firstLine="180" w:firstLineChars="100"/>
              <w:rPr>
                <w:rFonts w:hint="eastAsia"/>
                <w:sz w:val="18"/>
                <w:szCs w:val="18"/>
              </w:rPr>
            </w:pPr>
            <w:r>
              <w:rPr>
                <w:rFonts w:hint="eastAsia"/>
                <w:sz w:val="18"/>
                <w:szCs w:val="18"/>
              </w:rPr>
              <w:t>6</w:t>
            </w:r>
          </w:p>
        </w:tc>
        <w:tc>
          <w:tcPr>
            <w:tcW w:w="3110" w:type="pct"/>
          </w:tcPr>
          <w:p>
            <w:pPr>
              <w:spacing w:line="280" w:lineRule="exact"/>
              <w:rPr>
                <w:rFonts w:hint="eastAsia"/>
                <w:b/>
                <w:bCs/>
                <w:color w:val="000000"/>
                <w:sz w:val="18"/>
                <w:szCs w:val="18"/>
              </w:rPr>
            </w:pPr>
            <w:r>
              <w:rPr>
                <w:b/>
                <w:bCs/>
                <w:color w:val="000000"/>
                <w:sz w:val="18"/>
                <w:szCs w:val="18"/>
              </w:rPr>
              <w:t>6</w:t>
            </w:r>
            <w:r>
              <w:rPr>
                <w:rFonts w:hint="eastAsia"/>
                <w:b/>
                <w:bCs/>
                <w:color w:val="000000"/>
                <w:sz w:val="18"/>
                <w:szCs w:val="18"/>
              </w:rPr>
              <w:t xml:space="preserve"> 神经网络与深度学习</w:t>
            </w:r>
          </w:p>
          <w:p>
            <w:pPr>
              <w:spacing w:line="280" w:lineRule="exact"/>
              <w:rPr>
                <w:rFonts w:hint="eastAsia"/>
                <w:color w:val="000000"/>
                <w:sz w:val="18"/>
                <w:szCs w:val="18"/>
              </w:rPr>
            </w:pPr>
            <w:bookmarkStart w:id="74" w:name="OLE_LINK3"/>
            <w:r>
              <w:rPr>
                <w:color w:val="000000"/>
                <w:sz w:val="18"/>
                <w:szCs w:val="18"/>
              </w:rPr>
              <w:t>6</w:t>
            </w:r>
            <w:r>
              <w:rPr>
                <w:rFonts w:hint="eastAsia"/>
                <w:color w:val="000000"/>
                <w:sz w:val="18"/>
                <w:szCs w:val="18"/>
              </w:rPr>
              <w:t>.1、了解神经网络的基本概念，包括神经元模型、感知机、误差逆传播算法等；</w:t>
            </w:r>
          </w:p>
          <w:p>
            <w:pPr>
              <w:spacing w:line="280" w:lineRule="exact"/>
              <w:rPr>
                <w:color w:val="000000"/>
                <w:sz w:val="18"/>
                <w:szCs w:val="18"/>
              </w:rPr>
            </w:pPr>
            <w:r>
              <w:rPr>
                <w:color w:val="000000"/>
                <w:sz w:val="18"/>
                <w:szCs w:val="18"/>
              </w:rPr>
              <w:t>6</w:t>
            </w:r>
            <w:r>
              <w:rPr>
                <w:rFonts w:hint="eastAsia"/>
                <w:color w:val="000000"/>
                <w:sz w:val="18"/>
                <w:szCs w:val="18"/>
              </w:rPr>
              <w:t>.2、理解并初步掌握卷积神经网络模型；</w:t>
            </w:r>
          </w:p>
          <w:bookmarkEnd w:id="74"/>
          <w:p>
            <w:pPr>
              <w:spacing w:line="280" w:lineRule="exact"/>
              <w:rPr>
                <w:color w:val="000000"/>
                <w:sz w:val="18"/>
                <w:szCs w:val="18"/>
              </w:rPr>
            </w:pPr>
            <w:r>
              <w:rPr>
                <w:color w:val="000000"/>
                <w:sz w:val="18"/>
                <w:szCs w:val="18"/>
              </w:rPr>
              <w:t>6.3</w:t>
            </w:r>
            <w:r>
              <w:rPr>
                <w:rFonts w:hint="eastAsia"/>
                <w:color w:val="000000"/>
                <w:sz w:val="18"/>
                <w:szCs w:val="18"/>
              </w:rPr>
              <w:t>、理解循环神经网络概念，并掌握典型的L</w:t>
            </w:r>
            <w:r>
              <w:rPr>
                <w:color w:val="000000"/>
                <w:sz w:val="18"/>
                <w:szCs w:val="18"/>
              </w:rPr>
              <w:t>STM</w:t>
            </w:r>
            <w:r>
              <w:rPr>
                <w:rFonts w:hint="eastAsia"/>
                <w:color w:val="000000"/>
                <w:sz w:val="18"/>
                <w:szCs w:val="18"/>
              </w:rPr>
              <w:t>网络模型；</w:t>
            </w:r>
          </w:p>
          <w:p>
            <w:pPr>
              <w:spacing w:line="280" w:lineRule="exact"/>
              <w:rPr>
                <w:color w:val="000000"/>
                <w:sz w:val="18"/>
                <w:szCs w:val="18"/>
              </w:rPr>
            </w:pPr>
            <w:r>
              <w:rPr>
                <w:color w:val="000000"/>
                <w:sz w:val="18"/>
                <w:szCs w:val="18"/>
              </w:rPr>
              <w:t>6.4</w:t>
            </w:r>
            <w:r>
              <w:rPr>
                <w:rFonts w:hint="eastAsia"/>
                <w:color w:val="000000"/>
                <w:sz w:val="18"/>
                <w:szCs w:val="18"/>
              </w:rPr>
              <w:t>、了解常见的神经网络优化与正则化方法；</w:t>
            </w:r>
          </w:p>
          <w:p>
            <w:pPr>
              <w:spacing w:line="280" w:lineRule="exact"/>
              <w:rPr>
                <w:color w:val="000000"/>
                <w:sz w:val="18"/>
                <w:szCs w:val="18"/>
              </w:rPr>
            </w:pPr>
            <w:r>
              <w:rPr>
                <w:rFonts w:hint="eastAsia"/>
                <w:color w:val="000000"/>
                <w:sz w:val="18"/>
                <w:szCs w:val="18"/>
              </w:rPr>
              <w:t>6</w:t>
            </w:r>
            <w:r>
              <w:rPr>
                <w:color w:val="000000"/>
                <w:sz w:val="18"/>
                <w:szCs w:val="18"/>
              </w:rPr>
              <w:t>.5</w:t>
            </w:r>
            <w:r>
              <w:rPr>
                <w:rFonts w:hint="eastAsia"/>
                <w:color w:val="000000"/>
                <w:sz w:val="18"/>
                <w:szCs w:val="18"/>
              </w:rPr>
              <w:t>、了解典型的无监督神经网络模型；</w:t>
            </w:r>
          </w:p>
          <w:p>
            <w:pPr>
              <w:spacing w:line="280" w:lineRule="exact"/>
              <w:rPr>
                <w:rFonts w:hint="eastAsia"/>
                <w:b/>
                <w:bCs/>
                <w:color w:val="000000"/>
                <w:sz w:val="18"/>
                <w:szCs w:val="18"/>
              </w:rPr>
            </w:pPr>
            <w:r>
              <w:rPr>
                <w:rFonts w:hint="eastAsia"/>
                <w:color w:val="000000"/>
                <w:sz w:val="18"/>
                <w:szCs w:val="18"/>
              </w:rPr>
              <w:t>6</w:t>
            </w:r>
            <w:r>
              <w:rPr>
                <w:color w:val="000000"/>
                <w:sz w:val="18"/>
                <w:szCs w:val="18"/>
              </w:rPr>
              <w:t>.6</w:t>
            </w:r>
            <w:r>
              <w:rPr>
                <w:rFonts w:hint="eastAsia"/>
                <w:color w:val="000000"/>
                <w:sz w:val="18"/>
                <w:szCs w:val="18"/>
              </w:rPr>
              <w:t>、了解深度学习热点，包括多任务学习、迁移学习、终生学习、小样本学习、元学习、对抗生成网络等。</w:t>
            </w:r>
          </w:p>
        </w:tc>
        <w:tc>
          <w:tcPr>
            <w:tcW w:w="284" w:type="pct"/>
            <w:vAlign w:val="center"/>
          </w:tcPr>
          <w:p>
            <w:pPr>
              <w:spacing w:line="280" w:lineRule="exact"/>
              <w:jc w:val="center"/>
              <w:rPr>
                <w:rFonts w:hint="eastAsia" w:cs="Calibri"/>
                <w:b/>
                <w:color w:val="000000"/>
                <w:sz w:val="18"/>
                <w:szCs w:val="18"/>
              </w:rPr>
            </w:pPr>
            <w:r>
              <w:rPr>
                <w:rFonts w:hint="eastAsia" w:cs="Calibri"/>
                <w:b/>
                <w:color w:val="000000"/>
                <w:sz w:val="18"/>
                <w:szCs w:val="18"/>
              </w:rPr>
              <w:t>1</w:t>
            </w:r>
            <w:r>
              <w:rPr>
                <w:rFonts w:cs="Calibri"/>
                <w:b/>
                <w:color w:val="000000"/>
                <w:sz w:val="18"/>
                <w:szCs w:val="18"/>
              </w:rPr>
              <w:t>0</w:t>
            </w:r>
          </w:p>
        </w:tc>
        <w:tc>
          <w:tcPr>
            <w:tcW w:w="314" w:type="pct"/>
            <w:vAlign w:val="center"/>
          </w:tcPr>
          <w:p>
            <w:pPr>
              <w:spacing w:line="280" w:lineRule="exact"/>
              <w:jc w:val="center"/>
              <w:rPr>
                <w:rFonts w:cs="Calibri"/>
                <w:b/>
                <w:color w:val="000000"/>
                <w:sz w:val="18"/>
                <w:szCs w:val="18"/>
              </w:rPr>
            </w:pPr>
            <w:r>
              <w:rPr>
                <w:rFonts w:hint="eastAsia" w:cs="Calibri"/>
                <w:b/>
                <w:color w:val="000000"/>
                <w:sz w:val="18"/>
                <w:szCs w:val="18"/>
              </w:rPr>
              <w:t>2</w:t>
            </w:r>
          </w:p>
        </w:tc>
        <w:tc>
          <w:tcPr>
            <w:tcW w:w="303" w:type="pct"/>
            <w:vAlign w:val="center"/>
          </w:tcPr>
          <w:p>
            <w:pPr>
              <w:spacing w:line="280" w:lineRule="exact"/>
              <w:jc w:val="center"/>
              <w:rPr>
                <w:rFonts w:cs="Calibri"/>
                <w:b/>
                <w:color w:val="000000"/>
                <w:sz w:val="18"/>
                <w:szCs w:val="18"/>
              </w:rPr>
            </w:pPr>
            <w:r>
              <w:rPr>
                <w:rFonts w:hint="eastAsia" w:cs="Calibri"/>
                <w:b/>
                <w:color w:val="000000"/>
                <w:sz w:val="18"/>
                <w:szCs w:val="18"/>
              </w:rPr>
              <w:t>1</w:t>
            </w:r>
            <w:r>
              <w:rPr>
                <w:rFonts w:cs="Calibri"/>
                <w:b/>
                <w:color w:val="000000"/>
                <w:sz w:val="18"/>
                <w:szCs w:val="18"/>
              </w:rPr>
              <w:t>2</w:t>
            </w:r>
          </w:p>
        </w:tc>
        <w:tc>
          <w:tcPr>
            <w:tcW w:w="332" w:type="pct"/>
            <w:vAlign w:val="center"/>
          </w:tcPr>
          <w:p>
            <w:pPr>
              <w:spacing w:line="280" w:lineRule="exact"/>
              <w:jc w:val="center"/>
              <w:rPr>
                <w:rFonts w:hint="eastAsia" w:cs="Calibri"/>
                <w:b/>
                <w:color w:val="000000"/>
                <w:sz w:val="18"/>
                <w:szCs w:val="18"/>
              </w:rPr>
            </w:pPr>
            <w:r>
              <w:rPr>
                <w:rFonts w:cs="Calibri"/>
                <w:b/>
                <w:color w:val="000000"/>
                <w:sz w:val="18"/>
                <w:szCs w:val="18"/>
              </w:rPr>
              <w:t>1</w:t>
            </w:r>
            <w:r>
              <w:rPr>
                <w:rFonts w:hint="eastAsia" w:cs="Calibri"/>
                <w:b/>
                <w:color w:val="000000"/>
                <w:sz w:val="18"/>
                <w:szCs w:val="18"/>
              </w:rPr>
              <w:t>、</w:t>
            </w:r>
            <w:r>
              <w:rPr>
                <w:rFonts w:cs="Calibri"/>
                <w:b/>
                <w:color w:val="000000"/>
                <w:sz w:val="18"/>
                <w:szCs w:val="18"/>
              </w:rPr>
              <w:t>2</w:t>
            </w:r>
          </w:p>
        </w:tc>
        <w:tc>
          <w:tcPr>
            <w:tcW w:w="339" w:type="pct"/>
            <w:vAlign w:val="center"/>
          </w:tcPr>
          <w:p>
            <w:pPr>
              <w:spacing w:line="280" w:lineRule="exact"/>
              <w:jc w:val="center"/>
              <w:rPr>
                <w:rFonts w:hint="eastAsia" w:cs="Calibri"/>
                <w:b/>
                <w:color w:val="000000"/>
                <w:sz w:val="18"/>
                <w:szCs w:val="18"/>
              </w:rPr>
            </w:pPr>
          </w:p>
          <w:p>
            <w:pPr>
              <w:spacing w:line="280" w:lineRule="exact"/>
              <w:jc w:val="center"/>
              <w:rPr>
                <w:rFonts w:cs="Calibri"/>
                <w:b/>
                <w:color w:val="000000"/>
                <w:sz w:val="18"/>
                <w:szCs w:val="18"/>
              </w:rPr>
            </w:pPr>
            <w:r>
              <w:rPr>
                <w:rFonts w:cs="Calibri"/>
                <w:b/>
                <w:color w:val="000000"/>
                <w:sz w:val="18"/>
                <w:szCs w:val="18"/>
              </w:rPr>
              <w:t>1</w:t>
            </w:r>
            <w:r>
              <w:rPr>
                <w:rFonts w:hint="eastAsia" w:cs="Calibri"/>
                <w:b/>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 w:type="pct"/>
            <w:vAlign w:val="center"/>
          </w:tcPr>
          <w:p>
            <w:pPr>
              <w:spacing w:line="280" w:lineRule="exact"/>
              <w:ind w:firstLine="180" w:firstLineChars="100"/>
              <w:rPr>
                <w:rFonts w:hint="eastAsia"/>
                <w:sz w:val="18"/>
                <w:szCs w:val="18"/>
              </w:rPr>
            </w:pPr>
            <w:r>
              <w:rPr>
                <w:rFonts w:hint="eastAsia"/>
                <w:sz w:val="18"/>
                <w:szCs w:val="18"/>
              </w:rPr>
              <w:t>7</w:t>
            </w:r>
          </w:p>
        </w:tc>
        <w:tc>
          <w:tcPr>
            <w:tcW w:w="3110" w:type="pct"/>
          </w:tcPr>
          <w:p>
            <w:pPr>
              <w:spacing w:line="280" w:lineRule="exact"/>
              <w:rPr>
                <w:b/>
                <w:bCs/>
                <w:color w:val="000000"/>
                <w:sz w:val="18"/>
                <w:szCs w:val="18"/>
              </w:rPr>
            </w:pPr>
            <w:r>
              <w:rPr>
                <w:b/>
                <w:bCs/>
                <w:color w:val="000000"/>
                <w:sz w:val="18"/>
                <w:szCs w:val="18"/>
              </w:rPr>
              <w:t>7</w:t>
            </w:r>
            <w:r>
              <w:rPr>
                <w:rFonts w:hint="eastAsia"/>
                <w:b/>
                <w:bCs/>
                <w:color w:val="000000"/>
                <w:sz w:val="18"/>
                <w:szCs w:val="18"/>
              </w:rPr>
              <w:t xml:space="preserve"> 深度强化学习</w:t>
            </w:r>
          </w:p>
          <w:p>
            <w:pPr>
              <w:spacing w:line="280" w:lineRule="exact"/>
              <w:rPr>
                <w:rFonts w:hint="eastAsia"/>
                <w:color w:val="000000"/>
                <w:sz w:val="18"/>
                <w:szCs w:val="18"/>
              </w:rPr>
            </w:pPr>
            <w:r>
              <w:rPr>
                <w:color w:val="000000"/>
                <w:sz w:val="18"/>
                <w:szCs w:val="18"/>
              </w:rPr>
              <w:t>7</w:t>
            </w:r>
            <w:r>
              <w:rPr>
                <w:rFonts w:hint="eastAsia"/>
                <w:color w:val="000000"/>
                <w:sz w:val="18"/>
                <w:szCs w:val="18"/>
              </w:rPr>
              <w:t>.1、了解强化学习的基本概念，包括策略、奖赏、回报、值函数、贝尔曼方程等；</w:t>
            </w:r>
          </w:p>
          <w:p>
            <w:pPr>
              <w:spacing w:line="280" w:lineRule="exact"/>
              <w:rPr>
                <w:rFonts w:hint="eastAsia"/>
                <w:color w:val="000000"/>
                <w:sz w:val="18"/>
                <w:szCs w:val="18"/>
              </w:rPr>
            </w:pPr>
            <w:r>
              <w:rPr>
                <w:color w:val="000000"/>
                <w:sz w:val="18"/>
                <w:szCs w:val="18"/>
              </w:rPr>
              <w:t>7</w:t>
            </w:r>
            <w:r>
              <w:rPr>
                <w:rFonts w:hint="eastAsia"/>
                <w:color w:val="000000"/>
                <w:sz w:val="18"/>
                <w:szCs w:val="18"/>
              </w:rPr>
              <w:t>.2、理解并掌握深度强化学习的基本算法，包括</w:t>
            </w:r>
            <w:r>
              <w:rPr>
                <w:color w:val="000000"/>
                <w:sz w:val="18"/>
                <w:szCs w:val="18"/>
              </w:rPr>
              <w:t>Q-learning</w:t>
            </w:r>
            <w:r>
              <w:rPr>
                <w:rFonts w:hint="eastAsia"/>
                <w:color w:val="000000"/>
                <w:sz w:val="18"/>
                <w:szCs w:val="18"/>
              </w:rPr>
              <w:t>、actor-critic方法。</w:t>
            </w:r>
          </w:p>
        </w:tc>
        <w:tc>
          <w:tcPr>
            <w:tcW w:w="284" w:type="pct"/>
            <w:vAlign w:val="center"/>
          </w:tcPr>
          <w:p>
            <w:pPr>
              <w:spacing w:line="280" w:lineRule="exact"/>
              <w:jc w:val="center"/>
              <w:rPr>
                <w:rFonts w:hint="eastAsia" w:cs="Calibri"/>
                <w:b/>
                <w:color w:val="000000"/>
                <w:sz w:val="18"/>
                <w:szCs w:val="18"/>
              </w:rPr>
            </w:pPr>
            <w:r>
              <w:rPr>
                <w:rFonts w:hint="eastAsia" w:cs="Calibri"/>
                <w:b/>
                <w:color w:val="000000"/>
                <w:sz w:val="18"/>
                <w:szCs w:val="18"/>
              </w:rPr>
              <w:t>4</w:t>
            </w:r>
          </w:p>
        </w:tc>
        <w:tc>
          <w:tcPr>
            <w:tcW w:w="314" w:type="pct"/>
            <w:vAlign w:val="center"/>
          </w:tcPr>
          <w:p>
            <w:pPr>
              <w:spacing w:line="280" w:lineRule="exact"/>
              <w:jc w:val="center"/>
              <w:rPr>
                <w:rFonts w:cs="Calibri"/>
                <w:b/>
                <w:color w:val="000000"/>
                <w:sz w:val="18"/>
                <w:szCs w:val="18"/>
              </w:rPr>
            </w:pPr>
            <w:r>
              <w:rPr>
                <w:rFonts w:hint="eastAsia" w:cs="Calibri"/>
                <w:b/>
                <w:color w:val="000000"/>
                <w:sz w:val="18"/>
                <w:szCs w:val="18"/>
              </w:rPr>
              <w:t>2</w:t>
            </w:r>
          </w:p>
        </w:tc>
        <w:tc>
          <w:tcPr>
            <w:tcW w:w="303" w:type="pct"/>
            <w:vAlign w:val="center"/>
          </w:tcPr>
          <w:p>
            <w:pPr>
              <w:spacing w:line="280" w:lineRule="exact"/>
              <w:jc w:val="center"/>
              <w:rPr>
                <w:rFonts w:cs="Calibri"/>
                <w:b/>
                <w:color w:val="000000"/>
                <w:sz w:val="18"/>
                <w:szCs w:val="18"/>
              </w:rPr>
            </w:pPr>
            <w:r>
              <w:rPr>
                <w:rFonts w:hint="eastAsia" w:cs="Calibri"/>
                <w:b/>
                <w:color w:val="000000"/>
                <w:sz w:val="18"/>
                <w:szCs w:val="18"/>
              </w:rPr>
              <w:t>6</w:t>
            </w:r>
          </w:p>
        </w:tc>
        <w:tc>
          <w:tcPr>
            <w:tcW w:w="332" w:type="pct"/>
            <w:vAlign w:val="center"/>
          </w:tcPr>
          <w:p>
            <w:pPr>
              <w:spacing w:line="280" w:lineRule="exact"/>
              <w:jc w:val="center"/>
              <w:rPr>
                <w:rFonts w:hint="eastAsia" w:cs="Calibri"/>
                <w:b/>
                <w:color w:val="000000"/>
                <w:sz w:val="18"/>
                <w:szCs w:val="18"/>
              </w:rPr>
            </w:pPr>
            <w:r>
              <w:rPr>
                <w:rFonts w:cs="Calibri"/>
                <w:b/>
                <w:color w:val="000000"/>
                <w:sz w:val="18"/>
                <w:szCs w:val="18"/>
              </w:rPr>
              <w:t>1</w:t>
            </w:r>
            <w:r>
              <w:rPr>
                <w:rFonts w:hint="eastAsia" w:cs="Calibri"/>
                <w:b/>
                <w:color w:val="000000"/>
                <w:sz w:val="18"/>
                <w:szCs w:val="18"/>
              </w:rPr>
              <w:t>、</w:t>
            </w:r>
            <w:r>
              <w:rPr>
                <w:rFonts w:cs="Calibri"/>
                <w:b/>
                <w:color w:val="000000"/>
                <w:sz w:val="18"/>
                <w:szCs w:val="18"/>
              </w:rPr>
              <w:t>2</w:t>
            </w:r>
          </w:p>
        </w:tc>
        <w:tc>
          <w:tcPr>
            <w:tcW w:w="339" w:type="pct"/>
            <w:vAlign w:val="center"/>
          </w:tcPr>
          <w:p>
            <w:pPr>
              <w:spacing w:line="280" w:lineRule="exact"/>
              <w:jc w:val="center"/>
              <w:rPr>
                <w:rFonts w:hint="eastAsia" w:cs="Calibri"/>
                <w:b/>
                <w:color w:val="000000"/>
                <w:sz w:val="18"/>
                <w:szCs w:val="18"/>
              </w:rPr>
            </w:pPr>
          </w:p>
          <w:p>
            <w:pPr>
              <w:spacing w:line="280" w:lineRule="exact"/>
              <w:jc w:val="center"/>
              <w:rPr>
                <w:rFonts w:cs="Calibri"/>
                <w:b/>
                <w:color w:val="000000"/>
                <w:sz w:val="18"/>
                <w:szCs w:val="18"/>
              </w:rPr>
            </w:pPr>
            <w:r>
              <w:rPr>
                <w:rFonts w:cs="Calibri"/>
                <w:b/>
                <w:color w:val="000000"/>
                <w:sz w:val="18"/>
                <w:szCs w:val="18"/>
              </w:rPr>
              <w:t>1</w:t>
            </w:r>
            <w:r>
              <w:rPr>
                <w:rFonts w:hint="eastAsia" w:cs="Calibri"/>
                <w:b/>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 w:type="pct"/>
            <w:vAlign w:val="center"/>
          </w:tcPr>
          <w:p>
            <w:pPr>
              <w:spacing w:line="280" w:lineRule="exact"/>
              <w:ind w:firstLine="180" w:firstLineChars="100"/>
              <w:rPr>
                <w:rFonts w:hint="eastAsia"/>
                <w:sz w:val="18"/>
                <w:szCs w:val="18"/>
              </w:rPr>
            </w:pPr>
            <w:r>
              <w:rPr>
                <w:rFonts w:hint="eastAsia"/>
                <w:sz w:val="18"/>
                <w:szCs w:val="18"/>
              </w:rPr>
              <w:t>8</w:t>
            </w:r>
          </w:p>
        </w:tc>
        <w:tc>
          <w:tcPr>
            <w:tcW w:w="3110" w:type="pct"/>
          </w:tcPr>
          <w:p>
            <w:pPr>
              <w:spacing w:line="280" w:lineRule="exact"/>
              <w:rPr>
                <w:b/>
                <w:bCs/>
                <w:color w:val="000000"/>
                <w:sz w:val="18"/>
                <w:szCs w:val="18"/>
              </w:rPr>
            </w:pPr>
            <w:r>
              <w:rPr>
                <w:rFonts w:hint="eastAsia"/>
                <w:b/>
                <w:bCs/>
                <w:color w:val="000000"/>
                <w:sz w:val="18"/>
                <w:szCs w:val="18"/>
              </w:rPr>
              <w:t>8</w:t>
            </w:r>
            <w:r>
              <w:rPr>
                <w:b/>
                <w:bCs/>
                <w:color w:val="000000"/>
                <w:sz w:val="18"/>
                <w:szCs w:val="18"/>
              </w:rPr>
              <w:t xml:space="preserve"> </w:t>
            </w:r>
            <w:r>
              <w:rPr>
                <w:rFonts w:hint="eastAsia"/>
                <w:b/>
                <w:bCs/>
                <w:color w:val="000000"/>
                <w:sz w:val="18"/>
                <w:szCs w:val="18"/>
              </w:rPr>
              <w:t>人工智能典型应用</w:t>
            </w:r>
          </w:p>
          <w:p>
            <w:pPr>
              <w:spacing w:line="280" w:lineRule="exact"/>
              <w:rPr>
                <w:rFonts w:hint="eastAsia"/>
                <w:color w:val="000000"/>
                <w:sz w:val="18"/>
                <w:szCs w:val="18"/>
              </w:rPr>
            </w:pPr>
            <w:r>
              <w:rPr>
                <w:color w:val="000000"/>
                <w:sz w:val="18"/>
                <w:szCs w:val="18"/>
              </w:rPr>
              <w:t>8</w:t>
            </w:r>
            <w:r>
              <w:rPr>
                <w:rFonts w:hint="eastAsia"/>
                <w:color w:val="000000"/>
                <w:sz w:val="18"/>
                <w:szCs w:val="18"/>
              </w:rPr>
              <w:t>.1、了解Python基础，了解基本的深度学习框架，包括Tensorflow、Pytorch等；</w:t>
            </w:r>
          </w:p>
          <w:p>
            <w:pPr>
              <w:spacing w:line="280" w:lineRule="exact"/>
              <w:rPr>
                <w:rFonts w:hint="eastAsia"/>
                <w:b/>
                <w:bCs/>
                <w:color w:val="000000"/>
                <w:sz w:val="18"/>
                <w:szCs w:val="18"/>
              </w:rPr>
            </w:pPr>
            <w:r>
              <w:rPr>
                <w:color w:val="000000"/>
                <w:sz w:val="18"/>
                <w:szCs w:val="18"/>
              </w:rPr>
              <w:t>8</w:t>
            </w:r>
            <w:r>
              <w:rPr>
                <w:rFonts w:hint="eastAsia"/>
                <w:color w:val="000000"/>
                <w:sz w:val="18"/>
                <w:szCs w:val="18"/>
              </w:rPr>
              <w:t>.2、了解人工智能在自然语言处理、语音识别、计算机视觉领域的典型应用算法。</w:t>
            </w:r>
          </w:p>
        </w:tc>
        <w:tc>
          <w:tcPr>
            <w:tcW w:w="284" w:type="pct"/>
            <w:vAlign w:val="center"/>
          </w:tcPr>
          <w:p>
            <w:pPr>
              <w:spacing w:line="280" w:lineRule="exact"/>
              <w:jc w:val="center"/>
              <w:rPr>
                <w:rFonts w:hint="eastAsia" w:cs="Calibri"/>
                <w:b/>
                <w:color w:val="000000"/>
                <w:sz w:val="18"/>
                <w:szCs w:val="18"/>
              </w:rPr>
            </w:pPr>
            <w:r>
              <w:rPr>
                <w:rFonts w:cs="Calibri"/>
                <w:b/>
                <w:color w:val="000000"/>
                <w:sz w:val="18"/>
                <w:szCs w:val="18"/>
              </w:rPr>
              <w:t>2</w:t>
            </w:r>
          </w:p>
        </w:tc>
        <w:tc>
          <w:tcPr>
            <w:tcW w:w="314" w:type="pct"/>
            <w:vAlign w:val="center"/>
          </w:tcPr>
          <w:p>
            <w:pPr>
              <w:spacing w:line="280" w:lineRule="exact"/>
              <w:jc w:val="center"/>
              <w:rPr>
                <w:rFonts w:cs="Calibri"/>
                <w:b/>
                <w:color w:val="000000"/>
                <w:sz w:val="18"/>
                <w:szCs w:val="18"/>
              </w:rPr>
            </w:pPr>
          </w:p>
        </w:tc>
        <w:tc>
          <w:tcPr>
            <w:tcW w:w="303" w:type="pct"/>
            <w:vAlign w:val="center"/>
          </w:tcPr>
          <w:p>
            <w:pPr>
              <w:spacing w:line="280" w:lineRule="exact"/>
              <w:jc w:val="center"/>
              <w:rPr>
                <w:rFonts w:cs="Calibri"/>
                <w:b/>
                <w:color w:val="000000"/>
                <w:sz w:val="18"/>
                <w:szCs w:val="18"/>
              </w:rPr>
            </w:pPr>
            <w:r>
              <w:rPr>
                <w:rFonts w:hint="eastAsia" w:cs="Calibri"/>
                <w:b/>
                <w:color w:val="000000"/>
                <w:sz w:val="18"/>
                <w:szCs w:val="18"/>
              </w:rPr>
              <w:t>2</w:t>
            </w:r>
          </w:p>
        </w:tc>
        <w:tc>
          <w:tcPr>
            <w:tcW w:w="332" w:type="pct"/>
            <w:vAlign w:val="center"/>
          </w:tcPr>
          <w:p>
            <w:pPr>
              <w:spacing w:line="280" w:lineRule="exact"/>
              <w:jc w:val="center"/>
              <w:rPr>
                <w:rFonts w:hint="eastAsia" w:cs="Calibri"/>
                <w:b/>
                <w:color w:val="000000"/>
                <w:sz w:val="18"/>
                <w:szCs w:val="18"/>
              </w:rPr>
            </w:pPr>
            <w:r>
              <w:rPr>
                <w:rFonts w:cs="Calibri"/>
                <w:b/>
                <w:color w:val="000000"/>
                <w:sz w:val="18"/>
                <w:szCs w:val="18"/>
              </w:rPr>
              <w:t>1</w:t>
            </w:r>
            <w:r>
              <w:rPr>
                <w:rFonts w:hint="eastAsia" w:cs="Calibri"/>
                <w:b/>
                <w:color w:val="000000"/>
                <w:sz w:val="18"/>
                <w:szCs w:val="18"/>
              </w:rPr>
              <w:t>、</w:t>
            </w:r>
            <w:r>
              <w:rPr>
                <w:rFonts w:cs="Calibri"/>
                <w:b/>
                <w:color w:val="000000"/>
                <w:sz w:val="18"/>
                <w:szCs w:val="18"/>
              </w:rPr>
              <w:t>2</w:t>
            </w:r>
          </w:p>
        </w:tc>
        <w:tc>
          <w:tcPr>
            <w:tcW w:w="339" w:type="pct"/>
            <w:vAlign w:val="center"/>
          </w:tcPr>
          <w:p>
            <w:pPr>
              <w:spacing w:line="280" w:lineRule="exact"/>
              <w:jc w:val="center"/>
              <w:rPr>
                <w:rFonts w:hint="eastAsia" w:cs="Calibri"/>
                <w:b/>
                <w:color w:val="000000"/>
                <w:sz w:val="18"/>
                <w:szCs w:val="18"/>
              </w:rPr>
            </w:pPr>
            <w:r>
              <w:rPr>
                <w:rFonts w:cs="Calibri"/>
                <w:b/>
                <w:color w:val="000000"/>
                <w:sz w:val="18"/>
                <w:szCs w:val="18"/>
              </w:rPr>
              <w:t>1</w:t>
            </w:r>
            <w:r>
              <w:rPr>
                <w:rFonts w:hint="eastAsia" w:cs="Calibri"/>
                <w:b/>
                <w:color w:val="000000"/>
                <w:sz w:val="18"/>
                <w:szCs w:val="18"/>
              </w:rPr>
              <w:t>-1</w:t>
            </w:r>
          </w:p>
          <w:p>
            <w:pPr>
              <w:spacing w:line="280" w:lineRule="exact"/>
              <w:jc w:val="center"/>
              <w:rPr>
                <w:rFonts w:cs="Calibri"/>
                <w:b/>
                <w:color w:val="000000"/>
                <w:sz w:val="18"/>
                <w:szCs w:val="18"/>
              </w:rPr>
            </w:pPr>
            <w:r>
              <w:rPr>
                <w:rFonts w:cs="Calibri"/>
                <w:b/>
                <w:color w:val="000000"/>
                <w:sz w:val="18"/>
                <w:szCs w:val="18"/>
              </w:rPr>
              <w:t>1</w:t>
            </w:r>
            <w:r>
              <w:rPr>
                <w:rFonts w:hint="eastAsia" w:cs="Calibri"/>
                <w:b/>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318" w:type="pct"/>
            <w:vAlign w:val="center"/>
          </w:tcPr>
          <w:p>
            <w:pPr>
              <w:spacing w:line="280" w:lineRule="exact"/>
              <w:jc w:val="center"/>
              <w:rPr>
                <w:b/>
                <w:sz w:val="18"/>
                <w:szCs w:val="18"/>
              </w:rPr>
            </w:pPr>
            <w:r>
              <w:rPr>
                <w:b/>
                <w:sz w:val="18"/>
                <w:szCs w:val="18"/>
              </w:rPr>
              <w:t>合 计</w:t>
            </w:r>
          </w:p>
        </w:tc>
        <w:tc>
          <w:tcPr>
            <w:tcW w:w="3110" w:type="pct"/>
            <w:vAlign w:val="center"/>
          </w:tcPr>
          <w:p>
            <w:pPr>
              <w:spacing w:line="280" w:lineRule="exact"/>
              <w:jc w:val="center"/>
              <w:rPr>
                <w:rFonts w:cs="Calibri"/>
                <w:b/>
                <w:color w:val="000000"/>
                <w:sz w:val="18"/>
                <w:szCs w:val="18"/>
              </w:rPr>
            </w:pPr>
            <w:r>
              <w:rPr>
                <w:rFonts w:hint="eastAsia" w:cs="Calibri"/>
                <w:b/>
                <w:color w:val="000000"/>
                <w:sz w:val="18"/>
                <w:szCs w:val="18"/>
              </w:rPr>
              <w:t>/</w:t>
            </w:r>
          </w:p>
        </w:tc>
        <w:tc>
          <w:tcPr>
            <w:tcW w:w="284" w:type="pct"/>
            <w:vAlign w:val="center"/>
          </w:tcPr>
          <w:p>
            <w:pPr>
              <w:spacing w:line="280" w:lineRule="exact"/>
              <w:jc w:val="center"/>
              <w:rPr>
                <w:rFonts w:cs="Calibri"/>
                <w:b/>
                <w:color w:val="000000"/>
                <w:sz w:val="18"/>
                <w:szCs w:val="18"/>
              </w:rPr>
            </w:pPr>
            <w:r>
              <w:rPr>
                <w:rFonts w:cs="Calibri"/>
                <w:b/>
                <w:color w:val="000000"/>
                <w:sz w:val="18"/>
                <w:szCs w:val="18"/>
              </w:rPr>
              <w:t>40</w:t>
            </w:r>
          </w:p>
        </w:tc>
        <w:tc>
          <w:tcPr>
            <w:tcW w:w="314" w:type="pct"/>
            <w:vAlign w:val="center"/>
          </w:tcPr>
          <w:p>
            <w:pPr>
              <w:spacing w:line="280" w:lineRule="exact"/>
              <w:jc w:val="center"/>
              <w:rPr>
                <w:rFonts w:cs="Calibri"/>
                <w:b/>
                <w:color w:val="000000"/>
                <w:sz w:val="18"/>
                <w:szCs w:val="18"/>
              </w:rPr>
            </w:pPr>
            <w:r>
              <w:rPr>
                <w:rFonts w:cs="Calibri"/>
                <w:b/>
                <w:color w:val="000000"/>
                <w:sz w:val="18"/>
                <w:szCs w:val="18"/>
              </w:rPr>
              <w:t>8</w:t>
            </w:r>
          </w:p>
        </w:tc>
        <w:tc>
          <w:tcPr>
            <w:tcW w:w="303" w:type="pct"/>
            <w:vAlign w:val="center"/>
          </w:tcPr>
          <w:p>
            <w:pPr>
              <w:spacing w:line="280" w:lineRule="exact"/>
              <w:jc w:val="center"/>
              <w:rPr>
                <w:rFonts w:cs="Calibri"/>
                <w:b/>
                <w:color w:val="000000"/>
                <w:sz w:val="18"/>
                <w:szCs w:val="18"/>
              </w:rPr>
            </w:pPr>
            <w:r>
              <w:rPr>
                <w:rFonts w:cs="Calibri"/>
                <w:b/>
                <w:color w:val="000000"/>
                <w:sz w:val="18"/>
                <w:szCs w:val="18"/>
              </w:rPr>
              <w:t>48</w:t>
            </w:r>
          </w:p>
        </w:tc>
        <w:tc>
          <w:tcPr>
            <w:tcW w:w="332" w:type="pct"/>
            <w:vAlign w:val="center"/>
          </w:tcPr>
          <w:p>
            <w:pPr>
              <w:spacing w:line="280" w:lineRule="exact"/>
              <w:jc w:val="center"/>
              <w:rPr>
                <w:rFonts w:cs="Calibri"/>
                <w:b/>
                <w:color w:val="000000"/>
                <w:sz w:val="18"/>
                <w:szCs w:val="18"/>
              </w:rPr>
            </w:pPr>
            <w:r>
              <w:rPr>
                <w:rFonts w:hint="eastAsia" w:cs="Calibri"/>
                <w:b/>
                <w:color w:val="000000"/>
                <w:sz w:val="18"/>
                <w:szCs w:val="18"/>
              </w:rPr>
              <w:t>/</w:t>
            </w:r>
          </w:p>
        </w:tc>
        <w:tc>
          <w:tcPr>
            <w:tcW w:w="339" w:type="pct"/>
            <w:vAlign w:val="center"/>
          </w:tcPr>
          <w:p>
            <w:pPr>
              <w:spacing w:line="280" w:lineRule="exact"/>
              <w:jc w:val="center"/>
              <w:rPr>
                <w:rFonts w:cs="Calibri"/>
                <w:b/>
                <w:color w:val="000000"/>
                <w:sz w:val="18"/>
                <w:szCs w:val="18"/>
              </w:rPr>
            </w:pPr>
            <w:r>
              <w:rPr>
                <w:rFonts w:hint="eastAsia" w:cs="Calibri"/>
                <w:b/>
                <w:color w:val="000000"/>
                <w:sz w:val="18"/>
                <w:szCs w:val="18"/>
              </w:rPr>
              <w:t>/</w:t>
            </w:r>
          </w:p>
        </w:tc>
      </w:tr>
    </w:tbl>
    <w:p>
      <w:pPr>
        <w:spacing w:before="156" w:beforeLines="50"/>
        <w:jc w:val="center"/>
        <w:rPr>
          <w:rFonts w:hint="eastAsia"/>
          <w:b/>
          <w:bCs/>
          <w:color w:val="000000"/>
          <w:sz w:val="18"/>
          <w:szCs w:val="18"/>
        </w:rPr>
      </w:pPr>
      <w:r>
        <w:rPr>
          <w:rFonts w:hint="eastAsia"/>
          <w:b/>
          <w:bCs/>
          <w:color w:val="000000"/>
          <w:sz w:val="18"/>
          <w:szCs w:val="18"/>
        </w:rPr>
        <w:t>表3.2 课程内容与思政融入点对应关系</w:t>
      </w:r>
    </w:p>
    <w:tbl>
      <w:tblPr>
        <w:tblStyle w:val="19"/>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2"/>
        <w:gridCol w:w="3677"/>
        <w:gridCol w:w="4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7" w:type="pct"/>
            <w:shd w:val="clear" w:color="auto" w:fill="auto"/>
            <w:vAlign w:val="center"/>
          </w:tcPr>
          <w:p>
            <w:pPr>
              <w:spacing w:line="360" w:lineRule="auto"/>
              <w:jc w:val="center"/>
              <w:rPr>
                <w:rFonts w:hint="eastAsia" w:ascii="宋体" w:hAnsi="宋体" w:cs="宋体"/>
                <w:b/>
                <w:kern w:val="0"/>
                <w:sz w:val="18"/>
                <w:szCs w:val="18"/>
              </w:rPr>
            </w:pPr>
            <w:r>
              <w:rPr>
                <w:rFonts w:hint="eastAsia" w:ascii="宋体" w:hAnsi="宋体" w:cs="宋体"/>
                <w:b/>
                <w:kern w:val="0"/>
                <w:sz w:val="18"/>
                <w:szCs w:val="18"/>
              </w:rPr>
              <w:t>序号</w:t>
            </w:r>
          </w:p>
        </w:tc>
        <w:tc>
          <w:tcPr>
            <w:tcW w:w="1980" w:type="pct"/>
            <w:shd w:val="clear" w:color="auto" w:fill="auto"/>
            <w:vAlign w:val="center"/>
          </w:tcPr>
          <w:p>
            <w:pPr>
              <w:spacing w:line="360" w:lineRule="auto"/>
              <w:jc w:val="center"/>
              <w:rPr>
                <w:rFonts w:hint="eastAsia" w:ascii="宋体" w:hAnsi="宋体" w:cs="宋体"/>
                <w:b/>
                <w:kern w:val="0"/>
                <w:sz w:val="18"/>
                <w:szCs w:val="18"/>
              </w:rPr>
            </w:pPr>
            <w:r>
              <w:rPr>
                <w:rFonts w:hint="eastAsia" w:ascii="宋体" w:hAnsi="宋体" w:cs="宋体"/>
                <w:b/>
                <w:kern w:val="0"/>
                <w:sz w:val="18"/>
                <w:szCs w:val="18"/>
              </w:rPr>
              <w:t>知识点</w:t>
            </w:r>
          </w:p>
        </w:tc>
        <w:tc>
          <w:tcPr>
            <w:tcW w:w="2652" w:type="pct"/>
            <w:shd w:val="clear" w:color="auto" w:fill="auto"/>
            <w:vAlign w:val="center"/>
          </w:tcPr>
          <w:p>
            <w:pPr>
              <w:spacing w:line="360" w:lineRule="auto"/>
              <w:jc w:val="center"/>
              <w:rPr>
                <w:rFonts w:hint="eastAsia" w:ascii="宋体" w:hAnsi="宋体" w:cs="宋体"/>
                <w:b/>
                <w:kern w:val="0"/>
                <w:sz w:val="18"/>
                <w:szCs w:val="18"/>
              </w:rPr>
            </w:pPr>
            <w:r>
              <w:rPr>
                <w:rFonts w:hint="eastAsia" w:ascii="宋体" w:hAnsi="宋体" w:cs="宋体"/>
                <w:b/>
                <w:color w:val="000000"/>
                <w:kern w:val="0"/>
                <w:sz w:val="18"/>
                <w:szCs w:val="18"/>
              </w:rPr>
              <w:t>思政融入点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367" w:type="pct"/>
            <w:shd w:val="clear" w:color="auto" w:fill="auto"/>
            <w:vAlign w:val="center"/>
          </w:tcPr>
          <w:p>
            <w:pPr>
              <w:snapToGrid w:val="0"/>
              <w:jc w:val="center"/>
              <w:rPr>
                <w:rFonts w:eastAsia="黑体"/>
                <w:b/>
                <w:kern w:val="0"/>
                <w:sz w:val="20"/>
                <w:szCs w:val="21"/>
              </w:rPr>
            </w:pPr>
            <w:r>
              <w:rPr>
                <w:rFonts w:hint="eastAsia" w:eastAsia="黑体"/>
                <w:b/>
                <w:kern w:val="0"/>
                <w:sz w:val="20"/>
                <w:szCs w:val="21"/>
              </w:rPr>
              <w:t>1</w:t>
            </w:r>
          </w:p>
        </w:tc>
        <w:tc>
          <w:tcPr>
            <w:tcW w:w="1980" w:type="pct"/>
            <w:shd w:val="clear" w:color="auto" w:fill="auto"/>
            <w:vAlign w:val="center"/>
          </w:tcPr>
          <w:p>
            <w:pPr>
              <w:snapToGrid w:val="0"/>
              <w:ind w:left="105" w:leftChars="50"/>
              <w:jc w:val="left"/>
              <w:rPr>
                <w:kern w:val="0"/>
                <w:sz w:val="20"/>
              </w:rPr>
            </w:pPr>
            <w:r>
              <w:rPr>
                <w:rFonts w:hint="eastAsia"/>
                <w:color w:val="000000"/>
                <w:sz w:val="18"/>
                <w:szCs w:val="18"/>
              </w:rPr>
              <w:t>人工智能的发展历程、发展现状及发展方向。</w:t>
            </w:r>
          </w:p>
        </w:tc>
        <w:tc>
          <w:tcPr>
            <w:tcW w:w="2652" w:type="pct"/>
            <w:shd w:val="clear" w:color="auto" w:fill="auto"/>
            <w:vAlign w:val="center"/>
          </w:tcPr>
          <w:p>
            <w:pPr>
              <w:snapToGrid w:val="0"/>
              <w:jc w:val="left"/>
              <w:rPr>
                <w:rFonts w:eastAsia="黑体"/>
                <w:b/>
                <w:kern w:val="0"/>
                <w:sz w:val="20"/>
                <w:szCs w:val="21"/>
              </w:rPr>
            </w:pPr>
            <w:r>
              <w:rPr>
                <w:rFonts w:hint="eastAsia"/>
                <w:color w:val="000000"/>
                <w:sz w:val="18"/>
                <w:szCs w:val="18"/>
              </w:rPr>
              <w:t>通过对比分析国内外发展现状，激发学生的使命感和责任感。通过阐述相关应用需求和背景，提高学生学习的积极性和主动性。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367" w:type="pct"/>
            <w:shd w:val="clear" w:color="auto" w:fill="auto"/>
            <w:vAlign w:val="center"/>
          </w:tcPr>
          <w:p>
            <w:pPr>
              <w:snapToGrid w:val="0"/>
              <w:jc w:val="center"/>
              <w:rPr>
                <w:rFonts w:eastAsia="黑体"/>
                <w:b/>
                <w:kern w:val="0"/>
                <w:sz w:val="20"/>
                <w:szCs w:val="21"/>
              </w:rPr>
            </w:pPr>
            <w:r>
              <w:rPr>
                <w:rFonts w:hint="eastAsia" w:eastAsia="黑体"/>
                <w:b/>
                <w:kern w:val="0"/>
                <w:sz w:val="20"/>
                <w:szCs w:val="21"/>
              </w:rPr>
              <w:t>2</w:t>
            </w:r>
          </w:p>
        </w:tc>
        <w:tc>
          <w:tcPr>
            <w:tcW w:w="1980" w:type="pct"/>
            <w:shd w:val="clear" w:color="auto" w:fill="auto"/>
            <w:vAlign w:val="center"/>
          </w:tcPr>
          <w:p>
            <w:pPr>
              <w:snapToGrid w:val="0"/>
              <w:ind w:left="105" w:leftChars="50"/>
              <w:jc w:val="left"/>
              <w:rPr>
                <w:rFonts w:eastAsia="黑体"/>
                <w:b/>
                <w:kern w:val="0"/>
                <w:sz w:val="20"/>
                <w:szCs w:val="21"/>
              </w:rPr>
            </w:pPr>
            <w:r>
              <w:rPr>
                <w:rFonts w:hint="eastAsia"/>
                <w:color w:val="000000"/>
                <w:sz w:val="18"/>
                <w:szCs w:val="18"/>
              </w:rPr>
              <w:t>人工智能产业发展差距</w:t>
            </w:r>
          </w:p>
        </w:tc>
        <w:tc>
          <w:tcPr>
            <w:tcW w:w="2652" w:type="pct"/>
            <w:shd w:val="clear" w:color="auto" w:fill="auto"/>
            <w:vAlign w:val="center"/>
          </w:tcPr>
          <w:p>
            <w:pPr>
              <w:snapToGrid w:val="0"/>
              <w:jc w:val="left"/>
              <w:rPr>
                <w:rFonts w:eastAsia="黑体"/>
                <w:b/>
                <w:kern w:val="0"/>
                <w:sz w:val="20"/>
                <w:szCs w:val="21"/>
              </w:rPr>
            </w:pPr>
            <w:r>
              <w:rPr>
                <w:rFonts w:hint="eastAsia"/>
                <w:color w:val="000000"/>
                <w:sz w:val="18"/>
                <w:szCs w:val="18"/>
              </w:rPr>
              <w:t>了解自主知识产权人工智能的重要性，激发学生爱国情怀。</w:t>
            </w:r>
          </w:p>
        </w:tc>
      </w:tr>
    </w:tbl>
    <w:p>
      <w:pPr>
        <w:adjustRightInd w:val="0"/>
        <w:snapToGrid w:val="0"/>
        <w:spacing w:before="156" w:beforeLines="50" w:line="360" w:lineRule="auto"/>
        <w:rPr>
          <w:rFonts w:hint="eastAsia"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四、本课程开设的实验项目</w:t>
      </w:r>
    </w:p>
    <w:tbl>
      <w:tblPr>
        <w:tblStyle w:val="19"/>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3929"/>
        <w:gridCol w:w="718"/>
        <w:gridCol w:w="880"/>
        <w:gridCol w:w="833"/>
        <w:gridCol w:w="958"/>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385" w:type="pct"/>
            <w:shd w:val="clear" w:color="auto" w:fill="F2F2F2"/>
            <w:vAlign w:val="center"/>
          </w:tcPr>
          <w:p>
            <w:pPr>
              <w:snapToGrid w:val="0"/>
              <w:jc w:val="center"/>
              <w:rPr>
                <w:b/>
                <w:color w:val="000000"/>
                <w:sz w:val="18"/>
                <w:szCs w:val="18"/>
              </w:rPr>
            </w:pPr>
            <w:r>
              <w:rPr>
                <w:rFonts w:hint="eastAsia"/>
                <w:b/>
                <w:color w:val="000000"/>
                <w:sz w:val="18"/>
                <w:szCs w:val="18"/>
              </w:rPr>
              <w:t>编号</w:t>
            </w:r>
          </w:p>
        </w:tc>
        <w:tc>
          <w:tcPr>
            <w:tcW w:w="2117" w:type="pct"/>
            <w:shd w:val="clear" w:color="auto" w:fill="F2F2F2"/>
            <w:vAlign w:val="center"/>
          </w:tcPr>
          <w:p>
            <w:pPr>
              <w:snapToGrid w:val="0"/>
              <w:jc w:val="center"/>
              <w:rPr>
                <w:b/>
                <w:color w:val="000000"/>
                <w:sz w:val="18"/>
                <w:szCs w:val="18"/>
              </w:rPr>
            </w:pPr>
            <w:r>
              <w:rPr>
                <w:rFonts w:hint="eastAsia"/>
                <w:b/>
                <w:color w:val="000000"/>
                <w:sz w:val="18"/>
                <w:szCs w:val="18"/>
              </w:rPr>
              <w:t>实验项目名称</w:t>
            </w:r>
          </w:p>
        </w:tc>
        <w:tc>
          <w:tcPr>
            <w:tcW w:w="387" w:type="pct"/>
            <w:shd w:val="clear" w:color="auto" w:fill="F2F2F2"/>
            <w:vAlign w:val="center"/>
          </w:tcPr>
          <w:p>
            <w:pPr>
              <w:snapToGrid w:val="0"/>
              <w:jc w:val="center"/>
              <w:rPr>
                <w:b/>
                <w:color w:val="000000"/>
                <w:sz w:val="18"/>
                <w:szCs w:val="18"/>
              </w:rPr>
            </w:pPr>
            <w:r>
              <w:rPr>
                <w:rFonts w:hint="eastAsia"/>
                <w:b/>
                <w:color w:val="000000"/>
                <w:sz w:val="18"/>
                <w:szCs w:val="18"/>
              </w:rPr>
              <w:t>学时</w:t>
            </w:r>
          </w:p>
        </w:tc>
        <w:tc>
          <w:tcPr>
            <w:tcW w:w="474" w:type="pct"/>
            <w:shd w:val="clear" w:color="auto" w:fill="F2F2F2"/>
            <w:vAlign w:val="center"/>
          </w:tcPr>
          <w:p>
            <w:pPr>
              <w:snapToGrid w:val="0"/>
              <w:jc w:val="center"/>
              <w:rPr>
                <w:b/>
                <w:color w:val="000000"/>
                <w:sz w:val="18"/>
                <w:szCs w:val="18"/>
              </w:rPr>
            </w:pPr>
            <w:r>
              <w:rPr>
                <w:rFonts w:hint="eastAsia"/>
                <w:b/>
                <w:color w:val="000000"/>
                <w:sz w:val="18"/>
                <w:szCs w:val="18"/>
              </w:rPr>
              <w:t>类型</w:t>
            </w:r>
          </w:p>
        </w:tc>
        <w:tc>
          <w:tcPr>
            <w:tcW w:w="449" w:type="pct"/>
            <w:shd w:val="clear" w:color="auto" w:fill="F2F2F2"/>
            <w:vAlign w:val="center"/>
          </w:tcPr>
          <w:p>
            <w:pPr>
              <w:snapToGrid w:val="0"/>
              <w:jc w:val="center"/>
              <w:rPr>
                <w:b/>
                <w:color w:val="000000"/>
                <w:sz w:val="18"/>
                <w:szCs w:val="18"/>
              </w:rPr>
            </w:pPr>
            <w:r>
              <w:rPr>
                <w:rFonts w:hint="eastAsia"/>
                <w:b/>
                <w:color w:val="000000"/>
                <w:sz w:val="18"/>
                <w:szCs w:val="18"/>
              </w:rPr>
              <w:t>要求</w:t>
            </w:r>
          </w:p>
        </w:tc>
        <w:tc>
          <w:tcPr>
            <w:tcW w:w="516" w:type="pct"/>
            <w:shd w:val="clear" w:color="auto" w:fill="F2F2F2"/>
            <w:vAlign w:val="center"/>
          </w:tcPr>
          <w:p>
            <w:pPr>
              <w:snapToGrid w:val="0"/>
              <w:jc w:val="center"/>
              <w:rPr>
                <w:b/>
                <w:color w:val="000000"/>
                <w:sz w:val="18"/>
                <w:szCs w:val="18"/>
              </w:rPr>
            </w:pPr>
            <w:r>
              <w:rPr>
                <w:rFonts w:hint="eastAsia"/>
                <w:b/>
                <w:color w:val="000000"/>
                <w:sz w:val="18"/>
                <w:szCs w:val="18"/>
              </w:rPr>
              <w:t>支撑课程目标</w:t>
            </w:r>
          </w:p>
        </w:tc>
        <w:tc>
          <w:tcPr>
            <w:tcW w:w="672" w:type="pct"/>
            <w:shd w:val="clear" w:color="auto" w:fill="F2F2F2"/>
            <w:vAlign w:val="center"/>
          </w:tcPr>
          <w:p>
            <w:pPr>
              <w:snapToGrid w:val="0"/>
              <w:jc w:val="center"/>
              <w:rPr>
                <w:rFonts w:hint="eastAsia"/>
                <w:b/>
                <w:color w:val="000000"/>
                <w:sz w:val="18"/>
                <w:szCs w:val="18"/>
              </w:rPr>
            </w:pPr>
            <w:r>
              <w:rPr>
                <w:rFonts w:hint="eastAsia"/>
                <w:b/>
                <w:color w:val="000000"/>
                <w:sz w:val="18"/>
                <w:szCs w:val="18"/>
              </w:rPr>
              <w:t>支撑的毕业要求指标点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85" w:type="pct"/>
            <w:vAlign w:val="center"/>
          </w:tcPr>
          <w:p>
            <w:pPr>
              <w:snapToGrid w:val="0"/>
              <w:jc w:val="center"/>
              <w:rPr>
                <w:bCs/>
                <w:sz w:val="18"/>
                <w:szCs w:val="18"/>
              </w:rPr>
            </w:pPr>
            <w:r>
              <w:rPr>
                <w:rFonts w:hint="eastAsia"/>
                <w:bCs/>
                <w:sz w:val="18"/>
                <w:szCs w:val="18"/>
              </w:rPr>
              <w:t>1</w:t>
            </w:r>
          </w:p>
        </w:tc>
        <w:tc>
          <w:tcPr>
            <w:tcW w:w="2117" w:type="pct"/>
            <w:vAlign w:val="center"/>
          </w:tcPr>
          <w:p>
            <w:pPr>
              <w:snapToGrid w:val="0"/>
              <w:rPr>
                <w:bCs/>
                <w:sz w:val="18"/>
                <w:szCs w:val="18"/>
              </w:rPr>
            </w:pPr>
            <w:r>
              <w:rPr>
                <w:rFonts w:hint="eastAsia"/>
                <w:bCs/>
                <w:sz w:val="18"/>
                <w:szCs w:val="18"/>
              </w:rPr>
              <w:t>基于遗传算法的搜索寻优算法设计</w:t>
            </w:r>
          </w:p>
        </w:tc>
        <w:tc>
          <w:tcPr>
            <w:tcW w:w="387" w:type="pct"/>
            <w:vAlign w:val="center"/>
          </w:tcPr>
          <w:p>
            <w:pPr>
              <w:snapToGrid w:val="0"/>
              <w:jc w:val="center"/>
              <w:rPr>
                <w:bCs/>
                <w:sz w:val="18"/>
                <w:szCs w:val="18"/>
              </w:rPr>
            </w:pPr>
            <w:r>
              <w:rPr>
                <w:rFonts w:hint="eastAsia"/>
                <w:bCs/>
                <w:sz w:val="18"/>
                <w:szCs w:val="18"/>
              </w:rPr>
              <w:t>2</w:t>
            </w:r>
          </w:p>
        </w:tc>
        <w:tc>
          <w:tcPr>
            <w:tcW w:w="474" w:type="pct"/>
            <w:vAlign w:val="center"/>
          </w:tcPr>
          <w:p>
            <w:pPr>
              <w:snapToGrid w:val="0"/>
              <w:jc w:val="center"/>
              <w:rPr>
                <w:bCs/>
                <w:sz w:val="18"/>
                <w:szCs w:val="18"/>
              </w:rPr>
            </w:pPr>
            <w:r>
              <w:rPr>
                <w:rFonts w:hAnsi="宋体"/>
                <w:bCs/>
                <w:sz w:val="18"/>
                <w:szCs w:val="18"/>
              </w:rPr>
              <w:t>验证性</w:t>
            </w:r>
          </w:p>
        </w:tc>
        <w:tc>
          <w:tcPr>
            <w:tcW w:w="449" w:type="pct"/>
            <w:vAlign w:val="center"/>
          </w:tcPr>
          <w:p>
            <w:pPr>
              <w:snapToGrid w:val="0"/>
              <w:jc w:val="center"/>
              <w:rPr>
                <w:bCs/>
                <w:sz w:val="18"/>
                <w:szCs w:val="18"/>
              </w:rPr>
            </w:pPr>
            <w:r>
              <w:rPr>
                <w:rFonts w:hint="eastAsia" w:hAnsi="宋体"/>
                <w:bCs/>
                <w:sz w:val="18"/>
                <w:szCs w:val="18"/>
              </w:rPr>
              <w:t>必做</w:t>
            </w:r>
          </w:p>
        </w:tc>
        <w:tc>
          <w:tcPr>
            <w:tcW w:w="516" w:type="pct"/>
            <w:vAlign w:val="center"/>
          </w:tcPr>
          <w:p>
            <w:pPr>
              <w:snapToGrid w:val="0"/>
              <w:jc w:val="center"/>
              <w:rPr>
                <w:rFonts w:hint="eastAsia"/>
                <w:bCs/>
                <w:sz w:val="18"/>
                <w:szCs w:val="18"/>
              </w:rPr>
            </w:pPr>
            <w:r>
              <w:rPr>
                <w:bCs/>
                <w:sz w:val="18"/>
                <w:szCs w:val="18"/>
              </w:rPr>
              <w:t>2</w:t>
            </w:r>
          </w:p>
        </w:tc>
        <w:tc>
          <w:tcPr>
            <w:tcW w:w="672" w:type="pct"/>
            <w:vAlign w:val="center"/>
          </w:tcPr>
          <w:p>
            <w:pPr>
              <w:snapToGrid w:val="0"/>
              <w:jc w:val="center"/>
              <w:rPr>
                <w:rFonts w:hint="eastAsia"/>
                <w:b/>
                <w:color w:val="000000"/>
                <w:sz w:val="18"/>
                <w:szCs w:val="18"/>
              </w:rPr>
            </w:pPr>
            <w:r>
              <w:rPr>
                <w:bCs/>
                <w:color w:val="000000"/>
                <w:sz w:val="18"/>
                <w:szCs w:val="18"/>
              </w:rPr>
              <w:t>1</w:t>
            </w:r>
            <w:r>
              <w:rPr>
                <w:rFonts w:hint="eastAsia"/>
                <w:bCs/>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85" w:type="pct"/>
            <w:vAlign w:val="center"/>
          </w:tcPr>
          <w:p>
            <w:pPr>
              <w:snapToGrid w:val="0"/>
              <w:jc w:val="center"/>
              <w:rPr>
                <w:bCs/>
                <w:sz w:val="18"/>
                <w:szCs w:val="18"/>
              </w:rPr>
            </w:pPr>
            <w:r>
              <w:rPr>
                <w:rFonts w:hint="eastAsia"/>
                <w:bCs/>
                <w:sz w:val="18"/>
                <w:szCs w:val="18"/>
              </w:rPr>
              <w:t>2</w:t>
            </w:r>
          </w:p>
        </w:tc>
        <w:tc>
          <w:tcPr>
            <w:tcW w:w="2117" w:type="pct"/>
            <w:vAlign w:val="center"/>
          </w:tcPr>
          <w:p>
            <w:pPr>
              <w:snapToGrid w:val="0"/>
              <w:rPr>
                <w:rFonts w:hint="eastAsia"/>
                <w:bCs/>
                <w:sz w:val="18"/>
                <w:szCs w:val="18"/>
              </w:rPr>
            </w:pPr>
            <w:r>
              <w:rPr>
                <w:rFonts w:hint="eastAsia"/>
                <w:bCs/>
                <w:sz w:val="18"/>
                <w:szCs w:val="18"/>
              </w:rPr>
              <w:t>基于支持向量机的分类算法设计</w:t>
            </w:r>
          </w:p>
        </w:tc>
        <w:tc>
          <w:tcPr>
            <w:tcW w:w="387" w:type="pct"/>
            <w:vAlign w:val="center"/>
          </w:tcPr>
          <w:p>
            <w:pPr>
              <w:snapToGrid w:val="0"/>
              <w:jc w:val="center"/>
              <w:rPr>
                <w:bCs/>
                <w:sz w:val="18"/>
                <w:szCs w:val="18"/>
              </w:rPr>
            </w:pPr>
            <w:r>
              <w:rPr>
                <w:rFonts w:hint="eastAsia"/>
                <w:bCs/>
                <w:sz w:val="18"/>
                <w:szCs w:val="18"/>
              </w:rPr>
              <w:t>2</w:t>
            </w:r>
          </w:p>
        </w:tc>
        <w:tc>
          <w:tcPr>
            <w:tcW w:w="474" w:type="pct"/>
            <w:vAlign w:val="center"/>
          </w:tcPr>
          <w:p>
            <w:pPr>
              <w:snapToGrid w:val="0"/>
              <w:jc w:val="center"/>
              <w:rPr>
                <w:bCs/>
                <w:sz w:val="18"/>
                <w:szCs w:val="18"/>
              </w:rPr>
            </w:pPr>
            <w:r>
              <w:rPr>
                <w:rFonts w:hAnsi="宋体"/>
                <w:bCs/>
                <w:sz w:val="18"/>
                <w:szCs w:val="18"/>
              </w:rPr>
              <w:t>验证性</w:t>
            </w:r>
          </w:p>
        </w:tc>
        <w:tc>
          <w:tcPr>
            <w:tcW w:w="449" w:type="pct"/>
            <w:vAlign w:val="center"/>
          </w:tcPr>
          <w:p>
            <w:pPr>
              <w:snapToGrid w:val="0"/>
              <w:jc w:val="center"/>
              <w:rPr>
                <w:bCs/>
                <w:sz w:val="18"/>
                <w:szCs w:val="18"/>
              </w:rPr>
            </w:pPr>
            <w:r>
              <w:rPr>
                <w:rFonts w:hint="eastAsia" w:hAnsi="宋体"/>
                <w:bCs/>
                <w:sz w:val="18"/>
                <w:szCs w:val="18"/>
              </w:rPr>
              <w:t>必做</w:t>
            </w:r>
          </w:p>
        </w:tc>
        <w:tc>
          <w:tcPr>
            <w:tcW w:w="516" w:type="pct"/>
            <w:vAlign w:val="center"/>
          </w:tcPr>
          <w:p>
            <w:pPr>
              <w:snapToGrid w:val="0"/>
              <w:jc w:val="center"/>
              <w:rPr>
                <w:rFonts w:hint="eastAsia" w:eastAsia="黑体"/>
                <w:bCs/>
                <w:sz w:val="18"/>
                <w:szCs w:val="18"/>
              </w:rPr>
            </w:pPr>
            <w:r>
              <w:rPr>
                <w:rFonts w:eastAsia="黑体"/>
                <w:bCs/>
                <w:sz w:val="18"/>
                <w:szCs w:val="18"/>
              </w:rPr>
              <w:t>2</w:t>
            </w:r>
          </w:p>
        </w:tc>
        <w:tc>
          <w:tcPr>
            <w:tcW w:w="672" w:type="pct"/>
            <w:vAlign w:val="center"/>
          </w:tcPr>
          <w:p>
            <w:pPr>
              <w:snapToGrid w:val="0"/>
              <w:jc w:val="center"/>
              <w:rPr>
                <w:bCs/>
                <w:sz w:val="18"/>
                <w:szCs w:val="18"/>
              </w:rPr>
            </w:pPr>
            <w:r>
              <w:rPr>
                <w:bCs/>
                <w:sz w:val="18"/>
                <w:szCs w:val="18"/>
              </w:rPr>
              <w:t>1</w:t>
            </w:r>
            <w:r>
              <w:rPr>
                <w:rFonts w:hint="eastAsia"/>
                <w:bCs/>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85" w:type="pct"/>
            <w:vAlign w:val="center"/>
          </w:tcPr>
          <w:p>
            <w:pPr>
              <w:snapToGrid w:val="0"/>
              <w:jc w:val="center"/>
              <w:rPr>
                <w:bCs/>
                <w:sz w:val="18"/>
                <w:szCs w:val="18"/>
              </w:rPr>
            </w:pPr>
            <w:r>
              <w:rPr>
                <w:rFonts w:hint="eastAsia"/>
                <w:bCs/>
                <w:sz w:val="18"/>
                <w:szCs w:val="18"/>
              </w:rPr>
              <w:t>3</w:t>
            </w:r>
          </w:p>
        </w:tc>
        <w:tc>
          <w:tcPr>
            <w:tcW w:w="2117" w:type="pct"/>
            <w:vAlign w:val="center"/>
          </w:tcPr>
          <w:p>
            <w:pPr>
              <w:snapToGrid w:val="0"/>
              <w:rPr>
                <w:rFonts w:hint="eastAsia"/>
                <w:bCs/>
                <w:sz w:val="18"/>
                <w:szCs w:val="18"/>
              </w:rPr>
            </w:pPr>
            <w:r>
              <w:rPr>
                <w:rFonts w:hint="eastAsia"/>
                <w:bCs/>
                <w:sz w:val="18"/>
                <w:szCs w:val="18"/>
              </w:rPr>
              <w:t>基于深度神经网络的图像识别算法设计</w:t>
            </w:r>
          </w:p>
        </w:tc>
        <w:tc>
          <w:tcPr>
            <w:tcW w:w="387" w:type="pct"/>
            <w:vAlign w:val="center"/>
          </w:tcPr>
          <w:p>
            <w:pPr>
              <w:snapToGrid w:val="0"/>
              <w:jc w:val="center"/>
              <w:rPr>
                <w:bCs/>
                <w:sz w:val="18"/>
                <w:szCs w:val="18"/>
              </w:rPr>
            </w:pPr>
            <w:r>
              <w:rPr>
                <w:rFonts w:hint="eastAsia"/>
                <w:bCs/>
                <w:sz w:val="18"/>
                <w:szCs w:val="18"/>
              </w:rPr>
              <w:t>2</w:t>
            </w:r>
          </w:p>
        </w:tc>
        <w:tc>
          <w:tcPr>
            <w:tcW w:w="474" w:type="pct"/>
            <w:vAlign w:val="center"/>
          </w:tcPr>
          <w:p>
            <w:pPr>
              <w:snapToGrid w:val="0"/>
              <w:jc w:val="center"/>
              <w:rPr>
                <w:bCs/>
                <w:sz w:val="18"/>
                <w:szCs w:val="18"/>
              </w:rPr>
            </w:pPr>
            <w:r>
              <w:rPr>
                <w:rFonts w:hAnsi="宋体"/>
                <w:bCs/>
                <w:sz w:val="18"/>
                <w:szCs w:val="18"/>
              </w:rPr>
              <w:t>验证性</w:t>
            </w:r>
          </w:p>
        </w:tc>
        <w:tc>
          <w:tcPr>
            <w:tcW w:w="449" w:type="pct"/>
            <w:vAlign w:val="center"/>
          </w:tcPr>
          <w:p>
            <w:pPr>
              <w:snapToGrid w:val="0"/>
              <w:jc w:val="center"/>
              <w:rPr>
                <w:bCs/>
                <w:sz w:val="18"/>
                <w:szCs w:val="18"/>
              </w:rPr>
            </w:pPr>
            <w:r>
              <w:rPr>
                <w:rFonts w:hint="eastAsia" w:hAnsi="宋体"/>
                <w:bCs/>
                <w:sz w:val="18"/>
                <w:szCs w:val="18"/>
              </w:rPr>
              <w:t>必做</w:t>
            </w:r>
          </w:p>
        </w:tc>
        <w:tc>
          <w:tcPr>
            <w:tcW w:w="516" w:type="pct"/>
            <w:vAlign w:val="center"/>
          </w:tcPr>
          <w:p>
            <w:pPr>
              <w:snapToGrid w:val="0"/>
              <w:jc w:val="center"/>
              <w:rPr>
                <w:rFonts w:hint="eastAsia" w:eastAsia="黑体"/>
                <w:bCs/>
                <w:sz w:val="18"/>
                <w:szCs w:val="18"/>
              </w:rPr>
            </w:pPr>
            <w:r>
              <w:rPr>
                <w:rFonts w:eastAsia="黑体"/>
                <w:bCs/>
                <w:sz w:val="18"/>
                <w:szCs w:val="18"/>
              </w:rPr>
              <w:t>2</w:t>
            </w:r>
          </w:p>
        </w:tc>
        <w:tc>
          <w:tcPr>
            <w:tcW w:w="672" w:type="pct"/>
            <w:vAlign w:val="center"/>
          </w:tcPr>
          <w:p>
            <w:pPr>
              <w:snapToGrid w:val="0"/>
              <w:jc w:val="center"/>
              <w:rPr>
                <w:bCs/>
                <w:sz w:val="18"/>
                <w:szCs w:val="18"/>
              </w:rPr>
            </w:pPr>
            <w:r>
              <w:rPr>
                <w:bCs/>
                <w:sz w:val="18"/>
                <w:szCs w:val="18"/>
              </w:rPr>
              <w:t>1</w:t>
            </w:r>
            <w:r>
              <w:rPr>
                <w:rFonts w:hint="eastAsia"/>
                <w:bCs/>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85" w:type="pct"/>
            <w:vAlign w:val="center"/>
          </w:tcPr>
          <w:p>
            <w:pPr>
              <w:snapToGrid w:val="0"/>
              <w:jc w:val="center"/>
              <w:rPr>
                <w:rFonts w:hint="eastAsia"/>
                <w:bCs/>
                <w:sz w:val="18"/>
                <w:szCs w:val="18"/>
              </w:rPr>
            </w:pPr>
            <w:r>
              <w:rPr>
                <w:rFonts w:hint="eastAsia"/>
                <w:bCs/>
                <w:sz w:val="18"/>
                <w:szCs w:val="18"/>
              </w:rPr>
              <w:t>4</w:t>
            </w:r>
          </w:p>
        </w:tc>
        <w:tc>
          <w:tcPr>
            <w:tcW w:w="2117" w:type="pct"/>
            <w:vAlign w:val="center"/>
          </w:tcPr>
          <w:p>
            <w:pPr>
              <w:snapToGrid w:val="0"/>
              <w:rPr>
                <w:rFonts w:hint="eastAsia" w:hAnsi="宋体"/>
                <w:bCs/>
                <w:sz w:val="18"/>
                <w:szCs w:val="18"/>
              </w:rPr>
            </w:pPr>
            <w:r>
              <w:rPr>
                <w:rFonts w:hint="eastAsia" w:hAnsi="宋体"/>
                <w:bCs/>
                <w:sz w:val="18"/>
                <w:szCs w:val="18"/>
              </w:rPr>
              <w:t>基于深度强化学习的决策算法设计</w:t>
            </w:r>
          </w:p>
        </w:tc>
        <w:tc>
          <w:tcPr>
            <w:tcW w:w="387" w:type="pct"/>
            <w:vAlign w:val="center"/>
          </w:tcPr>
          <w:p>
            <w:pPr>
              <w:snapToGrid w:val="0"/>
              <w:jc w:val="center"/>
              <w:rPr>
                <w:rFonts w:hint="eastAsia"/>
                <w:bCs/>
                <w:sz w:val="18"/>
                <w:szCs w:val="18"/>
              </w:rPr>
            </w:pPr>
            <w:r>
              <w:rPr>
                <w:rFonts w:hint="eastAsia"/>
                <w:bCs/>
                <w:sz w:val="18"/>
                <w:szCs w:val="18"/>
              </w:rPr>
              <w:t>2</w:t>
            </w:r>
          </w:p>
        </w:tc>
        <w:tc>
          <w:tcPr>
            <w:tcW w:w="474" w:type="pct"/>
            <w:vAlign w:val="center"/>
          </w:tcPr>
          <w:p>
            <w:pPr>
              <w:snapToGrid w:val="0"/>
              <w:jc w:val="center"/>
              <w:rPr>
                <w:rFonts w:hAnsi="宋体"/>
                <w:bCs/>
                <w:sz w:val="18"/>
                <w:szCs w:val="18"/>
              </w:rPr>
            </w:pPr>
            <w:r>
              <w:rPr>
                <w:rFonts w:hAnsi="宋体"/>
                <w:bCs/>
                <w:sz w:val="18"/>
                <w:szCs w:val="18"/>
              </w:rPr>
              <w:t>验证性</w:t>
            </w:r>
          </w:p>
        </w:tc>
        <w:tc>
          <w:tcPr>
            <w:tcW w:w="449" w:type="pct"/>
            <w:vAlign w:val="center"/>
          </w:tcPr>
          <w:p>
            <w:pPr>
              <w:snapToGrid w:val="0"/>
              <w:jc w:val="center"/>
              <w:rPr>
                <w:rFonts w:hint="eastAsia"/>
                <w:bCs/>
                <w:sz w:val="18"/>
                <w:szCs w:val="18"/>
              </w:rPr>
            </w:pPr>
            <w:r>
              <w:rPr>
                <w:rFonts w:hint="eastAsia" w:hAnsi="宋体"/>
                <w:bCs/>
                <w:sz w:val="18"/>
                <w:szCs w:val="18"/>
              </w:rPr>
              <w:t>必做</w:t>
            </w:r>
          </w:p>
        </w:tc>
        <w:tc>
          <w:tcPr>
            <w:tcW w:w="516" w:type="pct"/>
            <w:vAlign w:val="center"/>
          </w:tcPr>
          <w:p>
            <w:pPr>
              <w:snapToGrid w:val="0"/>
              <w:jc w:val="center"/>
              <w:rPr>
                <w:bCs/>
                <w:sz w:val="18"/>
                <w:szCs w:val="18"/>
              </w:rPr>
            </w:pPr>
            <w:r>
              <w:rPr>
                <w:bCs/>
                <w:sz w:val="18"/>
                <w:szCs w:val="18"/>
              </w:rPr>
              <w:t>2</w:t>
            </w:r>
          </w:p>
        </w:tc>
        <w:tc>
          <w:tcPr>
            <w:tcW w:w="672" w:type="pct"/>
            <w:vAlign w:val="center"/>
          </w:tcPr>
          <w:p>
            <w:pPr>
              <w:snapToGrid w:val="0"/>
              <w:jc w:val="center"/>
              <w:rPr>
                <w:bCs/>
                <w:sz w:val="18"/>
                <w:szCs w:val="18"/>
              </w:rPr>
            </w:pPr>
            <w:r>
              <w:rPr>
                <w:bCs/>
                <w:sz w:val="18"/>
                <w:szCs w:val="18"/>
              </w:rPr>
              <w:t>1</w:t>
            </w:r>
            <w:r>
              <w:rPr>
                <w:rFonts w:hint="eastAsia"/>
                <w:bCs/>
                <w:sz w:val="18"/>
                <w:szCs w:val="18"/>
              </w:rPr>
              <w:t>-2</w:t>
            </w:r>
          </w:p>
        </w:tc>
      </w:tr>
    </w:tbl>
    <w:p>
      <w:pPr>
        <w:adjustRightInd w:val="0"/>
        <w:snapToGrid w:val="0"/>
        <w:spacing w:line="360" w:lineRule="auto"/>
        <w:ind w:firstLine="420" w:firstLineChars="200"/>
        <w:rPr>
          <w:rFonts w:hint="eastAsia"/>
          <w:szCs w:val="21"/>
          <w:lang w:bidi="ar"/>
        </w:rPr>
      </w:pPr>
    </w:p>
    <w:p>
      <w:pPr>
        <w:adjustRightInd w:val="0"/>
        <w:snapToGrid w:val="0"/>
        <w:spacing w:line="360" w:lineRule="auto"/>
        <w:ind w:firstLine="420" w:firstLineChars="200"/>
        <w:rPr>
          <w:rFonts w:hint="eastAsia"/>
          <w:szCs w:val="21"/>
          <w:lang w:bidi="ar"/>
        </w:rPr>
      </w:pPr>
      <w:r>
        <w:rPr>
          <w:rFonts w:hint="eastAsia"/>
          <w:szCs w:val="21"/>
          <w:lang w:bidi="ar"/>
        </w:rPr>
        <w:t>实验环节主要是上机操作，要求保证上机条件，即具备常用的</w:t>
      </w:r>
      <w:r>
        <w:rPr>
          <w:szCs w:val="21"/>
          <w:lang w:bidi="ar"/>
        </w:rPr>
        <w:t>MATLAB</w:t>
      </w:r>
      <w:r>
        <w:rPr>
          <w:rFonts w:hint="eastAsia"/>
          <w:szCs w:val="21"/>
          <w:lang w:bidi="ar"/>
        </w:rPr>
        <w:t>软件和基本的深度学习算法运行配置环境。</w:t>
      </w:r>
      <w:r>
        <w:rPr>
          <w:szCs w:val="21"/>
          <w:lang w:bidi="ar"/>
        </w:rPr>
        <w:t>8</w:t>
      </w:r>
      <w:r>
        <w:rPr>
          <w:rFonts w:hint="eastAsia"/>
          <w:szCs w:val="21"/>
          <w:lang w:bidi="ar"/>
        </w:rPr>
        <w:t>个学时共完成</w:t>
      </w:r>
      <w:r>
        <w:rPr>
          <w:szCs w:val="21"/>
          <w:lang w:bidi="ar"/>
        </w:rPr>
        <w:t>4</w:t>
      </w:r>
      <w:r>
        <w:rPr>
          <w:rFonts w:hint="eastAsia"/>
          <w:szCs w:val="21"/>
          <w:lang w:bidi="ar"/>
        </w:rPr>
        <w:t>个分组实验，每组3~</w:t>
      </w:r>
      <w:r>
        <w:rPr>
          <w:szCs w:val="21"/>
          <w:lang w:bidi="ar"/>
        </w:rPr>
        <w:t>5</w:t>
      </w:r>
      <w:r>
        <w:rPr>
          <w:rFonts w:hint="eastAsia"/>
          <w:szCs w:val="21"/>
          <w:lang w:bidi="ar"/>
        </w:rPr>
        <w:t>人，协作完成实验。</w:t>
      </w:r>
    </w:p>
    <w:p>
      <w:pPr>
        <w:adjustRightInd w:val="0"/>
        <w:snapToGrid w:val="0"/>
        <w:spacing w:line="360" w:lineRule="auto"/>
        <w:ind w:firstLine="420" w:firstLineChars="200"/>
        <w:rPr>
          <w:rFonts w:hint="eastAsia"/>
          <w:szCs w:val="21"/>
          <w:lang w:bidi="ar"/>
        </w:rPr>
      </w:pPr>
      <w:r>
        <w:rPr>
          <w:rFonts w:hint="eastAsia"/>
          <w:szCs w:val="21"/>
          <w:lang w:bidi="ar"/>
        </w:rPr>
        <w:t>在实验过程中要注重培养学生的诚信意识、创新意识和坚持精神等，通过实验使学生能够理论联系实际，灵活运用所学知识，严谨认真，精益求精，养成良好的设计习惯。</w:t>
      </w:r>
    </w:p>
    <w:p>
      <w:pPr>
        <w:adjustRightInd w:val="0"/>
        <w:snapToGrid w:val="0"/>
        <w:spacing w:line="360" w:lineRule="auto"/>
        <w:ind w:firstLine="422" w:firstLineChars="200"/>
        <w:rPr>
          <w:rFonts w:hint="eastAsia"/>
          <w:b/>
          <w:bCs/>
          <w:szCs w:val="21"/>
          <w:lang w:bidi="ar"/>
        </w:rPr>
      </w:pPr>
      <w:r>
        <w:rPr>
          <w:rFonts w:hint="eastAsia"/>
          <w:b/>
          <w:bCs/>
          <w:szCs w:val="21"/>
          <w:lang w:bidi="ar"/>
        </w:rPr>
        <w:t>实验一：基于遗传算法的搜索寻优算法设计</w:t>
      </w:r>
    </w:p>
    <w:p>
      <w:pPr>
        <w:adjustRightInd w:val="0"/>
        <w:snapToGrid w:val="0"/>
        <w:spacing w:line="360" w:lineRule="auto"/>
        <w:ind w:firstLine="420" w:firstLineChars="200"/>
        <w:rPr>
          <w:szCs w:val="21"/>
          <w:lang w:bidi="ar"/>
        </w:rPr>
      </w:pPr>
      <w:r>
        <w:rPr>
          <w:rFonts w:hint="eastAsia"/>
          <w:szCs w:val="21"/>
          <w:lang w:bidi="ar"/>
        </w:rPr>
        <w:t>实验目的：通过基于遗传算法的搜索寻优算法设计，理解遗传算法的特点，掌握遗传算法搜索寻优的具体细节，并能够通过合理的代码实现相应的算法。</w:t>
      </w:r>
    </w:p>
    <w:p>
      <w:pPr>
        <w:adjustRightInd w:val="0"/>
        <w:snapToGrid w:val="0"/>
        <w:spacing w:line="360" w:lineRule="auto"/>
        <w:ind w:firstLine="420" w:firstLineChars="200"/>
        <w:rPr>
          <w:szCs w:val="21"/>
          <w:lang w:bidi="ar"/>
        </w:rPr>
      </w:pPr>
      <w:r>
        <w:rPr>
          <w:rFonts w:hint="eastAsia"/>
          <w:szCs w:val="21"/>
          <w:lang w:bidi="ar"/>
        </w:rPr>
        <w:t>实验原理：</w:t>
      </w:r>
      <w:r>
        <w:rPr>
          <w:szCs w:val="21"/>
          <w:lang w:bidi="ar"/>
        </w:rPr>
        <w:t>M</w:t>
      </w:r>
      <w:r>
        <w:rPr>
          <w:rFonts w:hint="eastAsia"/>
          <w:szCs w:val="21"/>
          <w:lang w:bidi="ar"/>
        </w:rPr>
        <w:t>atlab语言或Python语言；遗传算法实现搜索寻优的原理。</w:t>
      </w:r>
    </w:p>
    <w:p>
      <w:pPr>
        <w:adjustRightInd w:val="0"/>
        <w:snapToGrid w:val="0"/>
        <w:spacing w:line="360" w:lineRule="auto"/>
        <w:ind w:firstLine="420" w:firstLineChars="200"/>
        <w:rPr>
          <w:szCs w:val="21"/>
          <w:lang w:bidi="ar"/>
        </w:rPr>
      </w:pPr>
      <w:r>
        <w:rPr>
          <w:rFonts w:hint="eastAsia"/>
          <w:szCs w:val="21"/>
          <w:lang w:bidi="ar"/>
        </w:rPr>
        <w:t>实验设备：计算机。</w:t>
      </w:r>
    </w:p>
    <w:p>
      <w:pPr>
        <w:adjustRightInd w:val="0"/>
        <w:snapToGrid w:val="0"/>
        <w:spacing w:line="360" w:lineRule="auto"/>
        <w:ind w:firstLine="420" w:firstLineChars="200"/>
        <w:rPr>
          <w:szCs w:val="21"/>
          <w:lang w:bidi="ar"/>
        </w:rPr>
      </w:pPr>
      <w:r>
        <w:rPr>
          <w:rFonts w:hint="eastAsia"/>
          <w:szCs w:val="21"/>
          <w:lang w:bidi="ar"/>
        </w:rPr>
        <w:t>实验安排： 教师介绍实验室使用要求和安全须知，讲解遗传算法实现搜索寻优的原理；学生3~</w:t>
      </w:r>
      <w:r>
        <w:rPr>
          <w:szCs w:val="21"/>
          <w:lang w:bidi="ar"/>
        </w:rPr>
        <w:t>5</w:t>
      </w:r>
      <w:r>
        <w:rPr>
          <w:rFonts w:hint="eastAsia"/>
          <w:szCs w:val="21"/>
          <w:lang w:bidi="ar"/>
        </w:rPr>
        <w:t>人1机，协作完成设计。</w:t>
      </w:r>
    </w:p>
    <w:p>
      <w:pPr>
        <w:adjustRightInd w:val="0"/>
        <w:snapToGrid w:val="0"/>
        <w:spacing w:line="360" w:lineRule="auto"/>
        <w:ind w:firstLine="420" w:firstLineChars="200"/>
        <w:rPr>
          <w:rFonts w:hint="eastAsia"/>
          <w:szCs w:val="21"/>
          <w:lang w:bidi="ar"/>
        </w:rPr>
      </w:pPr>
      <w:r>
        <w:rPr>
          <w:rFonts w:hint="eastAsia"/>
          <w:szCs w:val="21"/>
          <w:lang w:bidi="ar"/>
        </w:rPr>
        <w:t>实验报告要求：实验报告提供代码和结果截图或照片，实验结果以算法运行输出结果为准。</w:t>
      </w:r>
    </w:p>
    <w:p>
      <w:pPr>
        <w:adjustRightInd w:val="0"/>
        <w:snapToGrid w:val="0"/>
        <w:spacing w:line="360" w:lineRule="auto"/>
        <w:ind w:firstLine="422" w:firstLineChars="200"/>
        <w:rPr>
          <w:rFonts w:hint="eastAsia"/>
          <w:b/>
          <w:bCs/>
          <w:szCs w:val="21"/>
          <w:lang w:bidi="ar"/>
        </w:rPr>
      </w:pPr>
      <w:r>
        <w:rPr>
          <w:rFonts w:hint="eastAsia"/>
          <w:b/>
          <w:bCs/>
          <w:szCs w:val="21"/>
          <w:lang w:bidi="ar"/>
        </w:rPr>
        <w:t>实验二：基于支持向量机的分类算法设计</w:t>
      </w:r>
    </w:p>
    <w:p>
      <w:pPr>
        <w:adjustRightInd w:val="0"/>
        <w:snapToGrid w:val="0"/>
        <w:spacing w:line="360" w:lineRule="auto"/>
        <w:ind w:firstLine="420" w:firstLineChars="200"/>
        <w:rPr>
          <w:szCs w:val="21"/>
          <w:lang w:bidi="ar"/>
        </w:rPr>
      </w:pPr>
      <w:r>
        <w:rPr>
          <w:rFonts w:hint="eastAsia"/>
          <w:szCs w:val="21"/>
          <w:lang w:bidi="ar"/>
        </w:rPr>
        <w:t>实验目的：通过基于支持向量机的分类算法设计，理解支持向量机的特点，掌握支持向量机实现分类的具体细节，并能够通过合理的代码实现相应的算法。</w:t>
      </w:r>
    </w:p>
    <w:p>
      <w:pPr>
        <w:adjustRightInd w:val="0"/>
        <w:snapToGrid w:val="0"/>
        <w:spacing w:line="360" w:lineRule="auto"/>
        <w:ind w:firstLine="420" w:firstLineChars="200"/>
        <w:rPr>
          <w:szCs w:val="21"/>
          <w:lang w:bidi="ar"/>
        </w:rPr>
      </w:pPr>
      <w:r>
        <w:rPr>
          <w:rFonts w:hint="eastAsia"/>
          <w:szCs w:val="21"/>
          <w:lang w:bidi="ar"/>
        </w:rPr>
        <w:t>实验原理：</w:t>
      </w:r>
      <w:r>
        <w:rPr>
          <w:szCs w:val="21"/>
          <w:lang w:bidi="ar"/>
        </w:rPr>
        <w:t>M</w:t>
      </w:r>
      <w:r>
        <w:rPr>
          <w:rFonts w:hint="eastAsia"/>
          <w:szCs w:val="21"/>
          <w:lang w:bidi="ar"/>
        </w:rPr>
        <w:t>atlab语言或Python语言；支持向量机实现分类的原理。</w:t>
      </w:r>
    </w:p>
    <w:p>
      <w:pPr>
        <w:adjustRightInd w:val="0"/>
        <w:snapToGrid w:val="0"/>
        <w:spacing w:line="360" w:lineRule="auto"/>
        <w:ind w:firstLine="420" w:firstLineChars="200"/>
        <w:rPr>
          <w:szCs w:val="21"/>
          <w:lang w:bidi="ar"/>
        </w:rPr>
      </w:pPr>
      <w:r>
        <w:rPr>
          <w:rFonts w:hint="eastAsia"/>
          <w:szCs w:val="21"/>
          <w:lang w:bidi="ar"/>
        </w:rPr>
        <w:t>实验设备：计算机。</w:t>
      </w:r>
    </w:p>
    <w:p>
      <w:pPr>
        <w:adjustRightInd w:val="0"/>
        <w:snapToGrid w:val="0"/>
        <w:spacing w:line="360" w:lineRule="auto"/>
        <w:ind w:firstLine="420" w:firstLineChars="200"/>
        <w:rPr>
          <w:szCs w:val="21"/>
          <w:lang w:bidi="ar"/>
        </w:rPr>
      </w:pPr>
      <w:r>
        <w:rPr>
          <w:rFonts w:hint="eastAsia"/>
          <w:szCs w:val="21"/>
          <w:lang w:bidi="ar"/>
        </w:rPr>
        <w:t>实验安排： 教师介绍实验室使用要求和安全须知，讲解支持向量机实现分类的原理；学生3~</w:t>
      </w:r>
      <w:r>
        <w:rPr>
          <w:szCs w:val="21"/>
          <w:lang w:bidi="ar"/>
        </w:rPr>
        <w:t>5</w:t>
      </w:r>
      <w:r>
        <w:rPr>
          <w:rFonts w:hint="eastAsia"/>
          <w:szCs w:val="21"/>
          <w:lang w:bidi="ar"/>
        </w:rPr>
        <w:t>人1机，协作完成设计。</w:t>
      </w:r>
    </w:p>
    <w:p>
      <w:pPr>
        <w:adjustRightInd w:val="0"/>
        <w:snapToGrid w:val="0"/>
        <w:spacing w:line="360" w:lineRule="auto"/>
        <w:ind w:firstLine="420" w:firstLineChars="200"/>
        <w:rPr>
          <w:szCs w:val="21"/>
          <w:lang w:bidi="ar"/>
        </w:rPr>
      </w:pPr>
      <w:r>
        <w:rPr>
          <w:rFonts w:hint="eastAsia"/>
          <w:szCs w:val="21"/>
          <w:lang w:bidi="ar"/>
        </w:rPr>
        <w:t>实验报告要求：实验报告提供代码和结果截图或照片，实验结果以算法运行输出结果为准。</w:t>
      </w:r>
    </w:p>
    <w:p>
      <w:pPr>
        <w:adjustRightInd w:val="0"/>
        <w:snapToGrid w:val="0"/>
        <w:spacing w:line="360" w:lineRule="auto"/>
        <w:ind w:firstLine="422" w:firstLineChars="200"/>
        <w:rPr>
          <w:rFonts w:hint="eastAsia"/>
          <w:b/>
          <w:bCs/>
          <w:szCs w:val="21"/>
          <w:lang w:bidi="ar"/>
        </w:rPr>
      </w:pPr>
      <w:r>
        <w:rPr>
          <w:rFonts w:hint="eastAsia"/>
          <w:b/>
          <w:bCs/>
          <w:szCs w:val="21"/>
          <w:lang w:bidi="ar"/>
        </w:rPr>
        <w:t>实验三：基于深度神经网络的图像识别算法设计</w:t>
      </w:r>
    </w:p>
    <w:p>
      <w:pPr>
        <w:adjustRightInd w:val="0"/>
        <w:snapToGrid w:val="0"/>
        <w:spacing w:line="360" w:lineRule="auto"/>
        <w:ind w:firstLine="420" w:firstLineChars="200"/>
        <w:rPr>
          <w:szCs w:val="21"/>
          <w:lang w:bidi="ar"/>
        </w:rPr>
      </w:pPr>
      <w:r>
        <w:rPr>
          <w:rFonts w:hint="eastAsia"/>
          <w:szCs w:val="21"/>
          <w:lang w:bidi="ar"/>
        </w:rPr>
        <w:t>实验目的：通过基于深度神经网络的图像识别算法设计，理解深度神经网络的特点，掌握深度神经网络实现图像识别的具体细节，并能够通过合理的代码实现相应的算法。</w:t>
      </w:r>
    </w:p>
    <w:p>
      <w:pPr>
        <w:adjustRightInd w:val="0"/>
        <w:snapToGrid w:val="0"/>
        <w:spacing w:line="360" w:lineRule="auto"/>
        <w:ind w:firstLine="420" w:firstLineChars="200"/>
        <w:rPr>
          <w:szCs w:val="21"/>
          <w:lang w:bidi="ar"/>
        </w:rPr>
      </w:pPr>
      <w:r>
        <w:rPr>
          <w:rFonts w:hint="eastAsia"/>
          <w:szCs w:val="21"/>
          <w:lang w:bidi="ar"/>
        </w:rPr>
        <w:t>实验原理：Python语言或C++语言；深度神经网络实现图像识别的原理。</w:t>
      </w:r>
    </w:p>
    <w:p>
      <w:pPr>
        <w:adjustRightInd w:val="0"/>
        <w:snapToGrid w:val="0"/>
        <w:spacing w:line="360" w:lineRule="auto"/>
        <w:ind w:firstLine="420" w:firstLineChars="200"/>
        <w:rPr>
          <w:szCs w:val="21"/>
          <w:lang w:bidi="ar"/>
        </w:rPr>
      </w:pPr>
      <w:r>
        <w:rPr>
          <w:rFonts w:hint="eastAsia"/>
          <w:szCs w:val="21"/>
          <w:lang w:bidi="ar"/>
        </w:rPr>
        <w:t>实验设备：计算机。</w:t>
      </w:r>
    </w:p>
    <w:p>
      <w:pPr>
        <w:adjustRightInd w:val="0"/>
        <w:snapToGrid w:val="0"/>
        <w:spacing w:line="360" w:lineRule="auto"/>
        <w:ind w:firstLine="420" w:firstLineChars="200"/>
        <w:rPr>
          <w:szCs w:val="21"/>
          <w:lang w:bidi="ar"/>
        </w:rPr>
      </w:pPr>
      <w:r>
        <w:rPr>
          <w:rFonts w:hint="eastAsia"/>
          <w:szCs w:val="21"/>
          <w:lang w:bidi="ar"/>
        </w:rPr>
        <w:t>实验安排： 教师介绍实验室使用要求和安全须知，讲解深度神经网络实现图像识别的原理；学生3~</w:t>
      </w:r>
      <w:r>
        <w:rPr>
          <w:szCs w:val="21"/>
          <w:lang w:bidi="ar"/>
        </w:rPr>
        <w:t>5</w:t>
      </w:r>
      <w:r>
        <w:rPr>
          <w:rFonts w:hint="eastAsia"/>
          <w:szCs w:val="21"/>
          <w:lang w:bidi="ar"/>
        </w:rPr>
        <w:t>人1机，协作完成设计。</w:t>
      </w:r>
    </w:p>
    <w:p>
      <w:pPr>
        <w:adjustRightInd w:val="0"/>
        <w:snapToGrid w:val="0"/>
        <w:spacing w:line="360" w:lineRule="auto"/>
        <w:ind w:firstLine="420" w:firstLineChars="200"/>
        <w:rPr>
          <w:rFonts w:hint="eastAsia"/>
          <w:szCs w:val="21"/>
          <w:lang w:bidi="ar"/>
        </w:rPr>
      </w:pPr>
      <w:r>
        <w:rPr>
          <w:rFonts w:hint="eastAsia"/>
          <w:szCs w:val="21"/>
          <w:lang w:bidi="ar"/>
        </w:rPr>
        <w:t>实验报告要求：实验报告提供代码和结果截图或照片，实验结果以算法运行输出结果为准。</w:t>
      </w:r>
    </w:p>
    <w:p>
      <w:pPr>
        <w:adjustRightInd w:val="0"/>
        <w:snapToGrid w:val="0"/>
        <w:spacing w:line="360" w:lineRule="auto"/>
        <w:ind w:firstLine="422" w:firstLineChars="200"/>
        <w:rPr>
          <w:rFonts w:hint="eastAsia"/>
          <w:b/>
          <w:bCs/>
          <w:szCs w:val="21"/>
          <w:lang w:bidi="ar"/>
        </w:rPr>
      </w:pPr>
      <w:r>
        <w:rPr>
          <w:rFonts w:hint="eastAsia"/>
          <w:b/>
          <w:bCs/>
          <w:szCs w:val="21"/>
          <w:lang w:bidi="ar"/>
        </w:rPr>
        <w:t>实验四：基于深度强化学习的决策算法设计</w:t>
      </w:r>
    </w:p>
    <w:p>
      <w:pPr>
        <w:adjustRightInd w:val="0"/>
        <w:snapToGrid w:val="0"/>
        <w:spacing w:line="360" w:lineRule="auto"/>
        <w:ind w:firstLine="420" w:firstLineChars="200"/>
        <w:rPr>
          <w:szCs w:val="21"/>
          <w:lang w:bidi="ar"/>
        </w:rPr>
      </w:pPr>
      <w:r>
        <w:rPr>
          <w:rFonts w:hint="eastAsia"/>
          <w:szCs w:val="21"/>
          <w:lang w:bidi="ar"/>
        </w:rPr>
        <w:t>实验目的：通过基于深度强化学习的决策算法设计，理解深度强化学习的特点，掌握深度强化学习实现决策的具体细节，并能够通过合理的代码实现相应的算法。</w:t>
      </w:r>
    </w:p>
    <w:p>
      <w:pPr>
        <w:adjustRightInd w:val="0"/>
        <w:snapToGrid w:val="0"/>
        <w:spacing w:line="360" w:lineRule="auto"/>
        <w:ind w:firstLine="420" w:firstLineChars="200"/>
        <w:rPr>
          <w:szCs w:val="21"/>
          <w:lang w:bidi="ar"/>
        </w:rPr>
      </w:pPr>
      <w:r>
        <w:rPr>
          <w:rFonts w:hint="eastAsia"/>
          <w:szCs w:val="21"/>
          <w:lang w:bidi="ar"/>
        </w:rPr>
        <w:t>实验原理：Python语言或C++语言；深度强化学习实现决策的原理。</w:t>
      </w:r>
    </w:p>
    <w:p>
      <w:pPr>
        <w:adjustRightInd w:val="0"/>
        <w:snapToGrid w:val="0"/>
        <w:spacing w:line="360" w:lineRule="auto"/>
        <w:ind w:firstLine="420" w:firstLineChars="200"/>
        <w:rPr>
          <w:szCs w:val="21"/>
          <w:lang w:bidi="ar"/>
        </w:rPr>
      </w:pPr>
      <w:r>
        <w:rPr>
          <w:rFonts w:hint="eastAsia"/>
          <w:szCs w:val="21"/>
          <w:lang w:bidi="ar"/>
        </w:rPr>
        <w:t>实验设备：计算机。</w:t>
      </w:r>
    </w:p>
    <w:p>
      <w:pPr>
        <w:adjustRightInd w:val="0"/>
        <w:snapToGrid w:val="0"/>
        <w:spacing w:line="360" w:lineRule="auto"/>
        <w:ind w:firstLine="420" w:firstLineChars="200"/>
        <w:rPr>
          <w:szCs w:val="21"/>
          <w:lang w:bidi="ar"/>
        </w:rPr>
      </w:pPr>
      <w:r>
        <w:rPr>
          <w:rFonts w:hint="eastAsia"/>
          <w:szCs w:val="21"/>
          <w:lang w:bidi="ar"/>
        </w:rPr>
        <w:t>实验安排： 教师介绍实验室使用要求和安全须知，讲解深度强化学习实现决策的原理；学生3~</w:t>
      </w:r>
      <w:r>
        <w:rPr>
          <w:szCs w:val="21"/>
          <w:lang w:bidi="ar"/>
        </w:rPr>
        <w:t>5</w:t>
      </w:r>
      <w:r>
        <w:rPr>
          <w:rFonts w:hint="eastAsia"/>
          <w:szCs w:val="21"/>
          <w:lang w:bidi="ar"/>
        </w:rPr>
        <w:t>人1机，协作完成设计。</w:t>
      </w:r>
    </w:p>
    <w:p>
      <w:pPr>
        <w:adjustRightInd w:val="0"/>
        <w:snapToGrid w:val="0"/>
        <w:spacing w:line="360" w:lineRule="auto"/>
        <w:ind w:firstLine="420" w:firstLineChars="200"/>
        <w:rPr>
          <w:rFonts w:hint="eastAsia"/>
          <w:szCs w:val="21"/>
          <w:lang w:bidi="ar"/>
        </w:rPr>
      </w:pPr>
      <w:r>
        <w:rPr>
          <w:rFonts w:hint="eastAsia"/>
          <w:szCs w:val="21"/>
          <w:lang w:bidi="ar"/>
        </w:rPr>
        <w:t>实验报告要求：实验报告提供代码和结果截图或照片，实验结果以算法运行输出结果为准。</w:t>
      </w:r>
    </w:p>
    <w:p>
      <w:pPr>
        <w:adjustRightInd w:val="0"/>
        <w:snapToGrid w:val="0"/>
        <w:spacing w:line="360" w:lineRule="auto"/>
        <w:ind w:firstLine="420" w:firstLineChars="200"/>
        <w:rPr>
          <w:rFonts w:hint="eastAsia"/>
          <w:szCs w:val="21"/>
          <w:lang w:bidi="ar"/>
        </w:rPr>
      </w:pPr>
    </w:p>
    <w:p>
      <w:pPr>
        <w:adjustRightInd w:val="0"/>
        <w:snapToGrid w:val="0"/>
        <w:spacing w:before="156" w:beforeLines="50" w:line="360" w:lineRule="auto"/>
        <w:rPr>
          <w:rFonts w:hint="eastAsia"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五、达成课程目标的途径和措施</w:t>
      </w:r>
    </w:p>
    <w:p>
      <w:pPr>
        <w:adjustRightInd w:val="0"/>
        <w:snapToGrid w:val="0"/>
        <w:spacing w:line="360" w:lineRule="auto"/>
        <w:ind w:firstLine="420" w:firstLineChars="200"/>
        <w:rPr>
          <w:rFonts w:hint="eastAsia"/>
          <w:szCs w:val="21"/>
          <w:lang w:bidi="ar"/>
        </w:rPr>
      </w:pPr>
      <w:r>
        <w:rPr>
          <w:szCs w:val="21"/>
          <w:lang w:bidi="ar"/>
        </w:rPr>
        <w:t>1</w:t>
      </w:r>
      <w:r>
        <w:rPr>
          <w:rFonts w:hint="eastAsia"/>
          <w:szCs w:val="21"/>
          <w:lang w:bidi="ar"/>
        </w:rPr>
        <w:t>、本课程是一门理论性与实践性都强的课程，要求学生通过实验环节把所学的内容巩固和掌握，要求在教学方法上，充分利用各种媒体教学手段，采取课堂教学、多媒体课件和验证性实验有机结合，教学和实验交替进行，提高教学效率。</w:t>
      </w:r>
    </w:p>
    <w:p>
      <w:pPr>
        <w:adjustRightInd w:val="0"/>
        <w:snapToGrid w:val="0"/>
        <w:spacing w:line="360" w:lineRule="auto"/>
        <w:ind w:firstLine="420" w:firstLineChars="200"/>
        <w:rPr>
          <w:rFonts w:hint="eastAsia"/>
          <w:szCs w:val="21"/>
          <w:lang w:bidi="ar"/>
        </w:rPr>
      </w:pPr>
      <w:r>
        <w:rPr>
          <w:szCs w:val="21"/>
          <w:lang w:bidi="ar"/>
        </w:rPr>
        <w:t>2</w:t>
      </w:r>
      <w:r>
        <w:rPr>
          <w:rFonts w:hint="eastAsia"/>
          <w:szCs w:val="21"/>
          <w:lang w:bidi="ar"/>
        </w:rPr>
        <w:t>、为了提高学生的学习兴趣，并取得良好的教学效果，教师在知识讲解的过程中要充分利用问题引导、案例分析等多种教学方法，以进一步提高教学质量。</w:t>
      </w:r>
    </w:p>
    <w:p>
      <w:pPr>
        <w:adjustRightInd w:val="0"/>
        <w:snapToGrid w:val="0"/>
        <w:spacing w:before="156" w:beforeLines="50" w:line="360" w:lineRule="auto"/>
        <w:rPr>
          <w:rFonts w:hint="eastAsia"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六、考核方式</w:t>
      </w:r>
    </w:p>
    <w:p>
      <w:pPr>
        <w:adjustRightInd w:val="0"/>
        <w:snapToGrid w:val="0"/>
        <w:spacing w:line="360" w:lineRule="auto"/>
        <w:ind w:firstLine="422" w:firstLineChars="200"/>
        <w:rPr>
          <w:rFonts w:hint="eastAsia"/>
          <w:b/>
          <w:bCs/>
          <w:szCs w:val="21"/>
          <w:lang w:bidi="ar"/>
        </w:rPr>
      </w:pPr>
      <w:r>
        <w:rPr>
          <w:rFonts w:hint="eastAsia"/>
          <w:b/>
          <w:bCs/>
          <w:szCs w:val="21"/>
          <w:lang w:bidi="ar"/>
        </w:rPr>
        <w:t>1、评价环节</w:t>
      </w:r>
    </w:p>
    <w:p>
      <w:pPr>
        <w:adjustRightInd w:val="0"/>
        <w:snapToGrid w:val="0"/>
        <w:spacing w:line="360" w:lineRule="auto"/>
        <w:ind w:firstLine="420" w:firstLineChars="200"/>
        <w:rPr>
          <w:rFonts w:hint="eastAsia"/>
          <w:szCs w:val="21"/>
          <w:lang w:bidi="ar"/>
        </w:rPr>
      </w:pPr>
      <w:r>
        <w:rPr>
          <w:rFonts w:hint="eastAsia"/>
          <w:szCs w:val="21"/>
          <w:lang w:bidi="ar"/>
        </w:rPr>
        <w:t>课程考核方式包括课堂情况、作业、实验及综合设计考查，所有考核环节均需覆盖到所有学生。</w:t>
      </w:r>
    </w:p>
    <w:p>
      <w:pPr>
        <w:adjustRightInd w:val="0"/>
        <w:snapToGrid w:val="0"/>
        <w:spacing w:line="360" w:lineRule="auto"/>
        <w:ind w:firstLine="422" w:firstLineChars="200"/>
        <w:rPr>
          <w:rFonts w:hint="eastAsia"/>
          <w:b/>
          <w:bCs/>
          <w:szCs w:val="21"/>
          <w:lang w:bidi="ar"/>
        </w:rPr>
      </w:pPr>
      <w:r>
        <w:rPr>
          <w:rFonts w:hint="eastAsia"/>
          <w:b/>
          <w:bCs/>
          <w:szCs w:val="21"/>
          <w:lang w:bidi="ar"/>
        </w:rPr>
        <w:t>2、定量评价</w:t>
      </w:r>
    </w:p>
    <w:p>
      <w:pPr>
        <w:adjustRightInd w:val="0"/>
        <w:snapToGrid w:val="0"/>
        <w:spacing w:line="360" w:lineRule="auto"/>
        <w:ind w:firstLine="420" w:firstLineChars="200"/>
        <w:rPr>
          <w:szCs w:val="21"/>
          <w:lang w:bidi="ar"/>
        </w:rPr>
      </w:pPr>
      <w:r>
        <w:rPr>
          <w:rFonts w:hint="eastAsia"/>
          <w:szCs w:val="21"/>
          <w:lang w:bidi="ar"/>
        </w:rPr>
        <w:t>本课程包含</w:t>
      </w:r>
      <w:r>
        <w:rPr>
          <w:szCs w:val="21"/>
          <w:lang w:bidi="ar"/>
        </w:rPr>
        <w:t>2</w:t>
      </w:r>
      <w:r>
        <w:rPr>
          <w:rFonts w:hint="eastAsia"/>
          <w:szCs w:val="21"/>
          <w:lang w:bidi="ar"/>
        </w:rPr>
        <w:t>个分课程目标，有</w:t>
      </w:r>
      <w:r>
        <w:rPr>
          <w:szCs w:val="21"/>
          <w:lang w:bidi="ar"/>
        </w:rPr>
        <w:t>4</w:t>
      </w:r>
      <w:r>
        <w:rPr>
          <w:rFonts w:hint="eastAsia"/>
          <w:szCs w:val="21"/>
          <w:lang w:bidi="ar"/>
        </w:rPr>
        <w:t>个考核环节，各考核方式对课程目标达成评价的权重占比分配如下表6.1。教师每个环节出题或布置作业时，要尽量做到按照以上比例布局，并对照完成合理化审查。</w:t>
      </w:r>
    </w:p>
    <w:p>
      <w:pPr>
        <w:jc w:val="center"/>
        <w:rPr>
          <w:rFonts w:hint="eastAsia"/>
          <w:b/>
          <w:bCs/>
          <w:sz w:val="18"/>
          <w:szCs w:val="18"/>
        </w:rPr>
      </w:pPr>
      <w:r>
        <w:rPr>
          <w:b/>
          <w:bCs/>
          <w:color w:val="000000"/>
          <w:sz w:val="18"/>
          <w:szCs w:val="18"/>
        </w:rPr>
        <w:t>表</w:t>
      </w:r>
      <w:r>
        <w:rPr>
          <w:rFonts w:hint="eastAsia"/>
          <w:b/>
          <w:bCs/>
          <w:color w:val="000000"/>
          <w:sz w:val="18"/>
          <w:szCs w:val="18"/>
        </w:rPr>
        <w:t xml:space="preserve">6.1   </w:t>
      </w:r>
      <w:r>
        <w:rPr>
          <w:b/>
          <w:bCs/>
          <w:sz w:val="18"/>
          <w:szCs w:val="18"/>
        </w:rPr>
        <w:t>各考核方式对课程目标达成评价的</w:t>
      </w:r>
      <w:r>
        <w:rPr>
          <w:rFonts w:hint="eastAsia"/>
          <w:b/>
          <w:bCs/>
          <w:sz w:val="18"/>
          <w:szCs w:val="18"/>
        </w:rPr>
        <w:t>权重</w:t>
      </w:r>
      <w:r>
        <w:rPr>
          <w:b/>
          <w:bCs/>
          <w:sz w:val="18"/>
          <w:szCs w:val="18"/>
        </w:rPr>
        <w:t>占比分配</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6"/>
        <w:gridCol w:w="1640"/>
        <w:gridCol w:w="1614"/>
        <w:gridCol w:w="1341"/>
        <w:gridCol w:w="2143"/>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14" w:type="pct"/>
            <w:vMerge w:val="restart"/>
            <w:vAlign w:val="center"/>
          </w:tcPr>
          <w:p>
            <w:pPr>
              <w:snapToGrid w:val="0"/>
              <w:jc w:val="center"/>
              <w:rPr>
                <w:b/>
                <w:color w:val="000000"/>
                <w:sz w:val="18"/>
                <w:szCs w:val="18"/>
              </w:rPr>
            </w:pPr>
            <w:r>
              <w:rPr>
                <w:b/>
                <w:color w:val="000000"/>
                <w:kern w:val="0"/>
                <w:sz w:val="18"/>
                <w:szCs w:val="18"/>
              </w:rPr>
              <w:t>课程目标</w:t>
            </w:r>
          </w:p>
        </w:tc>
        <w:tc>
          <w:tcPr>
            <w:tcW w:w="3628" w:type="pct"/>
            <w:gridSpan w:val="4"/>
          </w:tcPr>
          <w:p>
            <w:pPr>
              <w:snapToGrid w:val="0"/>
              <w:jc w:val="center"/>
              <w:rPr>
                <w:b/>
                <w:color w:val="000000"/>
                <w:sz w:val="18"/>
                <w:szCs w:val="18"/>
              </w:rPr>
            </w:pPr>
          </w:p>
          <w:p>
            <w:pPr>
              <w:snapToGrid w:val="0"/>
              <w:jc w:val="center"/>
              <w:rPr>
                <w:rFonts w:hint="eastAsia"/>
                <w:b/>
                <w:color w:val="000000"/>
                <w:sz w:val="18"/>
                <w:szCs w:val="18"/>
              </w:rPr>
            </w:pPr>
            <w:r>
              <w:rPr>
                <w:rFonts w:hint="eastAsia"/>
                <w:b/>
                <w:color w:val="000000"/>
                <w:sz w:val="18"/>
                <w:szCs w:val="18"/>
              </w:rPr>
              <w:t>考核方式以及成绩占比</w:t>
            </w:r>
            <w:r>
              <w:rPr>
                <w:position w:val="-12"/>
              </w:rPr>
              <w:object>
                <v:shape id="_x0000_i1188" o:spt="75" type="#_x0000_t75" style="height:16pt;width:13.5pt;" o:ole="t" filled="f" o:preferrelative="t" stroked="f" coordsize="21600,21600">
                  <v:path/>
                  <v:fill on="f" focussize="0,0"/>
                  <v:stroke on="f" joinstyle="miter"/>
                  <v:imagedata r:id="rId300" o:title=""/>
                  <o:lock v:ext="edit" aspectratio="t"/>
                  <w10:wrap type="none"/>
                  <w10:anchorlock/>
                </v:shape>
                <o:OLEObject Type="Embed" ProgID="Equation.3" ShapeID="_x0000_i1188" DrawAspect="Content" ObjectID="_1468075888" r:id="rId334">
                  <o:LockedField>false</o:LockedField>
                </o:OLEObject>
              </w:object>
            </w:r>
            <w:r>
              <w:rPr>
                <w:rFonts w:hint="eastAsia"/>
                <w:b/>
                <w:color w:val="000000"/>
                <w:sz w:val="18"/>
                <w:szCs w:val="18"/>
              </w:rPr>
              <w:t>（%）</w:t>
            </w:r>
          </w:p>
        </w:tc>
        <w:tc>
          <w:tcPr>
            <w:tcW w:w="658" w:type="pct"/>
            <w:vMerge w:val="restart"/>
            <w:vAlign w:val="center"/>
          </w:tcPr>
          <w:p>
            <w:pPr>
              <w:snapToGrid w:val="0"/>
              <w:jc w:val="center"/>
              <w:rPr>
                <w:b/>
                <w:color w:val="000000"/>
                <w:kern w:val="0"/>
                <w:sz w:val="18"/>
                <w:szCs w:val="18"/>
              </w:rPr>
            </w:pPr>
            <w:r>
              <w:rPr>
                <w:b/>
                <w:color w:val="000000"/>
                <w:kern w:val="0"/>
                <w:sz w:val="18"/>
                <w:szCs w:val="18"/>
              </w:rPr>
              <w:t>分课程</w:t>
            </w:r>
          </w:p>
          <w:p>
            <w:pPr>
              <w:snapToGrid w:val="0"/>
              <w:jc w:val="center"/>
              <w:rPr>
                <w:rFonts w:hint="eastAsia"/>
                <w:b/>
                <w:i/>
                <w:color w:val="000000"/>
                <w:kern w:val="0"/>
                <w:sz w:val="18"/>
                <w:szCs w:val="18"/>
              </w:rPr>
            </w:pPr>
            <w:r>
              <w:rPr>
                <w:b/>
                <w:color w:val="000000"/>
                <w:kern w:val="0"/>
                <w:sz w:val="18"/>
                <w:szCs w:val="18"/>
              </w:rPr>
              <w:t>目标权重</w:t>
            </w:r>
            <w:r>
              <w:rPr>
                <w:b/>
                <w:i/>
                <w:color w:val="000000"/>
                <w:kern w:val="0"/>
                <w:sz w:val="18"/>
                <w:szCs w:val="18"/>
              </w:rPr>
              <w:t>P</w:t>
            </w:r>
            <w:r>
              <w:rPr>
                <w:b/>
                <w:i/>
                <w:color w:val="000000"/>
                <w:kern w:val="0"/>
                <w:sz w:val="18"/>
                <w:szCs w:val="18"/>
                <w:vertAlign w:val="subscript"/>
              </w:rPr>
              <w:t>i</w:t>
            </w:r>
          </w:p>
          <w:p>
            <w:pPr>
              <w:snapToGrid w:val="0"/>
              <w:jc w:val="center"/>
              <w:rPr>
                <w:color w:val="000000"/>
                <w:kern w:val="0"/>
                <w:sz w:val="18"/>
                <w:szCs w:val="18"/>
              </w:rPr>
            </w:pPr>
            <w:r>
              <w:rPr>
                <w:rFonts w:hint="eastAsia"/>
                <w:b/>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vMerge w:val="continue"/>
            <w:vAlign w:val="center"/>
          </w:tcPr>
          <w:p>
            <w:pPr>
              <w:widowControl/>
              <w:snapToGrid w:val="0"/>
              <w:jc w:val="center"/>
              <w:rPr>
                <w:b/>
                <w:color w:val="000000"/>
                <w:kern w:val="0"/>
                <w:sz w:val="18"/>
                <w:szCs w:val="18"/>
              </w:rPr>
            </w:pPr>
          </w:p>
        </w:tc>
        <w:tc>
          <w:tcPr>
            <w:tcW w:w="883" w:type="pct"/>
            <w:vAlign w:val="center"/>
          </w:tcPr>
          <w:p>
            <w:pPr>
              <w:widowControl/>
              <w:snapToGrid w:val="0"/>
              <w:jc w:val="center"/>
              <w:rPr>
                <w:rFonts w:hint="eastAsia"/>
                <w:b/>
                <w:color w:val="000000"/>
                <w:kern w:val="0"/>
                <w:sz w:val="18"/>
                <w:szCs w:val="18"/>
              </w:rPr>
            </w:pPr>
            <w:r>
              <w:rPr>
                <w:rFonts w:hint="eastAsia"/>
                <w:b/>
                <w:color w:val="000000"/>
                <w:kern w:val="0"/>
                <w:sz w:val="18"/>
                <w:szCs w:val="18"/>
              </w:rPr>
              <w:t>课堂情况</w:t>
            </w:r>
          </w:p>
          <w:p>
            <w:pPr>
              <w:widowControl/>
              <w:snapToGrid w:val="0"/>
              <w:jc w:val="center"/>
              <w:rPr>
                <w:rFonts w:hint="eastAsia"/>
                <w:b/>
                <w:color w:val="000000"/>
                <w:kern w:val="0"/>
                <w:sz w:val="18"/>
                <w:szCs w:val="18"/>
              </w:rPr>
            </w:pPr>
            <w:r>
              <w:rPr>
                <w:rFonts w:hint="eastAsia"/>
                <w:b/>
                <w:color w:val="000000"/>
                <w:kern w:val="0"/>
                <w:sz w:val="18"/>
                <w:szCs w:val="18"/>
              </w:rPr>
              <w:t>（1）</w:t>
            </w:r>
          </w:p>
        </w:tc>
        <w:tc>
          <w:tcPr>
            <w:tcW w:w="869" w:type="pct"/>
            <w:vAlign w:val="center"/>
          </w:tcPr>
          <w:p>
            <w:pPr>
              <w:widowControl/>
              <w:snapToGrid w:val="0"/>
              <w:jc w:val="center"/>
              <w:rPr>
                <w:b/>
                <w:color w:val="000000"/>
                <w:kern w:val="0"/>
                <w:sz w:val="18"/>
                <w:szCs w:val="18"/>
              </w:rPr>
            </w:pPr>
            <w:r>
              <w:rPr>
                <w:rFonts w:hint="eastAsia"/>
                <w:b/>
                <w:color w:val="000000"/>
                <w:kern w:val="0"/>
                <w:sz w:val="18"/>
                <w:szCs w:val="18"/>
              </w:rPr>
              <w:t>作业</w:t>
            </w:r>
          </w:p>
          <w:p>
            <w:pPr>
              <w:widowControl/>
              <w:snapToGrid w:val="0"/>
              <w:jc w:val="center"/>
              <w:rPr>
                <w:rFonts w:hint="eastAsia"/>
                <w:b/>
                <w:color w:val="000000"/>
                <w:kern w:val="0"/>
                <w:sz w:val="18"/>
                <w:szCs w:val="18"/>
              </w:rPr>
            </w:pPr>
            <w:r>
              <w:rPr>
                <w:rFonts w:hint="eastAsia"/>
                <w:b/>
                <w:color w:val="000000"/>
                <w:kern w:val="0"/>
                <w:sz w:val="18"/>
                <w:szCs w:val="18"/>
              </w:rPr>
              <w:t>（2）</w:t>
            </w:r>
          </w:p>
        </w:tc>
        <w:tc>
          <w:tcPr>
            <w:tcW w:w="722" w:type="pct"/>
            <w:vAlign w:val="center"/>
          </w:tcPr>
          <w:p>
            <w:pPr>
              <w:widowControl/>
              <w:snapToGrid w:val="0"/>
              <w:jc w:val="center"/>
              <w:rPr>
                <w:b/>
                <w:color w:val="000000"/>
                <w:kern w:val="0"/>
                <w:sz w:val="18"/>
                <w:szCs w:val="18"/>
              </w:rPr>
            </w:pPr>
            <w:r>
              <w:rPr>
                <w:rFonts w:hint="eastAsia"/>
                <w:b/>
                <w:color w:val="000000"/>
                <w:kern w:val="0"/>
                <w:sz w:val="18"/>
                <w:szCs w:val="18"/>
              </w:rPr>
              <w:t>实验</w:t>
            </w:r>
          </w:p>
          <w:p>
            <w:pPr>
              <w:widowControl/>
              <w:snapToGrid w:val="0"/>
              <w:jc w:val="center"/>
              <w:rPr>
                <w:rFonts w:hint="eastAsia"/>
                <w:b/>
                <w:color w:val="000000"/>
                <w:kern w:val="0"/>
                <w:sz w:val="18"/>
                <w:szCs w:val="18"/>
              </w:rPr>
            </w:pPr>
            <w:r>
              <w:rPr>
                <w:rFonts w:hint="eastAsia"/>
                <w:b/>
                <w:color w:val="000000"/>
                <w:kern w:val="0"/>
                <w:sz w:val="18"/>
                <w:szCs w:val="18"/>
              </w:rPr>
              <w:t>（</w:t>
            </w:r>
            <w:r>
              <w:rPr>
                <w:b/>
                <w:color w:val="000000"/>
                <w:kern w:val="0"/>
                <w:sz w:val="18"/>
                <w:szCs w:val="18"/>
              </w:rPr>
              <w:t>3</w:t>
            </w:r>
            <w:r>
              <w:rPr>
                <w:rFonts w:hint="eastAsia"/>
                <w:b/>
                <w:color w:val="000000"/>
                <w:kern w:val="0"/>
                <w:sz w:val="18"/>
                <w:szCs w:val="18"/>
              </w:rPr>
              <w:t>）</w:t>
            </w:r>
          </w:p>
        </w:tc>
        <w:tc>
          <w:tcPr>
            <w:tcW w:w="1154" w:type="pct"/>
            <w:vAlign w:val="center"/>
          </w:tcPr>
          <w:p>
            <w:pPr>
              <w:widowControl/>
              <w:snapToGrid w:val="0"/>
              <w:jc w:val="center"/>
              <w:rPr>
                <w:b/>
                <w:color w:val="000000"/>
                <w:kern w:val="0"/>
                <w:sz w:val="18"/>
                <w:szCs w:val="18"/>
              </w:rPr>
            </w:pPr>
            <w:r>
              <w:rPr>
                <w:rFonts w:hint="eastAsia"/>
                <w:b/>
                <w:color w:val="000000"/>
                <w:kern w:val="0"/>
                <w:sz w:val="18"/>
                <w:szCs w:val="18"/>
              </w:rPr>
              <w:t>综合设计</w:t>
            </w:r>
          </w:p>
          <w:p>
            <w:pPr>
              <w:widowControl/>
              <w:snapToGrid w:val="0"/>
              <w:jc w:val="center"/>
              <w:rPr>
                <w:rFonts w:hint="eastAsia"/>
                <w:b/>
                <w:color w:val="000000"/>
                <w:kern w:val="0"/>
                <w:sz w:val="18"/>
                <w:szCs w:val="18"/>
              </w:rPr>
            </w:pPr>
            <w:r>
              <w:rPr>
                <w:rFonts w:hint="eastAsia"/>
                <w:b/>
                <w:color w:val="000000"/>
                <w:kern w:val="0"/>
                <w:sz w:val="18"/>
                <w:szCs w:val="18"/>
              </w:rPr>
              <w:t>（</w:t>
            </w:r>
            <w:r>
              <w:rPr>
                <w:b/>
                <w:color w:val="000000"/>
                <w:kern w:val="0"/>
                <w:sz w:val="18"/>
                <w:szCs w:val="18"/>
              </w:rPr>
              <w:t>4</w:t>
            </w:r>
            <w:r>
              <w:rPr>
                <w:rFonts w:hint="eastAsia"/>
                <w:b/>
                <w:color w:val="000000"/>
                <w:kern w:val="0"/>
                <w:sz w:val="18"/>
                <w:szCs w:val="18"/>
              </w:rPr>
              <w:t>）</w:t>
            </w:r>
          </w:p>
        </w:tc>
        <w:tc>
          <w:tcPr>
            <w:tcW w:w="658" w:type="pct"/>
            <w:vMerge w:val="continue"/>
          </w:tcPr>
          <w:p>
            <w:pPr>
              <w:snapToGrid w:val="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vAlign w:val="center"/>
          </w:tcPr>
          <w:p>
            <w:pPr>
              <w:widowControl/>
              <w:snapToGrid w:val="0"/>
              <w:jc w:val="center"/>
              <w:rPr>
                <w:color w:val="000000"/>
                <w:kern w:val="0"/>
                <w:sz w:val="18"/>
                <w:szCs w:val="18"/>
              </w:rPr>
            </w:pPr>
            <w:r>
              <w:rPr>
                <w:color w:val="000000"/>
                <w:kern w:val="0"/>
                <w:sz w:val="18"/>
                <w:szCs w:val="18"/>
              </w:rPr>
              <w:t>1</w:t>
            </w:r>
          </w:p>
        </w:tc>
        <w:tc>
          <w:tcPr>
            <w:tcW w:w="883" w:type="pct"/>
            <w:vAlign w:val="center"/>
          </w:tcPr>
          <w:p>
            <w:pPr>
              <w:jc w:val="center"/>
              <w:rPr>
                <w:color w:val="0000FF"/>
                <w:sz w:val="18"/>
                <w:szCs w:val="18"/>
              </w:rPr>
            </w:pPr>
            <w:r>
              <w:rPr>
                <w:sz w:val="18"/>
                <w:szCs w:val="18"/>
                <w:lang w:bidi="ar"/>
              </w:rPr>
              <w:t xml:space="preserve">7.5 </w:t>
            </w:r>
          </w:p>
        </w:tc>
        <w:tc>
          <w:tcPr>
            <w:tcW w:w="869" w:type="pct"/>
            <w:vAlign w:val="center"/>
          </w:tcPr>
          <w:p>
            <w:pPr>
              <w:jc w:val="center"/>
              <w:rPr>
                <w:rFonts w:hint="eastAsia"/>
                <w:color w:val="0000FF"/>
                <w:sz w:val="18"/>
                <w:szCs w:val="18"/>
              </w:rPr>
            </w:pPr>
            <w:r>
              <w:rPr>
                <w:sz w:val="18"/>
                <w:szCs w:val="18"/>
                <w:lang w:bidi="ar"/>
              </w:rPr>
              <w:t xml:space="preserve">7.5 </w:t>
            </w:r>
          </w:p>
        </w:tc>
        <w:tc>
          <w:tcPr>
            <w:tcW w:w="722" w:type="pct"/>
            <w:vAlign w:val="center"/>
          </w:tcPr>
          <w:p>
            <w:pPr>
              <w:jc w:val="center"/>
              <w:rPr>
                <w:rFonts w:hint="eastAsia"/>
                <w:color w:val="0000FF"/>
                <w:sz w:val="18"/>
                <w:szCs w:val="18"/>
              </w:rPr>
            </w:pPr>
            <w:r>
              <w:rPr>
                <w:sz w:val="18"/>
                <w:szCs w:val="18"/>
                <w:lang w:bidi="ar"/>
              </w:rPr>
              <w:t xml:space="preserve">5 </w:t>
            </w:r>
          </w:p>
        </w:tc>
        <w:tc>
          <w:tcPr>
            <w:tcW w:w="1154" w:type="pct"/>
            <w:vAlign w:val="center"/>
          </w:tcPr>
          <w:p>
            <w:pPr>
              <w:jc w:val="center"/>
              <w:rPr>
                <w:rFonts w:hint="eastAsia"/>
                <w:color w:val="0000FF"/>
                <w:sz w:val="18"/>
                <w:szCs w:val="18"/>
              </w:rPr>
            </w:pPr>
            <w:r>
              <w:rPr>
                <w:sz w:val="18"/>
                <w:szCs w:val="18"/>
                <w:lang w:bidi="ar"/>
              </w:rPr>
              <w:t>5</w:t>
            </w:r>
          </w:p>
        </w:tc>
        <w:tc>
          <w:tcPr>
            <w:tcW w:w="658" w:type="pct"/>
            <w:vAlign w:val="center"/>
          </w:tcPr>
          <w:p>
            <w:pPr>
              <w:snapToGrid w:val="0"/>
              <w:jc w:val="center"/>
              <w:rPr>
                <w:sz w:val="18"/>
                <w:szCs w:val="18"/>
              </w:rPr>
            </w:pPr>
            <w:r>
              <w:rPr>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vAlign w:val="center"/>
          </w:tcPr>
          <w:p>
            <w:pPr>
              <w:widowControl/>
              <w:snapToGrid w:val="0"/>
              <w:jc w:val="center"/>
              <w:rPr>
                <w:color w:val="000000"/>
                <w:kern w:val="0"/>
                <w:sz w:val="18"/>
                <w:szCs w:val="18"/>
              </w:rPr>
            </w:pPr>
            <w:r>
              <w:rPr>
                <w:color w:val="000000"/>
                <w:kern w:val="0"/>
                <w:sz w:val="18"/>
                <w:szCs w:val="18"/>
              </w:rPr>
              <w:t>2</w:t>
            </w:r>
          </w:p>
        </w:tc>
        <w:tc>
          <w:tcPr>
            <w:tcW w:w="883" w:type="pct"/>
            <w:vAlign w:val="center"/>
          </w:tcPr>
          <w:p>
            <w:pPr>
              <w:jc w:val="center"/>
              <w:rPr>
                <w:color w:val="0000FF"/>
                <w:sz w:val="18"/>
                <w:szCs w:val="18"/>
              </w:rPr>
            </w:pPr>
            <w:r>
              <w:rPr>
                <w:sz w:val="18"/>
                <w:szCs w:val="18"/>
                <w:lang w:bidi="ar"/>
              </w:rPr>
              <w:t>7.5</w:t>
            </w:r>
          </w:p>
        </w:tc>
        <w:tc>
          <w:tcPr>
            <w:tcW w:w="869" w:type="pct"/>
            <w:vAlign w:val="center"/>
          </w:tcPr>
          <w:p>
            <w:pPr>
              <w:jc w:val="center"/>
              <w:rPr>
                <w:rFonts w:hint="eastAsia"/>
                <w:color w:val="0000FF"/>
                <w:sz w:val="18"/>
                <w:szCs w:val="18"/>
              </w:rPr>
            </w:pPr>
            <w:r>
              <w:rPr>
                <w:sz w:val="18"/>
                <w:szCs w:val="18"/>
                <w:lang w:bidi="ar"/>
              </w:rPr>
              <w:t>7.5</w:t>
            </w:r>
          </w:p>
        </w:tc>
        <w:tc>
          <w:tcPr>
            <w:tcW w:w="722" w:type="pct"/>
            <w:vAlign w:val="center"/>
          </w:tcPr>
          <w:p>
            <w:pPr>
              <w:jc w:val="center"/>
              <w:rPr>
                <w:rFonts w:hint="eastAsia"/>
                <w:color w:val="0000FF"/>
                <w:sz w:val="18"/>
                <w:szCs w:val="18"/>
              </w:rPr>
            </w:pPr>
            <w:r>
              <w:rPr>
                <w:rFonts w:hint="eastAsia"/>
                <w:sz w:val="18"/>
                <w:szCs w:val="18"/>
                <w:lang w:bidi="ar"/>
              </w:rPr>
              <w:t>1</w:t>
            </w:r>
            <w:r>
              <w:rPr>
                <w:sz w:val="18"/>
                <w:szCs w:val="18"/>
                <w:lang w:bidi="ar"/>
              </w:rPr>
              <w:t>5</w:t>
            </w:r>
          </w:p>
        </w:tc>
        <w:tc>
          <w:tcPr>
            <w:tcW w:w="1154" w:type="pct"/>
            <w:vAlign w:val="center"/>
          </w:tcPr>
          <w:p>
            <w:pPr>
              <w:jc w:val="center"/>
              <w:rPr>
                <w:rFonts w:hint="eastAsia"/>
                <w:color w:val="0000FF"/>
                <w:sz w:val="18"/>
                <w:szCs w:val="18"/>
              </w:rPr>
            </w:pPr>
            <w:r>
              <w:rPr>
                <w:sz w:val="18"/>
                <w:szCs w:val="18"/>
                <w:lang w:bidi="ar"/>
              </w:rPr>
              <w:t xml:space="preserve">45 </w:t>
            </w:r>
          </w:p>
        </w:tc>
        <w:tc>
          <w:tcPr>
            <w:tcW w:w="658" w:type="pct"/>
            <w:vAlign w:val="center"/>
          </w:tcPr>
          <w:p>
            <w:pPr>
              <w:snapToGrid w:val="0"/>
              <w:jc w:val="center"/>
              <w:rPr>
                <w:sz w:val="18"/>
                <w:szCs w:val="18"/>
              </w:rPr>
            </w:pPr>
            <w:r>
              <w:rPr>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vAlign w:val="center"/>
          </w:tcPr>
          <w:p>
            <w:pPr>
              <w:widowControl/>
              <w:snapToGrid w:val="0"/>
              <w:jc w:val="center"/>
              <w:rPr>
                <w:color w:val="000000"/>
                <w:kern w:val="0"/>
                <w:sz w:val="18"/>
                <w:szCs w:val="18"/>
              </w:rPr>
            </w:pPr>
            <w:r>
              <w:rPr>
                <w:rFonts w:hint="eastAsia"/>
                <w:color w:val="000000"/>
                <w:kern w:val="0"/>
                <w:sz w:val="18"/>
                <w:szCs w:val="18"/>
              </w:rPr>
              <w:t>考核环节成绩比例合计（%）</w:t>
            </w:r>
          </w:p>
        </w:tc>
        <w:tc>
          <w:tcPr>
            <w:tcW w:w="883" w:type="pct"/>
            <w:vAlign w:val="center"/>
          </w:tcPr>
          <w:p>
            <w:pPr>
              <w:jc w:val="center"/>
              <w:rPr>
                <w:color w:val="0000FF"/>
                <w:sz w:val="18"/>
                <w:szCs w:val="18"/>
              </w:rPr>
            </w:pPr>
            <w:r>
              <w:rPr>
                <w:sz w:val="18"/>
                <w:szCs w:val="18"/>
                <w:lang w:bidi="ar"/>
              </w:rPr>
              <w:t>15</w:t>
            </w:r>
          </w:p>
        </w:tc>
        <w:tc>
          <w:tcPr>
            <w:tcW w:w="869" w:type="pct"/>
            <w:vAlign w:val="center"/>
          </w:tcPr>
          <w:p>
            <w:pPr>
              <w:jc w:val="center"/>
              <w:rPr>
                <w:color w:val="0000FF"/>
                <w:sz w:val="18"/>
                <w:szCs w:val="18"/>
              </w:rPr>
            </w:pPr>
            <w:r>
              <w:rPr>
                <w:sz w:val="18"/>
                <w:szCs w:val="18"/>
                <w:lang w:bidi="ar"/>
              </w:rPr>
              <w:t>15</w:t>
            </w:r>
          </w:p>
        </w:tc>
        <w:tc>
          <w:tcPr>
            <w:tcW w:w="722" w:type="pct"/>
            <w:vAlign w:val="center"/>
          </w:tcPr>
          <w:p>
            <w:pPr>
              <w:jc w:val="center"/>
              <w:rPr>
                <w:color w:val="0000FF"/>
                <w:sz w:val="18"/>
                <w:szCs w:val="18"/>
              </w:rPr>
            </w:pPr>
            <w:r>
              <w:rPr>
                <w:sz w:val="18"/>
                <w:szCs w:val="18"/>
                <w:lang w:bidi="ar"/>
              </w:rPr>
              <w:t>20</w:t>
            </w:r>
          </w:p>
        </w:tc>
        <w:tc>
          <w:tcPr>
            <w:tcW w:w="1154" w:type="pct"/>
            <w:vAlign w:val="center"/>
          </w:tcPr>
          <w:p>
            <w:pPr>
              <w:jc w:val="center"/>
              <w:rPr>
                <w:rFonts w:hint="eastAsia"/>
                <w:color w:val="0000FF"/>
                <w:sz w:val="18"/>
                <w:szCs w:val="18"/>
              </w:rPr>
            </w:pPr>
            <w:r>
              <w:rPr>
                <w:sz w:val="18"/>
                <w:szCs w:val="18"/>
                <w:lang w:bidi="ar"/>
              </w:rPr>
              <w:t>50</w:t>
            </w:r>
          </w:p>
        </w:tc>
        <w:tc>
          <w:tcPr>
            <w:tcW w:w="658" w:type="pct"/>
            <w:vAlign w:val="center"/>
          </w:tcPr>
          <w:p>
            <w:pPr>
              <w:snapToGrid w:val="0"/>
              <w:jc w:val="center"/>
              <w:rPr>
                <w:sz w:val="18"/>
                <w:szCs w:val="18"/>
              </w:rPr>
            </w:pPr>
            <w:r>
              <w:rPr>
                <w:rFonts w:hint="eastAsia"/>
                <w:sz w:val="18"/>
                <w:szCs w:val="18"/>
              </w:rPr>
              <w:t>1</w:t>
            </w:r>
            <w:r>
              <w:rPr>
                <w:sz w:val="18"/>
                <w:szCs w:val="18"/>
              </w:rPr>
              <w:t>00</w:t>
            </w:r>
          </w:p>
        </w:tc>
      </w:tr>
    </w:tbl>
    <w:p>
      <w:pPr>
        <w:adjustRightInd w:val="0"/>
        <w:snapToGrid w:val="0"/>
        <w:spacing w:line="360" w:lineRule="auto"/>
        <w:ind w:firstLine="420" w:firstLineChars="200"/>
        <w:rPr>
          <w:rFonts w:hint="eastAsia"/>
          <w:szCs w:val="21"/>
          <w:lang w:bidi="ar"/>
        </w:rPr>
      </w:pPr>
    </w:p>
    <w:p>
      <w:pPr>
        <w:adjustRightInd w:val="0"/>
        <w:snapToGrid w:val="0"/>
        <w:spacing w:line="360" w:lineRule="auto"/>
        <w:ind w:firstLine="420" w:firstLineChars="200"/>
        <w:rPr>
          <w:rFonts w:hint="eastAsia"/>
          <w:szCs w:val="21"/>
          <w:lang w:bidi="ar"/>
        </w:rPr>
      </w:pPr>
      <w:r>
        <w:rPr>
          <w:rFonts w:hint="eastAsia"/>
          <w:szCs w:val="21"/>
          <w:lang w:bidi="ar"/>
        </w:rPr>
        <w:t xml:space="preserve">第i个分课程目标的达成度Ai ： </w:t>
      </w:r>
    </w:p>
    <w:p>
      <w:pPr>
        <w:adjustRightInd w:val="0"/>
        <w:snapToGrid w:val="0"/>
        <w:spacing w:line="360" w:lineRule="auto"/>
        <w:ind w:firstLine="420" w:firstLineChars="200"/>
        <w:rPr>
          <w:rFonts w:hint="eastAsia"/>
          <w:szCs w:val="21"/>
          <w:lang w:bidi="ar"/>
        </w:rPr>
      </w:pPr>
      <w:r>
        <w:rPr>
          <w:rFonts w:hint="eastAsia"/>
          <w:szCs w:val="21"/>
          <w:lang w:bidi="ar"/>
        </w:rPr>
        <w:object>
          <v:shape id="_x0000_i1189" o:spt="75" type="#_x0000_t75" style="height:20pt;width:105.5pt;" o:ole="t" filled="f" o:preferrelative="t" stroked="f" coordsize="21600,21600">
            <v:path/>
            <v:fill on="f" focussize="0,0"/>
            <v:stroke on="f" joinstyle="miter"/>
            <v:imagedata r:id="rId296" o:title=""/>
            <o:lock v:ext="edit" aspectratio="t"/>
            <w10:wrap type="none"/>
            <w10:anchorlock/>
          </v:shape>
          <o:OLEObject Type="Embed" ProgID="Equation.DSMT4" ShapeID="_x0000_i1189" DrawAspect="Content" ObjectID="_1468075889" r:id="rId335">
            <o:LockedField>false</o:LockedField>
          </o:OLEObject>
        </w:object>
      </w:r>
      <w:r>
        <w:rPr>
          <w:rFonts w:hint="eastAsia"/>
          <w:szCs w:val="21"/>
          <w:lang w:bidi="ar"/>
        </w:rPr>
        <w:t xml:space="preserve">                                    </w:t>
      </w:r>
      <w:r>
        <w:rPr>
          <w:rFonts w:hint="eastAsia"/>
          <w:szCs w:val="21"/>
          <w:lang w:bidi="ar"/>
        </w:rPr>
        <w:tab/>
      </w:r>
      <w:r>
        <w:rPr>
          <w:rFonts w:hint="eastAsia"/>
          <w:szCs w:val="21"/>
          <w:lang w:bidi="ar"/>
        </w:rPr>
        <w:tab/>
      </w:r>
      <w:r>
        <w:rPr>
          <w:rFonts w:hint="eastAsia"/>
          <w:szCs w:val="21"/>
          <w:lang w:bidi="ar"/>
        </w:rPr>
        <w:tab/>
      </w:r>
      <w:r>
        <w:rPr>
          <w:rFonts w:hint="eastAsia"/>
          <w:szCs w:val="21"/>
          <w:lang w:bidi="ar"/>
        </w:rPr>
        <w:tab/>
      </w:r>
      <w:r>
        <w:rPr>
          <w:rFonts w:hint="eastAsia"/>
          <w:szCs w:val="21"/>
          <w:lang w:bidi="ar"/>
        </w:rPr>
        <w:t>6-1</w:t>
      </w:r>
    </w:p>
    <w:p>
      <w:pPr>
        <w:adjustRightInd w:val="0"/>
        <w:snapToGrid w:val="0"/>
        <w:spacing w:line="360" w:lineRule="auto"/>
        <w:ind w:firstLine="420" w:firstLineChars="200"/>
        <w:rPr>
          <w:rFonts w:hint="eastAsia"/>
          <w:szCs w:val="21"/>
          <w:lang w:bidi="ar"/>
        </w:rPr>
      </w:pPr>
      <w:r>
        <w:rPr>
          <w:rFonts w:hint="eastAsia"/>
          <w:szCs w:val="21"/>
          <w:lang w:bidi="ar"/>
        </w:rPr>
        <w:t>总课程目标达成度A，由多个分课程目标再根据权重加权求和：</w:t>
      </w:r>
    </w:p>
    <w:p>
      <w:pPr>
        <w:adjustRightInd w:val="0"/>
        <w:snapToGrid w:val="0"/>
        <w:spacing w:line="360" w:lineRule="auto"/>
        <w:ind w:firstLine="420" w:firstLineChars="200"/>
        <w:rPr>
          <w:rFonts w:hint="eastAsia"/>
          <w:szCs w:val="21"/>
          <w:lang w:bidi="ar"/>
        </w:rPr>
      </w:pPr>
      <w:r>
        <w:rPr>
          <w:rFonts w:hint="eastAsia"/>
          <w:szCs w:val="21"/>
          <w:lang w:bidi="ar"/>
        </w:rPr>
        <w:object>
          <v:shape id="_x0000_i1190" o:spt="75" type="#_x0000_t75" style="height:20pt;width:62.5pt;" o:ole="t" filled="f" o:preferrelative="t" stroked="f" coordsize="21600,21600">
            <v:path/>
            <v:fill on="f" focussize="0,0"/>
            <v:stroke on="f" joinstyle="miter"/>
            <v:imagedata r:id="rId298" o:title=""/>
            <o:lock v:ext="edit" aspectratio="t"/>
            <w10:wrap type="none"/>
            <w10:anchorlock/>
          </v:shape>
          <o:OLEObject Type="Embed" ProgID="Equation.DSMT4" ShapeID="_x0000_i1190" DrawAspect="Content" ObjectID="_1468075890" r:id="rId336">
            <o:LockedField>false</o:LockedField>
          </o:OLEObject>
        </w:object>
      </w:r>
      <w:r>
        <w:rPr>
          <w:rFonts w:hint="eastAsia"/>
          <w:szCs w:val="21"/>
          <w:lang w:bidi="ar"/>
        </w:rPr>
        <w:t xml:space="preserve">                                      </w:t>
      </w:r>
      <w:r>
        <w:rPr>
          <w:rFonts w:hint="eastAsia"/>
          <w:szCs w:val="21"/>
          <w:lang w:bidi="ar"/>
        </w:rPr>
        <w:tab/>
      </w:r>
      <w:r>
        <w:rPr>
          <w:rFonts w:hint="eastAsia"/>
          <w:szCs w:val="21"/>
          <w:lang w:bidi="ar"/>
        </w:rPr>
        <w:tab/>
      </w:r>
      <w:r>
        <w:rPr>
          <w:rFonts w:hint="eastAsia"/>
          <w:szCs w:val="21"/>
          <w:lang w:bidi="ar"/>
        </w:rPr>
        <w:tab/>
      </w:r>
      <w:r>
        <w:rPr>
          <w:rFonts w:hint="eastAsia"/>
          <w:szCs w:val="21"/>
          <w:lang w:bidi="ar"/>
        </w:rPr>
        <w:tab/>
      </w:r>
      <w:r>
        <w:rPr>
          <w:rFonts w:hint="eastAsia"/>
          <w:szCs w:val="21"/>
          <w:lang w:bidi="ar"/>
        </w:rPr>
        <w:tab/>
      </w:r>
      <w:r>
        <w:rPr>
          <w:rFonts w:hint="eastAsia"/>
          <w:szCs w:val="21"/>
          <w:lang w:bidi="ar"/>
        </w:rPr>
        <w:tab/>
      </w:r>
      <w:r>
        <w:rPr>
          <w:rFonts w:hint="eastAsia"/>
          <w:szCs w:val="21"/>
          <w:lang w:bidi="ar"/>
        </w:rPr>
        <w:t>6-2</w:t>
      </w:r>
    </w:p>
    <w:p>
      <w:pPr>
        <w:adjustRightInd w:val="0"/>
        <w:snapToGrid w:val="0"/>
        <w:spacing w:line="360" w:lineRule="auto"/>
        <w:ind w:firstLine="420" w:firstLineChars="200"/>
        <w:rPr>
          <w:rFonts w:hint="eastAsia"/>
          <w:szCs w:val="21"/>
          <w:lang w:bidi="ar"/>
        </w:rPr>
      </w:pPr>
      <w:r>
        <w:rPr>
          <w:rFonts w:hint="eastAsia"/>
          <w:szCs w:val="21"/>
          <w:lang w:bidi="ar"/>
        </w:rPr>
        <w:t>其中：k表示不同的考核方式，i表示不同的分课程目标；</w:t>
      </w:r>
    </w:p>
    <w:p>
      <w:pPr>
        <w:adjustRightInd w:val="0"/>
        <w:snapToGrid w:val="0"/>
        <w:spacing w:line="360" w:lineRule="auto"/>
        <w:ind w:firstLine="420" w:firstLineChars="200"/>
        <w:rPr>
          <w:rFonts w:hint="eastAsia"/>
          <w:szCs w:val="21"/>
          <w:lang w:bidi="ar"/>
        </w:rPr>
      </w:pPr>
      <w:r>
        <w:rPr>
          <w:rFonts w:hint="eastAsia"/>
          <w:szCs w:val="21"/>
          <w:lang w:bidi="ar"/>
        </w:rPr>
        <w:object>
          <v:shape id="_x0000_i1191" o:spt="75" type="#_x0000_t75" style="height:16pt;width:13.5pt;" o:ole="t" filled="f" o:preferrelative="t" stroked="f" coordsize="21600,21600">
            <v:path/>
            <v:fill on="f" focussize="0,0"/>
            <v:stroke on="f" joinstyle="miter"/>
            <v:imagedata r:id="rId300" o:title=""/>
            <o:lock v:ext="edit" aspectratio="t"/>
            <w10:wrap type="none"/>
            <w10:anchorlock/>
          </v:shape>
          <o:OLEObject Type="Embed" ProgID="Equation.3" ShapeID="_x0000_i1191" DrawAspect="Content" ObjectID="_1468075891" r:id="rId337">
            <o:LockedField>false</o:LockedField>
          </o:OLEObject>
        </w:object>
      </w:r>
      <w:r>
        <w:rPr>
          <w:rFonts w:hint="eastAsia"/>
          <w:szCs w:val="21"/>
          <w:lang w:bidi="ar"/>
        </w:rPr>
        <w:t>表示第i个课程目标中第k种考核方式在总成绩中的占比；</w:t>
      </w:r>
    </w:p>
    <w:p>
      <w:pPr>
        <w:adjustRightInd w:val="0"/>
        <w:snapToGrid w:val="0"/>
        <w:spacing w:line="360" w:lineRule="auto"/>
        <w:ind w:firstLine="420" w:firstLineChars="200"/>
        <w:rPr>
          <w:rFonts w:hint="eastAsia"/>
          <w:szCs w:val="21"/>
          <w:lang w:bidi="ar"/>
        </w:rPr>
      </w:pPr>
      <w:r>
        <w:rPr>
          <w:rFonts w:hint="eastAsia"/>
          <w:szCs w:val="21"/>
          <w:lang w:bidi="ar"/>
        </w:rPr>
        <w:object>
          <v:shape id="_x0000_i1192" o:spt="75" type="#_x0000_t75" style="height:15pt;width:10.5pt;" o:ole="t" filled="f" o:preferrelative="t" stroked="f" coordsize="21600,21600">
            <v:path/>
            <v:fill on="f" focussize="0,0"/>
            <v:stroke on="f" joinstyle="miter"/>
            <v:imagedata r:id="rId155" o:title=""/>
            <o:lock v:ext="edit" aspectratio="t"/>
            <w10:wrap type="none"/>
            <w10:anchorlock/>
          </v:shape>
          <o:OLEObject Type="Embed" ProgID="Equation.3" ShapeID="_x0000_i1192" DrawAspect="Content" ObjectID="_1468075892" r:id="rId338">
            <o:LockedField>false</o:LockedField>
          </o:OLEObject>
        </w:object>
      </w:r>
      <w:r>
        <w:rPr>
          <w:rFonts w:hint="eastAsia"/>
          <w:szCs w:val="21"/>
          <w:lang w:bidi="ar"/>
        </w:rPr>
        <w:t>表示第i个课程目标在课程总评价中的占比；</w:t>
      </w:r>
    </w:p>
    <w:p>
      <w:pPr>
        <w:adjustRightInd w:val="0"/>
        <w:snapToGrid w:val="0"/>
        <w:spacing w:line="360" w:lineRule="auto"/>
        <w:ind w:firstLine="420" w:firstLineChars="200"/>
        <w:rPr>
          <w:rFonts w:hint="eastAsia"/>
          <w:szCs w:val="21"/>
          <w:lang w:bidi="ar"/>
        </w:rPr>
      </w:pPr>
      <w:r>
        <w:rPr>
          <w:rFonts w:hint="eastAsia"/>
          <w:szCs w:val="21"/>
          <w:lang w:bidi="ar"/>
        </w:rPr>
        <w:t>Gik表示第k种考核方式支撑第i个课程目标的达成度（第k种考核方式支撑第i个课程目标的学生得分平均值除以第k种考核方式支撑第i个课程目标的总分值）。</w:t>
      </w:r>
    </w:p>
    <w:p>
      <w:pPr>
        <w:adjustRightInd w:val="0"/>
        <w:snapToGrid w:val="0"/>
        <w:spacing w:line="360" w:lineRule="auto"/>
        <w:ind w:firstLine="422" w:firstLineChars="200"/>
        <w:rPr>
          <w:rFonts w:hint="eastAsia"/>
          <w:b/>
          <w:bCs/>
          <w:szCs w:val="21"/>
          <w:lang w:bidi="ar"/>
        </w:rPr>
      </w:pPr>
      <w:r>
        <w:rPr>
          <w:rFonts w:hint="eastAsia"/>
          <w:b/>
          <w:bCs/>
          <w:szCs w:val="21"/>
          <w:lang w:bidi="ar"/>
        </w:rPr>
        <w:t>3、定性评价</w:t>
      </w:r>
    </w:p>
    <w:p>
      <w:pPr>
        <w:adjustRightInd w:val="0"/>
        <w:snapToGrid w:val="0"/>
        <w:spacing w:line="360" w:lineRule="auto"/>
        <w:ind w:firstLine="420" w:firstLineChars="200"/>
        <w:rPr>
          <w:rFonts w:hint="eastAsia"/>
          <w:szCs w:val="21"/>
          <w:lang w:bidi="ar"/>
        </w:rPr>
      </w:pPr>
      <w:r>
        <w:rPr>
          <w:rFonts w:hint="eastAsia"/>
          <w:szCs w:val="21"/>
          <w:lang w:bidi="ar"/>
        </w:rPr>
        <w:t>针对每门课的课程目标，直接设计问题，并要求学生明确给出目标能力达到的程度“很好（0.95）、较好（0.75）、中（0.60）、较差（0.45）、很差（0.25）”，根据各区段统计比例与括号中的目标分值加权后求和得出定性评价的结果。</w:t>
      </w:r>
    </w:p>
    <w:p>
      <w:pPr>
        <w:adjustRightInd w:val="0"/>
        <w:snapToGrid w:val="0"/>
        <w:spacing w:line="360" w:lineRule="auto"/>
        <w:ind w:firstLine="422" w:firstLineChars="200"/>
        <w:rPr>
          <w:b/>
          <w:bCs/>
          <w:szCs w:val="21"/>
          <w:lang w:bidi="ar"/>
        </w:rPr>
      </w:pPr>
      <w:r>
        <w:rPr>
          <w:rFonts w:hint="eastAsia"/>
          <w:b/>
          <w:bCs/>
          <w:szCs w:val="21"/>
          <w:lang w:bidi="ar"/>
        </w:rPr>
        <w:t>4、定性评价和定量评价结果的综合</w:t>
      </w:r>
    </w:p>
    <w:p>
      <w:pPr>
        <w:adjustRightInd w:val="0"/>
        <w:snapToGrid w:val="0"/>
        <w:spacing w:line="360" w:lineRule="auto"/>
        <w:ind w:firstLine="420" w:firstLineChars="200"/>
        <w:rPr>
          <w:rFonts w:hint="eastAsia"/>
          <w:szCs w:val="21"/>
          <w:lang w:bidi="ar"/>
        </w:rPr>
      </w:pPr>
      <w:r>
        <w:rPr>
          <w:rFonts w:hint="eastAsia"/>
          <w:szCs w:val="21"/>
          <w:lang w:bidi="ar"/>
        </w:rPr>
        <w:t>同一课程目标的评价，取定性评价和定量评价的平均值，作为最终评价结果。</w:t>
      </w:r>
    </w:p>
    <w:p>
      <w:pPr>
        <w:adjustRightInd w:val="0"/>
        <w:snapToGrid w:val="0"/>
        <w:spacing w:before="156" w:beforeLines="50" w:line="360" w:lineRule="auto"/>
        <w:rPr>
          <w:rFonts w:hint="eastAsia"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七、评价标准：</w:t>
      </w:r>
    </w:p>
    <w:p>
      <w:pPr>
        <w:adjustRightInd w:val="0"/>
        <w:snapToGrid w:val="0"/>
        <w:spacing w:line="360" w:lineRule="auto"/>
        <w:ind w:firstLine="420" w:firstLineChars="200"/>
        <w:rPr>
          <w:rFonts w:hint="eastAsia"/>
          <w:szCs w:val="21"/>
          <w:lang w:bidi="ar"/>
        </w:rPr>
      </w:pPr>
      <w:r>
        <w:rPr>
          <w:rFonts w:hint="eastAsia"/>
          <w:szCs w:val="21"/>
          <w:lang w:bidi="ar"/>
        </w:rPr>
        <w:t>本课程允许教师在各评价环节根据具体情况采取多样化、个性化的考核手段，其评价标准应当在《SIE-CT-01：授课计划》中明确并向学生公布，教学过程中的考核评价应当严格按照标准完成。</w:t>
      </w:r>
    </w:p>
    <w:p>
      <w:pPr>
        <w:adjustRightInd w:val="0"/>
        <w:snapToGrid w:val="0"/>
        <w:spacing w:before="156" w:beforeLines="50" w:line="360" w:lineRule="auto"/>
        <w:rPr>
          <w:rFonts w:hint="eastAsia"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八、课程目标达成评价结果用于持续改进</w:t>
      </w:r>
    </w:p>
    <w:p>
      <w:pPr>
        <w:adjustRightInd w:val="0"/>
        <w:snapToGrid w:val="0"/>
        <w:spacing w:line="360" w:lineRule="auto"/>
        <w:ind w:firstLine="420" w:firstLineChars="200"/>
        <w:rPr>
          <w:rFonts w:hint="eastAsia"/>
          <w:szCs w:val="21"/>
          <w:lang w:bidi="ar"/>
        </w:rPr>
      </w:pPr>
      <w:r>
        <w:rPr>
          <w:rFonts w:hint="eastAsia"/>
          <w:szCs w:val="21"/>
          <w:lang w:bidi="ar"/>
        </w:rPr>
        <w:t>课程目标达成评价结果将用于后续教学过程的持续改进。</w:t>
      </w:r>
    </w:p>
    <w:p>
      <w:pPr>
        <w:adjustRightInd w:val="0"/>
        <w:snapToGrid w:val="0"/>
        <w:spacing w:line="360" w:lineRule="auto"/>
        <w:ind w:firstLine="420" w:firstLineChars="200"/>
        <w:rPr>
          <w:rFonts w:hint="eastAsia"/>
          <w:szCs w:val="21"/>
          <w:lang w:bidi="ar"/>
        </w:rPr>
      </w:pPr>
      <w:r>
        <w:rPr>
          <w:rFonts w:hint="eastAsia"/>
          <w:szCs w:val="21"/>
          <w:lang w:bidi="ar"/>
        </w:rPr>
        <w:t>针对课程目标达成评价中发现的问题与不足，重点是达成值相对较低的项，在本次授课总结中应由授课教师分析具体原因，并给出改进建议。后续任课教师应当针对以前的问题和建议，在授课计划中做好落实改进计划，并在授课过程中予以落实。</w:t>
      </w:r>
    </w:p>
    <w:p>
      <w:pPr>
        <w:adjustRightInd w:val="0"/>
        <w:snapToGrid w:val="0"/>
        <w:spacing w:before="156" w:beforeLines="50" w:line="360" w:lineRule="auto"/>
        <w:rPr>
          <w:rFonts w:hint="eastAsia"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九、覆盖课程目标达成评价的知识点及权重</w:t>
      </w:r>
    </w:p>
    <w:p>
      <w:pPr>
        <w:jc w:val="center"/>
        <w:rPr>
          <w:rFonts w:hint="eastAsia" w:eastAsia="黑体"/>
          <w:color w:val="FF0000"/>
          <w:szCs w:val="21"/>
          <w:highlight w:val="yellow"/>
        </w:rPr>
      </w:pPr>
      <w:r>
        <w:rPr>
          <w:b/>
          <w:bCs/>
          <w:color w:val="000000"/>
          <w:sz w:val="18"/>
          <w:szCs w:val="18"/>
        </w:rPr>
        <w:t>表</w:t>
      </w:r>
      <w:r>
        <w:rPr>
          <w:rFonts w:hint="eastAsia"/>
          <w:b/>
          <w:bCs/>
          <w:color w:val="000000"/>
          <w:sz w:val="18"/>
          <w:szCs w:val="18"/>
        </w:rPr>
        <w:t xml:space="preserve">9.1   </w:t>
      </w:r>
      <w:r>
        <w:rPr>
          <w:b/>
          <w:bCs/>
          <w:sz w:val="18"/>
          <w:szCs w:val="18"/>
        </w:rPr>
        <w:t>各考核方式对课程目标达成评价的</w:t>
      </w:r>
      <w:r>
        <w:rPr>
          <w:rFonts w:hint="eastAsia"/>
          <w:b/>
          <w:bCs/>
          <w:sz w:val="18"/>
          <w:szCs w:val="18"/>
        </w:rPr>
        <w:t>权重</w:t>
      </w:r>
      <w:r>
        <w:rPr>
          <w:b/>
          <w:bCs/>
          <w:sz w:val="18"/>
          <w:szCs w:val="18"/>
        </w:rPr>
        <w:t>占比分配</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6"/>
        <w:gridCol w:w="1666"/>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6" w:type="pct"/>
            <w:tcBorders>
              <w:bottom w:val="single" w:color="auto" w:sz="4" w:space="0"/>
              <w:right w:val="single" w:color="auto" w:sz="4" w:space="0"/>
            </w:tcBorders>
            <w:vAlign w:val="center"/>
          </w:tcPr>
          <w:p>
            <w:pPr>
              <w:jc w:val="center"/>
              <w:rPr>
                <w:sz w:val="18"/>
                <w:szCs w:val="18"/>
                <w:highlight w:val="yellow"/>
              </w:rPr>
            </w:pPr>
            <w:r>
              <w:rPr>
                <w:rFonts w:hint="eastAsia" w:cs="宋体"/>
                <w:sz w:val="18"/>
                <w:szCs w:val="18"/>
                <w:lang w:bidi="ar"/>
              </w:rPr>
              <w:t>知识点</w:t>
            </w:r>
          </w:p>
        </w:tc>
        <w:tc>
          <w:tcPr>
            <w:tcW w:w="897" w:type="pct"/>
            <w:tcBorders>
              <w:left w:val="single" w:color="auto" w:sz="4" w:space="0"/>
              <w:bottom w:val="single" w:color="auto" w:sz="4" w:space="0"/>
              <w:right w:val="single" w:color="auto" w:sz="4" w:space="0"/>
            </w:tcBorders>
            <w:vAlign w:val="center"/>
          </w:tcPr>
          <w:p>
            <w:pPr>
              <w:jc w:val="center"/>
              <w:rPr>
                <w:sz w:val="18"/>
                <w:szCs w:val="18"/>
              </w:rPr>
            </w:pPr>
            <w:r>
              <w:rPr>
                <w:rFonts w:hint="eastAsia" w:cs="宋体"/>
                <w:sz w:val="18"/>
                <w:szCs w:val="18"/>
                <w:lang w:bidi="ar"/>
              </w:rPr>
              <w:t>权重</w:t>
            </w:r>
          </w:p>
        </w:tc>
        <w:tc>
          <w:tcPr>
            <w:tcW w:w="1047" w:type="pct"/>
            <w:tcBorders>
              <w:left w:val="single" w:color="auto" w:sz="4" w:space="0"/>
              <w:bottom w:val="single" w:color="auto" w:sz="4" w:space="0"/>
            </w:tcBorders>
            <w:vAlign w:val="center"/>
          </w:tcPr>
          <w:p>
            <w:pPr>
              <w:jc w:val="center"/>
              <w:rPr>
                <w:sz w:val="18"/>
                <w:szCs w:val="18"/>
              </w:rPr>
            </w:pPr>
            <w:r>
              <w:rPr>
                <w:rFonts w:hint="eastAsia" w:cs="宋体"/>
                <w:sz w:val="18"/>
                <w:szCs w:val="18"/>
                <w:lang w:bidi="ar"/>
              </w:rPr>
              <w:t>支撑课程目标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6" w:type="pct"/>
            <w:vAlign w:val="center"/>
          </w:tcPr>
          <w:p>
            <w:pPr>
              <w:widowControl/>
              <w:ind w:left="174" w:leftChars="83"/>
              <w:rPr>
                <w:rFonts w:cs="宋体"/>
                <w:kern w:val="0"/>
                <w:sz w:val="18"/>
                <w:szCs w:val="18"/>
                <w:lang w:bidi="ar"/>
              </w:rPr>
            </w:pPr>
            <w:r>
              <w:rPr>
                <w:rFonts w:hint="eastAsia" w:cs="宋体"/>
                <w:kern w:val="0"/>
                <w:sz w:val="18"/>
                <w:szCs w:val="18"/>
                <w:lang w:bidi="ar"/>
              </w:rPr>
              <w:t>1人工智能概述；</w:t>
            </w:r>
          </w:p>
        </w:tc>
        <w:tc>
          <w:tcPr>
            <w:tcW w:w="897" w:type="pct"/>
            <w:tcBorders>
              <w:top w:val="single" w:color="auto" w:sz="4" w:space="0"/>
              <w:left w:val="single" w:color="auto" w:sz="4" w:space="0"/>
              <w:bottom w:val="single" w:color="auto" w:sz="4" w:space="0"/>
              <w:right w:val="single" w:color="auto" w:sz="4" w:space="0"/>
            </w:tcBorders>
          </w:tcPr>
          <w:p>
            <w:pPr>
              <w:widowControl/>
              <w:ind w:left="174" w:leftChars="83"/>
              <w:jc w:val="center"/>
              <w:rPr>
                <w:rFonts w:cs="宋体"/>
                <w:kern w:val="0"/>
                <w:sz w:val="18"/>
                <w:szCs w:val="18"/>
                <w:lang w:bidi="ar"/>
              </w:rPr>
            </w:pPr>
            <w:r>
              <w:rPr>
                <w:rFonts w:cs="宋体"/>
                <w:kern w:val="0"/>
                <w:sz w:val="18"/>
                <w:szCs w:val="18"/>
                <w:lang w:bidi="ar"/>
              </w:rPr>
              <w:t>0.042</w:t>
            </w:r>
          </w:p>
        </w:tc>
        <w:tc>
          <w:tcPr>
            <w:tcW w:w="1047" w:type="pct"/>
            <w:vAlign w:val="center"/>
          </w:tcPr>
          <w:p>
            <w:pPr>
              <w:widowControl/>
              <w:ind w:left="174" w:leftChars="83"/>
              <w:jc w:val="center"/>
              <w:rPr>
                <w:rFonts w:cs="宋体"/>
                <w:kern w:val="0"/>
                <w:sz w:val="18"/>
                <w:szCs w:val="18"/>
                <w:lang w:bidi="ar"/>
              </w:rPr>
            </w:pPr>
            <w:r>
              <w:rPr>
                <w:rFonts w:cs="宋体"/>
                <w:kern w:val="0"/>
                <w:sz w:val="18"/>
                <w:szCs w:val="18"/>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6" w:type="pct"/>
            <w:vAlign w:val="center"/>
          </w:tcPr>
          <w:p>
            <w:pPr>
              <w:widowControl/>
              <w:ind w:left="174" w:leftChars="83"/>
              <w:rPr>
                <w:rFonts w:cs="宋体"/>
                <w:kern w:val="0"/>
                <w:sz w:val="18"/>
                <w:szCs w:val="18"/>
                <w:lang w:bidi="ar"/>
              </w:rPr>
            </w:pPr>
            <w:r>
              <w:rPr>
                <w:rFonts w:hint="eastAsia" w:cs="宋体"/>
                <w:kern w:val="0"/>
                <w:sz w:val="18"/>
                <w:szCs w:val="18"/>
                <w:lang w:bidi="ar"/>
              </w:rPr>
              <w:t>2知识的表示与推理；</w:t>
            </w:r>
          </w:p>
        </w:tc>
        <w:tc>
          <w:tcPr>
            <w:tcW w:w="897" w:type="pct"/>
            <w:tcBorders>
              <w:top w:val="single" w:color="auto" w:sz="4" w:space="0"/>
              <w:left w:val="single" w:color="auto" w:sz="4" w:space="0"/>
              <w:bottom w:val="single" w:color="auto" w:sz="4" w:space="0"/>
              <w:right w:val="single" w:color="auto" w:sz="4" w:space="0"/>
            </w:tcBorders>
          </w:tcPr>
          <w:p>
            <w:pPr>
              <w:widowControl/>
              <w:ind w:left="174" w:leftChars="83"/>
              <w:jc w:val="center"/>
              <w:rPr>
                <w:rFonts w:cs="宋体"/>
                <w:kern w:val="0"/>
                <w:sz w:val="18"/>
                <w:szCs w:val="18"/>
                <w:lang w:bidi="ar"/>
              </w:rPr>
            </w:pPr>
            <w:r>
              <w:rPr>
                <w:rFonts w:cs="宋体"/>
                <w:kern w:val="0"/>
                <w:sz w:val="18"/>
                <w:szCs w:val="18"/>
                <w:lang w:bidi="ar"/>
              </w:rPr>
              <w:t>0.083</w:t>
            </w:r>
          </w:p>
        </w:tc>
        <w:tc>
          <w:tcPr>
            <w:tcW w:w="1047" w:type="pct"/>
            <w:vAlign w:val="center"/>
          </w:tcPr>
          <w:p>
            <w:pPr>
              <w:widowControl/>
              <w:ind w:left="174" w:leftChars="83"/>
              <w:jc w:val="center"/>
              <w:rPr>
                <w:rFonts w:cs="宋体"/>
                <w:kern w:val="0"/>
                <w:sz w:val="18"/>
                <w:szCs w:val="18"/>
                <w:lang w:bidi="ar"/>
              </w:rPr>
            </w:pPr>
            <w:r>
              <w:rPr>
                <w:rFonts w:hint="eastAsia" w:cs="宋体"/>
                <w:kern w:val="0"/>
                <w:sz w:val="18"/>
                <w:szCs w:val="18"/>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6" w:type="pct"/>
            <w:vAlign w:val="center"/>
          </w:tcPr>
          <w:p>
            <w:pPr>
              <w:widowControl/>
              <w:ind w:left="174" w:leftChars="83"/>
              <w:rPr>
                <w:rFonts w:cs="宋体"/>
                <w:kern w:val="0"/>
                <w:sz w:val="18"/>
                <w:szCs w:val="18"/>
                <w:lang w:bidi="ar"/>
              </w:rPr>
            </w:pPr>
            <w:r>
              <w:rPr>
                <w:rFonts w:hint="eastAsia" w:cs="宋体"/>
                <w:kern w:val="0"/>
                <w:sz w:val="18"/>
                <w:szCs w:val="18"/>
                <w:lang w:bidi="ar"/>
              </w:rPr>
              <w:t>3搜索与求解；</w:t>
            </w:r>
          </w:p>
        </w:tc>
        <w:tc>
          <w:tcPr>
            <w:tcW w:w="897" w:type="pct"/>
            <w:tcBorders>
              <w:top w:val="single" w:color="auto" w:sz="4" w:space="0"/>
              <w:left w:val="single" w:color="auto" w:sz="4" w:space="0"/>
              <w:bottom w:val="single" w:color="auto" w:sz="4" w:space="0"/>
              <w:right w:val="single" w:color="auto" w:sz="4" w:space="0"/>
            </w:tcBorders>
          </w:tcPr>
          <w:p>
            <w:pPr>
              <w:widowControl/>
              <w:ind w:left="174" w:leftChars="83"/>
              <w:jc w:val="center"/>
              <w:rPr>
                <w:rFonts w:cs="宋体"/>
                <w:kern w:val="0"/>
                <w:sz w:val="18"/>
                <w:szCs w:val="18"/>
                <w:lang w:bidi="ar"/>
              </w:rPr>
            </w:pPr>
            <w:r>
              <w:rPr>
                <w:rFonts w:cs="宋体"/>
                <w:kern w:val="0"/>
                <w:sz w:val="18"/>
                <w:szCs w:val="18"/>
                <w:lang w:bidi="ar"/>
              </w:rPr>
              <w:t>0.083</w:t>
            </w:r>
          </w:p>
        </w:tc>
        <w:tc>
          <w:tcPr>
            <w:tcW w:w="1047" w:type="pct"/>
            <w:vAlign w:val="center"/>
          </w:tcPr>
          <w:p>
            <w:pPr>
              <w:widowControl/>
              <w:ind w:left="174" w:leftChars="83"/>
              <w:jc w:val="center"/>
              <w:rPr>
                <w:rFonts w:cs="宋体"/>
                <w:kern w:val="0"/>
                <w:sz w:val="18"/>
                <w:szCs w:val="18"/>
                <w:lang w:bidi="ar"/>
              </w:rPr>
            </w:pPr>
            <w:r>
              <w:rPr>
                <w:rFonts w:hint="eastAsia" w:cs="宋体"/>
                <w:kern w:val="0"/>
                <w:sz w:val="18"/>
                <w:szCs w:val="18"/>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6" w:type="pct"/>
            <w:vAlign w:val="center"/>
          </w:tcPr>
          <w:p>
            <w:pPr>
              <w:widowControl/>
              <w:ind w:left="174" w:leftChars="83"/>
              <w:rPr>
                <w:rFonts w:cs="宋体"/>
                <w:kern w:val="0"/>
                <w:sz w:val="18"/>
                <w:szCs w:val="18"/>
                <w:lang w:bidi="ar"/>
              </w:rPr>
            </w:pPr>
            <w:r>
              <w:rPr>
                <w:rFonts w:hint="eastAsia" w:cs="宋体"/>
                <w:kern w:val="0"/>
                <w:sz w:val="18"/>
                <w:szCs w:val="18"/>
                <w:lang w:bidi="ar"/>
              </w:rPr>
              <w:t>4传统监督机器学习；</w:t>
            </w:r>
          </w:p>
        </w:tc>
        <w:tc>
          <w:tcPr>
            <w:tcW w:w="897" w:type="pct"/>
            <w:tcBorders>
              <w:top w:val="single" w:color="auto" w:sz="4" w:space="0"/>
              <w:left w:val="single" w:color="auto" w:sz="4" w:space="0"/>
              <w:bottom w:val="single" w:color="auto" w:sz="4" w:space="0"/>
              <w:right w:val="single" w:color="auto" w:sz="4" w:space="0"/>
            </w:tcBorders>
          </w:tcPr>
          <w:p>
            <w:pPr>
              <w:widowControl/>
              <w:ind w:left="174" w:leftChars="83"/>
              <w:jc w:val="center"/>
              <w:rPr>
                <w:rFonts w:cs="宋体"/>
                <w:kern w:val="0"/>
                <w:sz w:val="18"/>
                <w:szCs w:val="18"/>
                <w:lang w:bidi="ar"/>
              </w:rPr>
            </w:pPr>
            <w:r>
              <w:rPr>
                <w:rFonts w:cs="宋体"/>
                <w:kern w:val="0"/>
                <w:sz w:val="18"/>
                <w:szCs w:val="18"/>
                <w:lang w:bidi="ar"/>
              </w:rPr>
              <w:t>0.292</w:t>
            </w:r>
          </w:p>
        </w:tc>
        <w:tc>
          <w:tcPr>
            <w:tcW w:w="1047" w:type="pct"/>
            <w:vAlign w:val="center"/>
          </w:tcPr>
          <w:p>
            <w:pPr>
              <w:widowControl/>
              <w:ind w:left="174" w:leftChars="83"/>
              <w:jc w:val="center"/>
              <w:rPr>
                <w:rFonts w:cs="宋体"/>
                <w:kern w:val="0"/>
                <w:sz w:val="18"/>
                <w:szCs w:val="18"/>
                <w:lang w:bidi="ar"/>
              </w:rPr>
            </w:pPr>
            <w:r>
              <w:rPr>
                <w:rFonts w:hint="eastAsia" w:cs="宋体"/>
                <w:kern w:val="0"/>
                <w:sz w:val="18"/>
                <w:szCs w:val="18"/>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6" w:type="pct"/>
            <w:vAlign w:val="center"/>
          </w:tcPr>
          <w:p>
            <w:pPr>
              <w:widowControl/>
              <w:ind w:left="174" w:leftChars="83"/>
              <w:rPr>
                <w:rFonts w:cs="宋体"/>
                <w:kern w:val="0"/>
                <w:sz w:val="18"/>
                <w:szCs w:val="18"/>
                <w:lang w:bidi="ar"/>
              </w:rPr>
            </w:pPr>
            <w:r>
              <w:rPr>
                <w:rFonts w:hint="eastAsia" w:cs="宋体"/>
                <w:kern w:val="0"/>
                <w:sz w:val="18"/>
                <w:szCs w:val="18"/>
                <w:lang w:bidi="ar"/>
              </w:rPr>
              <w:t>5传统无监督机器学习；</w:t>
            </w:r>
          </w:p>
        </w:tc>
        <w:tc>
          <w:tcPr>
            <w:tcW w:w="897" w:type="pct"/>
            <w:tcBorders>
              <w:top w:val="single" w:color="auto" w:sz="4" w:space="0"/>
              <w:left w:val="single" w:color="auto" w:sz="4" w:space="0"/>
              <w:bottom w:val="single" w:color="auto" w:sz="4" w:space="0"/>
              <w:right w:val="single" w:color="auto" w:sz="4" w:space="0"/>
            </w:tcBorders>
          </w:tcPr>
          <w:p>
            <w:pPr>
              <w:widowControl/>
              <w:ind w:left="174" w:leftChars="83"/>
              <w:jc w:val="center"/>
              <w:rPr>
                <w:rFonts w:cs="宋体"/>
                <w:kern w:val="0"/>
                <w:sz w:val="18"/>
                <w:szCs w:val="18"/>
                <w:lang w:bidi="ar"/>
              </w:rPr>
            </w:pPr>
            <w:r>
              <w:rPr>
                <w:rFonts w:cs="宋体"/>
                <w:kern w:val="0"/>
                <w:sz w:val="18"/>
                <w:szCs w:val="18"/>
                <w:lang w:bidi="ar"/>
              </w:rPr>
              <w:t>0.083</w:t>
            </w:r>
          </w:p>
        </w:tc>
        <w:tc>
          <w:tcPr>
            <w:tcW w:w="1047" w:type="pct"/>
            <w:vAlign w:val="center"/>
          </w:tcPr>
          <w:p>
            <w:pPr>
              <w:widowControl/>
              <w:ind w:left="174" w:leftChars="83"/>
              <w:jc w:val="center"/>
              <w:rPr>
                <w:rFonts w:hint="eastAsia" w:cs="宋体"/>
                <w:kern w:val="0"/>
                <w:sz w:val="18"/>
                <w:szCs w:val="18"/>
                <w:lang w:bidi="ar"/>
              </w:rPr>
            </w:pPr>
            <w:r>
              <w:rPr>
                <w:rFonts w:hint="eastAsia" w:cs="宋体"/>
                <w:kern w:val="0"/>
                <w:sz w:val="18"/>
                <w:szCs w:val="18"/>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6" w:type="pct"/>
            <w:vAlign w:val="center"/>
          </w:tcPr>
          <w:p>
            <w:pPr>
              <w:widowControl/>
              <w:ind w:left="174" w:leftChars="83"/>
              <w:rPr>
                <w:rFonts w:cs="宋体"/>
                <w:kern w:val="0"/>
                <w:sz w:val="18"/>
                <w:szCs w:val="18"/>
                <w:lang w:bidi="ar"/>
              </w:rPr>
            </w:pPr>
            <w:r>
              <w:rPr>
                <w:rFonts w:hint="eastAsia" w:cs="宋体"/>
                <w:kern w:val="0"/>
                <w:sz w:val="18"/>
                <w:szCs w:val="18"/>
                <w:lang w:bidi="ar"/>
              </w:rPr>
              <w:t>6 神经网络与深度学习；</w:t>
            </w:r>
          </w:p>
        </w:tc>
        <w:tc>
          <w:tcPr>
            <w:tcW w:w="897" w:type="pct"/>
            <w:tcBorders>
              <w:top w:val="single" w:color="auto" w:sz="4" w:space="0"/>
              <w:left w:val="single" w:color="auto" w:sz="4" w:space="0"/>
              <w:bottom w:val="single" w:color="auto" w:sz="4" w:space="0"/>
              <w:right w:val="single" w:color="auto" w:sz="4" w:space="0"/>
            </w:tcBorders>
          </w:tcPr>
          <w:p>
            <w:pPr>
              <w:widowControl/>
              <w:ind w:left="174" w:leftChars="83"/>
              <w:jc w:val="center"/>
              <w:rPr>
                <w:rFonts w:cs="宋体"/>
                <w:kern w:val="0"/>
                <w:sz w:val="18"/>
                <w:szCs w:val="18"/>
                <w:lang w:bidi="ar"/>
              </w:rPr>
            </w:pPr>
            <w:r>
              <w:rPr>
                <w:rFonts w:hint="eastAsia" w:cs="宋体"/>
                <w:kern w:val="0"/>
                <w:sz w:val="18"/>
                <w:szCs w:val="18"/>
                <w:lang w:bidi="ar"/>
              </w:rPr>
              <w:t>0</w:t>
            </w:r>
            <w:r>
              <w:rPr>
                <w:rFonts w:cs="宋体"/>
                <w:kern w:val="0"/>
                <w:sz w:val="18"/>
                <w:szCs w:val="18"/>
                <w:lang w:bidi="ar"/>
              </w:rPr>
              <w:t>.25</w:t>
            </w:r>
          </w:p>
        </w:tc>
        <w:tc>
          <w:tcPr>
            <w:tcW w:w="1047" w:type="pct"/>
            <w:vAlign w:val="center"/>
          </w:tcPr>
          <w:p>
            <w:pPr>
              <w:widowControl/>
              <w:ind w:left="174" w:leftChars="83"/>
              <w:jc w:val="center"/>
              <w:rPr>
                <w:rFonts w:hint="eastAsia" w:cs="宋体"/>
                <w:kern w:val="0"/>
                <w:sz w:val="18"/>
                <w:szCs w:val="18"/>
                <w:lang w:bidi="ar"/>
              </w:rPr>
            </w:pPr>
            <w:r>
              <w:rPr>
                <w:rFonts w:hint="eastAsia" w:cs="宋体"/>
                <w:kern w:val="0"/>
                <w:sz w:val="18"/>
                <w:szCs w:val="18"/>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6" w:type="pct"/>
            <w:vAlign w:val="center"/>
          </w:tcPr>
          <w:p>
            <w:pPr>
              <w:widowControl/>
              <w:ind w:left="174" w:leftChars="83"/>
              <w:rPr>
                <w:rFonts w:cs="宋体"/>
                <w:kern w:val="0"/>
                <w:sz w:val="18"/>
                <w:szCs w:val="18"/>
                <w:lang w:bidi="ar"/>
              </w:rPr>
            </w:pPr>
            <w:r>
              <w:rPr>
                <w:rFonts w:hint="eastAsia" w:cs="宋体"/>
                <w:kern w:val="0"/>
                <w:sz w:val="18"/>
                <w:szCs w:val="18"/>
                <w:lang w:bidi="ar"/>
              </w:rPr>
              <w:t>7 深度强化学习；</w:t>
            </w:r>
          </w:p>
        </w:tc>
        <w:tc>
          <w:tcPr>
            <w:tcW w:w="897" w:type="pct"/>
            <w:tcBorders>
              <w:top w:val="single" w:color="auto" w:sz="4" w:space="0"/>
              <w:left w:val="single" w:color="auto" w:sz="4" w:space="0"/>
              <w:bottom w:val="single" w:color="auto" w:sz="4" w:space="0"/>
              <w:right w:val="single" w:color="auto" w:sz="4" w:space="0"/>
            </w:tcBorders>
          </w:tcPr>
          <w:p>
            <w:pPr>
              <w:widowControl/>
              <w:ind w:left="174" w:leftChars="83"/>
              <w:jc w:val="center"/>
              <w:rPr>
                <w:rFonts w:cs="宋体"/>
                <w:kern w:val="0"/>
                <w:sz w:val="18"/>
                <w:szCs w:val="18"/>
                <w:lang w:bidi="ar"/>
              </w:rPr>
            </w:pPr>
            <w:r>
              <w:rPr>
                <w:rFonts w:hint="eastAsia" w:cs="宋体"/>
                <w:kern w:val="0"/>
                <w:sz w:val="18"/>
                <w:szCs w:val="18"/>
                <w:lang w:bidi="ar"/>
              </w:rPr>
              <w:t>0</w:t>
            </w:r>
            <w:r>
              <w:rPr>
                <w:rFonts w:cs="宋体"/>
                <w:kern w:val="0"/>
                <w:sz w:val="18"/>
                <w:szCs w:val="18"/>
                <w:lang w:bidi="ar"/>
              </w:rPr>
              <w:t>.125</w:t>
            </w:r>
          </w:p>
        </w:tc>
        <w:tc>
          <w:tcPr>
            <w:tcW w:w="1047" w:type="pct"/>
            <w:vAlign w:val="center"/>
          </w:tcPr>
          <w:p>
            <w:pPr>
              <w:widowControl/>
              <w:ind w:left="174" w:leftChars="83"/>
              <w:jc w:val="center"/>
              <w:rPr>
                <w:rFonts w:hint="eastAsia" w:cs="宋体"/>
                <w:kern w:val="0"/>
                <w:sz w:val="18"/>
                <w:szCs w:val="18"/>
                <w:lang w:bidi="ar"/>
              </w:rPr>
            </w:pPr>
            <w:r>
              <w:rPr>
                <w:rFonts w:hint="eastAsia" w:cs="宋体"/>
                <w:kern w:val="0"/>
                <w:sz w:val="18"/>
                <w:szCs w:val="18"/>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6" w:type="pct"/>
            <w:vAlign w:val="center"/>
          </w:tcPr>
          <w:p>
            <w:pPr>
              <w:widowControl/>
              <w:ind w:left="174" w:leftChars="83"/>
              <w:rPr>
                <w:rFonts w:cs="宋体"/>
                <w:kern w:val="0"/>
                <w:sz w:val="18"/>
                <w:szCs w:val="18"/>
                <w:lang w:bidi="ar"/>
              </w:rPr>
            </w:pPr>
            <w:r>
              <w:rPr>
                <w:rFonts w:hint="eastAsia" w:cs="宋体"/>
                <w:kern w:val="0"/>
                <w:sz w:val="18"/>
                <w:szCs w:val="18"/>
                <w:lang w:bidi="ar"/>
              </w:rPr>
              <w:t>8 人工智能典型应用。</w:t>
            </w:r>
          </w:p>
        </w:tc>
        <w:tc>
          <w:tcPr>
            <w:tcW w:w="897" w:type="pct"/>
            <w:tcBorders>
              <w:top w:val="single" w:color="auto" w:sz="4" w:space="0"/>
              <w:left w:val="single" w:color="auto" w:sz="4" w:space="0"/>
              <w:bottom w:val="single" w:color="auto" w:sz="4" w:space="0"/>
              <w:right w:val="single" w:color="auto" w:sz="4" w:space="0"/>
            </w:tcBorders>
          </w:tcPr>
          <w:p>
            <w:pPr>
              <w:widowControl/>
              <w:ind w:left="174" w:leftChars="83"/>
              <w:jc w:val="center"/>
              <w:rPr>
                <w:rFonts w:cs="宋体"/>
                <w:kern w:val="0"/>
                <w:sz w:val="18"/>
                <w:szCs w:val="18"/>
                <w:lang w:bidi="ar"/>
              </w:rPr>
            </w:pPr>
            <w:r>
              <w:rPr>
                <w:rFonts w:cs="宋体"/>
                <w:kern w:val="0"/>
                <w:sz w:val="18"/>
                <w:szCs w:val="18"/>
                <w:lang w:bidi="ar"/>
              </w:rPr>
              <w:t>0.042</w:t>
            </w:r>
          </w:p>
        </w:tc>
        <w:tc>
          <w:tcPr>
            <w:tcW w:w="1047" w:type="pct"/>
            <w:vAlign w:val="center"/>
          </w:tcPr>
          <w:p>
            <w:pPr>
              <w:widowControl/>
              <w:ind w:left="174" w:leftChars="83"/>
              <w:jc w:val="center"/>
              <w:rPr>
                <w:rFonts w:hint="eastAsia" w:cs="宋体"/>
                <w:kern w:val="0"/>
                <w:sz w:val="18"/>
                <w:szCs w:val="18"/>
                <w:lang w:bidi="ar"/>
              </w:rPr>
            </w:pPr>
            <w:r>
              <w:rPr>
                <w:rFonts w:hint="eastAsia" w:cs="宋体"/>
                <w:kern w:val="0"/>
                <w:sz w:val="18"/>
                <w:szCs w:val="18"/>
                <w:lang w:bidi="ar"/>
              </w:rPr>
              <w:t>1、2</w:t>
            </w:r>
          </w:p>
        </w:tc>
      </w:tr>
    </w:tbl>
    <w:p>
      <w:pPr>
        <w:adjustRightInd w:val="0"/>
        <w:snapToGrid w:val="0"/>
        <w:spacing w:line="360" w:lineRule="auto"/>
        <w:ind w:firstLine="420" w:firstLineChars="200"/>
        <w:rPr>
          <w:szCs w:val="21"/>
          <w:highlight w:val="yellow"/>
          <w:lang w:bidi="ar"/>
        </w:rPr>
      </w:pPr>
    </w:p>
    <w:p>
      <w:pPr>
        <w:adjustRightInd w:val="0"/>
        <w:snapToGrid w:val="0"/>
        <w:spacing w:line="360" w:lineRule="auto"/>
        <w:ind w:firstLine="420" w:firstLineChars="200"/>
        <w:rPr>
          <w:rFonts w:hint="eastAsia"/>
          <w:szCs w:val="21"/>
          <w:highlight w:val="yellow"/>
          <w:lang w:bidi="ar"/>
        </w:rPr>
      </w:pPr>
      <w:r>
        <w:rPr>
          <w:rFonts w:hint="eastAsia"/>
          <w:szCs w:val="21"/>
          <w:lang w:bidi="ar"/>
        </w:rPr>
        <w:t>本课程不可以申请免修。</w:t>
      </w:r>
    </w:p>
    <w:p>
      <w:pPr>
        <w:adjustRightInd w:val="0"/>
        <w:snapToGrid w:val="0"/>
        <w:spacing w:before="156" w:beforeLines="50" w:line="360" w:lineRule="auto"/>
        <w:rPr>
          <w:rFonts w:hint="eastAsia"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十、参考书目及学习资料</w:t>
      </w:r>
    </w:p>
    <w:p>
      <w:pPr>
        <w:spacing w:line="360" w:lineRule="auto"/>
        <w:ind w:firstLine="420" w:firstLineChars="200"/>
        <w:jc w:val="left"/>
        <w:rPr>
          <w:szCs w:val="21"/>
        </w:rPr>
      </w:pPr>
      <w:r>
        <w:rPr>
          <w:szCs w:val="21"/>
        </w:rPr>
        <w:t>1、</w:t>
      </w:r>
      <w:r>
        <w:rPr>
          <w:rFonts w:hint="eastAsia"/>
          <w:szCs w:val="21"/>
        </w:rPr>
        <w:t>王万良，</w:t>
      </w:r>
      <w:r>
        <w:rPr>
          <w:szCs w:val="21"/>
        </w:rPr>
        <w:t>《</w:t>
      </w:r>
      <w:r>
        <w:t>人工智能导论</w:t>
      </w:r>
      <w:r>
        <w:rPr>
          <w:szCs w:val="21"/>
        </w:rPr>
        <w:t>》</w:t>
      </w:r>
      <w:r>
        <w:t>（第5版）</w:t>
      </w:r>
      <w:r>
        <w:rPr>
          <w:rFonts w:hint="eastAsia"/>
          <w:szCs w:val="21"/>
        </w:rPr>
        <w:t xml:space="preserve">，ISBN </w:t>
      </w:r>
      <w:r>
        <w:t>9787040551532</w:t>
      </w:r>
      <w:r>
        <w:rPr>
          <w:rFonts w:hint="eastAsia" w:ascii="Arial" w:hAnsi="Arial" w:cs="Arial"/>
          <w:color w:val="333333"/>
          <w:sz w:val="18"/>
          <w:szCs w:val="18"/>
          <w:shd w:val="clear" w:color="auto" w:fill="FFFFFF"/>
        </w:rPr>
        <w:t>，</w:t>
      </w:r>
      <w:r>
        <w:rPr>
          <w:rFonts w:hint="eastAsia"/>
          <w:szCs w:val="21"/>
        </w:rPr>
        <w:t>高等教育出版社。</w:t>
      </w:r>
    </w:p>
    <w:p>
      <w:pPr>
        <w:spacing w:line="360" w:lineRule="auto"/>
        <w:ind w:firstLine="420" w:firstLineChars="200"/>
        <w:jc w:val="left"/>
        <w:rPr>
          <w:szCs w:val="21"/>
        </w:rPr>
      </w:pPr>
      <w:r>
        <w:rPr>
          <w:rFonts w:hint="eastAsia"/>
          <w:szCs w:val="21"/>
        </w:rPr>
        <w:t>2</w:t>
      </w:r>
      <w:r>
        <w:rPr>
          <w:szCs w:val="21"/>
        </w:rPr>
        <w:t>、</w:t>
      </w:r>
      <w:r>
        <w:rPr>
          <w:rFonts w:hint="eastAsia"/>
          <w:szCs w:val="21"/>
        </w:rPr>
        <w:t>廉师友，</w:t>
      </w:r>
      <w:r>
        <w:rPr>
          <w:szCs w:val="21"/>
        </w:rPr>
        <w:t>《</w:t>
      </w:r>
      <w:r>
        <w:rPr>
          <w:rFonts w:hint="eastAsia"/>
          <w:szCs w:val="21"/>
        </w:rPr>
        <w:t>人工智能导论</w:t>
      </w:r>
      <w:r>
        <w:rPr>
          <w:szCs w:val="21"/>
        </w:rPr>
        <w:t>》</w:t>
      </w:r>
      <w:r>
        <w:rPr>
          <w:rFonts w:hint="eastAsia"/>
          <w:szCs w:val="21"/>
        </w:rPr>
        <w:t xml:space="preserve">，ISBN </w:t>
      </w:r>
      <w:r>
        <w:t>9787302556039</w:t>
      </w:r>
      <w:r>
        <w:rPr>
          <w:rFonts w:hint="eastAsia"/>
          <w:szCs w:val="21"/>
        </w:rPr>
        <w:t>，清华大学出版社。</w:t>
      </w:r>
    </w:p>
    <w:p>
      <w:pPr>
        <w:spacing w:line="360" w:lineRule="auto"/>
        <w:ind w:firstLine="420" w:firstLineChars="200"/>
        <w:jc w:val="left"/>
        <w:rPr>
          <w:szCs w:val="21"/>
        </w:rPr>
      </w:pPr>
      <w:r>
        <w:rPr>
          <w:rFonts w:hint="eastAsia"/>
          <w:szCs w:val="21"/>
        </w:rPr>
        <w:t>3</w:t>
      </w:r>
      <w:r>
        <w:rPr>
          <w:szCs w:val="21"/>
        </w:rPr>
        <w:t>、</w:t>
      </w:r>
      <w:r>
        <w:rPr>
          <w:rFonts w:hint="eastAsia"/>
          <w:szCs w:val="21"/>
        </w:rPr>
        <w:t>莫宏伟，</w:t>
      </w:r>
      <w:r>
        <w:rPr>
          <w:szCs w:val="21"/>
        </w:rPr>
        <w:t>《</w:t>
      </w:r>
      <w:r>
        <w:rPr>
          <w:rFonts w:hint="eastAsia"/>
          <w:szCs w:val="21"/>
        </w:rPr>
        <w:t>人工智能导论</w:t>
      </w:r>
      <w:r>
        <w:rPr>
          <w:szCs w:val="21"/>
        </w:rPr>
        <w:t>》</w:t>
      </w:r>
      <w:r>
        <w:rPr>
          <w:rFonts w:hint="eastAsia"/>
          <w:szCs w:val="21"/>
        </w:rPr>
        <w:t>，</w:t>
      </w:r>
      <w:r>
        <w:rPr>
          <w:szCs w:val="21"/>
        </w:rPr>
        <w:t>ISBN</w:t>
      </w:r>
      <w:r>
        <w:rPr>
          <w:rFonts w:hint="eastAsia"/>
          <w:szCs w:val="21"/>
        </w:rPr>
        <w:t xml:space="preserve"> </w:t>
      </w:r>
      <w:r>
        <w:rPr>
          <w:szCs w:val="21"/>
        </w:rPr>
        <w:t>9787115495303</w:t>
      </w:r>
      <w:r>
        <w:rPr>
          <w:rFonts w:hint="eastAsia"/>
          <w:szCs w:val="21"/>
        </w:rPr>
        <w:t>，人民邮电出版社。</w:t>
      </w:r>
    </w:p>
    <w:p>
      <w:pPr>
        <w:spacing w:line="360" w:lineRule="auto"/>
        <w:ind w:firstLine="420" w:firstLineChars="200"/>
        <w:jc w:val="left"/>
        <w:rPr>
          <w:szCs w:val="21"/>
        </w:rPr>
      </w:pPr>
      <w:r>
        <w:rPr>
          <w:rFonts w:hint="eastAsia"/>
          <w:szCs w:val="21"/>
        </w:rPr>
        <w:t>4、周志华，《机器学习》，</w:t>
      </w:r>
      <w:r>
        <w:rPr>
          <w:szCs w:val="21"/>
        </w:rPr>
        <w:t>ISBN 978-7-302-206853-6</w:t>
      </w:r>
      <w:r>
        <w:rPr>
          <w:rFonts w:hint="eastAsia"/>
          <w:szCs w:val="21"/>
        </w:rPr>
        <w:t>，清华大学出版社。</w:t>
      </w:r>
    </w:p>
    <w:p>
      <w:pPr>
        <w:spacing w:line="360" w:lineRule="auto"/>
        <w:ind w:firstLine="420" w:firstLineChars="200"/>
        <w:jc w:val="left"/>
        <w:rPr>
          <w:szCs w:val="21"/>
        </w:rPr>
      </w:pPr>
      <w:r>
        <w:rPr>
          <w:rFonts w:hint="eastAsia"/>
          <w:szCs w:val="21"/>
        </w:rPr>
        <w:t>5、李航，《统计学习方法》，ISBN 9787302517276，清华大学出版社。</w:t>
      </w:r>
    </w:p>
    <w:p>
      <w:pPr>
        <w:spacing w:line="360" w:lineRule="auto"/>
        <w:ind w:left="630" w:leftChars="200" w:hanging="210" w:hangingChars="100"/>
        <w:jc w:val="left"/>
        <w:rPr>
          <w:rFonts w:hint="eastAsia"/>
          <w:szCs w:val="21"/>
        </w:rPr>
      </w:pPr>
      <w:r>
        <w:rPr>
          <w:rFonts w:hint="eastAsia"/>
          <w:szCs w:val="21"/>
        </w:rPr>
        <w:t>6、RichardS.Sutton &amp; AndrewG.Barto 著，俞凯 译，《强化学习（第2版）》，ISBN 9787121295164， 电子工业出版社。</w:t>
      </w:r>
    </w:p>
    <w:p>
      <w:pPr>
        <w:adjustRightInd w:val="0"/>
        <w:snapToGrid w:val="0"/>
        <w:spacing w:line="360" w:lineRule="auto"/>
        <w:ind w:firstLine="420" w:firstLineChars="200"/>
        <w:rPr>
          <w:rFonts w:hint="eastAsia"/>
          <w:szCs w:val="21"/>
          <w:lang w:bidi="ar"/>
        </w:rPr>
      </w:pPr>
      <w:r>
        <w:rPr>
          <w:szCs w:val="21"/>
          <w:lang w:bidi="ar"/>
        </w:rPr>
        <w:t>7</w:t>
      </w:r>
      <w:r>
        <w:rPr>
          <w:rFonts w:hint="eastAsia"/>
          <w:szCs w:val="21"/>
          <w:lang w:bidi="ar"/>
        </w:rPr>
        <w:t>、网上资源：</w:t>
      </w:r>
    </w:p>
    <w:p>
      <w:pPr>
        <w:adjustRightInd w:val="0"/>
        <w:snapToGrid w:val="0"/>
        <w:spacing w:line="360" w:lineRule="auto"/>
        <w:ind w:left="1155" w:leftChars="300" w:hanging="525" w:hangingChars="250"/>
        <w:jc w:val="left"/>
      </w:pPr>
      <w:r>
        <w:rPr>
          <w:rFonts w:hint="eastAsia" w:cs="宋体"/>
          <w:szCs w:val="21"/>
          <w:lang w:bidi="ar"/>
        </w:rPr>
        <w:t>（</w:t>
      </w:r>
      <w:r>
        <w:rPr>
          <w:szCs w:val="21"/>
          <w:lang w:bidi="ar"/>
        </w:rPr>
        <w:t>1</w:t>
      </w:r>
      <w:r>
        <w:rPr>
          <w:rFonts w:hint="eastAsia" w:cs="宋体"/>
          <w:szCs w:val="21"/>
          <w:lang w:bidi="ar"/>
        </w:rPr>
        <w:t>）</w:t>
      </w:r>
      <w:r>
        <w:rPr>
          <w:rFonts w:cs="宋体"/>
          <w:szCs w:val="21"/>
          <w:lang w:bidi="ar"/>
        </w:rPr>
        <w:t>University of California, Berkeley</w:t>
      </w:r>
      <w:r>
        <w:rPr>
          <w:rFonts w:hint="eastAsia" w:cs="宋体"/>
          <w:szCs w:val="21"/>
          <w:lang w:bidi="ar"/>
        </w:rPr>
        <w:t>，</w:t>
      </w:r>
      <w:r>
        <w:rPr>
          <w:rFonts w:cs="宋体"/>
          <w:szCs w:val="21"/>
          <w:lang w:bidi="ar"/>
        </w:rPr>
        <w:t>Pieter Abbeel &amp; Dan Klein</w:t>
      </w:r>
      <w:r>
        <w:rPr>
          <w:rFonts w:hint="eastAsia" w:cs="宋体"/>
          <w:szCs w:val="21"/>
          <w:lang w:bidi="ar"/>
        </w:rPr>
        <w:t>，</w:t>
      </w:r>
      <w:r>
        <w:rPr>
          <w:szCs w:val="21"/>
          <w:lang w:bidi="ar"/>
        </w:rPr>
        <w:t>Introduction to Artificial Intelligence</w:t>
      </w:r>
      <w:r>
        <w:rPr>
          <w:rFonts w:hint="eastAsia" w:cs="宋体"/>
          <w:szCs w:val="21"/>
          <w:lang w:bidi="ar"/>
        </w:rPr>
        <w:t>视频教程，</w:t>
      </w:r>
      <w:bookmarkStart w:id="75" w:name="OLE_LINK19"/>
      <w:r>
        <w:rPr>
          <w:lang w:bidi="ar"/>
        </w:rPr>
        <w:t>https://inst.eecs.berkeley.edu/~cs188/fa18/</w:t>
      </w:r>
      <w:bookmarkEnd w:id="75"/>
      <w:r>
        <w:rPr>
          <w:rFonts w:hint="eastAsia" w:cs="宋体"/>
          <w:szCs w:val="21"/>
          <w:lang w:bidi="ar"/>
        </w:rPr>
        <w:t>。</w:t>
      </w:r>
    </w:p>
    <w:p>
      <w:pPr>
        <w:spacing w:line="360" w:lineRule="auto"/>
        <w:ind w:left="210" w:leftChars="50" w:hanging="105" w:hangingChars="50"/>
        <w:rPr>
          <w:rFonts w:cs="宋体"/>
          <w:szCs w:val="21"/>
          <w:lang w:bidi="ar"/>
        </w:rPr>
      </w:pPr>
    </w:p>
    <w:p>
      <w:pPr>
        <w:spacing w:line="360" w:lineRule="auto"/>
        <w:ind w:left="210" w:leftChars="50" w:hanging="105" w:hangingChars="50"/>
        <w:rPr>
          <w:rFonts w:cs="宋体"/>
          <w:szCs w:val="21"/>
          <w:lang w:bidi="ar"/>
        </w:rPr>
      </w:pPr>
    </w:p>
    <w:p>
      <w:pPr>
        <w:spacing w:line="360" w:lineRule="auto"/>
        <w:ind w:left="210" w:leftChars="50" w:hanging="105" w:hangingChars="50"/>
        <w:rPr>
          <w:rFonts w:cs="宋体"/>
          <w:szCs w:val="21"/>
          <w:lang w:bidi="ar"/>
        </w:rPr>
      </w:pPr>
    </w:p>
    <w:p>
      <w:pPr>
        <w:spacing w:line="360" w:lineRule="auto"/>
        <w:ind w:left="210" w:leftChars="50" w:hanging="105" w:hangingChars="50"/>
        <w:rPr>
          <w:b/>
          <w:bCs/>
          <w:szCs w:val="21"/>
        </w:rPr>
      </w:pPr>
    </w:p>
    <w:p>
      <w:pPr>
        <w:spacing w:line="360" w:lineRule="auto"/>
        <w:ind w:left="210" w:leftChars="50" w:hanging="105" w:hangingChars="50"/>
        <w:rPr>
          <w:rFonts w:hint="eastAsia"/>
          <w:b/>
          <w:bCs/>
          <w:szCs w:val="21"/>
        </w:rPr>
      </w:pPr>
    </w:p>
    <w:p>
      <w:pPr>
        <w:spacing w:line="360" w:lineRule="auto"/>
        <w:ind w:left="210" w:leftChars="100"/>
        <w:jc w:val="center"/>
        <w:rPr>
          <w:rFonts w:hint="eastAsia" w:eastAsia="宋体"/>
          <w:color w:val="000000"/>
          <w:szCs w:val="21"/>
          <w:lang w:eastAsia="zh-CN"/>
        </w:rPr>
      </w:pPr>
      <w:r>
        <w:rPr>
          <w:rFonts w:hint="eastAsia"/>
          <w:b/>
          <w:bCs/>
          <w:szCs w:val="21"/>
          <w:lang w:val="en-US" w:eastAsia="zh-CN"/>
        </w:rPr>
        <w:t xml:space="preserve">                 </w:t>
      </w:r>
      <w:r>
        <w:rPr>
          <w:rFonts w:hint="eastAsia"/>
          <w:b/>
          <w:bCs/>
          <w:szCs w:val="21"/>
        </w:rPr>
        <w:t>制定人</w:t>
      </w:r>
      <w:r>
        <w:rPr>
          <w:rFonts w:hint="eastAsia"/>
          <w:szCs w:val="21"/>
        </w:rPr>
        <w:t>：</w:t>
      </w:r>
      <w:r>
        <w:rPr>
          <w:rFonts w:hint="eastAsia"/>
          <w:szCs w:val="21"/>
          <w:lang w:eastAsia="zh-CN"/>
        </w:rPr>
        <w:t>李秀源</w:t>
      </w:r>
      <w:r>
        <w:rPr>
          <w:rFonts w:hint="eastAsia"/>
          <w:szCs w:val="21"/>
        </w:rPr>
        <w:t xml:space="preserve">      </w:t>
      </w:r>
      <w:r>
        <w:rPr>
          <w:rFonts w:hint="eastAsia"/>
          <w:b/>
          <w:bCs/>
          <w:szCs w:val="21"/>
        </w:rPr>
        <w:t>审定人</w:t>
      </w:r>
      <w:r>
        <w:rPr>
          <w:rFonts w:hint="eastAsia"/>
          <w:szCs w:val="21"/>
        </w:rPr>
        <w:t>：</w:t>
      </w:r>
      <w:r>
        <w:rPr>
          <w:rFonts w:hint="eastAsia"/>
          <w:szCs w:val="21"/>
          <w:lang w:eastAsia="zh-CN"/>
        </w:rPr>
        <w:t>刘文耀</w:t>
      </w:r>
      <w:r>
        <w:rPr>
          <w:rFonts w:hint="eastAsia"/>
          <w:szCs w:val="21"/>
        </w:rPr>
        <w:t xml:space="preserve">    </w:t>
      </w:r>
      <w:r>
        <w:rPr>
          <w:rFonts w:hint="eastAsia"/>
          <w:szCs w:val="21"/>
          <w:lang w:val="en-US" w:eastAsia="zh-CN"/>
        </w:rPr>
        <w:t xml:space="preserve"> </w:t>
      </w:r>
      <w:r>
        <w:rPr>
          <w:rFonts w:hint="eastAsia"/>
          <w:szCs w:val="21"/>
        </w:rPr>
        <w:t xml:space="preserve"> </w:t>
      </w:r>
      <w:r>
        <w:rPr>
          <w:rFonts w:hint="eastAsia"/>
          <w:b/>
          <w:bCs/>
          <w:szCs w:val="21"/>
        </w:rPr>
        <w:t>批准人</w:t>
      </w:r>
      <w:r>
        <w:rPr>
          <w:rFonts w:hint="eastAsia"/>
          <w:szCs w:val="21"/>
        </w:rPr>
        <w:t>：</w:t>
      </w:r>
      <w:r>
        <w:rPr>
          <w:rFonts w:hint="eastAsia"/>
          <w:szCs w:val="21"/>
          <w:lang w:eastAsia="zh-CN"/>
        </w:rPr>
        <w:t>刘文怡</w:t>
      </w:r>
    </w:p>
    <w:p>
      <w:pPr>
        <w:spacing w:line="440" w:lineRule="exact"/>
        <w:ind w:right="480" w:firstLine="5670" w:firstLineChars="2700"/>
        <w:jc w:val="right"/>
        <w:rPr>
          <w:b/>
          <w:spacing w:val="20"/>
          <w:szCs w:val="21"/>
        </w:rPr>
      </w:pPr>
      <w:r>
        <w:rPr>
          <w:rFonts w:hint="eastAsia"/>
          <w:szCs w:val="21"/>
        </w:rPr>
        <w:t>2021年 12 月 1 日</w:t>
      </w:r>
    </w:p>
    <w:p/>
    <w:p/>
    <w:p/>
    <w:p/>
    <w:p/>
    <w:p/>
    <w:p/>
    <w:p/>
    <w:p/>
    <w:p/>
    <w:p/>
    <w:p/>
    <w:p/>
    <w:p/>
    <w:p/>
    <w:p/>
    <w:p/>
    <w:p/>
    <w:p/>
    <w:p/>
    <w:p/>
    <w:p/>
    <w:p>
      <w:pPr>
        <w:rPr>
          <w:rFonts w:hint="eastAsia"/>
        </w:rPr>
      </w:pPr>
    </w:p>
    <w:p>
      <w:pPr>
        <w:pStyle w:val="18"/>
        <w:spacing w:before="312" w:after="468"/>
        <w:rPr>
          <w:rFonts w:ascii="Times New Roman" w:hAnsi="Times New Roman" w:cs="Times New Roman"/>
        </w:rPr>
      </w:pPr>
      <w:bookmarkStart w:id="76" w:name="_Toc15904"/>
      <w:r>
        <w:rPr>
          <w:rFonts w:hint="eastAsia" w:ascii="Times New Roman" w:hAnsi="Times New Roman" w:cs="Times New Roman"/>
        </w:rPr>
        <w:t>《Python语言程序设计》课程教学大纲</w:t>
      </w:r>
      <w:bookmarkEnd w:id="76"/>
    </w:p>
    <w:p>
      <w:pPr>
        <w:adjustRightInd w:val="0"/>
        <w:snapToGrid w:val="0"/>
        <w:spacing w:before="156" w:beforeLines="50" w:line="360" w:lineRule="auto"/>
        <w:rPr>
          <w:rFonts w:hint="eastAsia" w:eastAsia="黑体"/>
          <w:color w:val="0D0D0D"/>
          <w:szCs w:val="21"/>
        </w:rPr>
      </w:pPr>
      <w:r>
        <w:rPr>
          <w:rFonts w:hint="eastAsia" w:eastAsia="黑体"/>
          <w:color w:val="0D0D0D"/>
          <w:szCs w:val="21"/>
        </w:rPr>
        <w:t>一、课程基本信息</w:t>
      </w:r>
    </w:p>
    <w:p>
      <w:pPr>
        <w:snapToGrid w:val="0"/>
        <w:spacing w:line="360" w:lineRule="auto"/>
        <w:ind w:firstLine="420" w:firstLineChars="200"/>
        <w:rPr>
          <w:rFonts w:hint="eastAsia" w:eastAsia="黑体"/>
          <w:bCs/>
          <w:szCs w:val="21"/>
        </w:rPr>
      </w:pPr>
      <w:r>
        <w:rPr>
          <w:rFonts w:hint="eastAsia" w:eastAsia="黑体"/>
          <w:bCs/>
          <w:szCs w:val="21"/>
        </w:rPr>
        <w:t>课程名称（中文）：</w:t>
      </w:r>
      <w:r>
        <w:rPr>
          <w:rFonts w:hint="eastAsia" w:eastAsia="黑体"/>
          <w:bCs/>
          <w:color w:val="0D0D0D"/>
          <w:szCs w:val="21"/>
        </w:rPr>
        <w:t>Python语言程序设计</w:t>
      </w:r>
    </w:p>
    <w:p>
      <w:pPr>
        <w:snapToGrid w:val="0"/>
        <w:spacing w:line="360" w:lineRule="auto"/>
        <w:ind w:firstLine="420" w:firstLineChars="200"/>
        <w:rPr>
          <w:rFonts w:hint="eastAsia" w:eastAsia="黑体"/>
          <w:bCs/>
          <w:szCs w:val="21"/>
        </w:rPr>
      </w:pPr>
      <w:r>
        <w:rPr>
          <w:rFonts w:hint="eastAsia" w:eastAsia="黑体"/>
          <w:bCs/>
          <w:szCs w:val="21"/>
        </w:rPr>
        <w:t>课程名称（英文）：</w:t>
      </w:r>
      <w:r>
        <w:rPr>
          <w:rFonts w:eastAsia="黑体"/>
          <w:bCs/>
          <w:color w:val="0D0D0D"/>
          <w:szCs w:val="21"/>
        </w:rPr>
        <w:t xml:space="preserve">Python </w:t>
      </w:r>
      <w:r>
        <w:rPr>
          <w:rFonts w:hint="eastAsia" w:eastAsia="黑体"/>
          <w:bCs/>
          <w:color w:val="0D0D0D"/>
          <w:szCs w:val="21"/>
        </w:rPr>
        <w:t>Language</w:t>
      </w:r>
      <w:r>
        <w:rPr>
          <w:rFonts w:eastAsia="黑体"/>
          <w:bCs/>
          <w:color w:val="0D0D0D"/>
          <w:szCs w:val="21"/>
        </w:rPr>
        <w:t xml:space="preserve"> </w:t>
      </w:r>
      <w:r>
        <w:rPr>
          <w:rFonts w:hint="eastAsia" w:eastAsia="黑体"/>
          <w:bCs/>
          <w:color w:val="0D0D0D"/>
          <w:szCs w:val="21"/>
        </w:rPr>
        <w:t>Programming</w:t>
      </w:r>
    </w:p>
    <w:p>
      <w:pPr>
        <w:snapToGrid w:val="0"/>
        <w:spacing w:line="360" w:lineRule="auto"/>
        <w:ind w:firstLine="420" w:firstLineChars="200"/>
        <w:rPr>
          <w:rFonts w:hint="eastAsia" w:eastAsia="黑体"/>
          <w:bCs/>
          <w:szCs w:val="21"/>
        </w:rPr>
      </w:pPr>
      <w:r>
        <w:rPr>
          <w:rFonts w:hint="eastAsia" w:eastAsia="黑体"/>
          <w:bCs/>
          <w:szCs w:val="21"/>
        </w:rPr>
        <w:t>课程代码：</w:t>
      </w:r>
      <w:r>
        <w:rPr>
          <w:rFonts w:ascii="Calibri" w:hAnsi="Calibri" w:eastAsia="黑体"/>
          <w:szCs w:val="21"/>
        </w:rPr>
        <w:t>Z03060411</w:t>
      </w:r>
      <w:r>
        <w:rPr>
          <w:rFonts w:eastAsia="黑体"/>
          <w:bCs/>
          <w:szCs w:val="21"/>
        </w:rPr>
        <w:t xml:space="preserve"> </w:t>
      </w:r>
      <w:r>
        <w:rPr>
          <w:rFonts w:hint="eastAsia" w:eastAsia="黑体"/>
          <w:bCs/>
          <w:szCs w:val="21"/>
        </w:rPr>
        <w:t xml:space="preserve"> </w:t>
      </w:r>
      <w:r>
        <w:rPr>
          <w:rFonts w:hint="eastAsia" w:eastAsia="黑体"/>
          <w:bCs/>
          <w:szCs w:val="21"/>
        </w:rPr>
        <w:tab/>
      </w:r>
      <w:r>
        <w:rPr>
          <w:rFonts w:hint="eastAsia" w:eastAsia="黑体"/>
          <w:bCs/>
          <w:szCs w:val="21"/>
        </w:rPr>
        <w:tab/>
      </w:r>
      <w:r>
        <w:rPr>
          <w:rFonts w:hint="eastAsia" w:eastAsia="黑体"/>
          <w:bCs/>
          <w:szCs w:val="21"/>
        </w:rPr>
        <w:tab/>
      </w:r>
      <w:r>
        <w:rPr>
          <w:rFonts w:hint="eastAsia" w:eastAsia="黑体"/>
          <w:bCs/>
          <w:szCs w:val="21"/>
        </w:rPr>
        <w:tab/>
      </w:r>
      <w:r>
        <w:rPr>
          <w:rFonts w:hint="eastAsia" w:eastAsia="黑体"/>
          <w:bCs/>
          <w:szCs w:val="21"/>
        </w:rPr>
        <w:tab/>
      </w:r>
      <w:r>
        <w:rPr>
          <w:rFonts w:hint="eastAsia" w:eastAsia="黑体"/>
          <w:bCs/>
          <w:szCs w:val="21"/>
        </w:rPr>
        <w:t>适用层次：本科</w:t>
      </w:r>
    </w:p>
    <w:p>
      <w:pPr>
        <w:snapToGrid w:val="0"/>
        <w:spacing w:line="360" w:lineRule="auto"/>
        <w:ind w:firstLine="420" w:firstLineChars="200"/>
        <w:rPr>
          <w:rFonts w:hint="eastAsia" w:eastAsia="黑体"/>
          <w:bCs/>
          <w:szCs w:val="21"/>
        </w:rPr>
      </w:pPr>
      <w:r>
        <w:rPr>
          <w:rFonts w:hint="eastAsia" w:eastAsia="黑体"/>
          <w:bCs/>
          <w:szCs w:val="21"/>
        </w:rPr>
        <w:t>课程类别：</w:t>
      </w:r>
      <w:r>
        <w:rPr>
          <w:rFonts w:hint="eastAsia" w:eastAsia="黑体"/>
          <w:bCs/>
          <w:color w:val="0D0D0D"/>
          <w:szCs w:val="21"/>
        </w:rPr>
        <w:t>专业方向选修</w:t>
      </w:r>
      <w:r>
        <w:rPr>
          <w:rFonts w:hint="eastAsia" w:eastAsia="黑体"/>
          <w:bCs/>
          <w:szCs w:val="21"/>
        </w:rPr>
        <w:t>课程              课程性质：选修</w:t>
      </w:r>
    </w:p>
    <w:p>
      <w:pPr>
        <w:snapToGrid w:val="0"/>
        <w:spacing w:line="360" w:lineRule="auto"/>
        <w:ind w:firstLine="420" w:firstLineChars="200"/>
        <w:rPr>
          <w:rFonts w:hint="eastAsia" w:eastAsia="黑体"/>
          <w:bCs/>
          <w:szCs w:val="21"/>
        </w:rPr>
      </w:pPr>
      <w:r>
        <w:rPr>
          <w:rFonts w:hint="eastAsia" w:eastAsia="黑体"/>
          <w:bCs/>
          <w:szCs w:val="21"/>
        </w:rPr>
        <w:t>适用专业：</w:t>
      </w:r>
      <w:r>
        <w:rPr>
          <w:rFonts w:hint="eastAsia" w:eastAsia="黑体"/>
          <w:bCs/>
          <w:color w:val="0D0D0D"/>
          <w:szCs w:val="21"/>
        </w:rPr>
        <w:t>智能感知工程</w:t>
      </w:r>
      <w:r>
        <w:rPr>
          <w:rFonts w:eastAsia="黑体"/>
          <w:bCs/>
          <w:szCs w:val="21"/>
        </w:rPr>
        <w:t xml:space="preserve"> </w:t>
      </w:r>
      <w:r>
        <w:rPr>
          <w:rFonts w:hint="eastAsia" w:eastAsia="黑体"/>
          <w:bCs/>
          <w:szCs w:val="21"/>
        </w:rPr>
        <w:t xml:space="preserve">          </w:t>
      </w:r>
      <w:r>
        <w:rPr>
          <w:rFonts w:hint="eastAsia" w:eastAsia="黑体"/>
          <w:bCs/>
          <w:szCs w:val="21"/>
        </w:rPr>
        <w:tab/>
      </w:r>
      <w:r>
        <w:rPr>
          <w:rFonts w:hint="eastAsia" w:eastAsia="黑体"/>
          <w:bCs/>
          <w:szCs w:val="21"/>
        </w:rPr>
        <w:tab/>
      </w:r>
      <w:r>
        <w:rPr>
          <w:rFonts w:hint="eastAsia" w:eastAsia="黑体"/>
          <w:bCs/>
          <w:szCs w:val="21"/>
        </w:rPr>
        <w:t>计划学分：</w:t>
      </w:r>
      <w:r>
        <w:rPr>
          <w:rFonts w:eastAsia="黑体"/>
          <w:bCs/>
          <w:szCs w:val="21"/>
        </w:rPr>
        <w:t>2</w:t>
      </w:r>
    </w:p>
    <w:p>
      <w:pPr>
        <w:snapToGrid w:val="0"/>
        <w:spacing w:line="360" w:lineRule="auto"/>
        <w:ind w:firstLine="420" w:firstLineChars="200"/>
        <w:rPr>
          <w:rFonts w:eastAsia="黑体"/>
          <w:bCs/>
          <w:szCs w:val="21"/>
        </w:rPr>
      </w:pPr>
      <w:r>
        <w:rPr>
          <w:rFonts w:hint="eastAsia" w:eastAsia="黑体"/>
          <w:bCs/>
          <w:szCs w:val="21"/>
        </w:rPr>
        <w:t>计划学时（周数）：</w:t>
      </w:r>
      <w:r>
        <w:rPr>
          <w:rFonts w:eastAsia="黑体"/>
          <w:bCs/>
          <w:szCs w:val="21"/>
        </w:rPr>
        <w:t>32</w:t>
      </w:r>
      <w:r>
        <w:rPr>
          <w:rFonts w:hint="eastAsia" w:eastAsia="黑体"/>
          <w:bCs/>
          <w:szCs w:val="21"/>
        </w:rPr>
        <w:t xml:space="preserve">         </w:t>
      </w:r>
      <w:r>
        <w:rPr>
          <w:rFonts w:hint="eastAsia" w:eastAsia="黑体"/>
          <w:bCs/>
          <w:szCs w:val="21"/>
        </w:rPr>
        <w:tab/>
      </w:r>
      <w:r>
        <w:rPr>
          <w:rFonts w:hint="eastAsia" w:eastAsia="黑体"/>
          <w:bCs/>
          <w:szCs w:val="21"/>
        </w:rPr>
        <w:tab/>
      </w:r>
      <w:r>
        <w:rPr>
          <w:rFonts w:hint="eastAsia" w:eastAsia="黑体"/>
          <w:bCs/>
          <w:szCs w:val="21"/>
        </w:rPr>
        <w:tab/>
      </w:r>
      <w:r>
        <w:rPr>
          <w:rFonts w:hint="eastAsia" w:eastAsia="黑体"/>
          <w:bCs/>
          <w:szCs w:val="21"/>
        </w:rPr>
        <w:t>讲课学时：</w:t>
      </w:r>
      <w:r>
        <w:rPr>
          <w:rFonts w:eastAsia="黑体"/>
          <w:bCs/>
          <w:szCs w:val="21"/>
        </w:rPr>
        <w:t>16</w:t>
      </w:r>
      <w:r>
        <w:rPr>
          <w:rFonts w:hint="eastAsia" w:eastAsia="黑体"/>
          <w:bCs/>
          <w:szCs w:val="21"/>
        </w:rPr>
        <w:t xml:space="preserve">       </w:t>
      </w:r>
      <w:r>
        <w:rPr>
          <w:rFonts w:eastAsia="黑体"/>
          <w:bCs/>
          <w:szCs w:val="21"/>
        </w:rPr>
        <w:t xml:space="preserve">  </w:t>
      </w:r>
      <w:r>
        <w:rPr>
          <w:rFonts w:hint="eastAsia" w:eastAsia="黑体"/>
          <w:bCs/>
          <w:szCs w:val="21"/>
        </w:rPr>
        <w:t>实验学时：16</w:t>
      </w:r>
    </w:p>
    <w:p>
      <w:pPr>
        <w:snapToGrid w:val="0"/>
        <w:spacing w:line="360" w:lineRule="auto"/>
        <w:ind w:firstLine="420" w:firstLineChars="200"/>
        <w:rPr>
          <w:rFonts w:hint="eastAsia" w:eastAsia="黑体"/>
          <w:bCs/>
          <w:szCs w:val="21"/>
        </w:rPr>
      </w:pPr>
      <w:r>
        <w:rPr>
          <w:rFonts w:hint="eastAsia" w:eastAsia="黑体"/>
          <w:bCs/>
          <w:szCs w:val="21"/>
        </w:rPr>
        <w:t>开课学期：</w:t>
      </w:r>
      <w:r>
        <w:rPr>
          <w:rFonts w:eastAsia="黑体"/>
          <w:bCs/>
          <w:szCs w:val="21"/>
        </w:rPr>
        <w:t>4</w:t>
      </w:r>
      <w:r>
        <w:rPr>
          <w:rFonts w:hint="eastAsia" w:eastAsia="黑体"/>
          <w:bCs/>
          <w:szCs w:val="21"/>
        </w:rPr>
        <w:t xml:space="preserve">                       </w:t>
      </w:r>
      <w:r>
        <w:rPr>
          <w:rFonts w:hint="eastAsia" w:eastAsia="黑体"/>
          <w:bCs/>
          <w:szCs w:val="21"/>
        </w:rPr>
        <w:tab/>
      </w:r>
      <w:r>
        <w:rPr>
          <w:rFonts w:hint="eastAsia" w:eastAsia="黑体"/>
          <w:bCs/>
          <w:szCs w:val="21"/>
        </w:rPr>
        <w:tab/>
      </w:r>
      <w:r>
        <w:rPr>
          <w:rFonts w:hint="eastAsia" w:eastAsia="黑体"/>
          <w:bCs/>
          <w:szCs w:val="21"/>
        </w:rPr>
        <w:t>考核方式：</w:t>
      </w:r>
      <w:r>
        <w:rPr>
          <w:rFonts w:hint="eastAsia" w:eastAsia="黑体"/>
          <w:bCs/>
          <w:color w:val="0D0D0D"/>
          <w:szCs w:val="21"/>
        </w:rPr>
        <w:t>考察</w:t>
      </w:r>
    </w:p>
    <w:p>
      <w:pPr>
        <w:snapToGrid w:val="0"/>
        <w:spacing w:line="360" w:lineRule="auto"/>
        <w:ind w:firstLine="420" w:firstLineChars="200"/>
        <w:rPr>
          <w:rFonts w:hint="eastAsia" w:eastAsia="黑体"/>
          <w:bCs/>
          <w:szCs w:val="21"/>
        </w:rPr>
      </w:pPr>
      <w:r>
        <w:rPr>
          <w:rFonts w:hint="eastAsia" w:eastAsia="黑体"/>
          <w:bCs/>
          <w:szCs w:val="21"/>
        </w:rPr>
        <w:t>先修课程：</w:t>
      </w:r>
      <w:r>
        <w:rPr>
          <w:rFonts w:hint="eastAsia" w:eastAsia="黑体"/>
          <w:bCs/>
          <w:color w:val="0D0D0D"/>
          <w:szCs w:val="21"/>
        </w:rPr>
        <w:t>C语言程序设计</w:t>
      </w:r>
    </w:p>
    <w:p>
      <w:pPr>
        <w:snapToGrid w:val="0"/>
        <w:spacing w:line="360" w:lineRule="auto"/>
        <w:ind w:firstLine="420" w:firstLineChars="200"/>
        <w:rPr>
          <w:rFonts w:eastAsia="黑体"/>
          <w:bCs/>
          <w:szCs w:val="21"/>
        </w:rPr>
      </w:pPr>
      <w:r>
        <w:rPr>
          <w:rFonts w:hint="eastAsia" w:eastAsia="黑体"/>
          <w:bCs/>
          <w:szCs w:val="21"/>
        </w:rPr>
        <w:t>后续课程：</w:t>
      </w:r>
      <w:r>
        <w:rPr>
          <w:rFonts w:hint="eastAsia" w:eastAsia="黑体"/>
          <w:bCs/>
          <w:color w:val="0D0D0D"/>
          <w:szCs w:val="21"/>
        </w:rPr>
        <w:t>智能感知综合实践</w:t>
      </w:r>
    </w:p>
    <w:p>
      <w:pPr>
        <w:snapToGrid w:val="0"/>
        <w:spacing w:line="360" w:lineRule="auto"/>
        <w:ind w:firstLine="420" w:firstLineChars="200"/>
        <w:rPr>
          <w:rFonts w:hint="eastAsia" w:eastAsia="黑体"/>
          <w:bCs/>
          <w:szCs w:val="21"/>
        </w:rPr>
      </w:pPr>
      <w:r>
        <w:rPr>
          <w:rFonts w:hint="eastAsia" w:eastAsia="黑体"/>
          <w:bCs/>
          <w:szCs w:val="21"/>
        </w:rPr>
        <w:t>制定人：</w:t>
      </w:r>
      <w:r>
        <w:rPr>
          <w:rFonts w:hint="eastAsia" w:eastAsia="黑体"/>
          <w:bCs/>
          <w:color w:val="0D0D0D"/>
          <w:szCs w:val="21"/>
        </w:rPr>
        <w:t>井超</w:t>
      </w:r>
      <w:r>
        <w:rPr>
          <w:rFonts w:hint="eastAsia" w:eastAsia="黑体"/>
          <w:bCs/>
          <w:szCs w:val="21"/>
        </w:rPr>
        <w:t xml:space="preserve">                 </w:t>
      </w:r>
      <w:r>
        <w:rPr>
          <w:rFonts w:hint="eastAsia" w:eastAsia="黑体"/>
          <w:bCs/>
          <w:szCs w:val="21"/>
        </w:rPr>
        <w:tab/>
      </w:r>
      <w:r>
        <w:rPr>
          <w:rFonts w:eastAsia="黑体"/>
          <w:bCs/>
          <w:szCs w:val="21"/>
        </w:rPr>
        <w:tab/>
      </w:r>
      <w:r>
        <w:rPr>
          <w:rFonts w:eastAsia="黑体"/>
          <w:bCs/>
          <w:szCs w:val="21"/>
        </w:rPr>
        <w:tab/>
      </w:r>
      <w:r>
        <w:rPr>
          <w:rFonts w:hint="eastAsia" w:eastAsia="黑体"/>
          <w:bCs/>
          <w:szCs w:val="21"/>
        </w:rPr>
        <w:t>教学基层组织审核人：</w:t>
      </w:r>
      <w:r>
        <w:rPr>
          <w:rFonts w:hint="eastAsia" w:eastAsia="黑体"/>
          <w:bCs/>
          <w:color w:val="0D0D0D"/>
          <w:szCs w:val="21"/>
        </w:rPr>
        <w:t>刘文耀</w:t>
      </w:r>
    </w:p>
    <w:p>
      <w:pPr>
        <w:snapToGrid w:val="0"/>
        <w:spacing w:line="360" w:lineRule="auto"/>
        <w:ind w:firstLine="420" w:firstLineChars="200"/>
        <w:rPr>
          <w:rFonts w:hint="eastAsia" w:eastAsia="黑体"/>
          <w:bCs/>
          <w:szCs w:val="21"/>
        </w:rPr>
      </w:pPr>
      <w:r>
        <w:rPr>
          <w:rFonts w:hint="eastAsia" w:eastAsia="黑体"/>
          <w:bCs/>
          <w:szCs w:val="21"/>
        </w:rPr>
        <w:t>开课学院：仪器与电子学院</w:t>
      </w:r>
      <w:r>
        <w:rPr>
          <w:rFonts w:eastAsia="黑体"/>
          <w:bCs/>
          <w:szCs w:val="21"/>
        </w:rPr>
        <w:t xml:space="preserve"> </w:t>
      </w:r>
      <w:r>
        <w:rPr>
          <w:rFonts w:hint="eastAsia" w:eastAsia="黑体"/>
          <w:bCs/>
          <w:szCs w:val="21"/>
        </w:rPr>
        <w:t xml:space="preserve">         </w:t>
      </w:r>
      <w:r>
        <w:rPr>
          <w:rFonts w:hint="eastAsia" w:eastAsia="黑体"/>
          <w:bCs/>
          <w:szCs w:val="21"/>
        </w:rPr>
        <w:tab/>
      </w:r>
      <w:r>
        <w:rPr>
          <w:rFonts w:hint="eastAsia" w:eastAsia="黑体"/>
          <w:bCs/>
          <w:szCs w:val="21"/>
        </w:rPr>
        <w:tab/>
      </w:r>
      <w:r>
        <w:rPr>
          <w:rFonts w:hint="eastAsia" w:eastAsia="黑体"/>
          <w:bCs/>
          <w:szCs w:val="21"/>
        </w:rPr>
        <w:t>开课学院审核人：刘文怡</w:t>
      </w:r>
    </w:p>
    <w:p>
      <w:pPr>
        <w:adjustRightInd w:val="0"/>
        <w:snapToGrid w:val="0"/>
        <w:spacing w:before="156" w:beforeLines="50" w:line="360" w:lineRule="auto"/>
        <w:rPr>
          <w:rFonts w:hint="eastAsia" w:eastAsia="黑体"/>
          <w:color w:val="0D0D0D"/>
          <w:szCs w:val="21"/>
        </w:rPr>
      </w:pPr>
      <w:r>
        <w:rPr>
          <w:rFonts w:hint="eastAsia" w:eastAsia="黑体"/>
          <w:color w:val="0D0D0D"/>
          <w:szCs w:val="21"/>
        </w:rPr>
        <w:t>二、课程性质与教学目标</w:t>
      </w:r>
    </w:p>
    <w:p>
      <w:pPr>
        <w:snapToGrid w:val="0"/>
        <w:spacing w:line="360" w:lineRule="auto"/>
        <w:ind w:firstLine="422" w:firstLineChars="200"/>
        <w:rPr>
          <w:rFonts w:hint="eastAsia" w:ascii="宋体" w:hAnsi="宋体"/>
          <w:b/>
          <w:color w:val="000000"/>
          <w:szCs w:val="21"/>
        </w:rPr>
      </w:pPr>
      <w:r>
        <w:rPr>
          <w:rFonts w:hint="eastAsia" w:ascii="宋体" w:hAnsi="宋体"/>
          <w:b/>
          <w:color w:val="000000"/>
          <w:szCs w:val="21"/>
        </w:rPr>
        <w:t>1、课程性质与任务</w:t>
      </w:r>
    </w:p>
    <w:p>
      <w:pPr>
        <w:adjustRightInd w:val="0"/>
        <w:snapToGrid w:val="0"/>
        <w:spacing w:line="360" w:lineRule="auto"/>
        <w:ind w:firstLine="420" w:firstLineChars="200"/>
        <w:rPr>
          <w:rFonts w:hint="eastAsia" w:ascii="宋体" w:hAnsi="宋体"/>
          <w:color w:val="0D0D0D"/>
        </w:rPr>
      </w:pPr>
      <w:r>
        <w:rPr>
          <w:rFonts w:hint="eastAsia" w:ascii="宋体" w:hAnsi="宋体"/>
          <w:bCs/>
          <w:color w:val="0D0D0D"/>
          <w:szCs w:val="21"/>
        </w:rPr>
        <w:t>本课程作为一门专业教育选修课程，以Python语言基本知识为主要教学内容，内容涵盖结构化程序设计方法、模块化程序设计思想、数据类型、控制语句、文件操作、人工智能初步、数据创建与矩阵运算、数据分析、数据可视化等，以强化编程基础知识、项目设计、分析问题与解决问题为教学目标，培养学生利用程序设计方法解决复杂工程问题及大数据分析的能力，为后续程序设计类课程奠定坚实的理论和实践基础。</w:t>
      </w:r>
    </w:p>
    <w:p>
      <w:pPr>
        <w:snapToGrid w:val="0"/>
        <w:spacing w:line="360" w:lineRule="auto"/>
        <w:ind w:firstLine="422" w:firstLineChars="200"/>
        <w:rPr>
          <w:rFonts w:hint="eastAsia" w:ascii="宋体" w:hAnsi="宋体"/>
          <w:b/>
          <w:color w:val="000000"/>
          <w:szCs w:val="21"/>
        </w:rPr>
      </w:pPr>
      <w:r>
        <w:rPr>
          <w:rFonts w:hint="eastAsia" w:ascii="宋体" w:hAnsi="宋体"/>
          <w:b/>
          <w:color w:val="000000"/>
          <w:szCs w:val="21"/>
        </w:rPr>
        <w:t>2、课程</w:t>
      </w:r>
      <w:r>
        <w:rPr>
          <w:rFonts w:ascii="宋体" w:hAnsi="宋体"/>
          <w:b/>
          <w:color w:val="000000"/>
          <w:szCs w:val="21"/>
        </w:rPr>
        <w:t>目标</w:t>
      </w:r>
    </w:p>
    <w:p>
      <w:pPr>
        <w:adjustRightInd w:val="0"/>
        <w:snapToGrid w:val="0"/>
        <w:spacing w:line="360" w:lineRule="auto"/>
        <w:ind w:firstLine="420" w:firstLineChars="200"/>
        <w:rPr>
          <w:rFonts w:ascii="宋体" w:hAnsi="宋体"/>
          <w:bCs/>
          <w:color w:val="000000"/>
          <w:szCs w:val="21"/>
        </w:rPr>
      </w:pPr>
      <w:r>
        <w:rPr>
          <w:rFonts w:hint="eastAsia" w:ascii="宋体" w:hAnsi="宋体"/>
          <w:bCs/>
          <w:color w:val="000000"/>
          <w:szCs w:val="21"/>
        </w:rPr>
        <w:t>课程目标1：掌握</w:t>
      </w:r>
      <w:r>
        <w:rPr>
          <w:rFonts w:ascii="宋体" w:hAnsi="宋体"/>
          <w:bCs/>
          <w:color w:val="000000"/>
          <w:szCs w:val="21"/>
        </w:rPr>
        <w:t>Python</w:t>
      </w:r>
      <w:r>
        <w:rPr>
          <w:rFonts w:hint="eastAsia" w:ascii="宋体" w:hAnsi="宋体"/>
          <w:bCs/>
          <w:color w:val="000000"/>
          <w:szCs w:val="21"/>
        </w:rPr>
        <w:t>的</w:t>
      </w:r>
      <w:r>
        <w:rPr>
          <w:rFonts w:ascii="宋体" w:hAnsi="宋体"/>
          <w:bCs/>
          <w:color w:val="000000"/>
          <w:szCs w:val="21"/>
        </w:rPr>
        <w:t>基本功能和</w:t>
      </w:r>
      <w:r>
        <w:t>数据分析流程操作</w:t>
      </w:r>
      <w:r>
        <w:rPr>
          <w:rFonts w:hint="eastAsia"/>
        </w:rPr>
        <w:t>；</w:t>
      </w:r>
      <w:r>
        <w:rPr>
          <w:rFonts w:ascii="宋体" w:hAnsi="宋体"/>
          <w:bCs/>
          <w:color w:val="000000"/>
          <w:szCs w:val="21"/>
        </w:rPr>
        <w:t>（支撑毕业要求</w:t>
      </w:r>
      <w:r>
        <w:rPr>
          <w:rFonts w:hint="eastAsia" w:ascii="宋体" w:hAnsi="宋体"/>
          <w:bCs/>
          <w:color w:val="000000"/>
          <w:szCs w:val="21"/>
        </w:rPr>
        <w:t>指标点</w:t>
      </w:r>
      <w:r>
        <w:rPr>
          <w:rFonts w:hint="eastAsia" w:ascii="宋体" w:hAnsi="宋体"/>
          <w:bCs/>
          <w:color w:val="000000"/>
          <w:szCs w:val="21"/>
          <w:lang w:val="en-US" w:eastAsia="zh-CN"/>
        </w:rPr>
        <w:t>5-1</w:t>
      </w:r>
      <w:r>
        <w:rPr>
          <w:rFonts w:hint="eastAsia" w:ascii="宋体" w:hAnsi="宋体"/>
          <w:bCs/>
          <w:color w:val="000000"/>
          <w:szCs w:val="21"/>
        </w:rPr>
        <w:t>工具选择与开发</w:t>
      </w:r>
      <w:r>
        <w:rPr>
          <w:rFonts w:ascii="宋体" w:hAnsi="宋体"/>
          <w:bCs/>
          <w:color w:val="000000"/>
          <w:szCs w:val="21"/>
        </w:rPr>
        <w:t>）</w:t>
      </w:r>
    </w:p>
    <w:p>
      <w:pPr>
        <w:adjustRightInd w:val="0"/>
        <w:snapToGrid w:val="0"/>
        <w:spacing w:line="360" w:lineRule="auto"/>
        <w:ind w:firstLine="420" w:firstLineChars="200"/>
        <w:rPr>
          <w:rFonts w:ascii="宋体" w:hAnsi="宋体"/>
          <w:bCs/>
          <w:color w:val="0D0D0D"/>
          <w:szCs w:val="21"/>
        </w:rPr>
      </w:pPr>
      <w:r>
        <w:rPr>
          <w:rFonts w:hint="eastAsia" w:ascii="宋体" w:hAnsi="宋体"/>
          <w:bCs/>
          <w:color w:val="0D0D0D"/>
          <w:szCs w:val="21"/>
        </w:rPr>
        <w:t>课程目标2：能够掌握</w:t>
      </w:r>
      <w:r>
        <w:rPr>
          <w:rFonts w:hint="eastAsia" w:ascii="宋体" w:hAnsi="宋体"/>
          <w:color w:val="0D0D0D"/>
        </w:rPr>
        <w:t>不同类型数据的处理技术与技巧，熟练操作相关包对数据分析结果进行可视化；能够掌握常用人工智能相关编程库，并能够写出基本的人工智能程序；</w:t>
      </w:r>
      <w:r>
        <w:rPr>
          <w:rFonts w:hint="eastAsia" w:ascii="宋体" w:hAnsi="宋体"/>
          <w:bCs/>
          <w:color w:val="0D0D0D"/>
          <w:szCs w:val="21"/>
        </w:rPr>
        <w:t>能够</w:t>
      </w:r>
      <w:r>
        <w:rPr>
          <w:rFonts w:ascii="宋体" w:hAnsi="宋体"/>
          <w:bCs/>
          <w:color w:val="0D0D0D"/>
          <w:szCs w:val="21"/>
        </w:rPr>
        <w:t>利用</w:t>
      </w:r>
      <w:r>
        <w:rPr>
          <w:rFonts w:hint="eastAsia" w:ascii="宋体" w:hAnsi="宋体"/>
          <w:bCs/>
          <w:color w:val="0D0D0D"/>
          <w:szCs w:val="21"/>
        </w:rPr>
        <w:t>P</w:t>
      </w:r>
      <w:r>
        <w:rPr>
          <w:rFonts w:ascii="宋体" w:hAnsi="宋体"/>
          <w:bCs/>
          <w:color w:val="0D0D0D"/>
          <w:szCs w:val="21"/>
        </w:rPr>
        <w:t>ython语言对</w:t>
      </w:r>
      <w:r>
        <w:rPr>
          <w:rFonts w:hint="eastAsia" w:ascii="宋体" w:hAnsi="宋体"/>
          <w:bCs/>
          <w:color w:val="0D0D0D"/>
          <w:szCs w:val="21"/>
        </w:rPr>
        <w:t>数据进行统计模型</w:t>
      </w:r>
      <w:r>
        <w:rPr>
          <w:rFonts w:ascii="宋体" w:hAnsi="宋体"/>
          <w:bCs/>
          <w:color w:val="0D0D0D"/>
          <w:szCs w:val="21"/>
        </w:rPr>
        <w:t>构建</w:t>
      </w:r>
      <w:r>
        <w:rPr>
          <w:rFonts w:hint="eastAsia" w:ascii="宋体" w:hAnsi="宋体"/>
          <w:bCs/>
          <w:color w:val="0D0D0D"/>
          <w:szCs w:val="21"/>
        </w:rPr>
        <w:t>分析，解释分析结果，解决实际应用中的</w:t>
      </w:r>
      <w:r>
        <w:rPr>
          <w:rFonts w:ascii="宋体" w:hAnsi="宋体"/>
          <w:bCs/>
          <w:color w:val="0D0D0D"/>
          <w:szCs w:val="21"/>
        </w:rPr>
        <w:t>复杂</w:t>
      </w:r>
      <w:r>
        <w:rPr>
          <w:rFonts w:hint="eastAsia" w:ascii="宋体" w:hAnsi="宋体"/>
          <w:bCs/>
          <w:color w:val="0D0D0D"/>
          <w:szCs w:val="21"/>
        </w:rPr>
        <w:t>数据分析</w:t>
      </w:r>
      <w:r>
        <w:rPr>
          <w:rFonts w:ascii="宋体" w:hAnsi="宋体"/>
          <w:bCs/>
          <w:color w:val="0D0D0D"/>
          <w:szCs w:val="21"/>
        </w:rPr>
        <w:t>问题</w:t>
      </w:r>
      <w:r>
        <w:rPr>
          <w:rFonts w:hint="eastAsia" w:ascii="宋体" w:hAnsi="宋体"/>
          <w:bCs/>
          <w:color w:val="0D0D0D"/>
          <w:szCs w:val="21"/>
        </w:rPr>
        <w:t>；</w:t>
      </w:r>
      <w:r>
        <w:rPr>
          <w:rFonts w:ascii="宋体" w:hAnsi="宋体"/>
          <w:bCs/>
          <w:color w:val="0D0D0D"/>
          <w:szCs w:val="21"/>
        </w:rPr>
        <w:t>（支撑毕业要求</w:t>
      </w:r>
      <w:r>
        <w:rPr>
          <w:rFonts w:hint="eastAsia" w:ascii="宋体" w:hAnsi="宋体"/>
          <w:bCs/>
          <w:color w:val="0D0D0D"/>
          <w:szCs w:val="21"/>
        </w:rPr>
        <w:t>指标点</w:t>
      </w:r>
      <w:r>
        <w:rPr>
          <w:rFonts w:ascii="宋体" w:hAnsi="宋体"/>
          <w:bCs/>
          <w:color w:val="0D0D0D"/>
          <w:szCs w:val="21"/>
        </w:rPr>
        <w:t>5</w:t>
      </w:r>
      <w:r>
        <w:rPr>
          <w:rFonts w:hint="eastAsia" w:ascii="宋体" w:hAnsi="宋体"/>
          <w:bCs/>
          <w:color w:val="0D0D0D"/>
          <w:szCs w:val="21"/>
        </w:rPr>
        <w:t>-</w:t>
      </w:r>
      <w:r>
        <w:rPr>
          <w:rFonts w:ascii="宋体" w:hAnsi="宋体"/>
          <w:bCs/>
          <w:color w:val="0D0D0D"/>
          <w:szCs w:val="21"/>
        </w:rPr>
        <w:t xml:space="preserve">2 </w:t>
      </w:r>
      <w:r>
        <w:rPr>
          <w:rFonts w:hint="eastAsia" w:ascii="宋体" w:hAnsi="宋体"/>
          <w:bCs/>
          <w:color w:val="0D0D0D"/>
          <w:szCs w:val="21"/>
        </w:rPr>
        <w:t>专业工具使用</w:t>
      </w:r>
      <w:r>
        <w:rPr>
          <w:rFonts w:ascii="宋体" w:hAnsi="宋体"/>
          <w:bCs/>
          <w:color w:val="0D0D0D"/>
          <w:szCs w:val="21"/>
        </w:rPr>
        <w:t>）</w:t>
      </w:r>
    </w:p>
    <w:p>
      <w:pPr>
        <w:adjustRightInd w:val="0"/>
        <w:snapToGrid w:val="0"/>
        <w:spacing w:line="360" w:lineRule="auto"/>
        <w:ind w:firstLine="420" w:firstLineChars="200"/>
        <w:rPr>
          <w:rFonts w:hint="eastAsia" w:hAnsi="宋体"/>
          <w:bCs/>
          <w:color w:val="000000"/>
          <w:szCs w:val="21"/>
          <w:highlight w:val="yellow"/>
        </w:rPr>
      </w:pPr>
      <w:r>
        <w:rPr>
          <w:rFonts w:hint="eastAsia" w:ascii="宋体" w:hAnsi="宋体"/>
          <w:bCs/>
          <w:color w:val="000000"/>
          <w:szCs w:val="21"/>
        </w:rPr>
        <w:t>思政目标：Python在数据分析、人工智能等方面具有强大优势，通过Python程序设计的学习，激发学生技术创新、追求前沿的热情与探索精神。</w:t>
      </w:r>
    </w:p>
    <w:p>
      <w:pPr>
        <w:adjustRightInd w:val="0"/>
        <w:snapToGrid w:val="0"/>
        <w:spacing w:before="156" w:beforeLines="50" w:line="360" w:lineRule="auto"/>
        <w:rPr>
          <w:rFonts w:hint="eastAsia" w:eastAsia="黑体"/>
          <w:color w:val="0D0D0D"/>
          <w:szCs w:val="21"/>
        </w:rPr>
      </w:pPr>
      <w:r>
        <w:rPr>
          <w:rFonts w:hint="eastAsia" w:eastAsia="黑体"/>
          <w:color w:val="0D0D0D"/>
          <w:szCs w:val="21"/>
        </w:rPr>
        <w:t>三、课程内容、思政融入点、学时分配及对毕业要求指标点的支撑</w:t>
      </w:r>
    </w:p>
    <w:p>
      <w:pPr>
        <w:adjustRightInd w:val="0"/>
        <w:snapToGrid w:val="0"/>
        <w:spacing w:line="360" w:lineRule="auto"/>
        <w:ind w:firstLine="420" w:firstLineChars="200"/>
        <w:rPr>
          <w:szCs w:val="21"/>
        </w:rPr>
      </w:pPr>
      <w:r>
        <w:rPr>
          <w:szCs w:val="21"/>
          <w:lang w:bidi="ar"/>
        </w:rPr>
        <w:t>1</w:t>
      </w:r>
      <w:r>
        <w:rPr>
          <w:rFonts w:hint="eastAsia" w:cs="宋体"/>
          <w:szCs w:val="21"/>
          <w:lang w:bidi="ar"/>
        </w:rPr>
        <w:t>、本课程为专业方向选修课，要求先修C语言程序设计等课程，在教学中应注重基础知识、编程思维和编程方法的传授，同时运用类比式和启发式教学，使学生掌握目前比较流行的Python语言程序设计编程，掌握相关设计方法与手段，以培养程序思维和编程软件的使用能力。</w:t>
      </w:r>
    </w:p>
    <w:p>
      <w:pPr>
        <w:adjustRightInd w:val="0"/>
        <w:snapToGrid w:val="0"/>
        <w:spacing w:line="360" w:lineRule="auto"/>
        <w:ind w:firstLine="420" w:firstLineChars="200"/>
        <w:rPr>
          <w:szCs w:val="21"/>
        </w:rPr>
      </w:pPr>
      <w:r>
        <w:rPr>
          <w:rFonts w:hint="eastAsia"/>
          <w:szCs w:val="21"/>
          <w:lang w:bidi="ar"/>
        </w:rPr>
        <w:t>2</w:t>
      </w:r>
      <w:r>
        <w:rPr>
          <w:rFonts w:hint="eastAsia" w:cs="宋体"/>
          <w:szCs w:val="21"/>
          <w:lang w:bidi="ar"/>
        </w:rPr>
        <w:t>、利用PyCharm来编写Python程序，因此应重点培养学生实际操作、灵活运用知识的能力，把理论知识运用到实际设计中去的技能。</w:t>
      </w:r>
    </w:p>
    <w:p>
      <w:pPr>
        <w:adjustRightInd w:val="0"/>
        <w:snapToGrid w:val="0"/>
        <w:spacing w:line="360" w:lineRule="auto"/>
        <w:ind w:firstLine="420" w:firstLineChars="200"/>
        <w:rPr>
          <w:szCs w:val="21"/>
        </w:rPr>
      </w:pPr>
      <w:r>
        <w:rPr>
          <w:rFonts w:hint="eastAsia"/>
          <w:szCs w:val="21"/>
          <w:lang w:bidi="ar"/>
        </w:rPr>
        <w:t>3</w:t>
      </w:r>
      <w:r>
        <w:rPr>
          <w:rFonts w:hint="eastAsia" w:cs="宋体"/>
          <w:szCs w:val="21"/>
          <w:lang w:bidi="ar"/>
        </w:rPr>
        <w:t>、深度和广度说明：对Python基本语法、</w:t>
      </w:r>
      <w:r>
        <w:rPr>
          <w:rFonts w:cs="宋体"/>
          <w:szCs w:val="21"/>
          <w:lang w:bidi="ar"/>
        </w:rPr>
        <w:t>N</w:t>
      </w:r>
      <w:r>
        <w:rPr>
          <w:rFonts w:hint="eastAsia" w:cs="宋体"/>
          <w:szCs w:val="21"/>
          <w:lang w:bidi="ar"/>
        </w:rPr>
        <w:t>umpy库、</w:t>
      </w:r>
      <w:r>
        <w:rPr>
          <w:rFonts w:cs="宋体"/>
          <w:szCs w:val="21"/>
          <w:lang w:bidi="ar"/>
        </w:rPr>
        <w:t>P</w:t>
      </w:r>
      <w:r>
        <w:rPr>
          <w:rFonts w:hint="eastAsia" w:cs="宋体"/>
          <w:szCs w:val="21"/>
          <w:lang w:bidi="ar"/>
        </w:rPr>
        <w:t>andas库、</w:t>
      </w:r>
      <w:r>
        <w:rPr>
          <w:rFonts w:cs="宋体"/>
          <w:szCs w:val="21"/>
          <w:lang w:bidi="ar"/>
        </w:rPr>
        <w:t>M</w:t>
      </w:r>
      <w:r>
        <w:rPr>
          <w:rFonts w:hint="eastAsia" w:cs="宋体"/>
          <w:szCs w:val="21"/>
          <w:lang w:bidi="ar"/>
        </w:rPr>
        <w:t>atplotlib库、</w:t>
      </w:r>
      <w:r>
        <w:rPr>
          <w:rFonts w:cs="宋体"/>
          <w:szCs w:val="21"/>
          <w:lang w:bidi="ar"/>
        </w:rPr>
        <w:t>T</w:t>
      </w:r>
      <w:r>
        <w:rPr>
          <w:rFonts w:hint="eastAsia" w:cs="宋体"/>
          <w:szCs w:val="21"/>
          <w:lang w:bidi="ar"/>
        </w:rPr>
        <w:t>ens</w:t>
      </w:r>
      <w:r>
        <w:rPr>
          <w:rFonts w:cs="宋体"/>
          <w:szCs w:val="21"/>
          <w:lang w:bidi="ar"/>
        </w:rPr>
        <w:t>orFlow</w:t>
      </w:r>
      <w:r>
        <w:rPr>
          <w:rFonts w:hint="eastAsia" w:cs="宋体"/>
          <w:szCs w:val="21"/>
          <w:lang w:bidi="ar"/>
        </w:rPr>
        <w:t>库、</w:t>
      </w:r>
      <w:r>
        <w:rPr>
          <w:rFonts w:cs="宋体"/>
          <w:szCs w:val="21"/>
          <w:lang w:bidi="ar"/>
        </w:rPr>
        <w:t>PyTorch</w:t>
      </w:r>
      <w:r>
        <w:rPr>
          <w:rFonts w:hint="eastAsia" w:cs="宋体"/>
          <w:szCs w:val="21"/>
          <w:lang w:bidi="ar"/>
        </w:rPr>
        <w:t>库的使用深入讲解，使学生初步掌握数据分析和可视化的基本方法，能够根据需要对数据进行基本操作，利用统计学知识对数据进行分析并把结果以合理的图表形式进行可视化，并能进行简单人工智能算法的设计。</w:t>
      </w:r>
    </w:p>
    <w:p>
      <w:pPr>
        <w:adjustRightInd w:val="0"/>
        <w:snapToGrid w:val="0"/>
        <w:spacing w:line="360" w:lineRule="auto"/>
        <w:ind w:firstLine="420" w:firstLineChars="200"/>
        <w:rPr>
          <w:szCs w:val="21"/>
        </w:rPr>
      </w:pPr>
      <w:r>
        <w:rPr>
          <w:rFonts w:hint="eastAsia"/>
          <w:szCs w:val="21"/>
          <w:lang w:bidi="ar"/>
        </w:rPr>
        <w:t>4</w:t>
      </w:r>
      <w:r>
        <w:rPr>
          <w:rFonts w:hint="eastAsia" w:cs="宋体"/>
          <w:szCs w:val="21"/>
          <w:lang w:bidi="ar"/>
        </w:rPr>
        <w:t>、偏差说明：为了鼓励教师引入个人授课风格或者适应技术发展的紧迫性，本课程允许教师授课内容做适当调整，最大正偏差为</w:t>
      </w:r>
      <w:r>
        <w:rPr>
          <w:szCs w:val="21"/>
          <w:lang w:bidi="ar"/>
        </w:rPr>
        <w:t>10%</w:t>
      </w:r>
      <w:r>
        <w:rPr>
          <w:rFonts w:hint="eastAsia" w:cs="宋体"/>
          <w:szCs w:val="21"/>
          <w:lang w:bidi="ar"/>
        </w:rPr>
        <w:t>，不允许负偏差。正偏差通过压缩同等内容的学时数来完成。特殊情况，最大正偏差和置换偏差累计可达到</w:t>
      </w:r>
      <w:r>
        <w:rPr>
          <w:szCs w:val="21"/>
          <w:lang w:bidi="ar"/>
        </w:rPr>
        <w:t>20%</w:t>
      </w:r>
      <w:r>
        <w:rPr>
          <w:rFonts w:hint="eastAsia" w:cs="宋体"/>
          <w:szCs w:val="21"/>
          <w:lang w:bidi="ar"/>
        </w:rPr>
        <w:t>，但在开课前要申请专业责任人批准。（正偏差指大纲知识点不变，新增知识点；负偏差是大纲知识点减少；置换偏差是指大纲中部分知识点被其它类似知识点替换）。</w:t>
      </w:r>
    </w:p>
    <w:p>
      <w:pPr>
        <w:jc w:val="center"/>
        <w:rPr>
          <w:rFonts w:hint="eastAsia"/>
          <w:b/>
          <w:bCs/>
          <w:color w:val="000000"/>
          <w:sz w:val="18"/>
          <w:szCs w:val="18"/>
        </w:rPr>
      </w:pPr>
      <w:r>
        <w:rPr>
          <w:rFonts w:hint="eastAsia"/>
          <w:b/>
          <w:bCs/>
          <w:color w:val="000000"/>
          <w:sz w:val="18"/>
          <w:szCs w:val="18"/>
        </w:rPr>
        <w:t>表3.1课程内容、学时分配及对毕业要求指标点的支撑</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9"/>
        <w:gridCol w:w="5307"/>
        <w:gridCol w:w="496"/>
        <w:gridCol w:w="496"/>
        <w:gridCol w:w="496"/>
        <w:gridCol w:w="800"/>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285" w:type="pct"/>
            <w:shd w:val="clear" w:color="auto" w:fill="D9D9D9"/>
            <w:vAlign w:val="center"/>
          </w:tcPr>
          <w:p>
            <w:pPr>
              <w:snapToGrid w:val="0"/>
              <w:jc w:val="center"/>
              <w:rPr>
                <w:rFonts w:hint="eastAsia"/>
                <w:b/>
                <w:color w:val="000000"/>
                <w:sz w:val="18"/>
                <w:szCs w:val="18"/>
              </w:rPr>
            </w:pPr>
            <w:r>
              <w:rPr>
                <w:rFonts w:hint="eastAsia"/>
                <w:b/>
                <w:color w:val="000000"/>
                <w:sz w:val="18"/>
                <w:szCs w:val="18"/>
              </w:rPr>
              <w:t>序号</w:t>
            </w:r>
          </w:p>
        </w:tc>
        <w:tc>
          <w:tcPr>
            <w:tcW w:w="2859" w:type="pct"/>
            <w:shd w:val="clear" w:color="auto" w:fill="D9D9D9"/>
            <w:vAlign w:val="center"/>
          </w:tcPr>
          <w:p>
            <w:pPr>
              <w:snapToGrid w:val="0"/>
              <w:jc w:val="center"/>
              <w:rPr>
                <w:b/>
                <w:color w:val="000000"/>
                <w:sz w:val="18"/>
                <w:szCs w:val="18"/>
              </w:rPr>
            </w:pPr>
            <w:r>
              <w:rPr>
                <w:rFonts w:hint="eastAsia"/>
                <w:b/>
                <w:color w:val="000000"/>
                <w:sz w:val="18"/>
                <w:szCs w:val="18"/>
              </w:rPr>
              <w:t>内            容</w:t>
            </w:r>
          </w:p>
        </w:tc>
        <w:tc>
          <w:tcPr>
            <w:tcW w:w="267" w:type="pct"/>
            <w:shd w:val="clear" w:color="auto" w:fill="D9D9D9"/>
            <w:vAlign w:val="center"/>
          </w:tcPr>
          <w:p>
            <w:pPr>
              <w:snapToGrid w:val="0"/>
              <w:jc w:val="center"/>
              <w:rPr>
                <w:b/>
                <w:color w:val="000000"/>
                <w:sz w:val="18"/>
                <w:szCs w:val="18"/>
              </w:rPr>
            </w:pPr>
            <w:r>
              <w:rPr>
                <w:b/>
                <w:color w:val="000000"/>
                <w:sz w:val="18"/>
                <w:szCs w:val="18"/>
              </w:rPr>
              <w:t>讲课</w:t>
            </w:r>
          </w:p>
        </w:tc>
        <w:tc>
          <w:tcPr>
            <w:tcW w:w="267" w:type="pct"/>
            <w:shd w:val="clear" w:color="auto" w:fill="D9D9D9"/>
            <w:vAlign w:val="center"/>
          </w:tcPr>
          <w:p>
            <w:pPr>
              <w:snapToGrid w:val="0"/>
              <w:jc w:val="center"/>
              <w:rPr>
                <w:b/>
                <w:color w:val="000000"/>
                <w:sz w:val="18"/>
                <w:szCs w:val="18"/>
              </w:rPr>
            </w:pPr>
            <w:r>
              <w:rPr>
                <w:b/>
                <w:color w:val="000000"/>
                <w:sz w:val="18"/>
                <w:szCs w:val="18"/>
              </w:rPr>
              <w:t>实验</w:t>
            </w:r>
          </w:p>
        </w:tc>
        <w:tc>
          <w:tcPr>
            <w:tcW w:w="267" w:type="pct"/>
            <w:shd w:val="clear" w:color="auto" w:fill="D9D9D9"/>
            <w:vAlign w:val="center"/>
          </w:tcPr>
          <w:p>
            <w:pPr>
              <w:snapToGrid w:val="0"/>
              <w:jc w:val="center"/>
              <w:rPr>
                <w:b/>
                <w:color w:val="000000"/>
                <w:sz w:val="18"/>
                <w:szCs w:val="18"/>
              </w:rPr>
            </w:pPr>
            <w:r>
              <w:rPr>
                <w:rFonts w:hint="eastAsia"/>
                <w:b/>
                <w:color w:val="000000"/>
                <w:sz w:val="18"/>
                <w:szCs w:val="18"/>
              </w:rPr>
              <w:t>小计</w:t>
            </w:r>
          </w:p>
        </w:tc>
        <w:tc>
          <w:tcPr>
            <w:tcW w:w="431" w:type="pct"/>
            <w:shd w:val="clear" w:color="auto" w:fill="D9D9D9"/>
            <w:vAlign w:val="center"/>
          </w:tcPr>
          <w:p>
            <w:pPr>
              <w:snapToGrid w:val="0"/>
              <w:jc w:val="center"/>
              <w:rPr>
                <w:b/>
                <w:color w:val="000000"/>
                <w:sz w:val="18"/>
                <w:szCs w:val="18"/>
              </w:rPr>
            </w:pPr>
            <w:r>
              <w:rPr>
                <w:b/>
                <w:color w:val="000000"/>
                <w:sz w:val="18"/>
                <w:szCs w:val="18"/>
              </w:rPr>
              <w:t>支撑课程目标</w:t>
            </w:r>
          </w:p>
        </w:tc>
        <w:tc>
          <w:tcPr>
            <w:tcW w:w="624" w:type="pct"/>
            <w:shd w:val="clear" w:color="auto" w:fill="D9D9D9"/>
            <w:vAlign w:val="center"/>
          </w:tcPr>
          <w:p>
            <w:pPr>
              <w:snapToGrid w:val="0"/>
              <w:jc w:val="center"/>
              <w:rPr>
                <w:b/>
                <w:color w:val="000000"/>
                <w:sz w:val="18"/>
                <w:szCs w:val="18"/>
              </w:rPr>
            </w:pPr>
            <w:r>
              <w:rPr>
                <w:b/>
                <w:color w:val="000000"/>
                <w:sz w:val="18"/>
                <w:szCs w:val="18"/>
              </w:rPr>
              <w:t>支撑指标点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Align w:val="center"/>
          </w:tcPr>
          <w:p>
            <w:pPr>
              <w:spacing w:line="280" w:lineRule="exact"/>
              <w:jc w:val="center"/>
              <w:rPr>
                <w:rFonts w:ascii="宋体" w:hAnsi="宋体"/>
                <w:color w:val="000000"/>
                <w:szCs w:val="21"/>
              </w:rPr>
            </w:pPr>
            <w:r>
              <w:rPr>
                <w:rFonts w:ascii="宋体" w:hAnsi="宋体"/>
                <w:color w:val="000000"/>
                <w:szCs w:val="21"/>
              </w:rPr>
              <w:t>第1章</w:t>
            </w:r>
          </w:p>
        </w:tc>
        <w:tc>
          <w:tcPr>
            <w:tcW w:w="2859" w:type="pct"/>
          </w:tcPr>
          <w:p>
            <w:pPr>
              <w:spacing w:line="280" w:lineRule="exact"/>
              <w:rPr>
                <w:rFonts w:hint="eastAsia"/>
                <w:b/>
                <w:bCs/>
                <w:color w:val="000000"/>
                <w:sz w:val="18"/>
                <w:szCs w:val="18"/>
              </w:rPr>
            </w:pPr>
            <w:r>
              <w:rPr>
                <w:rFonts w:hint="eastAsia"/>
                <w:b/>
                <w:sz w:val="18"/>
                <w:szCs w:val="18"/>
              </w:rPr>
              <w:t xml:space="preserve">1 </w:t>
            </w:r>
            <w:r>
              <w:rPr>
                <w:rFonts w:hint="eastAsia"/>
                <w:b/>
                <w:bCs/>
                <w:color w:val="000000"/>
                <w:sz w:val="18"/>
                <w:szCs w:val="18"/>
              </w:rPr>
              <w:t xml:space="preserve"> Python</w:t>
            </w:r>
            <w:r>
              <w:rPr>
                <w:b/>
                <w:bCs/>
                <w:color w:val="000000"/>
                <w:sz w:val="18"/>
                <w:szCs w:val="18"/>
              </w:rPr>
              <w:t>基础</w:t>
            </w:r>
          </w:p>
          <w:p>
            <w:pPr>
              <w:spacing w:line="280" w:lineRule="exact"/>
              <w:ind w:firstLine="180" w:firstLineChars="100"/>
              <w:rPr>
                <w:rFonts w:hint="eastAsia"/>
                <w:color w:val="000000"/>
                <w:sz w:val="18"/>
                <w:szCs w:val="18"/>
              </w:rPr>
            </w:pPr>
            <w:r>
              <w:rPr>
                <w:color w:val="000000"/>
                <w:sz w:val="18"/>
                <w:szCs w:val="18"/>
              </w:rPr>
              <w:t xml:space="preserve">1.1 </w:t>
            </w:r>
            <w:r>
              <w:rPr>
                <w:rFonts w:hint="eastAsia"/>
                <w:color w:val="000000"/>
                <w:sz w:val="18"/>
                <w:szCs w:val="18"/>
              </w:rPr>
              <w:t>能够理解Python</w:t>
            </w:r>
            <w:r>
              <w:rPr>
                <w:color w:val="000000"/>
                <w:sz w:val="18"/>
                <w:szCs w:val="18"/>
              </w:rPr>
              <w:t>是一种什么样的语言</w:t>
            </w:r>
            <w:r>
              <w:rPr>
                <w:rFonts w:hint="eastAsia"/>
                <w:color w:val="000000"/>
                <w:sz w:val="18"/>
                <w:szCs w:val="18"/>
              </w:rPr>
              <w:t>；主要内容：Python是一门跨平台、开源、免费的解释型高级动态编程语言；Python支持命令式编程、函数式编程，完全支持面向对象程序设计；胶水语言；Python的版本；</w:t>
            </w:r>
          </w:p>
          <w:p>
            <w:pPr>
              <w:spacing w:line="280" w:lineRule="exact"/>
              <w:ind w:firstLine="180" w:firstLineChars="100"/>
              <w:rPr>
                <w:color w:val="000000"/>
                <w:sz w:val="18"/>
                <w:szCs w:val="18"/>
              </w:rPr>
            </w:pPr>
            <w:r>
              <w:rPr>
                <w:color w:val="000000"/>
                <w:sz w:val="18"/>
                <w:szCs w:val="18"/>
              </w:rPr>
              <w:t>1</w:t>
            </w:r>
            <w:r>
              <w:rPr>
                <w:rFonts w:hint="eastAsia"/>
                <w:color w:val="000000"/>
                <w:sz w:val="18"/>
                <w:szCs w:val="18"/>
              </w:rPr>
              <w:t>.</w:t>
            </w:r>
            <w:r>
              <w:rPr>
                <w:color w:val="000000"/>
                <w:sz w:val="18"/>
                <w:szCs w:val="18"/>
              </w:rPr>
              <w:t xml:space="preserve">2 </w:t>
            </w:r>
            <w:r>
              <w:rPr>
                <w:rFonts w:hint="eastAsia"/>
                <w:color w:val="000000"/>
                <w:sz w:val="18"/>
                <w:szCs w:val="18"/>
              </w:rPr>
              <w:t>能够掌握Python</w:t>
            </w:r>
            <w:r>
              <w:rPr>
                <w:color w:val="000000"/>
                <w:sz w:val="18"/>
                <w:szCs w:val="18"/>
              </w:rPr>
              <w:t>开发环境</w:t>
            </w:r>
            <w:r>
              <w:rPr>
                <w:rFonts w:hint="eastAsia"/>
                <w:color w:val="000000"/>
                <w:sz w:val="18"/>
                <w:szCs w:val="18"/>
              </w:rPr>
              <w:t>与编码规范；主要内容：Python安装与简单使用；I</w:t>
            </w:r>
            <w:r>
              <w:rPr>
                <w:color w:val="000000"/>
                <w:sz w:val="18"/>
                <w:szCs w:val="18"/>
              </w:rPr>
              <w:t>DLE介绍</w:t>
            </w:r>
            <w:r>
              <w:rPr>
                <w:rFonts w:hint="eastAsia"/>
                <w:color w:val="000000"/>
                <w:sz w:val="18"/>
                <w:szCs w:val="18"/>
              </w:rPr>
              <w:t>；Python编码规范；</w:t>
            </w:r>
          </w:p>
          <w:p>
            <w:pPr>
              <w:spacing w:line="280" w:lineRule="exact"/>
              <w:ind w:firstLine="180" w:firstLineChars="100"/>
              <w:rPr>
                <w:color w:val="000000"/>
                <w:sz w:val="18"/>
                <w:szCs w:val="18"/>
              </w:rPr>
            </w:pPr>
            <w:r>
              <w:rPr>
                <w:color w:val="000000"/>
                <w:sz w:val="18"/>
                <w:szCs w:val="18"/>
              </w:rPr>
              <w:t xml:space="preserve">1.3 </w:t>
            </w:r>
            <w:r>
              <w:rPr>
                <w:rFonts w:hint="eastAsia"/>
                <w:color w:val="000000"/>
                <w:sz w:val="18"/>
                <w:szCs w:val="18"/>
              </w:rPr>
              <w:t>能够会用变量、</w:t>
            </w:r>
            <w:r>
              <w:rPr>
                <w:color w:val="000000"/>
                <w:sz w:val="18"/>
                <w:szCs w:val="18"/>
              </w:rPr>
              <w:t>运算符与表达式</w:t>
            </w:r>
            <w:r>
              <w:rPr>
                <w:rFonts w:hint="eastAsia"/>
                <w:color w:val="000000"/>
                <w:sz w:val="18"/>
                <w:szCs w:val="18"/>
              </w:rPr>
              <w:t>；主要内容：Python变量；字符串和元组；引用；自动内存管理；数据类型；字符串；运算符和表达式；</w:t>
            </w:r>
          </w:p>
          <w:p>
            <w:pPr>
              <w:spacing w:line="280" w:lineRule="exact"/>
              <w:ind w:firstLine="180" w:firstLineChars="100"/>
              <w:rPr>
                <w:color w:val="000000"/>
                <w:sz w:val="18"/>
                <w:szCs w:val="18"/>
              </w:rPr>
            </w:pPr>
            <w:r>
              <w:rPr>
                <w:color w:val="000000"/>
                <w:sz w:val="18"/>
                <w:szCs w:val="18"/>
              </w:rPr>
              <w:t xml:space="preserve">1.4 </w:t>
            </w:r>
            <w:r>
              <w:rPr>
                <w:rFonts w:hint="eastAsia"/>
                <w:color w:val="000000"/>
                <w:sz w:val="18"/>
                <w:szCs w:val="18"/>
              </w:rPr>
              <w:t>能够学会会模块安装与使用；主要内容：使用pip管理第三方包；</w:t>
            </w:r>
          </w:p>
          <w:p>
            <w:pPr>
              <w:spacing w:line="280" w:lineRule="exact"/>
              <w:ind w:firstLine="180" w:firstLineChars="100"/>
              <w:rPr>
                <w:color w:val="000000"/>
                <w:sz w:val="18"/>
                <w:szCs w:val="18"/>
              </w:rPr>
            </w:pPr>
            <w:r>
              <w:rPr>
                <w:color w:val="000000"/>
                <w:sz w:val="18"/>
                <w:szCs w:val="18"/>
              </w:rPr>
              <w:t xml:space="preserve">1.5 </w:t>
            </w:r>
            <w:r>
              <w:rPr>
                <w:rFonts w:hint="eastAsia"/>
                <w:color w:val="000000"/>
                <w:sz w:val="18"/>
                <w:szCs w:val="18"/>
              </w:rPr>
              <w:t>能够掌握内置函数概况；主要内容：常用内置函数；</w:t>
            </w:r>
            <w:r>
              <w:rPr>
                <w:color w:val="000000"/>
                <w:sz w:val="18"/>
                <w:szCs w:val="18"/>
              </w:rPr>
              <w:t>dir(__builtins__)</w:t>
            </w:r>
            <w:r>
              <w:rPr>
                <w:rFonts w:hint="eastAsia"/>
                <w:color w:val="000000"/>
                <w:sz w:val="18"/>
                <w:szCs w:val="18"/>
              </w:rPr>
              <w:t>；h</w:t>
            </w:r>
            <w:r>
              <w:rPr>
                <w:color w:val="000000"/>
                <w:sz w:val="18"/>
                <w:szCs w:val="18"/>
              </w:rPr>
              <w:t>elp()</w:t>
            </w:r>
            <w:r>
              <w:rPr>
                <w:rFonts w:hint="eastAsia"/>
                <w:color w:val="000000"/>
                <w:sz w:val="18"/>
                <w:szCs w:val="18"/>
              </w:rPr>
              <w:t>；基本输入输出；</w:t>
            </w:r>
          </w:p>
          <w:p>
            <w:pPr>
              <w:spacing w:line="280" w:lineRule="exact"/>
              <w:ind w:firstLine="180" w:firstLineChars="100"/>
              <w:rPr>
                <w:color w:val="000000"/>
                <w:sz w:val="18"/>
                <w:szCs w:val="18"/>
              </w:rPr>
            </w:pPr>
            <w:r>
              <w:rPr>
                <w:color w:val="000000"/>
                <w:sz w:val="18"/>
                <w:szCs w:val="18"/>
              </w:rPr>
              <w:t xml:space="preserve">1.6 </w:t>
            </w:r>
            <w:r>
              <w:rPr>
                <w:rFonts w:hint="eastAsia"/>
                <w:color w:val="000000"/>
                <w:sz w:val="18"/>
                <w:szCs w:val="18"/>
              </w:rPr>
              <w:t>能够编写自己的模块与包；主要内容：pip的使用；s</w:t>
            </w:r>
            <w:r>
              <w:rPr>
                <w:color w:val="000000"/>
                <w:sz w:val="18"/>
                <w:szCs w:val="18"/>
              </w:rPr>
              <w:t>ys.modules.items()显示预加载模块</w:t>
            </w:r>
            <w:r>
              <w:rPr>
                <w:rFonts w:hint="eastAsia"/>
                <w:color w:val="000000"/>
                <w:sz w:val="18"/>
                <w:szCs w:val="18"/>
              </w:rPr>
              <w:t>；</w:t>
            </w:r>
            <w:r>
              <w:rPr>
                <w:color w:val="000000"/>
                <w:sz w:val="18"/>
                <w:szCs w:val="18"/>
              </w:rPr>
              <w:t>import和</w:t>
            </w:r>
            <w:r>
              <w:rPr>
                <w:rFonts w:hint="eastAsia"/>
                <w:color w:val="000000"/>
                <w:sz w:val="18"/>
                <w:szCs w:val="18"/>
              </w:rPr>
              <w:t>f</w:t>
            </w:r>
            <w:r>
              <w:rPr>
                <w:color w:val="000000"/>
                <w:sz w:val="18"/>
                <w:szCs w:val="18"/>
              </w:rPr>
              <w:t>rom</w:t>
            </w:r>
            <w:r>
              <w:rPr>
                <w:rFonts w:hint="eastAsia"/>
                <w:color w:val="000000"/>
                <w:sz w:val="18"/>
                <w:szCs w:val="18"/>
              </w:rPr>
              <w:t>；导入模块时的文件搜索顺序；Python代码规范；Python文件名；</w:t>
            </w:r>
          </w:p>
          <w:p>
            <w:pPr>
              <w:spacing w:line="280" w:lineRule="exact"/>
              <w:ind w:firstLine="180" w:firstLineChars="100"/>
              <w:rPr>
                <w:color w:val="000000"/>
                <w:sz w:val="18"/>
                <w:szCs w:val="18"/>
              </w:rPr>
            </w:pPr>
            <w:r>
              <w:rPr>
                <w:rFonts w:hint="eastAsia"/>
                <w:color w:val="000000"/>
                <w:sz w:val="18"/>
                <w:szCs w:val="18"/>
              </w:rPr>
              <w:t>重点：Python的安装与使用，变量、运算符与表达式，内置函数；</w:t>
            </w:r>
          </w:p>
          <w:p>
            <w:pPr>
              <w:spacing w:line="280" w:lineRule="exact"/>
              <w:ind w:firstLine="180" w:firstLineChars="100"/>
              <w:rPr>
                <w:rFonts w:hint="eastAsia"/>
                <w:color w:val="000000"/>
                <w:sz w:val="18"/>
                <w:szCs w:val="18"/>
              </w:rPr>
            </w:pPr>
            <w:r>
              <w:rPr>
                <w:rFonts w:hint="eastAsia"/>
                <w:color w:val="000000"/>
                <w:sz w:val="18"/>
                <w:szCs w:val="18"/>
              </w:rPr>
              <w:t>难点：运算符与表达式，内置函数；</w:t>
            </w:r>
          </w:p>
        </w:tc>
        <w:tc>
          <w:tcPr>
            <w:tcW w:w="267" w:type="pct"/>
            <w:vAlign w:val="center"/>
          </w:tcPr>
          <w:p>
            <w:pPr>
              <w:spacing w:line="280" w:lineRule="exact"/>
              <w:jc w:val="center"/>
              <w:rPr>
                <w:rFonts w:hint="eastAsia" w:cs="Calibri"/>
                <w:b/>
                <w:color w:val="000000"/>
                <w:sz w:val="18"/>
                <w:szCs w:val="18"/>
              </w:rPr>
            </w:pPr>
            <w:r>
              <w:rPr>
                <w:rFonts w:cs="Calibri"/>
                <w:b/>
                <w:color w:val="000000"/>
                <w:sz w:val="18"/>
                <w:szCs w:val="18"/>
              </w:rPr>
              <w:t>1</w:t>
            </w:r>
          </w:p>
        </w:tc>
        <w:tc>
          <w:tcPr>
            <w:tcW w:w="267" w:type="pct"/>
            <w:vAlign w:val="center"/>
          </w:tcPr>
          <w:p>
            <w:pPr>
              <w:spacing w:line="280" w:lineRule="exact"/>
              <w:jc w:val="center"/>
              <w:rPr>
                <w:rFonts w:hint="eastAsia" w:cs="Calibri"/>
                <w:b/>
                <w:color w:val="000000"/>
                <w:sz w:val="18"/>
                <w:szCs w:val="18"/>
              </w:rPr>
            </w:pPr>
            <w:r>
              <w:rPr>
                <w:rFonts w:cs="Calibri"/>
                <w:b/>
                <w:color w:val="000000"/>
                <w:sz w:val="18"/>
                <w:szCs w:val="18"/>
              </w:rPr>
              <w:t>2</w:t>
            </w:r>
          </w:p>
        </w:tc>
        <w:tc>
          <w:tcPr>
            <w:tcW w:w="267" w:type="pct"/>
            <w:vAlign w:val="center"/>
          </w:tcPr>
          <w:p>
            <w:pPr>
              <w:spacing w:line="280" w:lineRule="exact"/>
              <w:jc w:val="center"/>
              <w:rPr>
                <w:rFonts w:hint="eastAsia" w:cs="Calibri"/>
                <w:b/>
                <w:color w:val="000000"/>
                <w:sz w:val="18"/>
                <w:szCs w:val="18"/>
              </w:rPr>
            </w:pPr>
            <w:r>
              <w:rPr>
                <w:rFonts w:cs="Calibri"/>
                <w:b/>
                <w:color w:val="000000"/>
                <w:sz w:val="18"/>
                <w:szCs w:val="18"/>
              </w:rPr>
              <w:t>3</w:t>
            </w:r>
          </w:p>
        </w:tc>
        <w:tc>
          <w:tcPr>
            <w:tcW w:w="431" w:type="pct"/>
            <w:vAlign w:val="center"/>
          </w:tcPr>
          <w:p>
            <w:pPr>
              <w:spacing w:line="280" w:lineRule="exact"/>
              <w:jc w:val="center"/>
              <w:rPr>
                <w:rFonts w:cs="Calibri"/>
                <w:b/>
                <w:color w:val="000000"/>
                <w:sz w:val="18"/>
                <w:szCs w:val="18"/>
              </w:rPr>
            </w:pPr>
            <w:r>
              <w:rPr>
                <w:rFonts w:cs="Calibri"/>
                <w:b/>
                <w:color w:val="000000"/>
                <w:sz w:val="18"/>
                <w:szCs w:val="18"/>
              </w:rPr>
              <w:t>1,2</w:t>
            </w:r>
          </w:p>
        </w:tc>
        <w:tc>
          <w:tcPr>
            <w:tcW w:w="624" w:type="pct"/>
            <w:vAlign w:val="center"/>
          </w:tcPr>
          <w:p>
            <w:pPr>
              <w:spacing w:line="280" w:lineRule="exact"/>
              <w:jc w:val="center"/>
              <w:rPr>
                <w:rFonts w:hint="eastAsia" w:cs="Calibri"/>
                <w:b/>
                <w:color w:val="000000"/>
                <w:sz w:val="18"/>
                <w:szCs w:val="18"/>
                <w:lang w:val="en-US" w:eastAsia="zh-CN"/>
              </w:rPr>
            </w:pPr>
            <w:r>
              <w:rPr>
                <w:rFonts w:hint="eastAsia" w:cs="Calibri"/>
                <w:b/>
                <w:color w:val="000000"/>
                <w:sz w:val="18"/>
                <w:szCs w:val="18"/>
                <w:lang w:val="en-US" w:eastAsia="zh-CN"/>
              </w:rPr>
              <w:t>5-1</w:t>
            </w:r>
          </w:p>
          <w:p>
            <w:pPr>
              <w:spacing w:line="280" w:lineRule="exact"/>
              <w:jc w:val="center"/>
              <w:rPr>
                <w:rFonts w:cs="Calibri"/>
                <w:b/>
                <w:color w:val="000000"/>
                <w:sz w:val="18"/>
                <w:szCs w:val="18"/>
              </w:rPr>
            </w:pPr>
            <w:r>
              <w:rPr>
                <w:rFonts w:cs="Calibri"/>
                <w:b/>
                <w:color w:val="000000"/>
                <w:sz w:val="18"/>
                <w:szCs w:val="18"/>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Align w:val="center"/>
          </w:tcPr>
          <w:p>
            <w:pPr>
              <w:spacing w:line="280" w:lineRule="exact"/>
              <w:jc w:val="center"/>
              <w:rPr>
                <w:rFonts w:ascii="宋体" w:hAnsi="宋体"/>
                <w:color w:val="000000"/>
                <w:szCs w:val="21"/>
              </w:rPr>
            </w:pPr>
            <w:r>
              <w:rPr>
                <w:rFonts w:ascii="宋体" w:hAnsi="宋体"/>
                <w:color w:val="000000"/>
                <w:szCs w:val="21"/>
              </w:rPr>
              <w:t>第2章</w:t>
            </w:r>
          </w:p>
        </w:tc>
        <w:tc>
          <w:tcPr>
            <w:tcW w:w="2859" w:type="pct"/>
          </w:tcPr>
          <w:p>
            <w:pPr>
              <w:rPr>
                <w:rFonts w:hint="eastAsia" w:ascii="宋体" w:hAnsi="宋体"/>
              </w:rPr>
            </w:pPr>
            <w:r>
              <w:rPr>
                <w:rFonts w:hint="eastAsia"/>
                <w:b/>
                <w:bCs/>
                <w:color w:val="000000"/>
                <w:sz w:val="18"/>
                <w:szCs w:val="18"/>
              </w:rPr>
              <w:t xml:space="preserve">2  </w:t>
            </w:r>
            <w:r>
              <w:rPr>
                <w:rFonts w:hint="eastAsia"/>
                <w:b/>
                <w:sz w:val="18"/>
                <w:szCs w:val="18"/>
              </w:rPr>
              <w:t>数据类型、运算符与内置函数</w:t>
            </w:r>
          </w:p>
          <w:p>
            <w:pPr>
              <w:spacing w:line="280" w:lineRule="exact"/>
              <w:ind w:firstLine="180" w:firstLineChars="100"/>
              <w:rPr>
                <w:color w:val="000000"/>
                <w:sz w:val="18"/>
                <w:szCs w:val="18"/>
              </w:rPr>
            </w:pPr>
            <w:r>
              <w:rPr>
                <w:color w:val="000000"/>
                <w:sz w:val="18"/>
                <w:szCs w:val="18"/>
              </w:rPr>
              <w:t>2</w:t>
            </w:r>
            <w:r>
              <w:rPr>
                <w:rFonts w:hint="eastAsia"/>
                <w:color w:val="000000"/>
                <w:sz w:val="18"/>
                <w:szCs w:val="18"/>
              </w:rPr>
              <w:t>.</w:t>
            </w:r>
            <w:r>
              <w:rPr>
                <w:color w:val="000000"/>
                <w:sz w:val="18"/>
                <w:szCs w:val="18"/>
              </w:rPr>
              <w:t>1</w:t>
            </w:r>
            <w:r>
              <w:rPr>
                <w:rFonts w:hint="eastAsia"/>
                <w:color w:val="000000"/>
                <w:sz w:val="18"/>
                <w:szCs w:val="18"/>
              </w:rPr>
              <w:t xml:space="preserve"> 能够掌握常用内置数据类型：主要内容：整数、浮点数、复数；列表、元组、字典、集合；字符串；</w:t>
            </w:r>
          </w:p>
          <w:p>
            <w:pPr>
              <w:spacing w:line="280" w:lineRule="exact"/>
              <w:ind w:firstLine="180" w:firstLineChars="100"/>
              <w:rPr>
                <w:color w:val="000000"/>
                <w:sz w:val="18"/>
                <w:szCs w:val="18"/>
              </w:rPr>
            </w:pPr>
            <w:r>
              <w:rPr>
                <w:color w:val="000000"/>
                <w:sz w:val="18"/>
                <w:szCs w:val="18"/>
              </w:rPr>
              <w:t>2</w:t>
            </w:r>
            <w:r>
              <w:rPr>
                <w:rFonts w:hint="eastAsia"/>
                <w:color w:val="000000"/>
                <w:sz w:val="18"/>
                <w:szCs w:val="18"/>
              </w:rPr>
              <w:t>.</w:t>
            </w:r>
            <w:r>
              <w:rPr>
                <w:color w:val="000000"/>
                <w:sz w:val="18"/>
                <w:szCs w:val="18"/>
              </w:rPr>
              <w:t>2</w:t>
            </w:r>
            <w:r>
              <w:rPr>
                <w:rFonts w:hint="eastAsia"/>
                <w:color w:val="000000"/>
                <w:sz w:val="18"/>
                <w:szCs w:val="18"/>
              </w:rPr>
              <w:t xml:space="preserve"> 能够会用运算符与表达式：主要内容：算术运算符、关系运算符、成员测试运算符、集合运算符、逻辑运算符；</w:t>
            </w:r>
          </w:p>
          <w:p>
            <w:pPr>
              <w:spacing w:line="280" w:lineRule="exact"/>
              <w:ind w:firstLine="180" w:firstLineChars="100"/>
              <w:rPr>
                <w:color w:val="000000"/>
                <w:sz w:val="18"/>
                <w:szCs w:val="18"/>
              </w:rPr>
            </w:pPr>
            <w:r>
              <w:rPr>
                <w:color w:val="000000"/>
                <w:sz w:val="18"/>
                <w:szCs w:val="18"/>
              </w:rPr>
              <w:t>2</w:t>
            </w:r>
            <w:r>
              <w:rPr>
                <w:rFonts w:hint="eastAsia"/>
                <w:color w:val="000000"/>
                <w:sz w:val="18"/>
                <w:szCs w:val="18"/>
              </w:rPr>
              <w:t>.</w:t>
            </w:r>
            <w:r>
              <w:rPr>
                <w:color w:val="000000"/>
                <w:sz w:val="18"/>
                <w:szCs w:val="18"/>
              </w:rPr>
              <w:t>3</w:t>
            </w:r>
            <w:r>
              <w:rPr>
                <w:rFonts w:hint="eastAsia"/>
                <w:color w:val="000000"/>
                <w:sz w:val="18"/>
                <w:szCs w:val="18"/>
              </w:rPr>
              <w:t xml:space="preserve"> 能够会用常用内置函数：主要内容：类型转换；最大值、最小值；元素数量、求和；排序、逆序；基本输入/输出；r</w:t>
            </w:r>
            <w:r>
              <w:rPr>
                <w:color w:val="000000"/>
                <w:sz w:val="18"/>
                <w:szCs w:val="18"/>
              </w:rPr>
              <w:t>ange()</w:t>
            </w:r>
            <w:r>
              <w:rPr>
                <w:rFonts w:hint="eastAsia"/>
                <w:color w:val="000000"/>
                <w:sz w:val="18"/>
                <w:szCs w:val="18"/>
              </w:rPr>
              <w:t>；z</w:t>
            </w:r>
            <w:r>
              <w:rPr>
                <w:color w:val="000000"/>
                <w:sz w:val="18"/>
                <w:szCs w:val="18"/>
              </w:rPr>
              <w:t>ip()</w:t>
            </w:r>
            <w:r>
              <w:rPr>
                <w:rFonts w:hint="eastAsia"/>
                <w:color w:val="000000"/>
                <w:sz w:val="18"/>
                <w:szCs w:val="18"/>
              </w:rPr>
              <w:t>；m</w:t>
            </w:r>
            <w:r>
              <w:rPr>
                <w:color w:val="000000"/>
                <w:sz w:val="18"/>
                <w:szCs w:val="18"/>
              </w:rPr>
              <w:t>ap()</w:t>
            </w:r>
            <w:r>
              <w:rPr>
                <w:rFonts w:hint="eastAsia"/>
                <w:color w:val="000000"/>
                <w:sz w:val="18"/>
                <w:szCs w:val="18"/>
              </w:rPr>
              <w:t>、r</w:t>
            </w:r>
            <w:r>
              <w:rPr>
                <w:color w:val="000000"/>
                <w:sz w:val="18"/>
                <w:szCs w:val="18"/>
              </w:rPr>
              <w:t>educe()</w:t>
            </w:r>
            <w:r>
              <w:rPr>
                <w:rFonts w:hint="eastAsia"/>
                <w:color w:val="000000"/>
                <w:sz w:val="18"/>
                <w:szCs w:val="18"/>
              </w:rPr>
              <w:t>、f</w:t>
            </w:r>
            <w:r>
              <w:rPr>
                <w:color w:val="000000"/>
                <w:sz w:val="18"/>
                <w:szCs w:val="18"/>
              </w:rPr>
              <w:t>ilter()</w:t>
            </w:r>
            <w:r>
              <w:rPr>
                <w:rFonts w:hint="eastAsia"/>
                <w:color w:val="000000"/>
                <w:sz w:val="18"/>
                <w:szCs w:val="18"/>
              </w:rPr>
              <w:t>；</w:t>
            </w:r>
          </w:p>
          <w:p>
            <w:pPr>
              <w:spacing w:line="280" w:lineRule="exact"/>
              <w:ind w:firstLine="180" w:firstLineChars="100"/>
              <w:rPr>
                <w:rFonts w:hint="eastAsia"/>
                <w:color w:val="000000"/>
                <w:sz w:val="18"/>
                <w:szCs w:val="18"/>
              </w:rPr>
            </w:pPr>
            <w:r>
              <w:rPr>
                <w:color w:val="000000"/>
                <w:sz w:val="18"/>
                <w:szCs w:val="18"/>
              </w:rPr>
              <w:t>2</w:t>
            </w:r>
            <w:r>
              <w:rPr>
                <w:rFonts w:hint="eastAsia"/>
                <w:color w:val="000000"/>
                <w:sz w:val="18"/>
                <w:szCs w:val="18"/>
              </w:rPr>
              <w:t>.</w:t>
            </w:r>
            <w:r>
              <w:rPr>
                <w:color w:val="000000"/>
                <w:sz w:val="18"/>
                <w:szCs w:val="18"/>
              </w:rPr>
              <w:t xml:space="preserve">4 </w:t>
            </w:r>
            <w:r>
              <w:rPr>
                <w:rFonts w:hint="eastAsia"/>
                <w:color w:val="000000"/>
                <w:sz w:val="18"/>
                <w:szCs w:val="18"/>
              </w:rPr>
              <w:t>综合应用与例题解析。</w:t>
            </w:r>
          </w:p>
          <w:p>
            <w:pPr>
              <w:spacing w:line="280" w:lineRule="exact"/>
              <w:ind w:firstLine="180" w:firstLineChars="100"/>
              <w:rPr>
                <w:rFonts w:hint="eastAsia"/>
                <w:color w:val="000000"/>
                <w:sz w:val="18"/>
                <w:szCs w:val="18"/>
              </w:rPr>
            </w:pPr>
            <w:r>
              <w:rPr>
                <w:rFonts w:hint="eastAsia"/>
                <w:color w:val="000000"/>
                <w:sz w:val="18"/>
                <w:szCs w:val="18"/>
              </w:rPr>
              <w:t>重点：数据类型；运算符与表达式；内置函数。</w:t>
            </w:r>
          </w:p>
          <w:p>
            <w:pPr>
              <w:spacing w:line="280" w:lineRule="exact"/>
              <w:ind w:firstLine="180" w:firstLineChars="100"/>
              <w:rPr>
                <w:rFonts w:hint="eastAsia"/>
                <w:color w:val="000000"/>
                <w:sz w:val="18"/>
                <w:szCs w:val="18"/>
              </w:rPr>
            </w:pPr>
            <w:r>
              <w:rPr>
                <w:rFonts w:hint="eastAsia"/>
                <w:color w:val="000000"/>
                <w:sz w:val="18"/>
                <w:szCs w:val="18"/>
              </w:rPr>
              <w:t>难点：</w:t>
            </w:r>
            <w:r>
              <w:rPr>
                <w:rFonts w:hint="eastAsia"/>
                <w:sz w:val="18"/>
                <w:szCs w:val="18"/>
              </w:rPr>
              <w:t>深入理解数据类型；熟练掌握内置函数。</w:t>
            </w:r>
          </w:p>
        </w:tc>
        <w:tc>
          <w:tcPr>
            <w:tcW w:w="267" w:type="pct"/>
            <w:vAlign w:val="center"/>
          </w:tcPr>
          <w:p>
            <w:pPr>
              <w:spacing w:line="280" w:lineRule="exact"/>
              <w:jc w:val="center"/>
              <w:rPr>
                <w:rFonts w:cs="Calibri"/>
                <w:b/>
                <w:color w:val="000000"/>
                <w:sz w:val="18"/>
                <w:szCs w:val="18"/>
              </w:rPr>
            </w:pPr>
            <w:r>
              <w:rPr>
                <w:rFonts w:cs="Calibri"/>
                <w:b/>
                <w:color w:val="000000"/>
                <w:sz w:val="18"/>
                <w:szCs w:val="18"/>
              </w:rPr>
              <w:t>1</w:t>
            </w:r>
          </w:p>
        </w:tc>
        <w:tc>
          <w:tcPr>
            <w:tcW w:w="267" w:type="pct"/>
            <w:vAlign w:val="center"/>
          </w:tcPr>
          <w:p>
            <w:pPr>
              <w:spacing w:line="280" w:lineRule="exact"/>
              <w:jc w:val="center"/>
              <w:rPr>
                <w:rFonts w:cs="Calibri"/>
                <w:b/>
                <w:color w:val="000000"/>
                <w:sz w:val="18"/>
                <w:szCs w:val="18"/>
              </w:rPr>
            </w:pPr>
            <w:r>
              <w:rPr>
                <w:rFonts w:cs="Calibri"/>
                <w:b/>
                <w:color w:val="000000"/>
                <w:sz w:val="18"/>
                <w:szCs w:val="18"/>
              </w:rPr>
              <w:t>0</w:t>
            </w:r>
          </w:p>
        </w:tc>
        <w:tc>
          <w:tcPr>
            <w:tcW w:w="267" w:type="pct"/>
            <w:vAlign w:val="center"/>
          </w:tcPr>
          <w:p>
            <w:pPr>
              <w:spacing w:line="280" w:lineRule="exact"/>
              <w:jc w:val="center"/>
              <w:rPr>
                <w:rFonts w:cs="Calibri"/>
                <w:b/>
                <w:color w:val="000000"/>
                <w:sz w:val="18"/>
                <w:szCs w:val="18"/>
              </w:rPr>
            </w:pPr>
            <w:r>
              <w:rPr>
                <w:rFonts w:cs="Calibri"/>
                <w:b/>
                <w:color w:val="000000"/>
                <w:sz w:val="18"/>
                <w:szCs w:val="18"/>
              </w:rPr>
              <w:t>1</w:t>
            </w:r>
          </w:p>
        </w:tc>
        <w:tc>
          <w:tcPr>
            <w:tcW w:w="431" w:type="pct"/>
            <w:vAlign w:val="center"/>
          </w:tcPr>
          <w:p>
            <w:pPr>
              <w:spacing w:line="280" w:lineRule="exact"/>
              <w:jc w:val="center"/>
              <w:rPr>
                <w:rFonts w:hint="eastAsia" w:cs="Calibri"/>
                <w:b/>
                <w:color w:val="000000"/>
                <w:sz w:val="18"/>
                <w:szCs w:val="18"/>
              </w:rPr>
            </w:pPr>
            <w:r>
              <w:rPr>
                <w:rFonts w:cs="Calibri"/>
                <w:b/>
                <w:color w:val="000000"/>
                <w:sz w:val="18"/>
                <w:szCs w:val="18"/>
              </w:rPr>
              <w:t>1</w:t>
            </w:r>
          </w:p>
        </w:tc>
        <w:tc>
          <w:tcPr>
            <w:tcW w:w="624" w:type="pct"/>
            <w:vAlign w:val="center"/>
          </w:tcPr>
          <w:p>
            <w:pPr>
              <w:spacing w:line="280" w:lineRule="exact"/>
              <w:jc w:val="center"/>
              <w:rPr>
                <w:rFonts w:hint="default" w:eastAsia="宋体" w:cs="Calibri"/>
                <w:b/>
                <w:color w:val="000000"/>
                <w:sz w:val="18"/>
                <w:szCs w:val="18"/>
                <w:lang w:val="en-US" w:eastAsia="zh-CN"/>
              </w:rPr>
            </w:pPr>
            <w:r>
              <w:rPr>
                <w:rFonts w:hint="eastAsia" w:cs="Calibri"/>
                <w:b/>
                <w:color w:val="000000"/>
                <w:sz w:val="18"/>
                <w:szCs w:val="18"/>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Align w:val="center"/>
          </w:tcPr>
          <w:p>
            <w:pPr>
              <w:spacing w:line="280" w:lineRule="exact"/>
              <w:jc w:val="center"/>
              <w:rPr>
                <w:rFonts w:ascii="宋体" w:hAnsi="宋体"/>
                <w:color w:val="000000"/>
                <w:szCs w:val="21"/>
              </w:rPr>
            </w:pPr>
            <w:r>
              <w:rPr>
                <w:rFonts w:ascii="宋体" w:hAnsi="宋体"/>
                <w:color w:val="000000"/>
                <w:szCs w:val="21"/>
              </w:rPr>
              <w:t>第3章</w:t>
            </w:r>
          </w:p>
        </w:tc>
        <w:tc>
          <w:tcPr>
            <w:tcW w:w="2859" w:type="pct"/>
          </w:tcPr>
          <w:p>
            <w:pPr>
              <w:spacing w:line="280" w:lineRule="exact"/>
              <w:rPr>
                <w:rFonts w:hint="eastAsia" w:ascii="宋体" w:hAnsi="宋体"/>
                <w:b/>
                <w:bCs/>
                <w:color w:val="000000"/>
                <w:sz w:val="18"/>
                <w:szCs w:val="18"/>
              </w:rPr>
            </w:pPr>
            <w:r>
              <w:rPr>
                <w:rFonts w:ascii="宋体" w:hAnsi="宋体"/>
                <w:b/>
                <w:bCs/>
                <w:color w:val="000000"/>
                <w:sz w:val="18"/>
                <w:szCs w:val="18"/>
              </w:rPr>
              <w:t>3</w:t>
            </w:r>
            <w:r>
              <w:rPr>
                <w:rFonts w:hint="eastAsia" w:ascii="宋体" w:hAnsi="宋体"/>
                <w:b/>
                <w:bCs/>
                <w:color w:val="000000"/>
                <w:sz w:val="18"/>
                <w:szCs w:val="18"/>
              </w:rPr>
              <w:t xml:space="preserve">  Python序列</w:t>
            </w:r>
          </w:p>
          <w:p>
            <w:pPr>
              <w:spacing w:line="280" w:lineRule="exact"/>
              <w:ind w:firstLine="180" w:firstLineChars="100"/>
              <w:rPr>
                <w:rFonts w:hint="eastAsia" w:ascii="宋体" w:hAnsi="宋体"/>
                <w:color w:val="000000"/>
                <w:sz w:val="18"/>
                <w:szCs w:val="18"/>
              </w:rPr>
            </w:pPr>
            <w:r>
              <w:rPr>
                <w:rFonts w:ascii="宋体" w:hAnsi="宋体"/>
                <w:color w:val="000000"/>
                <w:sz w:val="18"/>
                <w:szCs w:val="18"/>
              </w:rPr>
              <w:t>3</w:t>
            </w:r>
            <w:r>
              <w:rPr>
                <w:rFonts w:hint="eastAsia" w:ascii="宋体" w:hAnsi="宋体"/>
                <w:color w:val="000000"/>
                <w:sz w:val="18"/>
                <w:szCs w:val="18"/>
              </w:rPr>
              <w:t>.1 能够会用列表与列表推导式；主要内容：列表的定义；列表常用方法；列表的创建与删除；列表元素的增加与删除；列表元素访问与统计；切片操作；列表排序；列表推导式；</w:t>
            </w:r>
          </w:p>
          <w:p>
            <w:pPr>
              <w:spacing w:line="280" w:lineRule="exact"/>
              <w:ind w:firstLine="180" w:firstLineChars="100"/>
              <w:rPr>
                <w:rFonts w:hint="eastAsia" w:ascii="宋体" w:hAnsi="宋体"/>
                <w:color w:val="000000"/>
                <w:sz w:val="18"/>
                <w:szCs w:val="18"/>
              </w:rPr>
            </w:pPr>
            <w:r>
              <w:rPr>
                <w:rFonts w:ascii="宋体" w:hAnsi="宋体"/>
                <w:color w:val="000000"/>
                <w:sz w:val="18"/>
                <w:szCs w:val="18"/>
              </w:rPr>
              <w:t>3</w:t>
            </w:r>
            <w:r>
              <w:rPr>
                <w:rFonts w:hint="eastAsia" w:ascii="宋体" w:hAnsi="宋体"/>
                <w:color w:val="000000"/>
                <w:sz w:val="18"/>
                <w:szCs w:val="18"/>
              </w:rPr>
              <w:t>.2 能够会用元组与生成器推导式；主要内容：元组的创建与删除；元组与列表的区别；元组的优点；序列解包；生成器推导式；</w:t>
            </w:r>
          </w:p>
          <w:p>
            <w:pPr>
              <w:spacing w:line="280" w:lineRule="exact"/>
              <w:ind w:firstLine="180" w:firstLineChars="100"/>
              <w:rPr>
                <w:rFonts w:hint="eastAsia" w:ascii="宋体" w:hAnsi="宋体"/>
                <w:color w:val="000000"/>
                <w:sz w:val="18"/>
                <w:szCs w:val="18"/>
              </w:rPr>
            </w:pPr>
            <w:r>
              <w:rPr>
                <w:rFonts w:ascii="宋体" w:hAnsi="宋体"/>
                <w:color w:val="000000"/>
                <w:sz w:val="18"/>
                <w:szCs w:val="18"/>
              </w:rPr>
              <w:t>3</w:t>
            </w:r>
            <w:r>
              <w:rPr>
                <w:rFonts w:hint="eastAsia" w:ascii="宋体" w:hAnsi="宋体"/>
                <w:color w:val="000000"/>
                <w:sz w:val="18"/>
                <w:szCs w:val="18"/>
              </w:rPr>
              <w:t>.3 能够会用字典；主要内容：字典创建与删除；字典元素的读取；字典元素的添加与修改；字典推导式；</w:t>
            </w:r>
          </w:p>
          <w:p>
            <w:pPr>
              <w:spacing w:line="280" w:lineRule="exact"/>
              <w:ind w:firstLine="180" w:firstLineChars="100"/>
              <w:rPr>
                <w:rFonts w:hint="eastAsia" w:ascii="宋体" w:hAnsi="宋体"/>
                <w:color w:val="000000"/>
                <w:sz w:val="18"/>
                <w:szCs w:val="18"/>
              </w:rPr>
            </w:pPr>
            <w:r>
              <w:rPr>
                <w:rFonts w:ascii="宋体" w:hAnsi="宋体"/>
                <w:color w:val="000000"/>
                <w:sz w:val="18"/>
                <w:szCs w:val="18"/>
              </w:rPr>
              <w:t>3</w:t>
            </w:r>
            <w:r>
              <w:rPr>
                <w:rFonts w:hint="eastAsia" w:ascii="宋体" w:hAnsi="宋体"/>
                <w:color w:val="000000"/>
                <w:sz w:val="18"/>
                <w:szCs w:val="18"/>
              </w:rPr>
              <w:t>.</w:t>
            </w:r>
            <w:r>
              <w:rPr>
                <w:rFonts w:ascii="宋体" w:hAnsi="宋体"/>
                <w:color w:val="000000"/>
                <w:sz w:val="18"/>
                <w:szCs w:val="18"/>
              </w:rPr>
              <w:t>4</w:t>
            </w:r>
            <w:r>
              <w:rPr>
                <w:rFonts w:hint="eastAsia" w:ascii="宋体" w:hAnsi="宋体"/>
                <w:color w:val="000000"/>
                <w:sz w:val="18"/>
                <w:szCs w:val="18"/>
              </w:rPr>
              <w:t xml:space="preserve"> 能够会用集合；主要内容：集合的创建与删除；集合的交集、并集、差集等运算；集合推导式；</w:t>
            </w:r>
          </w:p>
          <w:p>
            <w:pPr>
              <w:spacing w:line="280" w:lineRule="exact"/>
              <w:ind w:firstLine="180" w:firstLineChars="100"/>
              <w:rPr>
                <w:rFonts w:hint="eastAsia" w:ascii="宋体" w:hAnsi="宋体"/>
                <w:color w:val="000000"/>
                <w:sz w:val="18"/>
                <w:szCs w:val="18"/>
              </w:rPr>
            </w:pPr>
            <w:r>
              <w:rPr>
                <w:rFonts w:ascii="宋体" w:hAnsi="宋体"/>
                <w:color w:val="000000"/>
                <w:sz w:val="18"/>
                <w:szCs w:val="18"/>
              </w:rPr>
              <w:t>3</w:t>
            </w:r>
            <w:r>
              <w:rPr>
                <w:rFonts w:hint="eastAsia" w:ascii="宋体" w:hAnsi="宋体"/>
                <w:color w:val="000000"/>
                <w:sz w:val="18"/>
                <w:szCs w:val="18"/>
              </w:rPr>
              <w:t>.</w:t>
            </w:r>
            <w:r>
              <w:rPr>
                <w:rFonts w:ascii="宋体" w:hAnsi="宋体"/>
                <w:color w:val="000000"/>
                <w:sz w:val="18"/>
                <w:szCs w:val="18"/>
              </w:rPr>
              <w:t>5</w:t>
            </w:r>
            <w:r>
              <w:rPr>
                <w:rFonts w:hint="eastAsia" w:ascii="宋体" w:hAnsi="宋体"/>
                <w:color w:val="000000"/>
                <w:sz w:val="18"/>
                <w:szCs w:val="18"/>
              </w:rPr>
              <w:t xml:space="preserve"> 能够学会序列解包；主要内容：各种序列元素的序列解包操作；</w:t>
            </w:r>
          </w:p>
          <w:p>
            <w:pPr>
              <w:spacing w:line="280" w:lineRule="exact"/>
              <w:ind w:firstLine="180" w:firstLineChars="100"/>
              <w:rPr>
                <w:rFonts w:hint="eastAsia" w:ascii="宋体" w:hAnsi="宋体"/>
                <w:color w:val="000000"/>
                <w:sz w:val="18"/>
                <w:szCs w:val="18"/>
              </w:rPr>
            </w:pPr>
            <w:r>
              <w:rPr>
                <w:rFonts w:hint="eastAsia" w:ascii="宋体" w:hAnsi="宋体"/>
                <w:color w:val="000000"/>
                <w:sz w:val="18"/>
                <w:szCs w:val="18"/>
              </w:rPr>
              <w:t>重点：列表、元组、字典、集合的创建与删除；各种序列的常用方法；序列解包；序列的推导式；</w:t>
            </w:r>
          </w:p>
          <w:p>
            <w:pPr>
              <w:spacing w:line="280" w:lineRule="exact"/>
              <w:ind w:firstLine="180" w:firstLineChars="100"/>
              <w:rPr>
                <w:rFonts w:hint="eastAsia"/>
                <w:color w:val="000000"/>
                <w:sz w:val="18"/>
                <w:szCs w:val="18"/>
              </w:rPr>
            </w:pPr>
            <w:r>
              <w:rPr>
                <w:rFonts w:hint="eastAsia" w:ascii="宋体" w:hAnsi="宋体"/>
                <w:color w:val="000000"/>
                <w:sz w:val="18"/>
                <w:szCs w:val="18"/>
              </w:rPr>
              <w:t>难点：序列解包；序列的推导式；</w:t>
            </w:r>
          </w:p>
        </w:tc>
        <w:tc>
          <w:tcPr>
            <w:tcW w:w="267" w:type="pct"/>
            <w:vAlign w:val="center"/>
          </w:tcPr>
          <w:p>
            <w:pPr>
              <w:spacing w:line="280" w:lineRule="exact"/>
              <w:jc w:val="center"/>
              <w:rPr>
                <w:color w:val="000000"/>
                <w:sz w:val="18"/>
                <w:szCs w:val="18"/>
              </w:rPr>
            </w:pPr>
            <w:r>
              <w:rPr>
                <w:rFonts w:cs="Calibri"/>
                <w:b/>
                <w:color w:val="000000"/>
                <w:sz w:val="18"/>
                <w:szCs w:val="18"/>
              </w:rPr>
              <w:t>2</w:t>
            </w:r>
          </w:p>
        </w:tc>
        <w:tc>
          <w:tcPr>
            <w:tcW w:w="267" w:type="pct"/>
            <w:vAlign w:val="center"/>
          </w:tcPr>
          <w:p>
            <w:pPr>
              <w:spacing w:line="280" w:lineRule="exact"/>
              <w:jc w:val="center"/>
              <w:rPr>
                <w:rFonts w:cs="Calibri"/>
                <w:b/>
                <w:color w:val="000000"/>
                <w:sz w:val="18"/>
                <w:szCs w:val="18"/>
              </w:rPr>
            </w:pPr>
            <w:r>
              <w:rPr>
                <w:rFonts w:cs="Calibri"/>
                <w:b/>
                <w:color w:val="000000"/>
                <w:sz w:val="18"/>
                <w:szCs w:val="18"/>
              </w:rPr>
              <w:t>0</w:t>
            </w:r>
          </w:p>
        </w:tc>
        <w:tc>
          <w:tcPr>
            <w:tcW w:w="267" w:type="pct"/>
            <w:vAlign w:val="center"/>
          </w:tcPr>
          <w:p>
            <w:pPr>
              <w:spacing w:line="280" w:lineRule="exact"/>
              <w:jc w:val="center"/>
              <w:rPr>
                <w:rFonts w:cs="Calibri"/>
                <w:b/>
                <w:color w:val="000000"/>
                <w:sz w:val="18"/>
                <w:szCs w:val="18"/>
              </w:rPr>
            </w:pPr>
            <w:r>
              <w:rPr>
                <w:rFonts w:cs="Calibri"/>
                <w:b/>
                <w:color w:val="000000"/>
                <w:sz w:val="18"/>
                <w:szCs w:val="18"/>
              </w:rPr>
              <w:t>2</w:t>
            </w:r>
          </w:p>
        </w:tc>
        <w:tc>
          <w:tcPr>
            <w:tcW w:w="431" w:type="pct"/>
            <w:vAlign w:val="center"/>
          </w:tcPr>
          <w:p>
            <w:pPr>
              <w:spacing w:line="280" w:lineRule="exact"/>
              <w:jc w:val="center"/>
              <w:rPr>
                <w:rFonts w:hint="eastAsia" w:cs="Calibri"/>
                <w:b/>
                <w:color w:val="000000"/>
                <w:sz w:val="18"/>
                <w:szCs w:val="18"/>
              </w:rPr>
            </w:pPr>
            <w:r>
              <w:rPr>
                <w:rFonts w:cs="Calibri"/>
                <w:b/>
                <w:color w:val="000000"/>
                <w:sz w:val="18"/>
                <w:szCs w:val="18"/>
              </w:rPr>
              <w:t>1,2</w:t>
            </w:r>
          </w:p>
        </w:tc>
        <w:tc>
          <w:tcPr>
            <w:tcW w:w="624" w:type="pct"/>
            <w:vAlign w:val="center"/>
          </w:tcPr>
          <w:p>
            <w:pPr>
              <w:spacing w:line="280" w:lineRule="exact"/>
              <w:jc w:val="center"/>
              <w:rPr>
                <w:rFonts w:hint="eastAsia" w:cs="Calibri"/>
                <w:b/>
                <w:color w:val="000000"/>
                <w:sz w:val="18"/>
                <w:szCs w:val="18"/>
                <w:lang w:val="en-US" w:eastAsia="zh-CN"/>
              </w:rPr>
            </w:pPr>
            <w:r>
              <w:rPr>
                <w:rFonts w:hint="eastAsia" w:cs="Calibri"/>
                <w:b/>
                <w:color w:val="000000"/>
                <w:sz w:val="18"/>
                <w:szCs w:val="18"/>
                <w:lang w:val="en-US" w:eastAsia="zh-CN"/>
              </w:rPr>
              <w:t>5-1</w:t>
            </w:r>
          </w:p>
          <w:p>
            <w:pPr>
              <w:spacing w:line="280" w:lineRule="exact"/>
              <w:jc w:val="center"/>
              <w:rPr>
                <w:rFonts w:hint="eastAsia" w:cs="Calibri"/>
                <w:b/>
                <w:color w:val="000000"/>
                <w:sz w:val="18"/>
                <w:szCs w:val="18"/>
              </w:rPr>
            </w:pPr>
            <w:r>
              <w:rPr>
                <w:rFonts w:cs="Calibri"/>
                <w:b/>
                <w:color w:val="000000"/>
                <w:sz w:val="18"/>
                <w:szCs w:val="18"/>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Align w:val="center"/>
          </w:tcPr>
          <w:p>
            <w:pPr>
              <w:spacing w:line="280" w:lineRule="exact"/>
              <w:jc w:val="center"/>
              <w:rPr>
                <w:rFonts w:ascii="宋体" w:hAnsi="宋体"/>
                <w:color w:val="000000"/>
                <w:szCs w:val="21"/>
              </w:rPr>
            </w:pPr>
            <w:r>
              <w:rPr>
                <w:rFonts w:ascii="宋体" w:hAnsi="宋体"/>
                <w:color w:val="000000"/>
                <w:szCs w:val="21"/>
              </w:rPr>
              <w:t>第4章</w:t>
            </w:r>
          </w:p>
        </w:tc>
        <w:tc>
          <w:tcPr>
            <w:tcW w:w="2859" w:type="pct"/>
          </w:tcPr>
          <w:p>
            <w:pPr>
              <w:spacing w:line="280" w:lineRule="exact"/>
              <w:rPr>
                <w:rFonts w:hint="eastAsia"/>
                <w:color w:val="000000"/>
                <w:sz w:val="18"/>
                <w:szCs w:val="18"/>
              </w:rPr>
            </w:pPr>
            <w:r>
              <w:rPr>
                <w:color w:val="000000"/>
                <w:sz w:val="18"/>
                <w:szCs w:val="18"/>
              </w:rPr>
              <w:t>4</w:t>
            </w:r>
            <w:r>
              <w:rPr>
                <w:rFonts w:hint="eastAsia"/>
                <w:color w:val="000000"/>
                <w:sz w:val="18"/>
                <w:szCs w:val="18"/>
              </w:rPr>
              <w:t xml:space="preserve"> 选择结构、循环结构、函数定义与使用</w:t>
            </w:r>
          </w:p>
          <w:p>
            <w:pPr>
              <w:spacing w:line="280" w:lineRule="exact"/>
              <w:ind w:firstLine="180" w:firstLineChars="100"/>
              <w:rPr>
                <w:rFonts w:hint="eastAsia"/>
                <w:color w:val="000000"/>
                <w:sz w:val="18"/>
                <w:szCs w:val="18"/>
              </w:rPr>
            </w:pPr>
            <w:r>
              <w:rPr>
                <w:color w:val="000000"/>
                <w:sz w:val="18"/>
                <w:szCs w:val="18"/>
              </w:rPr>
              <w:t>4.</w:t>
            </w:r>
            <w:r>
              <w:rPr>
                <w:rFonts w:hint="eastAsia"/>
                <w:color w:val="000000"/>
                <w:sz w:val="18"/>
                <w:szCs w:val="18"/>
              </w:rPr>
              <w:t>1 能够会用条件表达式；主要内容：关系运算符；条件表达式；</w:t>
            </w:r>
          </w:p>
          <w:p>
            <w:pPr>
              <w:spacing w:line="280" w:lineRule="exact"/>
              <w:ind w:firstLine="180" w:firstLineChars="100"/>
              <w:rPr>
                <w:rFonts w:hint="eastAsia"/>
                <w:color w:val="000000"/>
                <w:sz w:val="18"/>
                <w:szCs w:val="18"/>
              </w:rPr>
            </w:pPr>
            <w:r>
              <w:rPr>
                <w:color w:val="000000"/>
                <w:sz w:val="18"/>
                <w:szCs w:val="18"/>
              </w:rPr>
              <w:t>4</w:t>
            </w:r>
            <w:r>
              <w:rPr>
                <w:rFonts w:hint="eastAsia"/>
                <w:color w:val="000000"/>
                <w:sz w:val="18"/>
                <w:szCs w:val="18"/>
              </w:rPr>
              <w:t>.2 能够会用选择结构；主要内容：单分支选择结构；双分支选择结构；多分支选择结构；选择结构的嵌套；</w:t>
            </w:r>
          </w:p>
          <w:p>
            <w:pPr>
              <w:spacing w:line="280" w:lineRule="exact"/>
              <w:ind w:firstLine="180" w:firstLineChars="100"/>
              <w:rPr>
                <w:color w:val="000000"/>
                <w:sz w:val="18"/>
                <w:szCs w:val="18"/>
              </w:rPr>
            </w:pPr>
            <w:r>
              <w:rPr>
                <w:color w:val="000000"/>
                <w:sz w:val="18"/>
                <w:szCs w:val="18"/>
              </w:rPr>
              <w:t>4</w:t>
            </w:r>
            <w:r>
              <w:rPr>
                <w:rFonts w:hint="eastAsia"/>
                <w:color w:val="000000"/>
                <w:sz w:val="18"/>
                <w:szCs w:val="18"/>
              </w:rPr>
              <w:t>.3 能够会用循环结构；主要内容：for循环与while循环；循环结构的优化；</w:t>
            </w:r>
          </w:p>
          <w:p>
            <w:pPr>
              <w:spacing w:line="280" w:lineRule="exact"/>
              <w:ind w:firstLine="180" w:firstLineChars="100"/>
              <w:rPr>
                <w:color w:val="000000"/>
                <w:sz w:val="18"/>
                <w:szCs w:val="18"/>
              </w:rPr>
            </w:pPr>
            <w:r>
              <w:rPr>
                <w:color w:val="000000"/>
                <w:sz w:val="18"/>
                <w:szCs w:val="18"/>
              </w:rPr>
              <w:t xml:space="preserve">4.4 </w:t>
            </w:r>
            <w:r>
              <w:rPr>
                <w:rFonts w:hint="eastAsia"/>
                <w:color w:val="000000"/>
                <w:sz w:val="18"/>
                <w:szCs w:val="18"/>
              </w:rPr>
              <w:t>能够会用</w:t>
            </w:r>
            <w:r>
              <w:rPr>
                <w:color w:val="000000"/>
                <w:sz w:val="18"/>
                <w:szCs w:val="18"/>
              </w:rPr>
              <w:t>break和continue语句</w:t>
            </w:r>
            <w:r>
              <w:rPr>
                <w:rFonts w:hint="eastAsia"/>
                <w:color w:val="000000"/>
                <w:sz w:val="18"/>
                <w:szCs w:val="18"/>
              </w:rPr>
              <w:t>；</w:t>
            </w:r>
            <w:r>
              <w:rPr>
                <w:color w:val="000000"/>
                <w:sz w:val="18"/>
                <w:szCs w:val="18"/>
              </w:rPr>
              <w:t>主要内容</w:t>
            </w:r>
            <w:r>
              <w:rPr>
                <w:rFonts w:hint="eastAsia"/>
                <w:color w:val="000000"/>
                <w:sz w:val="18"/>
                <w:szCs w:val="18"/>
              </w:rPr>
              <w:t>：</w:t>
            </w:r>
            <w:r>
              <w:rPr>
                <w:color w:val="000000"/>
                <w:sz w:val="18"/>
                <w:szCs w:val="18"/>
              </w:rPr>
              <w:t>break语句的用法</w:t>
            </w:r>
            <w:r>
              <w:rPr>
                <w:rFonts w:hint="eastAsia"/>
                <w:color w:val="000000"/>
                <w:sz w:val="18"/>
                <w:szCs w:val="18"/>
              </w:rPr>
              <w:t>；</w:t>
            </w:r>
            <w:r>
              <w:rPr>
                <w:color w:val="000000"/>
                <w:sz w:val="18"/>
                <w:szCs w:val="18"/>
              </w:rPr>
              <w:t>continue语句的用法</w:t>
            </w:r>
            <w:r>
              <w:rPr>
                <w:rFonts w:hint="eastAsia"/>
                <w:color w:val="000000"/>
                <w:sz w:val="18"/>
                <w:szCs w:val="18"/>
              </w:rPr>
              <w:t>；</w:t>
            </w:r>
          </w:p>
          <w:p>
            <w:pPr>
              <w:spacing w:line="280" w:lineRule="exact"/>
              <w:ind w:firstLine="180" w:firstLineChars="100"/>
              <w:rPr>
                <w:rFonts w:hint="eastAsia"/>
                <w:color w:val="000000"/>
                <w:sz w:val="18"/>
                <w:szCs w:val="18"/>
              </w:rPr>
            </w:pPr>
            <w:r>
              <w:rPr>
                <w:color w:val="000000"/>
                <w:sz w:val="18"/>
                <w:szCs w:val="18"/>
              </w:rPr>
              <w:t>4.5</w:t>
            </w:r>
            <w:r>
              <w:rPr>
                <w:rFonts w:hint="eastAsia"/>
                <w:color w:val="000000"/>
                <w:sz w:val="18"/>
                <w:szCs w:val="18"/>
              </w:rPr>
              <w:t xml:space="preserve"> 能够会用函数的定义；主要内容：结构化程序设计原则；函数的定义语法；递归调用；</w:t>
            </w:r>
          </w:p>
          <w:p>
            <w:pPr>
              <w:spacing w:line="280" w:lineRule="exact"/>
              <w:ind w:firstLine="180" w:firstLineChars="100"/>
              <w:rPr>
                <w:rFonts w:hint="eastAsia"/>
                <w:color w:val="000000"/>
                <w:sz w:val="18"/>
                <w:szCs w:val="18"/>
              </w:rPr>
            </w:pPr>
            <w:r>
              <w:rPr>
                <w:color w:val="000000"/>
                <w:sz w:val="18"/>
                <w:szCs w:val="18"/>
              </w:rPr>
              <w:t>4.6</w:t>
            </w:r>
            <w:r>
              <w:rPr>
                <w:rFonts w:hint="eastAsia"/>
                <w:color w:val="000000"/>
                <w:sz w:val="18"/>
                <w:szCs w:val="18"/>
              </w:rPr>
              <w:t xml:space="preserve"> 能够掌握形参与实参；主要内容：形参与实参的使用方式；形参改变对实参的影响；</w:t>
            </w:r>
          </w:p>
          <w:p>
            <w:pPr>
              <w:spacing w:line="280" w:lineRule="exact"/>
              <w:ind w:firstLine="180" w:firstLineChars="100"/>
              <w:rPr>
                <w:rFonts w:hint="eastAsia"/>
                <w:color w:val="000000"/>
                <w:sz w:val="18"/>
                <w:szCs w:val="18"/>
              </w:rPr>
            </w:pPr>
            <w:r>
              <w:rPr>
                <w:color w:val="000000"/>
                <w:sz w:val="18"/>
                <w:szCs w:val="18"/>
              </w:rPr>
              <w:t>4.7</w:t>
            </w:r>
            <w:r>
              <w:rPr>
                <w:rFonts w:hint="eastAsia"/>
                <w:color w:val="000000"/>
                <w:sz w:val="18"/>
                <w:szCs w:val="18"/>
              </w:rPr>
              <w:t xml:space="preserve"> 能够掌握参数类型；主要内容：位置参数；默认值参数；关键参数；可变长度参数；参数传递的序列解包；</w:t>
            </w:r>
          </w:p>
          <w:p>
            <w:pPr>
              <w:spacing w:line="280" w:lineRule="exact"/>
              <w:ind w:firstLine="180" w:firstLineChars="100"/>
              <w:rPr>
                <w:rFonts w:hint="eastAsia"/>
                <w:color w:val="000000"/>
                <w:sz w:val="18"/>
                <w:szCs w:val="18"/>
              </w:rPr>
            </w:pPr>
            <w:r>
              <w:rPr>
                <w:color w:val="000000"/>
                <w:sz w:val="18"/>
                <w:szCs w:val="18"/>
              </w:rPr>
              <w:t>4.8</w:t>
            </w:r>
            <w:r>
              <w:rPr>
                <w:rFonts w:hint="eastAsia"/>
                <w:color w:val="000000"/>
                <w:sz w:val="18"/>
                <w:szCs w:val="18"/>
              </w:rPr>
              <w:t xml:space="preserve"> 能够掌握return语句；主要内容：return语句的作用；</w:t>
            </w:r>
          </w:p>
          <w:p>
            <w:pPr>
              <w:spacing w:line="280" w:lineRule="exact"/>
              <w:ind w:firstLine="180" w:firstLineChars="100"/>
              <w:rPr>
                <w:rFonts w:hint="eastAsia"/>
                <w:color w:val="000000"/>
                <w:sz w:val="18"/>
                <w:szCs w:val="18"/>
              </w:rPr>
            </w:pPr>
            <w:r>
              <w:rPr>
                <w:color w:val="000000"/>
                <w:sz w:val="18"/>
                <w:szCs w:val="18"/>
              </w:rPr>
              <w:t>4.9</w:t>
            </w:r>
            <w:r>
              <w:rPr>
                <w:rFonts w:hint="eastAsia"/>
                <w:color w:val="000000"/>
                <w:sz w:val="18"/>
                <w:szCs w:val="18"/>
              </w:rPr>
              <w:t xml:space="preserve"> 能够掌握变量作用域；主要内容：变量作用域的定义及含义；局部变量与全局变量；</w:t>
            </w:r>
          </w:p>
          <w:p>
            <w:pPr>
              <w:spacing w:line="280" w:lineRule="exact"/>
              <w:ind w:firstLine="180" w:firstLineChars="100"/>
              <w:rPr>
                <w:rFonts w:hint="eastAsia"/>
                <w:color w:val="000000"/>
                <w:sz w:val="18"/>
                <w:szCs w:val="18"/>
              </w:rPr>
            </w:pPr>
            <w:r>
              <w:rPr>
                <w:color w:val="000000"/>
                <w:sz w:val="18"/>
                <w:szCs w:val="18"/>
              </w:rPr>
              <w:t>4.10</w:t>
            </w:r>
            <w:r>
              <w:rPr>
                <w:rFonts w:hint="eastAsia"/>
                <w:color w:val="000000"/>
                <w:sz w:val="18"/>
                <w:szCs w:val="18"/>
              </w:rPr>
              <w:t xml:space="preserve"> 能够掌握lambda表达式；主要内容：匿名函数；lambda表达式的作用；</w:t>
            </w:r>
          </w:p>
          <w:p>
            <w:pPr>
              <w:spacing w:line="280" w:lineRule="exact"/>
              <w:ind w:firstLine="180" w:firstLineChars="100"/>
              <w:rPr>
                <w:rFonts w:hint="eastAsia"/>
                <w:color w:val="000000"/>
                <w:sz w:val="18"/>
                <w:szCs w:val="18"/>
              </w:rPr>
            </w:pPr>
            <w:r>
              <w:rPr>
                <w:rFonts w:hint="eastAsia"/>
                <w:color w:val="000000"/>
                <w:sz w:val="18"/>
                <w:szCs w:val="18"/>
              </w:rPr>
              <w:t>重点：选择结构；循环结构；函数的定义；形参与实参；参数类型；return语句；变量作用域；</w:t>
            </w:r>
          </w:p>
          <w:p>
            <w:pPr>
              <w:spacing w:line="280" w:lineRule="exact"/>
              <w:ind w:firstLine="180" w:firstLineChars="100"/>
              <w:rPr>
                <w:rFonts w:hint="eastAsia"/>
                <w:color w:val="000000"/>
                <w:sz w:val="18"/>
                <w:szCs w:val="18"/>
              </w:rPr>
            </w:pPr>
            <w:r>
              <w:rPr>
                <w:rFonts w:hint="eastAsia"/>
                <w:color w:val="000000"/>
                <w:sz w:val="18"/>
                <w:szCs w:val="18"/>
              </w:rPr>
              <w:t>难点：break语句与continue语句的用法；参数类型；变量作用域；</w:t>
            </w:r>
          </w:p>
        </w:tc>
        <w:tc>
          <w:tcPr>
            <w:tcW w:w="267" w:type="pct"/>
            <w:vAlign w:val="center"/>
          </w:tcPr>
          <w:p>
            <w:pPr>
              <w:spacing w:line="280" w:lineRule="exact"/>
              <w:jc w:val="center"/>
              <w:rPr>
                <w:rFonts w:cs="Calibri"/>
                <w:b/>
                <w:color w:val="000000"/>
                <w:sz w:val="18"/>
                <w:szCs w:val="18"/>
              </w:rPr>
            </w:pPr>
            <w:r>
              <w:rPr>
                <w:rFonts w:cs="Calibri"/>
                <w:b/>
                <w:color w:val="000000"/>
                <w:sz w:val="18"/>
                <w:szCs w:val="18"/>
              </w:rPr>
              <w:t>2</w:t>
            </w:r>
          </w:p>
        </w:tc>
        <w:tc>
          <w:tcPr>
            <w:tcW w:w="267" w:type="pct"/>
            <w:vAlign w:val="center"/>
          </w:tcPr>
          <w:p>
            <w:pPr>
              <w:spacing w:line="280" w:lineRule="exact"/>
              <w:jc w:val="center"/>
              <w:rPr>
                <w:rFonts w:cs="Calibri"/>
                <w:b/>
                <w:color w:val="000000"/>
                <w:sz w:val="18"/>
                <w:szCs w:val="18"/>
              </w:rPr>
            </w:pPr>
            <w:r>
              <w:rPr>
                <w:rFonts w:cs="Calibri"/>
                <w:b/>
                <w:color w:val="000000"/>
                <w:sz w:val="18"/>
                <w:szCs w:val="18"/>
              </w:rPr>
              <w:t>2</w:t>
            </w:r>
          </w:p>
        </w:tc>
        <w:tc>
          <w:tcPr>
            <w:tcW w:w="267" w:type="pct"/>
            <w:vAlign w:val="center"/>
          </w:tcPr>
          <w:p>
            <w:pPr>
              <w:spacing w:line="280" w:lineRule="exact"/>
              <w:jc w:val="center"/>
              <w:rPr>
                <w:rFonts w:cs="Calibri"/>
                <w:b/>
                <w:color w:val="000000"/>
                <w:sz w:val="18"/>
                <w:szCs w:val="18"/>
              </w:rPr>
            </w:pPr>
            <w:r>
              <w:rPr>
                <w:rFonts w:cs="Calibri"/>
                <w:b/>
                <w:color w:val="000000"/>
                <w:sz w:val="18"/>
                <w:szCs w:val="18"/>
              </w:rPr>
              <w:t>4</w:t>
            </w:r>
          </w:p>
        </w:tc>
        <w:tc>
          <w:tcPr>
            <w:tcW w:w="431" w:type="pct"/>
            <w:vAlign w:val="center"/>
          </w:tcPr>
          <w:p>
            <w:pPr>
              <w:spacing w:line="280" w:lineRule="exact"/>
              <w:jc w:val="center"/>
              <w:rPr>
                <w:rFonts w:hint="eastAsia" w:cs="Calibri"/>
                <w:b/>
                <w:color w:val="000000"/>
                <w:sz w:val="18"/>
                <w:szCs w:val="18"/>
              </w:rPr>
            </w:pPr>
            <w:r>
              <w:rPr>
                <w:rFonts w:cs="Calibri"/>
                <w:b/>
                <w:color w:val="000000"/>
                <w:sz w:val="18"/>
                <w:szCs w:val="18"/>
              </w:rPr>
              <w:t>1,2</w:t>
            </w:r>
          </w:p>
        </w:tc>
        <w:tc>
          <w:tcPr>
            <w:tcW w:w="624" w:type="pct"/>
            <w:vAlign w:val="center"/>
          </w:tcPr>
          <w:p>
            <w:pPr>
              <w:spacing w:line="280" w:lineRule="exact"/>
              <w:jc w:val="center"/>
              <w:rPr>
                <w:rFonts w:hint="eastAsia" w:cs="Calibri"/>
                <w:b/>
                <w:color w:val="000000"/>
                <w:sz w:val="18"/>
                <w:szCs w:val="18"/>
                <w:lang w:val="en-US" w:eastAsia="zh-CN"/>
              </w:rPr>
            </w:pPr>
            <w:r>
              <w:rPr>
                <w:rFonts w:hint="eastAsia" w:cs="Calibri"/>
                <w:b/>
                <w:color w:val="000000"/>
                <w:sz w:val="18"/>
                <w:szCs w:val="18"/>
                <w:lang w:val="en-US" w:eastAsia="zh-CN"/>
              </w:rPr>
              <w:t>5-1</w:t>
            </w:r>
          </w:p>
          <w:p>
            <w:pPr>
              <w:spacing w:line="280" w:lineRule="exact"/>
              <w:jc w:val="center"/>
              <w:rPr>
                <w:rFonts w:hint="eastAsia" w:cs="Calibri"/>
                <w:b/>
                <w:color w:val="000000"/>
                <w:sz w:val="18"/>
                <w:szCs w:val="18"/>
              </w:rPr>
            </w:pPr>
            <w:r>
              <w:rPr>
                <w:rFonts w:cs="Calibri"/>
                <w:b/>
                <w:color w:val="000000"/>
                <w:sz w:val="18"/>
                <w:szCs w:val="18"/>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Align w:val="center"/>
          </w:tcPr>
          <w:p>
            <w:pPr>
              <w:spacing w:line="280" w:lineRule="exact"/>
              <w:jc w:val="center"/>
              <w:rPr>
                <w:rFonts w:ascii="宋体" w:hAnsi="宋体"/>
                <w:color w:val="000000"/>
                <w:szCs w:val="21"/>
              </w:rPr>
            </w:pPr>
            <w:r>
              <w:rPr>
                <w:rFonts w:hint="eastAsia" w:ascii="宋体" w:hAnsi="宋体"/>
                <w:color w:val="000000"/>
                <w:szCs w:val="21"/>
              </w:rPr>
              <w:t>第5章</w:t>
            </w:r>
          </w:p>
        </w:tc>
        <w:tc>
          <w:tcPr>
            <w:tcW w:w="2859" w:type="pct"/>
          </w:tcPr>
          <w:p>
            <w:pPr>
              <w:spacing w:line="280" w:lineRule="exact"/>
              <w:rPr>
                <w:color w:val="000000"/>
                <w:sz w:val="18"/>
                <w:szCs w:val="18"/>
              </w:rPr>
            </w:pPr>
            <w:r>
              <w:rPr>
                <w:rFonts w:ascii="宋体" w:hAnsi="宋体"/>
                <w:b/>
                <w:bCs/>
                <w:color w:val="000000"/>
                <w:sz w:val="18"/>
                <w:szCs w:val="18"/>
              </w:rPr>
              <w:t xml:space="preserve">5 </w:t>
            </w:r>
            <w:r>
              <w:rPr>
                <w:rFonts w:hint="eastAsia" w:ascii="宋体" w:hAnsi="宋体"/>
                <w:b/>
                <w:bCs/>
                <w:color w:val="000000"/>
                <w:sz w:val="18"/>
                <w:szCs w:val="18"/>
              </w:rPr>
              <w:t>TensorFlow库、PyTorch库</w:t>
            </w:r>
          </w:p>
          <w:p>
            <w:pPr>
              <w:spacing w:line="280" w:lineRule="exact"/>
              <w:ind w:firstLine="180" w:firstLineChars="100"/>
              <w:rPr>
                <w:color w:val="000000"/>
                <w:sz w:val="18"/>
                <w:szCs w:val="18"/>
              </w:rPr>
            </w:pPr>
            <w:r>
              <w:rPr>
                <w:color w:val="000000"/>
                <w:sz w:val="18"/>
                <w:szCs w:val="18"/>
              </w:rPr>
              <w:t xml:space="preserve">5.1 </w:t>
            </w:r>
            <w:r>
              <w:rPr>
                <w:rFonts w:hint="eastAsia"/>
                <w:color w:val="000000"/>
                <w:sz w:val="18"/>
                <w:szCs w:val="18"/>
              </w:rPr>
              <w:t>能够掌握TensorFlow与深度学习是什么；主要内容：TensorFlow是什么；深度学习是什么；用深度学习能做什么；TensorFlow与GPU；</w:t>
            </w:r>
          </w:p>
          <w:p>
            <w:pPr>
              <w:spacing w:line="280" w:lineRule="exact"/>
              <w:ind w:firstLine="180" w:firstLineChars="100"/>
              <w:rPr>
                <w:color w:val="000000"/>
                <w:sz w:val="18"/>
                <w:szCs w:val="18"/>
              </w:rPr>
            </w:pPr>
            <w:r>
              <w:rPr>
                <w:rFonts w:hint="eastAsia"/>
                <w:color w:val="000000"/>
                <w:sz w:val="18"/>
                <w:szCs w:val="18"/>
              </w:rPr>
              <w:t>5</w:t>
            </w:r>
            <w:r>
              <w:rPr>
                <w:color w:val="000000"/>
                <w:sz w:val="18"/>
                <w:szCs w:val="18"/>
              </w:rPr>
              <w:t xml:space="preserve">.2 </w:t>
            </w:r>
            <w:r>
              <w:rPr>
                <w:rFonts w:hint="eastAsia"/>
                <w:color w:val="000000"/>
                <w:sz w:val="18"/>
                <w:szCs w:val="18"/>
              </w:rPr>
              <w:t>能够掌握什么是Keras；主要内容：Keras的两种安装方式；Keras的主要特点；</w:t>
            </w:r>
          </w:p>
          <w:p>
            <w:pPr>
              <w:spacing w:line="280" w:lineRule="exact"/>
              <w:ind w:firstLine="180" w:firstLineChars="100"/>
              <w:rPr>
                <w:color w:val="000000"/>
                <w:sz w:val="18"/>
                <w:szCs w:val="18"/>
              </w:rPr>
            </w:pPr>
            <w:r>
              <w:rPr>
                <w:rFonts w:hint="eastAsia"/>
                <w:color w:val="000000"/>
                <w:sz w:val="18"/>
                <w:szCs w:val="18"/>
              </w:rPr>
              <w:t>5</w:t>
            </w:r>
            <w:r>
              <w:rPr>
                <w:color w:val="000000"/>
                <w:sz w:val="18"/>
                <w:szCs w:val="18"/>
              </w:rPr>
              <w:t xml:space="preserve">.3 </w:t>
            </w:r>
            <w:r>
              <w:rPr>
                <w:rFonts w:hint="eastAsia"/>
                <w:color w:val="000000"/>
                <w:sz w:val="18"/>
                <w:szCs w:val="18"/>
              </w:rPr>
              <w:t>能够掌握PyTorch简介、安装及使用；主要内容：PyTorch简介；PyTorch环境安装；PyTorch可视化工具；</w:t>
            </w:r>
          </w:p>
          <w:p>
            <w:pPr>
              <w:spacing w:line="280" w:lineRule="exact"/>
              <w:ind w:firstLine="180" w:firstLineChars="100"/>
              <w:rPr>
                <w:color w:val="000000"/>
                <w:sz w:val="18"/>
                <w:szCs w:val="18"/>
              </w:rPr>
            </w:pPr>
            <w:r>
              <w:rPr>
                <w:rFonts w:hint="eastAsia"/>
                <w:color w:val="000000"/>
                <w:sz w:val="18"/>
                <w:szCs w:val="18"/>
              </w:rPr>
              <w:t>重点：深度学习是什么；用深度学习能做什么；TensorFlow是什么；Keras主要特点；PyTorch简介；</w:t>
            </w:r>
          </w:p>
          <w:p>
            <w:pPr>
              <w:spacing w:line="280" w:lineRule="exact"/>
              <w:ind w:firstLine="180" w:firstLineChars="100"/>
              <w:rPr>
                <w:rFonts w:hint="eastAsia"/>
                <w:color w:val="000000"/>
                <w:sz w:val="18"/>
                <w:szCs w:val="18"/>
              </w:rPr>
            </w:pPr>
            <w:r>
              <w:rPr>
                <w:rFonts w:hint="eastAsia"/>
                <w:color w:val="000000"/>
                <w:sz w:val="18"/>
                <w:szCs w:val="18"/>
              </w:rPr>
              <w:t>难点：TensorFlow与G</w:t>
            </w:r>
            <w:r>
              <w:rPr>
                <w:color w:val="000000"/>
                <w:sz w:val="18"/>
                <w:szCs w:val="18"/>
              </w:rPr>
              <w:t>PU</w:t>
            </w:r>
            <w:r>
              <w:rPr>
                <w:rFonts w:hint="eastAsia"/>
                <w:color w:val="000000"/>
                <w:sz w:val="18"/>
                <w:szCs w:val="18"/>
              </w:rPr>
              <w:t>；</w:t>
            </w:r>
          </w:p>
        </w:tc>
        <w:tc>
          <w:tcPr>
            <w:tcW w:w="267" w:type="pct"/>
            <w:vAlign w:val="center"/>
          </w:tcPr>
          <w:p>
            <w:pPr>
              <w:spacing w:line="280" w:lineRule="exact"/>
              <w:jc w:val="center"/>
              <w:rPr>
                <w:rFonts w:cs="Calibri"/>
                <w:b/>
                <w:color w:val="000000"/>
                <w:sz w:val="18"/>
                <w:szCs w:val="18"/>
              </w:rPr>
            </w:pPr>
            <w:r>
              <w:rPr>
                <w:rFonts w:hint="eastAsia" w:cs="Calibri"/>
                <w:b/>
                <w:color w:val="000000"/>
                <w:sz w:val="18"/>
                <w:szCs w:val="18"/>
              </w:rPr>
              <w:t>2</w:t>
            </w:r>
          </w:p>
        </w:tc>
        <w:tc>
          <w:tcPr>
            <w:tcW w:w="267" w:type="pct"/>
            <w:vAlign w:val="center"/>
          </w:tcPr>
          <w:p>
            <w:pPr>
              <w:spacing w:line="280" w:lineRule="exact"/>
              <w:jc w:val="center"/>
              <w:rPr>
                <w:rFonts w:cs="Calibri"/>
                <w:b/>
                <w:color w:val="000000"/>
                <w:sz w:val="18"/>
                <w:szCs w:val="18"/>
              </w:rPr>
            </w:pPr>
            <w:r>
              <w:rPr>
                <w:rFonts w:hint="eastAsia" w:cs="Calibri"/>
                <w:b/>
                <w:color w:val="000000"/>
                <w:sz w:val="18"/>
                <w:szCs w:val="18"/>
              </w:rPr>
              <w:t>4</w:t>
            </w:r>
          </w:p>
        </w:tc>
        <w:tc>
          <w:tcPr>
            <w:tcW w:w="267" w:type="pct"/>
            <w:vAlign w:val="center"/>
          </w:tcPr>
          <w:p>
            <w:pPr>
              <w:spacing w:line="280" w:lineRule="exact"/>
              <w:jc w:val="center"/>
              <w:rPr>
                <w:rFonts w:cs="Calibri"/>
                <w:b/>
                <w:color w:val="000000"/>
                <w:sz w:val="18"/>
                <w:szCs w:val="18"/>
              </w:rPr>
            </w:pPr>
            <w:r>
              <w:rPr>
                <w:rFonts w:hint="eastAsia" w:cs="Calibri"/>
                <w:b/>
                <w:color w:val="000000"/>
                <w:sz w:val="18"/>
                <w:szCs w:val="18"/>
              </w:rPr>
              <w:t>6</w:t>
            </w:r>
          </w:p>
        </w:tc>
        <w:tc>
          <w:tcPr>
            <w:tcW w:w="431" w:type="pct"/>
            <w:vAlign w:val="center"/>
          </w:tcPr>
          <w:p>
            <w:pPr>
              <w:spacing w:line="280" w:lineRule="exact"/>
              <w:jc w:val="center"/>
              <w:rPr>
                <w:rFonts w:hint="eastAsia" w:cs="Calibri"/>
                <w:b/>
                <w:color w:val="000000"/>
                <w:sz w:val="18"/>
                <w:szCs w:val="18"/>
              </w:rPr>
            </w:pPr>
            <w:r>
              <w:rPr>
                <w:rFonts w:cs="Calibri"/>
                <w:b/>
                <w:color w:val="000000"/>
                <w:sz w:val="18"/>
                <w:szCs w:val="18"/>
              </w:rPr>
              <w:t>2</w:t>
            </w:r>
          </w:p>
        </w:tc>
        <w:tc>
          <w:tcPr>
            <w:tcW w:w="624" w:type="pct"/>
            <w:vAlign w:val="center"/>
          </w:tcPr>
          <w:p>
            <w:pPr>
              <w:spacing w:line="280" w:lineRule="exact"/>
              <w:jc w:val="center"/>
              <w:rPr>
                <w:rFonts w:hint="eastAsia" w:cs="Calibri"/>
                <w:b/>
                <w:color w:val="000000"/>
                <w:sz w:val="18"/>
                <w:szCs w:val="18"/>
              </w:rPr>
            </w:pPr>
            <w:r>
              <w:rPr>
                <w:rFonts w:cs="Calibri"/>
                <w:b/>
                <w:color w:val="000000"/>
                <w:sz w:val="18"/>
                <w:szCs w:val="18"/>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Align w:val="center"/>
          </w:tcPr>
          <w:p>
            <w:pPr>
              <w:spacing w:line="280" w:lineRule="exact"/>
              <w:jc w:val="center"/>
              <w:rPr>
                <w:rFonts w:ascii="宋体" w:hAnsi="宋体"/>
                <w:color w:val="000000"/>
                <w:szCs w:val="21"/>
              </w:rPr>
            </w:pPr>
            <w:r>
              <w:rPr>
                <w:rFonts w:ascii="宋体" w:hAnsi="宋体"/>
                <w:color w:val="000000"/>
                <w:szCs w:val="21"/>
              </w:rPr>
              <w:t>第6章</w:t>
            </w:r>
          </w:p>
        </w:tc>
        <w:tc>
          <w:tcPr>
            <w:tcW w:w="2859" w:type="pct"/>
          </w:tcPr>
          <w:p>
            <w:pPr>
              <w:spacing w:line="280" w:lineRule="exact"/>
              <w:rPr>
                <w:rFonts w:hint="eastAsia" w:ascii="宋体" w:hAnsi="宋体"/>
                <w:b/>
                <w:bCs/>
                <w:color w:val="000000"/>
                <w:sz w:val="18"/>
                <w:szCs w:val="18"/>
              </w:rPr>
            </w:pPr>
            <w:r>
              <w:rPr>
                <w:rFonts w:ascii="宋体" w:hAnsi="宋体"/>
                <w:b/>
                <w:bCs/>
                <w:color w:val="000000"/>
                <w:sz w:val="18"/>
                <w:szCs w:val="18"/>
              </w:rPr>
              <w:t>6</w:t>
            </w:r>
            <w:r>
              <w:rPr>
                <w:rFonts w:hint="eastAsia" w:ascii="宋体" w:hAnsi="宋体"/>
                <w:b/>
                <w:bCs/>
                <w:color w:val="000000"/>
                <w:sz w:val="18"/>
                <w:szCs w:val="18"/>
              </w:rPr>
              <w:t xml:space="preserve"> 文件操作</w:t>
            </w:r>
          </w:p>
          <w:p>
            <w:pPr>
              <w:spacing w:line="280" w:lineRule="exact"/>
              <w:ind w:firstLine="180" w:firstLineChars="100"/>
              <w:rPr>
                <w:rFonts w:hint="eastAsia" w:ascii="宋体" w:hAnsi="宋体"/>
                <w:color w:val="000000"/>
                <w:sz w:val="18"/>
                <w:szCs w:val="18"/>
              </w:rPr>
            </w:pPr>
            <w:r>
              <w:rPr>
                <w:rFonts w:ascii="宋体" w:hAnsi="宋体"/>
                <w:color w:val="000000"/>
                <w:sz w:val="18"/>
                <w:szCs w:val="18"/>
              </w:rPr>
              <w:t>6</w:t>
            </w:r>
            <w:r>
              <w:rPr>
                <w:rFonts w:hint="eastAsia" w:ascii="宋体" w:hAnsi="宋体"/>
                <w:color w:val="000000"/>
                <w:sz w:val="18"/>
                <w:szCs w:val="18"/>
              </w:rPr>
              <w:t>.1 能够掌握文件基本操作；主要内容：文件内容操作三部曲；文件打开方式；文件对象常用属性；文件对象常用方法；</w:t>
            </w:r>
          </w:p>
          <w:p>
            <w:pPr>
              <w:spacing w:line="280" w:lineRule="exact"/>
              <w:ind w:firstLine="180" w:firstLineChars="100"/>
              <w:rPr>
                <w:rFonts w:hint="eastAsia" w:ascii="宋体" w:hAnsi="宋体"/>
                <w:color w:val="000000"/>
                <w:sz w:val="18"/>
                <w:szCs w:val="18"/>
              </w:rPr>
            </w:pPr>
            <w:r>
              <w:rPr>
                <w:rFonts w:ascii="宋体" w:hAnsi="宋体"/>
                <w:color w:val="000000"/>
                <w:sz w:val="18"/>
                <w:szCs w:val="18"/>
              </w:rPr>
              <w:t>6</w:t>
            </w:r>
            <w:r>
              <w:rPr>
                <w:rFonts w:hint="eastAsia" w:ascii="宋体" w:hAnsi="宋体"/>
                <w:color w:val="000000"/>
                <w:sz w:val="18"/>
                <w:szCs w:val="18"/>
              </w:rPr>
              <w:t>.2 能够掌握文本文件操作；主要内容：向文本文件中写入内容，然后再读出；移动文件指针；</w:t>
            </w:r>
          </w:p>
          <w:p>
            <w:pPr>
              <w:spacing w:line="280" w:lineRule="exact"/>
              <w:ind w:firstLine="180" w:firstLineChars="100"/>
              <w:rPr>
                <w:rFonts w:ascii="宋体" w:hAnsi="宋体"/>
                <w:color w:val="000000"/>
                <w:sz w:val="18"/>
                <w:szCs w:val="18"/>
              </w:rPr>
            </w:pPr>
            <w:r>
              <w:rPr>
                <w:rFonts w:ascii="宋体" w:hAnsi="宋体"/>
                <w:color w:val="000000"/>
                <w:sz w:val="18"/>
                <w:szCs w:val="18"/>
              </w:rPr>
              <w:t>6</w:t>
            </w:r>
            <w:r>
              <w:rPr>
                <w:rFonts w:hint="eastAsia" w:ascii="宋体" w:hAnsi="宋体"/>
                <w:color w:val="000000"/>
                <w:sz w:val="18"/>
                <w:szCs w:val="18"/>
              </w:rPr>
              <w:t>.3 能够掌握二进制文件操作；主要内容：写入二进制文件；读取二进制文件；struct模块的使用；使用shelve序列化；</w:t>
            </w:r>
          </w:p>
          <w:p>
            <w:pPr>
              <w:spacing w:line="280" w:lineRule="exact"/>
              <w:ind w:firstLine="180" w:firstLineChars="100"/>
              <w:rPr>
                <w:rFonts w:ascii="宋体" w:hAnsi="宋体"/>
                <w:color w:val="000000"/>
                <w:sz w:val="18"/>
                <w:szCs w:val="18"/>
              </w:rPr>
            </w:pPr>
            <w:r>
              <w:rPr>
                <w:rFonts w:ascii="宋体" w:hAnsi="宋体"/>
                <w:color w:val="000000"/>
                <w:sz w:val="18"/>
                <w:szCs w:val="18"/>
              </w:rPr>
              <w:t xml:space="preserve">6.4 </w:t>
            </w:r>
            <w:r>
              <w:rPr>
                <w:rFonts w:hint="eastAsia" w:ascii="宋体" w:hAnsi="宋体"/>
                <w:color w:val="000000"/>
                <w:sz w:val="18"/>
                <w:szCs w:val="18"/>
              </w:rPr>
              <w:t>能够掌握J</w:t>
            </w:r>
            <w:r>
              <w:rPr>
                <w:rFonts w:ascii="宋体" w:hAnsi="宋体"/>
                <w:color w:val="000000"/>
                <w:sz w:val="18"/>
                <w:szCs w:val="18"/>
              </w:rPr>
              <w:t>SON</w:t>
            </w:r>
            <w:r>
              <w:rPr>
                <w:rFonts w:hint="eastAsia" w:ascii="宋体" w:hAnsi="宋体"/>
                <w:color w:val="000000"/>
                <w:sz w:val="18"/>
                <w:szCs w:val="18"/>
              </w:rPr>
              <w:t>文件与C</w:t>
            </w:r>
            <w:r>
              <w:rPr>
                <w:rFonts w:ascii="宋体" w:hAnsi="宋体"/>
                <w:color w:val="000000"/>
                <w:sz w:val="18"/>
                <w:szCs w:val="18"/>
              </w:rPr>
              <w:t>SV</w:t>
            </w:r>
            <w:r>
              <w:rPr>
                <w:rFonts w:hint="eastAsia" w:ascii="宋体" w:hAnsi="宋体"/>
                <w:color w:val="000000"/>
                <w:sz w:val="18"/>
                <w:szCs w:val="18"/>
              </w:rPr>
              <w:t>文件；</w:t>
            </w:r>
            <w:r>
              <w:rPr>
                <w:rFonts w:ascii="宋体" w:hAnsi="宋体"/>
                <w:color w:val="000000"/>
                <w:sz w:val="18"/>
                <w:szCs w:val="18"/>
              </w:rPr>
              <w:t>主要内容</w:t>
            </w:r>
            <w:r>
              <w:rPr>
                <w:rFonts w:hint="eastAsia" w:ascii="宋体" w:hAnsi="宋体"/>
                <w:color w:val="000000"/>
                <w:sz w:val="18"/>
                <w:szCs w:val="18"/>
              </w:rPr>
              <w:t>：</w:t>
            </w:r>
            <w:r>
              <w:rPr>
                <w:rFonts w:ascii="宋体" w:hAnsi="宋体"/>
                <w:color w:val="000000"/>
                <w:sz w:val="18"/>
                <w:szCs w:val="18"/>
              </w:rPr>
              <w:t>JSON</w:t>
            </w:r>
            <w:r>
              <w:rPr>
                <w:rFonts w:hint="eastAsia" w:ascii="宋体" w:hAnsi="宋体"/>
                <w:color w:val="000000"/>
                <w:sz w:val="18"/>
                <w:szCs w:val="18"/>
              </w:rPr>
              <w:t>文件；C</w:t>
            </w:r>
            <w:r>
              <w:rPr>
                <w:rFonts w:ascii="宋体" w:hAnsi="宋体"/>
                <w:color w:val="000000"/>
                <w:sz w:val="18"/>
                <w:szCs w:val="18"/>
              </w:rPr>
              <w:t>SV</w:t>
            </w:r>
            <w:r>
              <w:rPr>
                <w:rFonts w:hint="eastAsia" w:ascii="宋体" w:hAnsi="宋体"/>
                <w:color w:val="000000"/>
                <w:sz w:val="18"/>
                <w:szCs w:val="18"/>
              </w:rPr>
              <w:t>文件；</w:t>
            </w:r>
          </w:p>
          <w:p>
            <w:pPr>
              <w:spacing w:line="280" w:lineRule="exact"/>
              <w:ind w:firstLine="180" w:firstLineChars="100"/>
              <w:rPr>
                <w:rFonts w:ascii="宋体" w:hAnsi="宋体"/>
                <w:color w:val="000000"/>
                <w:sz w:val="18"/>
                <w:szCs w:val="18"/>
              </w:rPr>
            </w:pPr>
            <w:r>
              <w:rPr>
                <w:rFonts w:ascii="宋体" w:hAnsi="宋体"/>
                <w:color w:val="000000"/>
                <w:sz w:val="18"/>
                <w:szCs w:val="18"/>
              </w:rPr>
              <w:t xml:space="preserve">6.5 </w:t>
            </w:r>
            <w:r>
              <w:rPr>
                <w:rFonts w:hint="eastAsia" w:ascii="宋体" w:hAnsi="宋体"/>
                <w:color w:val="000000"/>
                <w:sz w:val="18"/>
                <w:szCs w:val="18"/>
              </w:rPr>
              <w:t>能够掌握Word、Excel、PowerPoint文件；主要内容：各种办公文件的操作；</w:t>
            </w:r>
          </w:p>
          <w:p>
            <w:pPr>
              <w:spacing w:line="280" w:lineRule="exact"/>
              <w:ind w:firstLine="180" w:firstLineChars="100"/>
              <w:rPr>
                <w:rFonts w:hint="eastAsia" w:ascii="宋体" w:hAnsi="宋体"/>
                <w:color w:val="000000"/>
                <w:sz w:val="18"/>
                <w:szCs w:val="18"/>
              </w:rPr>
            </w:pPr>
            <w:r>
              <w:rPr>
                <w:rFonts w:hint="eastAsia" w:ascii="宋体" w:hAnsi="宋体"/>
                <w:color w:val="000000"/>
                <w:sz w:val="18"/>
                <w:szCs w:val="18"/>
              </w:rPr>
              <w:t>重点：文件基本操作；文本文件操作；二进制文件操作；各种格式文件操作；</w:t>
            </w:r>
          </w:p>
          <w:p>
            <w:pPr>
              <w:spacing w:line="280" w:lineRule="exact"/>
              <w:ind w:firstLine="180" w:firstLineChars="100"/>
              <w:rPr>
                <w:rFonts w:cs="Calibri"/>
                <w:b/>
                <w:color w:val="000000"/>
                <w:sz w:val="18"/>
                <w:szCs w:val="18"/>
              </w:rPr>
            </w:pPr>
            <w:r>
              <w:rPr>
                <w:rFonts w:hint="eastAsia" w:ascii="宋体" w:hAnsi="宋体"/>
                <w:color w:val="000000"/>
                <w:sz w:val="18"/>
                <w:szCs w:val="18"/>
              </w:rPr>
              <w:t>难点：二进制文件操作；各种格式文件操作；</w:t>
            </w:r>
          </w:p>
        </w:tc>
        <w:tc>
          <w:tcPr>
            <w:tcW w:w="267" w:type="pct"/>
            <w:vAlign w:val="center"/>
          </w:tcPr>
          <w:p>
            <w:pPr>
              <w:spacing w:line="280" w:lineRule="exact"/>
              <w:jc w:val="center"/>
              <w:rPr>
                <w:rFonts w:cs="Calibri"/>
                <w:b/>
                <w:color w:val="000000"/>
                <w:sz w:val="18"/>
                <w:szCs w:val="18"/>
              </w:rPr>
            </w:pPr>
            <w:r>
              <w:rPr>
                <w:rFonts w:cs="Calibri"/>
                <w:b/>
                <w:color w:val="000000"/>
                <w:sz w:val="18"/>
                <w:szCs w:val="18"/>
              </w:rPr>
              <w:t>2</w:t>
            </w:r>
          </w:p>
        </w:tc>
        <w:tc>
          <w:tcPr>
            <w:tcW w:w="267" w:type="pct"/>
            <w:vAlign w:val="center"/>
          </w:tcPr>
          <w:p>
            <w:pPr>
              <w:spacing w:line="280" w:lineRule="exact"/>
              <w:jc w:val="center"/>
              <w:rPr>
                <w:rFonts w:hint="eastAsia" w:cs="Calibri"/>
                <w:b/>
                <w:color w:val="000000"/>
                <w:sz w:val="18"/>
                <w:szCs w:val="18"/>
              </w:rPr>
            </w:pPr>
            <w:r>
              <w:rPr>
                <w:rFonts w:cs="Calibri"/>
                <w:b/>
                <w:color w:val="000000"/>
                <w:sz w:val="18"/>
                <w:szCs w:val="18"/>
              </w:rPr>
              <w:t>0</w:t>
            </w:r>
          </w:p>
        </w:tc>
        <w:tc>
          <w:tcPr>
            <w:tcW w:w="267" w:type="pct"/>
            <w:vAlign w:val="center"/>
          </w:tcPr>
          <w:p>
            <w:pPr>
              <w:spacing w:line="280" w:lineRule="exact"/>
              <w:jc w:val="center"/>
              <w:rPr>
                <w:rFonts w:cs="Calibri"/>
                <w:b/>
                <w:color w:val="000000"/>
                <w:sz w:val="18"/>
                <w:szCs w:val="18"/>
              </w:rPr>
            </w:pPr>
            <w:r>
              <w:rPr>
                <w:rFonts w:cs="Calibri"/>
                <w:b/>
                <w:color w:val="000000"/>
                <w:sz w:val="18"/>
                <w:szCs w:val="18"/>
              </w:rPr>
              <w:t>2</w:t>
            </w:r>
          </w:p>
        </w:tc>
        <w:tc>
          <w:tcPr>
            <w:tcW w:w="431" w:type="pct"/>
            <w:vAlign w:val="center"/>
          </w:tcPr>
          <w:p>
            <w:pPr>
              <w:spacing w:line="280" w:lineRule="exact"/>
              <w:jc w:val="center"/>
              <w:rPr>
                <w:rFonts w:hint="eastAsia" w:cs="Calibri"/>
                <w:b/>
                <w:color w:val="000000"/>
                <w:sz w:val="18"/>
                <w:szCs w:val="18"/>
              </w:rPr>
            </w:pPr>
            <w:r>
              <w:rPr>
                <w:rFonts w:cs="Calibri"/>
                <w:b/>
                <w:color w:val="000000"/>
                <w:sz w:val="18"/>
                <w:szCs w:val="18"/>
              </w:rPr>
              <w:t>2</w:t>
            </w:r>
          </w:p>
        </w:tc>
        <w:tc>
          <w:tcPr>
            <w:tcW w:w="624" w:type="pct"/>
            <w:vAlign w:val="center"/>
          </w:tcPr>
          <w:p>
            <w:pPr>
              <w:spacing w:line="280" w:lineRule="exact"/>
              <w:jc w:val="center"/>
              <w:rPr>
                <w:rFonts w:hint="eastAsia" w:cs="Calibri"/>
                <w:b/>
                <w:color w:val="000000"/>
                <w:sz w:val="18"/>
                <w:szCs w:val="18"/>
              </w:rPr>
            </w:pPr>
            <w:r>
              <w:rPr>
                <w:rFonts w:cs="Calibri"/>
                <w:b/>
                <w:color w:val="000000"/>
                <w:sz w:val="18"/>
                <w:szCs w:val="18"/>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Align w:val="center"/>
          </w:tcPr>
          <w:p>
            <w:pPr>
              <w:spacing w:line="280" w:lineRule="exact"/>
              <w:jc w:val="center"/>
              <w:rPr>
                <w:rFonts w:ascii="宋体" w:hAnsi="宋体"/>
                <w:color w:val="000000"/>
                <w:szCs w:val="21"/>
              </w:rPr>
            </w:pPr>
            <w:r>
              <w:rPr>
                <w:rFonts w:ascii="宋体" w:hAnsi="宋体"/>
                <w:color w:val="000000"/>
                <w:szCs w:val="21"/>
              </w:rPr>
              <w:t>第7章</w:t>
            </w:r>
          </w:p>
        </w:tc>
        <w:tc>
          <w:tcPr>
            <w:tcW w:w="2859" w:type="pct"/>
          </w:tcPr>
          <w:p>
            <w:pPr>
              <w:spacing w:line="280" w:lineRule="exact"/>
              <w:rPr>
                <w:rFonts w:hint="eastAsia" w:cs="Calibri"/>
                <w:b/>
                <w:color w:val="000000"/>
                <w:sz w:val="18"/>
                <w:szCs w:val="18"/>
              </w:rPr>
            </w:pPr>
            <w:r>
              <w:rPr>
                <w:rFonts w:cs="Calibri"/>
                <w:b/>
                <w:color w:val="000000"/>
                <w:sz w:val="18"/>
                <w:szCs w:val="18"/>
              </w:rPr>
              <w:t>7</w:t>
            </w:r>
            <w:r>
              <w:rPr>
                <w:rFonts w:hint="eastAsia" w:cs="Calibri"/>
                <w:b/>
                <w:color w:val="000000"/>
                <w:sz w:val="18"/>
                <w:szCs w:val="18"/>
              </w:rPr>
              <w:t xml:space="preserve">  </w:t>
            </w:r>
            <w:r>
              <w:rPr>
                <w:rFonts w:hint="eastAsia"/>
                <w:b/>
                <w:sz w:val="18"/>
                <w:szCs w:val="18"/>
              </w:rPr>
              <w:t>numpy数组与矩阵计算</w:t>
            </w:r>
          </w:p>
          <w:p>
            <w:pPr>
              <w:spacing w:line="280" w:lineRule="exact"/>
              <w:ind w:firstLine="180" w:firstLineChars="100"/>
              <w:rPr>
                <w:rFonts w:hint="eastAsia"/>
                <w:color w:val="000000"/>
                <w:sz w:val="18"/>
                <w:szCs w:val="18"/>
              </w:rPr>
            </w:pPr>
            <w:r>
              <w:rPr>
                <w:color w:val="000000"/>
                <w:sz w:val="18"/>
                <w:szCs w:val="18"/>
              </w:rPr>
              <w:t xml:space="preserve">7.1 </w:t>
            </w:r>
            <w:r>
              <w:rPr>
                <w:rFonts w:hint="eastAsia"/>
                <w:color w:val="000000"/>
                <w:sz w:val="18"/>
                <w:szCs w:val="18"/>
              </w:rPr>
              <w:t>能够掌握</w:t>
            </w:r>
            <w:r>
              <w:rPr>
                <w:rFonts w:hint="eastAsia"/>
                <w:sz w:val="18"/>
                <w:szCs w:val="18"/>
              </w:rPr>
              <w:t>numpy数组及其运算：主要内容：数组操作；分段函数；</w:t>
            </w:r>
          </w:p>
          <w:p>
            <w:pPr>
              <w:spacing w:line="280" w:lineRule="exact"/>
              <w:ind w:firstLine="180" w:firstLineChars="100"/>
              <w:rPr>
                <w:rFonts w:hint="eastAsia"/>
                <w:color w:val="000000"/>
                <w:sz w:val="18"/>
                <w:szCs w:val="18"/>
              </w:rPr>
            </w:pPr>
            <w:r>
              <w:rPr>
                <w:color w:val="000000"/>
                <w:sz w:val="18"/>
                <w:szCs w:val="18"/>
              </w:rPr>
              <w:t xml:space="preserve">7.2 </w:t>
            </w:r>
            <w:r>
              <w:rPr>
                <w:rFonts w:hint="eastAsia"/>
                <w:color w:val="000000"/>
                <w:sz w:val="18"/>
                <w:szCs w:val="18"/>
              </w:rPr>
              <w:t>能够掌握</w:t>
            </w:r>
            <w:r>
              <w:rPr>
                <w:rFonts w:hint="eastAsia"/>
                <w:sz w:val="18"/>
                <w:szCs w:val="18"/>
              </w:rPr>
              <w:t>矩阵生成与常用操作</w:t>
            </w:r>
            <w:r>
              <w:rPr>
                <w:rFonts w:hint="eastAsia"/>
                <w:color w:val="000000"/>
                <w:sz w:val="18"/>
                <w:szCs w:val="18"/>
              </w:rPr>
              <w:t>；主要内容：矩阵各种操作；</w:t>
            </w:r>
          </w:p>
          <w:p>
            <w:pPr>
              <w:spacing w:line="280" w:lineRule="exact"/>
              <w:ind w:firstLine="180" w:firstLineChars="100"/>
              <w:rPr>
                <w:rFonts w:hint="eastAsia"/>
                <w:color w:val="000000"/>
                <w:sz w:val="18"/>
                <w:szCs w:val="18"/>
              </w:rPr>
            </w:pPr>
            <w:r>
              <w:rPr>
                <w:color w:val="000000"/>
                <w:sz w:val="18"/>
                <w:szCs w:val="18"/>
              </w:rPr>
              <w:t xml:space="preserve">7.3 </w:t>
            </w:r>
            <w:r>
              <w:rPr>
                <w:rFonts w:hint="eastAsia"/>
                <w:color w:val="000000"/>
                <w:sz w:val="18"/>
                <w:szCs w:val="18"/>
              </w:rPr>
              <w:t>能够理解计算特征值与特征向量；主要内容：特征值；特征向量；</w:t>
            </w:r>
          </w:p>
          <w:p>
            <w:pPr>
              <w:spacing w:line="280" w:lineRule="exact"/>
              <w:ind w:firstLine="180" w:firstLineChars="100"/>
              <w:rPr>
                <w:rFonts w:hint="eastAsia"/>
                <w:color w:val="000000"/>
                <w:sz w:val="18"/>
                <w:szCs w:val="18"/>
              </w:rPr>
            </w:pPr>
            <w:r>
              <w:rPr>
                <w:color w:val="000000"/>
                <w:sz w:val="18"/>
                <w:szCs w:val="18"/>
              </w:rPr>
              <w:t>7</w:t>
            </w:r>
            <w:r>
              <w:rPr>
                <w:rFonts w:hint="eastAsia"/>
                <w:color w:val="000000"/>
                <w:sz w:val="18"/>
                <w:szCs w:val="18"/>
              </w:rPr>
              <w:t>.4 能够理解计算逆矩阵；主要内容：矩阵求逆；</w:t>
            </w:r>
          </w:p>
          <w:p>
            <w:pPr>
              <w:spacing w:line="280" w:lineRule="exact"/>
              <w:ind w:firstLine="180" w:firstLineChars="100"/>
              <w:rPr>
                <w:rFonts w:hint="eastAsia"/>
                <w:color w:val="000000"/>
                <w:sz w:val="18"/>
                <w:szCs w:val="18"/>
              </w:rPr>
            </w:pPr>
            <w:r>
              <w:rPr>
                <w:color w:val="000000"/>
                <w:sz w:val="18"/>
                <w:szCs w:val="18"/>
              </w:rPr>
              <w:t>7</w:t>
            </w:r>
            <w:r>
              <w:rPr>
                <w:rFonts w:hint="eastAsia"/>
                <w:color w:val="000000"/>
                <w:sz w:val="18"/>
                <w:szCs w:val="18"/>
              </w:rPr>
              <w:t>.</w:t>
            </w:r>
            <w:r>
              <w:rPr>
                <w:color w:val="000000"/>
                <w:sz w:val="18"/>
                <w:szCs w:val="18"/>
              </w:rPr>
              <w:t>5</w:t>
            </w:r>
            <w:r>
              <w:rPr>
                <w:rFonts w:hint="eastAsia"/>
                <w:color w:val="000000"/>
                <w:sz w:val="18"/>
                <w:szCs w:val="18"/>
              </w:rPr>
              <w:t>能够掌握其他矩阵操作；主要内容：求解线性方程组；计算向量和矩阵的范数；奇异值分解；函数向量化；</w:t>
            </w:r>
          </w:p>
          <w:p>
            <w:pPr>
              <w:spacing w:line="280" w:lineRule="exact"/>
              <w:ind w:firstLine="180" w:firstLineChars="100"/>
              <w:rPr>
                <w:rFonts w:hint="eastAsia"/>
                <w:color w:val="000000"/>
                <w:sz w:val="18"/>
                <w:szCs w:val="18"/>
              </w:rPr>
            </w:pPr>
            <w:r>
              <w:rPr>
                <w:rFonts w:hint="eastAsia"/>
                <w:color w:val="000000"/>
                <w:sz w:val="18"/>
                <w:szCs w:val="18"/>
              </w:rPr>
              <w:t>重点：数组生成及其运算；矩阵生成及其运算；其他矩阵操作；</w:t>
            </w:r>
          </w:p>
          <w:p>
            <w:pPr>
              <w:spacing w:line="280" w:lineRule="exact"/>
              <w:ind w:firstLine="180" w:firstLineChars="100"/>
              <w:rPr>
                <w:rFonts w:cs="Calibri"/>
                <w:b/>
                <w:color w:val="000000"/>
                <w:sz w:val="18"/>
                <w:szCs w:val="18"/>
              </w:rPr>
            </w:pPr>
            <w:r>
              <w:rPr>
                <w:rFonts w:hint="eastAsia"/>
                <w:color w:val="000000"/>
                <w:sz w:val="18"/>
                <w:szCs w:val="18"/>
              </w:rPr>
              <w:t>难点：</w:t>
            </w:r>
            <w:r>
              <w:rPr>
                <w:rFonts w:hint="eastAsia"/>
                <w:sz w:val="18"/>
                <w:szCs w:val="18"/>
              </w:rPr>
              <w:t>各种数组及矩阵的运算及操作；</w:t>
            </w:r>
          </w:p>
        </w:tc>
        <w:tc>
          <w:tcPr>
            <w:tcW w:w="267" w:type="pct"/>
            <w:vAlign w:val="center"/>
          </w:tcPr>
          <w:p>
            <w:pPr>
              <w:spacing w:line="280" w:lineRule="exact"/>
              <w:jc w:val="center"/>
              <w:rPr>
                <w:rFonts w:cs="Calibri"/>
                <w:b/>
                <w:color w:val="000000"/>
                <w:sz w:val="18"/>
                <w:szCs w:val="18"/>
              </w:rPr>
            </w:pPr>
            <w:r>
              <w:rPr>
                <w:rFonts w:cs="Calibri"/>
                <w:b/>
                <w:color w:val="000000"/>
                <w:sz w:val="18"/>
                <w:szCs w:val="18"/>
              </w:rPr>
              <w:t>2</w:t>
            </w:r>
          </w:p>
        </w:tc>
        <w:tc>
          <w:tcPr>
            <w:tcW w:w="267" w:type="pct"/>
            <w:vAlign w:val="center"/>
          </w:tcPr>
          <w:p>
            <w:pPr>
              <w:spacing w:line="280" w:lineRule="exact"/>
              <w:jc w:val="center"/>
              <w:rPr>
                <w:rFonts w:hint="eastAsia" w:cs="Calibri"/>
                <w:b/>
                <w:color w:val="000000"/>
                <w:sz w:val="18"/>
                <w:szCs w:val="18"/>
              </w:rPr>
            </w:pPr>
            <w:r>
              <w:rPr>
                <w:rFonts w:cs="Calibri"/>
                <w:b/>
                <w:color w:val="000000"/>
                <w:sz w:val="18"/>
                <w:szCs w:val="18"/>
              </w:rPr>
              <w:t>2</w:t>
            </w:r>
          </w:p>
        </w:tc>
        <w:tc>
          <w:tcPr>
            <w:tcW w:w="267" w:type="pct"/>
            <w:vAlign w:val="center"/>
          </w:tcPr>
          <w:p>
            <w:pPr>
              <w:spacing w:line="280" w:lineRule="exact"/>
              <w:jc w:val="center"/>
              <w:rPr>
                <w:rFonts w:cs="Calibri"/>
                <w:b/>
                <w:color w:val="000000"/>
                <w:sz w:val="18"/>
                <w:szCs w:val="18"/>
              </w:rPr>
            </w:pPr>
            <w:r>
              <w:rPr>
                <w:rFonts w:cs="Calibri"/>
                <w:b/>
                <w:color w:val="000000"/>
                <w:sz w:val="18"/>
                <w:szCs w:val="18"/>
              </w:rPr>
              <w:t>4</w:t>
            </w:r>
          </w:p>
        </w:tc>
        <w:tc>
          <w:tcPr>
            <w:tcW w:w="431" w:type="pct"/>
            <w:vAlign w:val="center"/>
          </w:tcPr>
          <w:p>
            <w:pPr>
              <w:spacing w:line="280" w:lineRule="exact"/>
              <w:jc w:val="center"/>
              <w:rPr>
                <w:rFonts w:hint="eastAsia" w:cs="Calibri"/>
                <w:b/>
                <w:color w:val="000000"/>
                <w:sz w:val="18"/>
                <w:szCs w:val="18"/>
              </w:rPr>
            </w:pPr>
            <w:r>
              <w:rPr>
                <w:rFonts w:cs="Calibri"/>
                <w:b/>
                <w:color w:val="000000"/>
                <w:sz w:val="18"/>
                <w:szCs w:val="18"/>
              </w:rPr>
              <w:t>2</w:t>
            </w:r>
          </w:p>
        </w:tc>
        <w:tc>
          <w:tcPr>
            <w:tcW w:w="624" w:type="pct"/>
            <w:vAlign w:val="center"/>
          </w:tcPr>
          <w:p>
            <w:pPr>
              <w:spacing w:line="280" w:lineRule="exact"/>
              <w:jc w:val="center"/>
              <w:rPr>
                <w:rFonts w:hint="eastAsia" w:cs="Calibri"/>
                <w:b/>
                <w:color w:val="000000"/>
                <w:sz w:val="18"/>
                <w:szCs w:val="18"/>
              </w:rPr>
            </w:pPr>
            <w:r>
              <w:rPr>
                <w:rFonts w:cs="Calibri"/>
                <w:b/>
                <w:color w:val="000000"/>
                <w:sz w:val="18"/>
                <w:szCs w:val="18"/>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Align w:val="center"/>
          </w:tcPr>
          <w:p>
            <w:pPr>
              <w:spacing w:line="280" w:lineRule="exact"/>
              <w:jc w:val="center"/>
              <w:rPr>
                <w:rFonts w:ascii="宋体" w:hAnsi="宋体"/>
                <w:color w:val="000000"/>
                <w:szCs w:val="21"/>
              </w:rPr>
            </w:pPr>
            <w:r>
              <w:rPr>
                <w:rFonts w:ascii="宋体" w:hAnsi="宋体"/>
                <w:color w:val="000000"/>
                <w:szCs w:val="21"/>
              </w:rPr>
              <w:t>第8章</w:t>
            </w:r>
          </w:p>
        </w:tc>
        <w:tc>
          <w:tcPr>
            <w:tcW w:w="2859" w:type="pct"/>
          </w:tcPr>
          <w:p>
            <w:pPr>
              <w:rPr>
                <w:b/>
                <w:bCs/>
                <w:color w:val="000000"/>
                <w:sz w:val="18"/>
                <w:szCs w:val="18"/>
              </w:rPr>
            </w:pPr>
            <w:r>
              <w:rPr>
                <w:b/>
                <w:bCs/>
                <w:color w:val="000000"/>
                <w:sz w:val="18"/>
                <w:szCs w:val="18"/>
              </w:rPr>
              <w:t xml:space="preserve">8 </w:t>
            </w:r>
            <w:r>
              <w:rPr>
                <w:rFonts w:hint="eastAsia"/>
                <w:b/>
                <w:bCs/>
                <w:color w:val="000000"/>
                <w:sz w:val="18"/>
                <w:szCs w:val="18"/>
              </w:rPr>
              <w:t>pandas数据分析实战</w:t>
            </w:r>
          </w:p>
          <w:p>
            <w:pPr>
              <w:spacing w:line="280" w:lineRule="exact"/>
              <w:ind w:firstLine="180" w:firstLineChars="100"/>
              <w:rPr>
                <w:rFonts w:hint="eastAsia"/>
                <w:color w:val="000000"/>
                <w:sz w:val="18"/>
                <w:szCs w:val="18"/>
              </w:rPr>
            </w:pPr>
            <w:r>
              <w:rPr>
                <w:color w:val="000000"/>
                <w:sz w:val="18"/>
                <w:szCs w:val="18"/>
              </w:rPr>
              <w:t>8</w:t>
            </w:r>
            <w:r>
              <w:rPr>
                <w:rFonts w:hint="eastAsia"/>
                <w:color w:val="000000"/>
                <w:sz w:val="18"/>
                <w:szCs w:val="18"/>
              </w:rPr>
              <w:t>.1 能够掌握pandas常用数据类型：主要内容：一维数组与常用操作；时间序列与常用操作；二维数组DataFrame；</w:t>
            </w:r>
          </w:p>
          <w:p>
            <w:pPr>
              <w:spacing w:line="280" w:lineRule="exact"/>
              <w:ind w:firstLine="180" w:firstLineChars="100"/>
              <w:rPr>
                <w:rFonts w:hint="eastAsia"/>
                <w:color w:val="000000"/>
                <w:sz w:val="18"/>
                <w:szCs w:val="18"/>
              </w:rPr>
            </w:pPr>
            <w:r>
              <w:rPr>
                <w:color w:val="000000"/>
                <w:sz w:val="18"/>
                <w:szCs w:val="18"/>
              </w:rPr>
              <w:t>8</w:t>
            </w:r>
            <w:r>
              <w:rPr>
                <w:rFonts w:hint="eastAsia"/>
                <w:color w:val="000000"/>
                <w:sz w:val="18"/>
                <w:szCs w:val="18"/>
              </w:rPr>
              <w:t>.2 能够掌握DataFrame数据处理与分析实战：主要内容：读取Excel文件中的数据；筛选符合特定条件的数据；查看数据特征和统计信息；按照不同标准对数据排序；数据汇总；处理数据异常值；处理数据缺失值；处理数据重复值；查看数据波动情况；使用透视表与交叉表查看数据汇总；使用重采样技术处理数据；多索引相关技术与操作；使用标准差与协方差分析数据；使用pandas的属性接口实现高级功能；绘制柱状图；查看DataFrame的内存占用情况；数据拆分与合并；</w:t>
            </w:r>
          </w:p>
          <w:p>
            <w:pPr>
              <w:spacing w:line="280" w:lineRule="exact"/>
              <w:ind w:firstLine="180" w:firstLineChars="100"/>
              <w:rPr>
                <w:rFonts w:hint="eastAsia"/>
                <w:color w:val="000000"/>
                <w:sz w:val="18"/>
                <w:szCs w:val="18"/>
              </w:rPr>
            </w:pPr>
            <w:r>
              <w:rPr>
                <w:rFonts w:hint="eastAsia"/>
                <w:color w:val="000000"/>
                <w:sz w:val="18"/>
                <w:szCs w:val="18"/>
              </w:rPr>
              <w:t>重点：pandas常用数据类型；DataFrame数据处理与分析实战；</w:t>
            </w:r>
          </w:p>
          <w:p>
            <w:pPr>
              <w:spacing w:line="280" w:lineRule="exact"/>
              <w:ind w:firstLine="180" w:firstLineChars="100"/>
              <w:rPr>
                <w:rFonts w:cs="Calibri"/>
                <w:b/>
                <w:color w:val="000000"/>
                <w:sz w:val="18"/>
                <w:szCs w:val="18"/>
              </w:rPr>
            </w:pPr>
            <w:r>
              <w:rPr>
                <w:rFonts w:hint="eastAsia"/>
                <w:color w:val="000000"/>
                <w:sz w:val="18"/>
                <w:szCs w:val="18"/>
              </w:rPr>
              <w:t>难点：</w:t>
            </w:r>
            <w:r>
              <w:rPr>
                <w:rFonts w:hint="eastAsia"/>
                <w:sz w:val="18"/>
                <w:szCs w:val="18"/>
              </w:rPr>
              <w:t>DataFrame数据处理与分析实战；</w:t>
            </w:r>
          </w:p>
        </w:tc>
        <w:tc>
          <w:tcPr>
            <w:tcW w:w="267" w:type="pct"/>
            <w:vAlign w:val="center"/>
          </w:tcPr>
          <w:p>
            <w:pPr>
              <w:spacing w:line="280" w:lineRule="exact"/>
              <w:jc w:val="center"/>
              <w:rPr>
                <w:rFonts w:cs="Calibri"/>
                <w:b/>
                <w:color w:val="000000"/>
                <w:sz w:val="18"/>
                <w:szCs w:val="18"/>
              </w:rPr>
            </w:pPr>
            <w:r>
              <w:rPr>
                <w:rFonts w:cs="Calibri"/>
                <w:b/>
                <w:color w:val="000000"/>
                <w:sz w:val="18"/>
                <w:szCs w:val="18"/>
              </w:rPr>
              <w:t>2</w:t>
            </w:r>
          </w:p>
        </w:tc>
        <w:tc>
          <w:tcPr>
            <w:tcW w:w="267" w:type="pct"/>
            <w:vAlign w:val="center"/>
          </w:tcPr>
          <w:p>
            <w:pPr>
              <w:spacing w:line="280" w:lineRule="exact"/>
              <w:jc w:val="center"/>
              <w:rPr>
                <w:rFonts w:hint="eastAsia" w:cs="Calibri"/>
                <w:b/>
                <w:color w:val="000000"/>
                <w:sz w:val="18"/>
                <w:szCs w:val="18"/>
              </w:rPr>
            </w:pPr>
            <w:r>
              <w:rPr>
                <w:rFonts w:cs="Calibri"/>
                <w:b/>
                <w:color w:val="000000"/>
                <w:sz w:val="18"/>
                <w:szCs w:val="18"/>
              </w:rPr>
              <w:t>4</w:t>
            </w:r>
          </w:p>
        </w:tc>
        <w:tc>
          <w:tcPr>
            <w:tcW w:w="267" w:type="pct"/>
            <w:vAlign w:val="center"/>
          </w:tcPr>
          <w:p>
            <w:pPr>
              <w:spacing w:line="280" w:lineRule="exact"/>
              <w:jc w:val="center"/>
              <w:rPr>
                <w:rFonts w:cs="Calibri"/>
                <w:b/>
                <w:color w:val="000000"/>
                <w:sz w:val="18"/>
                <w:szCs w:val="18"/>
              </w:rPr>
            </w:pPr>
            <w:r>
              <w:rPr>
                <w:rFonts w:cs="Calibri"/>
                <w:b/>
                <w:color w:val="000000"/>
                <w:sz w:val="18"/>
                <w:szCs w:val="18"/>
              </w:rPr>
              <w:t>6</w:t>
            </w:r>
          </w:p>
        </w:tc>
        <w:tc>
          <w:tcPr>
            <w:tcW w:w="431" w:type="pct"/>
            <w:vAlign w:val="center"/>
          </w:tcPr>
          <w:p>
            <w:pPr>
              <w:spacing w:line="280" w:lineRule="exact"/>
              <w:jc w:val="center"/>
              <w:rPr>
                <w:rFonts w:hint="eastAsia" w:cs="Calibri"/>
                <w:b/>
                <w:color w:val="000000"/>
                <w:sz w:val="18"/>
                <w:szCs w:val="18"/>
              </w:rPr>
            </w:pPr>
            <w:r>
              <w:rPr>
                <w:rFonts w:cs="Calibri"/>
                <w:b/>
                <w:color w:val="000000"/>
                <w:sz w:val="18"/>
                <w:szCs w:val="18"/>
              </w:rPr>
              <w:t>2</w:t>
            </w:r>
          </w:p>
        </w:tc>
        <w:tc>
          <w:tcPr>
            <w:tcW w:w="624" w:type="pct"/>
            <w:vAlign w:val="center"/>
          </w:tcPr>
          <w:p>
            <w:pPr>
              <w:spacing w:line="280" w:lineRule="exact"/>
              <w:jc w:val="center"/>
              <w:rPr>
                <w:rFonts w:hint="eastAsia" w:cs="Calibri"/>
                <w:b/>
                <w:color w:val="000000"/>
                <w:sz w:val="18"/>
                <w:szCs w:val="18"/>
              </w:rPr>
            </w:pPr>
            <w:r>
              <w:rPr>
                <w:rFonts w:cs="Calibri"/>
                <w:b/>
                <w:color w:val="000000"/>
                <w:sz w:val="18"/>
                <w:szCs w:val="18"/>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Align w:val="center"/>
          </w:tcPr>
          <w:p>
            <w:pPr>
              <w:spacing w:line="280" w:lineRule="exact"/>
              <w:jc w:val="center"/>
              <w:rPr>
                <w:rFonts w:ascii="宋体" w:hAnsi="宋体"/>
                <w:color w:val="000000"/>
                <w:szCs w:val="21"/>
              </w:rPr>
            </w:pPr>
            <w:r>
              <w:rPr>
                <w:rFonts w:ascii="宋体" w:hAnsi="宋体"/>
                <w:color w:val="000000"/>
                <w:szCs w:val="21"/>
              </w:rPr>
              <w:t>第9章</w:t>
            </w:r>
          </w:p>
        </w:tc>
        <w:tc>
          <w:tcPr>
            <w:tcW w:w="2859" w:type="pct"/>
          </w:tcPr>
          <w:p>
            <w:pPr>
              <w:rPr>
                <w:rFonts w:hint="eastAsia" w:cs="Calibri"/>
                <w:b/>
                <w:color w:val="000000"/>
                <w:sz w:val="18"/>
                <w:szCs w:val="18"/>
              </w:rPr>
            </w:pPr>
            <w:r>
              <w:rPr>
                <w:rFonts w:cs="Calibri"/>
                <w:b/>
                <w:color w:val="000000"/>
                <w:sz w:val="18"/>
                <w:szCs w:val="18"/>
              </w:rPr>
              <w:t>9</w:t>
            </w:r>
            <w:r>
              <w:rPr>
                <w:rFonts w:hint="eastAsia" w:cs="Calibri"/>
                <w:b/>
                <w:color w:val="000000"/>
                <w:sz w:val="18"/>
                <w:szCs w:val="18"/>
              </w:rPr>
              <w:t xml:space="preserve"> Matplotlib数据可视化实战</w:t>
            </w:r>
          </w:p>
          <w:p>
            <w:pPr>
              <w:spacing w:line="280" w:lineRule="exact"/>
              <w:ind w:firstLine="180" w:firstLineChars="100"/>
              <w:rPr>
                <w:rFonts w:hint="eastAsia"/>
                <w:color w:val="000000"/>
                <w:sz w:val="18"/>
                <w:szCs w:val="18"/>
              </w:rPr>
            </w:pPr>
            <w:r>
              <w:rPr>
                <w:color w:val="000000"/>
                <w:sz w:val="18"/>
                <w:szCs w:val="18"/>
              </w:rPr>
              <w:t>9</w:t>
            </w:r>
            <w:r>
              <w:rPr>
                <w:rFonts w:hint="eastAsia"/>
                <w:color w:val="000000"/>
                <w:sz w:val="18"/>
                <w:szCs w:val="18"/>
              </w:rPr>
              <w:t>.1能够掌握数据可视化库Matplotlib基础；主要内容：Matplotlib库的引入与使用；</w:t>
            </w:r>
          </w:p>
          <w:p>
            <w:pPr>
              <w:spacing w:line="280" w:lineRule="exact"/>
              <w:ind w:firstLine="180" w:firstLineChars="100"/>
              <w:rPr>
                <w:rFonts w:hint="eastAsia"/>
                <w:color w:val="000000"/>
                <w:sz w:val="18"/>
                <w:szCs w:val="18"/>
              </w:rPr>
            </w:pPr>
            <w:r>
              <w:rPr>
                <w:color w:val="000000"/>
                <w:sz w:val="18"/>
                <w:szCs w:val="18"/>
              </w:rPr>
              <w:t>9.</w:t>
            </w:r>
            <w:r>
              <w:rPr>
                <w:rFonts w:hint="eastAsia"/>
                <w:color w:val="000000"/>
                <w:sz w:val="18"/>
                <w:szCs w:val="18"/>
              </w:rPr>
              <w:t>2能够使用Matplotlib库绘制各种图形：主要内容：折线图；散点图；柱状图；饼状图；雷达图；三维图形；域切分；图例样式；事件响应与处理；填充图形；保存绘图结果；</w:t>
            </w:r>
          </w:p>
          <w:p>
            <w:pPr>
              <w:spacing w:line="280" w:lineRule="exact"/>
              <w:ind w:firstLine="180" w:firstLineChars="100"/>
              <w:rPr>
                <w:rFonts w:hint="eastAsia"/>
                <w:color w:val="000000"/>
                <w:sz w:val="18"/>
                <w:szCs w:val="18"/>
              </w:rPr>
            </w:pPr>
            <w:r>
              <w:rPr>
                <w:rFonts w:hint="eastAsia"/>
                <w:color w:val="000000"/>
                <w:sz w:val="18"/>
                <w:szCs w:val="18"/>
              </w:rPr>
              <w:t>重点：Matplotlib库使用基础；使用Matplotlib库绘制各种图形；</w:t>
            </w:r>
          </w:p>
          <w:p>
            <w:pPr>
              <w:spacing w:line="280" w:lineRule="exact"/>
              <w:ind w:firstLine="180" w:firstLineChars="100"/>
              <w:rPr>
                <w:color w:val="000000"/>
                <w:sz w:val="18"/>
                <w:szCs w:val="18"/>
              </w:rPr>
            </w:pPr>
            <w:r>
              <w:rPr>
                <w:rFonts w:hint="eastAsia"/>
                <w:color w:val="000000"/>
                <w:sz w:val="18"/>
                <w:szCs w:val="18"/>
              </w:rPr>
              <w:t>难点：使用Matplotlib库绘制各种图形；</w:t>
            </w:r>
          </w:p>
        </w:tc>
        <w:tc>
          <w:tcPr>
            <w:tcW w:w="267" w:type="pct"/>
            <w:vAlign w:val="center"/>
          </w:tcPr>
          <w:p>
            <w:pPr>
              <w:spacing w:line="280" w:lineRule="exact"/>
              <w:jc w:val="center"/>
              <w:rPr>
                <w:rFonts w:hint="eastAsia" w:cs="Calibri"/>
                <w:b/>
                <w:color w:val="000000"/>
                <w:sz w:val="18"/>
                <w:szCs w:val="18"/>
              </w:rPr>
            </w:pPr>
            <w:r>
              <w:rPr>
                <w:rFonts w:cs="Calibri"/>
                <w:b/>
                <w:color w:val="000000"/>
                <w:sz w:val="18"/>
                <w:szCs w:val="18"/>
              </w:rPr>
              <w:t>2</w:t>
            </w:r>
          </w:p>
        </w:tc>
        <w:tc>
          <w:tcPr>
            <w:tcW w:w="267" w:type="pct"/>
            <w:vAlign w:val="center"/>
          </w:tcPr>
          <w:p>
            <w:pPr>
              <w:spacing w:line="280" w:lineRule="exact"/>
              <w:jc w:val="center"/>
              <w:rPr>
                <w:rFonts w:hint="eastAsia" w:cs="Calibri"/>
                <w:b/>
                <w:color w:val="000000"/>
                <w:sz w:val="18"/>
                <w:szCs w:val="18"/>
              </w:rPr>
            </w:pPr>
            <w:r>
              <w:rPr>
                <w:rFonts w:cs="Calibri"/>
                <w:b/>
                <w:color w:val="000000"/>
                <w:sz w:val="18"/>
                <w:szCs w:val="18"/>
              </w:rPr>
              <w:t>2</w:t>
            </w:r>
          </w:p>
        </w:tc>
        <w:tc>
          <w:tcPr>
            <w:tcW w:w="267" w:type="pct"/>
            <w:vAlign w:val="center"/>
          </w:tcPr>
          <w:p>
            <w:pPr>
              <w:spacing w:line="280" w:lineRule="exact"/>
              <w:jc w:val="center"/>
              <w:rPr>
                <w:rFonts w:hint="eastAsia" w:cs="Calibri"/>
                <w:b/>
                <w:color w:val="000000"/>
                <w:sz w:val="18"/>
                <w:szCs w:val="18"/>
              </w:rPr>
            </w:pPr>
            <w:r>
              <w:rPr>
                <w:rFonts w:cs="Calibri"/>
                <w:b/>
                <w:color w:val="000000"/>
                <w:sz w:val="18"/>
                <w:szCs w:val="18"/>
              </w:rPr>
              <w:t>4</w:t>
            </w:r>
          </w:p>
        </w:tc>
        <w:tc>
          <w:tcPr>
            <w:tcW w:w="431" w:type="pct"/>
            <w:vAlign w:val="center"/>
          </w:tcPr>
          <w:p>
            <w:pPr>
              <w:spacing w:line="280" w:lineRule="exact"/>
              <w:jc w:val="center"/>
              <w:rPr>
                <w:rFonts w:hint="eastAsia" w:cs="Calibri"/>
                <w:b/>
                <w:color w:val="000000"/>
                <w:sz w:val="18"/>
                <w:szCs w:val="18"/>
              </w:rPr>
            </w:pPr>
            <w:r>
              <w:rPr>
                <w:rFonts w:cs="Calibri"/>
                <w:b/>
                <w:color w:val="000000"/>
                <w:sz w:val="18"/>
                <w:szCs w:val="18"/>
              </w:rPr>
              <w:t>2</w:t>
            </w:r>
          </w:p>
        </w:tc>
        <w:tc>
          <w:tcPr>
            <w:tcW w:w="624" w:type="pct"/>
            <w:vAlign w:val="center"/>
          </w:tcPr>
          <w:p>
            <w:pPr>
              <w:spacing w:line="280" w:lineRule="exact"/>
              <w:jc w:val="center"/>
              <w:rPr>
                <w:rFonts w:hint="eastAsia" w:cs="Calibri"/>
                <w:b/>
                <w:color w:val="000000"/>
                <w:sz w:val="18"/>
                <w:szCs w:val="18"/>
              </w:rPr>
            </w:pPr>
            <w:r>
              <w:rPr>
                <w:rFonts w:cs="Calibri"/>
                <w:b/>
                <w:color w:val="000000"/>
                <w:sz w:val="18"/>
                <w:szCs w:val="18"/>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Align w:val="center"/>
          </w:tcPr>
          <w:p>
            <w:pPr>
              <w:spacing w:line="280" w:lineRule="exact"/>
              <w:jc w:val="center"/>
              <w:rPr>
                <w:rFonts w:ascii="宋体" w:hAnsi="宋体"/>
                <w:color w:val="000000"/>
                <w:szCs w:val="21"/>
              </w:rPr>
            </w:pPr>
            <w:r>
              <w:rPr>
                <w:rFonts w:hint="eastAsia" w:ascii="宋体" w:hAnsi="宋体"/>
                <w:color w:val="000000"/>
                <w:szCs w:val="21"/>
              </w:rPr>
              <w:t>合计</w:t>
            </w:r>
          </w:p>
        </w:tc>
        <w:tc>
          <w:tcPr>
            <w:tcW w:w="2859" w:type="pct"/>
          </w:tcPr>
          <w:p>
            <w:pPr>
              <w:rPr>
                <w:rFonts w:cs="Calibri"/>
                <w:b/>
                <w:color w:val="000000"/>
                <w:sz w:val="18"/>
                <w:szCs w:val="18"/>
              </w:rPr>
            </w:pPr>
          </w:p>
        </w:tc>
        <w:tc>
          <w:tcPr>
            <w:tcW w:w="267" w:type="pct"/>
            <w:vAlign w:val="center"/>
          </w:tcPr>
          <w:p>
            <w:pPr>
              <w:spacing w:line="280" w:lineRule="exact"/>
              <w:jc w:val="center"/>
              <w:rPr>
                <w:rFonts w:cs="Calibri"/>
                <w:b/>
                <w:color w:val="000000"/>
                <w:sz w:val="18"/>
                <w:szCs w:val="18"/>
              </w:rPr>
            </w:pPr>
            <w:r>
              <w:rPr>
                <w:rFonts w:cs="Calibri"/>
                <w:b/>
                <w:color w:val="000000"/>
                <w:sz w:val="18"/>
                <w:szCs w:val="18"/>
              </w:rPr>
              <w:t>16</w:t>
            </w:r>
          </w:p>
        </w:tc>
        <w:tc>
          <w:tcPr>
            <w:tcW w:w="267" w:type="pct"/>
            <w:vAlign w:val="center"/>
          </w:tcPr>
          <w:p>
            <w:pPr>
              <w:spacing w:line="280" w:lineRule="exact"/>
              <w:jc w:val="center"/>
              <w:rPr>
                <w:rFonts w:cs="Calibri"/>
                <w:b/>
                <w:color w:val="000000"/>
                <w:sz w:val="18"/>
                <w:szCs w:val="18"/>
              </w:rPr>
            </w:pPr>
            <w:r>
              <w:rPr>
                <w:rFonts w:cs="Calibri"/>
                <w:b/>
                <w:color w:val="000000"/>
                <w:sz w:val="18"/>
                <w:szCs w:val="18"/>
              </w:rPr>
              <w:t>16</w:t>
            </w:r>
          </w:p>
        </w:tc>
        <w:tc>
          <w:tcPr>
            <w:tcW w:w="267" w:type="pct"/>
            <w:vAlign w:val="center"/>
          </w:tcPr>
          <w:p>
            <w:pPr>
              <w:spacing w:line="280" w:lineRule="exact"/>
              <w:jc w:val="center"/>
              <w:rPr>
                <w:rFonts w:cs="Calibri"/>
                <w:b/>
                <w:color w:val="000000"/>
                <w:sz w:val="18"/>
                <w:szCs w:val="18"/>
              </w:rPr>
            </w:pPr>
            <w:r>
              <w:rPr>
                <w:rFonts w:hint="eastAsia" w:cs="Calibri"/>
                <w:b/>
                <w:color w:val="000000"/>
                <w:sz w:val="18"/>
                <w:szCs w:val="18"/>
              </w:rPr>
              <w:t>3</w:t>
            </w:r>
            <w:r>
              <w:rPr>
                <w:rFonts w:cs="Calibri"/>
                <w:b/>
                <w:color w:val="000000"/>
                <w:sz w:val="18"/>
                <w:szCs w:val="18"/>
              </w:rPr>
              <w:t>2</w:t>
            </w:r>
          </w:p>
        </w:tc>
        <w:tc>
          <w:tcPr>
            <w:tcW w:w="431" w:type="pct"/>
            <w:vAlign w:val="center"/>
          </w:tcPr>
          <w:p>
            <w:pPr>
              <w:spacing w:line="280" w:lineRule="exact"/>
              <w:jc w:val="center"/>
              <w:rPr>
                <w:rFonts w:hint="eastAsia" w:cs="Calibri"/>
                <w:b/>
                <w:color w:val="000000"/>
                <w:sz w:val="18"/>
                <w:szCs w:val="18"/>
              </w:rPr>
            </w:pPr>
            <w:r>
              <w:rPr>
                <w:rFonts w:cs="Calibri"/>
                <w:b/>
                <w:color w:val="000000"/>
                <w:sz w:val="18"/>
                <w:szCs w:val="18"/>
              </w:rPr>
              <w:t>1</w:t>
            </w:r>
            <w:r>
              <w:rPr>
                <w:rFonts w:hint="eastAsia" w:cs="Calibri"/>
                <w:b/>
                <w:color w:val="000000"/>
                <w:sz w:val="18"/>
                <w:szCs w:val="18"/>
              </w:rPr>
              <w:t>,</w:t>
            </w:r>
            <w:r>
              <w:rPr>
                <w:rFonts w:cs="Calibri"/>
                <w:b/>
                <w:color w:val="000000"/>
                <w:sz w:val="18"/>
                <w:szCs w:val="18"/>
              </w:rPr>
              <w:t>2</w:t>
            </w:r>
          </w:p>
        </w:tc>
        <w:tc>
          <w:tcPr>
            <w:tcW w:w="624" w:type="pct"/>
            <w:vAlign w:val="center"/>
          </w:tcPr>
          <w:p>
            <w:pPr>
              <w:spacing w:line="280" w:lineRule="exact"/>
              <w:jc w:val="center"/>
              <w:rPr>
                <w:rFonts w:hint="eastAsia" w:cs="Calibri"/>
                <w:b/>
                <w:color w:val="000000"/>
                <w:sz w:val="18"/>
                <w:szCs w:val="18"/>
                <w:lang w:val="en-US" w:eastAsia="zh-CN"/>
              </w:rPr>
            </w:pPr>
            <w:r>
              <w:rPr>
                <w:rFonts w:hint="eastAsia" w:cs="Calibri"/>
                <w:b/>
                <w:color w:val="000000"/>
                <w:sz w:val="18"/>
                <w:szCs w:val="18"/>
                <w:lang w:val="en-US" w:eastAsia="zh-CN"/>
              </w:rPr>
              <w:t>5-1</w:t>
            </w:r>
          </w:p>
          <w:p>
            <w:pPr>
              <w:spacing w:line="280" w:lineRule="exact"/>
              <w:jc w:val="center"/>
              <w:rPr>
                <w:rFonts w:hint="eastAsia" w:cs="Calibri"/>
                <w:b/>
                <w:color w:val="000000"/>
                <w:sz w:val="18"/>
                <w:szCs w:val="18"/>
              </w:rPr>
            </w:pPr>
            <w:r>
              <w:rPr>
                <w:rFonts w:cs="Calibri"/>
                <w:b/>
                <w:color w:val="000000"/>
                <w:sz w:val="18"/>
                <w:szCs w:val="18"/>
              </w:rPr>
              <w:t>5-2</w:t>
            </w:r>
          </w:p>
        </w:tc>
      </w:tr>
    </w:tbl>
    <w:p>
      <w:pPr>
        <w:spacing w:before="156" w:beforeLines="50"/>
        <w:jc w:val="center"/>
        <w:rPr>
          <w:rFonts w:hint="eastAsia"/>
          <w:b/>
          <w:bCs/>
          <w:color w:val="000000"/>
          <w:sz w:val="18"/>
          <w:szCs w:val="18"/>
        </w:rPr>
      </w:pPr>
      <w:r>
        <w:rPr>
          <w:rFonts w:hint="eastAsia"/>
          <w:b/>
          <w:bCs/>
          <w:color w:val="000000"/>
          <w:sz w:val="18"/>
          <w:szCs w:val="18"/>
        </w:rPr>
        <w:t>表3.2 课程内容与思政融入点对应关系</w:t>
      </w:r>
    </w:p>
    <w:tbl>
      <w:tblPr>
        <w:tblStyle w:val="19"/>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1"/>
        <w:gridCol w:w="3676"/>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7" w:type="pct"/>
            <w:shd w:val="clear" w:color="auto" w:fill="auto"/>
            <w:vAlign w:val="center"/>
          </w:tcPr>
          <w:p>
            <w:pPr>
              <w:spacing w:line="360" w:lineRule="auto"/>
              <w:jc w:val="center"/>
              <w:rPr>
                <w:rFonts w:hint="eastAsia" w:ascii="宋体" w:hAnsi="宋体" w:cs="宋体"/>
                <w:b/>
                <w:kern w:val="0"/>
                <w:sz w:val="18"/>
                <w:szCs w:val="18"/>
              </w:rPr>
            </w:pPr>
            <w:r>
              <w:rPr>
                <w:rFonts w:hint="eastAsia" w:ascii="宋体" w:hAnsi="宋体" w:cs="宋体"/>
                <w:b/>
                <w:kern w:val="0"/>
                <w:sz w:val="18"/>
                <w:szCs w:val="18"/>
              </w:rPr>
              <w:t>序号</w:t>
            </w:r>
          </w:p>
        </w:tc>
        <w:tc>
          <w:tcPr>
            <w:tcW w:w="1980" w:type="pct"/>
            <w:shd w:val="clear" w:color="auto" w:fill="auto"/>
            <w:vAlign w:val="center"/>
          </w:tcPr>
          <w:p>
            <w:pPr>
              <w:spacing w:line="360" w:lineRule="auto"/>
              <w:jc w:val="center"/>
              <w:rPr>
                <w:rFonts w:hint="eastAsia" w:ascii="宋体" w:hAnsi="宋体" w:cs="宋体"/>
                <w:b/>
                <w:kern w:val="0"/>
                <w:sz w:val="18"/>
                <w:szCs w:val="18"/>
              </w:rPr>
            </w:pPr>
            <w:r>
              <w:rPr>
                <w:rFonts w:hint="eastAsia" w:ascii="宋体" w:hAnsi="宋体" w:cs="宋体"/>
                <w:b/>
                <w:kern w:val="0"/>
                <w:sz w:val="18"/>
                <w:szCs w:val="18"/>
              </w:rPr>
              <w:t>知识点</w:t>
            </w:r>
          </w:p>
        </w:tc>
        <w:tc>
          <w:tcPr>
            <w:tcW w:w="2653" w:type="pct"/>
            <w:shd w:val="clear" w:color="auto" w:fill="auto"/>
            <w:vAlign w:val="center"/>
          </w:tcPr>
          <w:p>
            <w:pPr>
              <w:spacing w:line="360" w:lineRule="auto"/>
              <w:jc w:val="center"/>
              <w:rPr>
                <w:rFonts w:hint="eastAsia" w:ascii="宋体" w:hAnsi="宋体" w:cs="宋体"/>
                <w:b/>
                <w:kern w:val="0"/>
                <w:sz w:val="18"/>
                <w:szCs w:val="18"/>
              </w:rPr>
            </w:pPr>
            <w:r>
              <w:rPr>
                <w:rFonts w:hint="eastAsia" w:ascii="宋体" w:hAnsi="宋体" w:cs="宋体"/>
                <w:b/>
                <w:color w:val="000000"/>
                <w:kern w:val="0"/>
                <w:sz w:val="18"/>
                <w:szCs w:val="18"/>
              </w:rPr>
              <w:t>思政融入点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367" w:type="pct"/>
            <w:shd w:val="clear" w:color="auto" w:fill="auto"/>
            <w:vAlign w:val="center"/>
          </w:tcPr>
          <w:p>
            <w:pPr>
              <w:ind w:left="105" w:leftChars="50"/>
              <w:jc w:val="center"/>
              <w:rPr>
                <w:rFonts w:hint="eastAsia"/>
                <w:color w:val="0D0D0D"/>
                <w:szCs w:val="21"/>
              </w:rPr>
            </w:pPr>
            <w:r>
              <w:rPr>
                <w:rFonts w:hint="eastAsia"/>
                <w:color w:val="0D0D0D"/>
                <w:szCs w:val="21"/>
              </w:rPr>
              <w:t>1</w:t>
            </w:r>
          </w:p>
        </w:tc>
        <w:tc>
          <w:tcPr>
            <w:tcW w:w="1980" w:type="pct"/>
            <w:shd w:val="clear" w:color="auto" w:fill="auto"/>
            <w:vAlign w:val="center"/>
          </w:tcPr>
          <w:p>
            <w:pPr>
              <w:ind w:left="105" w:leftChars="50"/>
              <w:jc w:val="center"/>
              <w:rPr>
                <w:rFonts w:hint="eastAsia"/>
                <w:color w:val="000000"/>
                <w:sz w:val="18"/>
                <w:szCs w:val="18"/>
              </w:rPr>
            </w:pPr>
            <w:r>
              <w:rPr>
                <w:rFonts w:hint="eastAsia"/>
                <w:color w:val="000000"/>
                <w:sz w:val="18"/>
                <w:szCs w:val="18"/>
              </w:rPr>
              <w:t>深度学习</w:t>
            </w:r>
          </w:p>
        </w:tc>
        <w:tc>
          <w:tcPr>
            <w:tcW w:w="2653" w:type="pct"/>
            <w:shd w:val="clear" w:color="auto" w:fill="auto"/>
            <w:vAlign w:val="center"/>
          </w:tcPr>
          <w:p>
            <w:pPr>
              <w:ind w:left="105" w:leftChars="50"/>
              <w:jc w:val="center"/>
              <w:rPr>
                <w:rFonts w:hint="eastAsia"/>
                <w:color w:val="0D0D0D"/>
                <w:szCs w:val="21"/>
              </w:rPr>
            </w:pPr>
            <w:r>
              <w:rPr>
                <w:rFonts w:hint="eastAsia"/>
                <w:color w:val="000000"/>
                <w:sz w:val="18"/>
                <w:szCs w:val="18"/>
              </w:rPr>
              <w:t>Python在人工智能方面具有强大优势，通过Python程序设计的学习，激发学生技术创新、追求前沿的热情。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367" w:type="pct"/>
            <w:shd w:val="clear" w:color="auto" w:fill="auto"/>
            <w:vAlign w:val="center"/>
          </w:tcPr>
          <w:p>
            <w:pPr>
              <w:ind w:left="105" w:leftChars="50"/>
              <w:jc w:val="center"/>
              <w:rPr>
                <w:rFonts w:hint="eastAsia"/>
                <w:color w:val="0D0D0D"/>
                <w:szCs w:val="21"/>
              </w:rPr>
            </w:pPr>
            <w:r>
              <w:rPr>
                <w:rFonts w:hint="eastAsia"/>
                <w:color w:val="0D0D0D"/>
                <w:szCs w:val="21"/>
              </w:rPr>
              <w:t>2</w:t>
            </w:r>
          </w:p>
        </w:tc>
        <w:tc>
          <w:tcPr>
            <w:tcW w:w="1980" w:type="pct"/>
            <w:shd w:val="clear" w:color="auto" w:fill="auto"/>
            <w:vAlign w:val="center"/>
          </w:tcPr>
          <w:p>
            <w:pPr>
              <w:ind w:left="105" w:leftChars="50"/>
              <w:jc w:val="center"/>
              <w:rPr>
                <w:rFonts w:hint="eastAsia"/>
                <w:color w:val="000000"/>
                <w:sz w:val="18"/>
                <w:szCs w:val="18"/>
              </w:rPr>
            </w:pPr>
            <w:r>
              <w:rPr>
                <w:rFonts w:hint="eastAsia"/>
                <w:color w:val="000000"/>
                <w:sz w:val="18"/>
                <w:szCs w:val="18"/>
              </w:rPr>
              <w:t>数据分析</w:t>
            </w:r>
          </w:p>
        </w:tc>
        <w:tc>
          <w:tcPr>
            <w:tcW w:w="2653" w:type="pct"/>
            <w:shd w:val="clear" w:color="auto" w:fill="auto"/>
            <w:vAlign w:val="center"/>
          </w:tcPr>
          <w:p>
            <w:pPr>
              <w:ind w:left="105" w:leftChars="50"/>
              <w:jc w:val="center"/>
              <w:rPr>
                <w:rFonts w:hint="eastAsia"/>
                <w:color w:val="000000"/>
                <w:sz w:val="18"/>
                <w:szCs w:val="18"/>
              </w:rPr>
            </w:pPr>
            <w:r>
              <w:rPr>
                <w:rFonts w:hint="eastAsia"/>
                <w:color w:val="000000"/>
                <w:sz w:val="18"/>
                <w:szCs w:val="18"/>
              </w:rPr>
              <w:t>Python在数据分析方面具有领先优势，激发学生探索精神。</w:t>
            </w:r>
          </w:p>
        </w:tc>
      </w:tr>
    </w:tbl>
    <w:p>
      <w:pPr>
        <w:adjustRightInd w:val="0"/>
        <w:snapToGrid w:val="0"/>
        <w:spacing w:before="156" w:beforeLines="50" w:line="360" w:lineRule="auto"/>
        <w:rPr>
          <w:rFonts w:hint="eastAsia" w:eastAsia="黑体"/>
          <w:color w:val="0D0D0D"/>
          <w:szCs w:val="21"/>
        </w:rPr>
      </w:pPr>
      <w:r>
        <w:rPr>
          <w:rFonts w:hint="eastAsia" w:eastAsia="黑体"/>
          <w:color w:val="0D0D0D"/>
          <w:szCs w:val="21"/>
        </w:rPr>
        <w:t>四、本课程开设的实验项目</w:t>
      </w:r>
    </w:p>
    <w:tbl>
      <w:tblPr>
        <w:tblStyle w:val="19"/>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3929"/>
        <w:gridCol w:w="718"/>
        <w:gridCol w:w="880"/>
        <w:gridCol w:w="833"/>
        <w:gridCol w:w="958"/>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385" w:type="pct"/>
            <w:shd w:val="clear" w:color="auto" w:fill="F2F2F2"/>
            <w:vAlign w:val="center"/>
          </w:tcPr>
          <w:p>
            <w:pPr>
              <w:snapToGrid w:val="0"/>
              <w:jc w:val="center"/>
              <w:rPr>
                <w:b/>
                <w:color w:val="000000"/>
                <w:sz w:val="18"/>
                <w:szCs w:val="18"/>
              </w:rPr>
            </w:pPr>
            <w:r>
              <w:rPr>
                <w:rFonts w:hint="eastAsia"/>
                <w:b/>
                <w:color w:val="000000"/>
                <w:sz w:val="18"/>
                <w:szCs w:val="18"/>
              </w:rPr>
              <w:t>编号</w:t>
            </w:r>
          </w:p>
        </w:tc>
        <w:tc>
          <w:tcPr>
            <w:tcW w:w="2117" w:type="pct"/>
            <w:shd w:val="clear" w:color="auto" w:fill="F2F2F2"/>
            <w:vAlign w:val="center"/>
          </w:tcPr>
          <w:p>
            <w:pPr>
              <w:snapToGrid w:val="0"/>
              <w:jc w:val="center"/>
              <w:rPr>
                <w:b/>
                <w:color w:val="000000"/>
                <w:sz w:val="18"/>
                <w:szCs w:val="18"/>
              </w:rPr>
            </w:pPr>
            <w:r>
              <w:rPr>
                <w:rFonts w:hint="eastAsia"/>
                <w:b/>
                <w:color w:val="000000"/>
                <w:sz w:val="18"/>
                <w:szCs w:val="18"/>
              </w:rPr>
              <w:t>实验项目名称</w:t>
            </w:r>
          </w:p>
        </w:tc>
        <w:tc>
          <w:tcPr>
            <w:tcW w:w="387" w:type="pct"/>
            <w:shd w:val="clear" w:color="auto" w:fill="F2F2F2"/>
            <w:vAlign w:val="center"/>
          </w:tcPr>
          <w:p>
            <w:pPr>
              <w:snapToGrid w:val="0"/>
              <w:jc w:val="center"/>
              <w:rPr>
                <w:b/>
                <w:color w:val="000000"/>
                <w:sz w:val="18"/>
                <w:szCs w:val="18"/>
              </w:rPr>
            </w:pPr>
            <w:r>
              <w:rPr>
                <w:rFonts w:hint="eastAsia"/>
                <w:b/>
                <w:color w:val="000000"/>
                <w:sz w:val="18"/>
                <w:szCs w:val="18"/>
              </w:rPr>
              <w:t>学时</w:t>
            </w:r>
          </w:p>
        </w:tc>
        <w:tc>
          <w:tcPr>
            <w:tcW w:w="474" w:type="pct"/>
            <w:shd w:val="clear" w:color="auto" w:fill="F2F2F2"/>
            <w:vAlign w:val="center"/>
          </w:tcPr>
          <w:p>
            <w:pPr>
              <w:snapToGrid w:val="0"/>
              <w:jc w:val="center"/>
              <w:rPr>
                <w:b/>
                <w:color w:val="000000"/>
                <w:sz w:val="18"/>
                <w:szCs w:val="18"/>
              </w:rPr>
            </w:pPr>
            <w:r>
              <w:rPr>
                <w:rFonts w:hint="eastAsia"/>
                <w:b/>
                <w:color w:val="000000"/>
                <w:sz w:val="18"/>
                <w:szCs w:val="18"/>
              </w:rPr>
              <w:t>类型</w:t>
            </w:r>
          </w:p>
        </w:tc>
        <w:tc>
          <w:tcPr>
            <w:tcW w:w="449" w:type="pct"/>
            <w:shd w:val="clear" w:color="auto" w:fill="F2F2F2"/>
            <w:vAlign w:val="center"/>
          </w:tcPr>
          <w:p>
            <w:pPr>
              <w:snapToGrid w:val="0"/>
              <w:jc w:val="center"/>
              <w:rPr>
                <w:b/>
                <w:color w:val="000000"/>
                <w:sz w:val="18"/>
                <w:szCs w:val="18"/>
              </w:rPr>
            </w:pPr>
            <w:r>
              <w:rPr>
                <w:rFonts w:hint="eastAsia"/>
                <w:b/>
                <w:color w:val="000000"/>
                <w:sz w:val="18"/>
                <w:szCs w:val="18"/>
              </w:rPr>
              <w:t>要求</w:t>
            </w:r>
          </w:p>
        </w:tc>
        <w:tc>
          <w:tcPr>
            <w:tcW w:w="516" w:type="pct"/>
            <w:shd w:val="clear" w:color="auto" w:fill="F2F2F2"/>
            <w:vAlign w:val="center"/>
          </w:tcPr>
          <w:p>
            <w:pPr>
              <w:snapToGrid w:val="0"/>
              <w:jc w:val="center"/>
              <w:rPr>
                <w:b/>
                <w:color w:val="000000"/>
                <w:sz w:val="18"/>
                <w:szCs w:val="18"/>
              </w:rPr>
            </w:pPr>
            <w:r>
              <w:rPr>
                <w:rFonts w:hint="eastAsia"/>
                <w:b/>
                <w:color w:val="000000"/>
                <w:sz w:val="18"/>
                <w:szCs w:val="18"/>
              </w:rPr>
              <w:t>支撑课程目标</w:t>
            </w:r>
          </w:p>
        </w:tc>
        <w:tc>
          <w:tcPr>
            <w:tcW w:w="672" w:type="pct"/>
            <w:shd w:val="clear" w:color="auto" w:fill="F2F2F2"/>
            <w:vAlign w:val="center"/>
          </w:tcPr>
          <w:p>
            <w:pPr>
              <w:snapToGrid w:val="0"/>
              <w:jc w:val="center"/>
              <w:rPr>
                <w:rFonts w:hint="eastAsia"/>
                <w:b/>
                <w:color w:val="000000"/>
                <w:sz w:val="18"/>
                <w:szCs w:val="18"/>
              </w:rPr>
            </w:pPr>
            <w:r>
              <w:rPr>
                <w:rFonts w:hint="eastAsia"/>
                <w:b/>
                <w:color w:val="000000"/>
                <w:sz w:val="18"/>
                <w:szCs w:val="18"/>
              </w:rPr>
              <w:t>支撑的毕业要求指标点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85" w:type="pct"/>
            <w:vAlign w:val="center"/>
          </w:tcPr>
          <w:p>
            <w:pPr>
              <w:spacing w:line="420" w:lineRule="exact"/>
              <w:jc w:val="center"/>
              <w:rPr>
                <w:bCs/>
                <w:sz w:val="18"/>
                <w:szCs w:val="18"/>
              </w:rPr>
            </w:pPr>
            <w:r>
              <w:rPr>
                <w:rFonts w:hint="eastAsia"/>
                <w:bCs/>
                <w:sz w:val="18"/>
                <w:szCs w:val="18"/>
              </w:rPr>
              <w:t>1</w:t>
            </w:r>
          </w:p>
        </w:tc>
        <w:tc>
          <w:tcPr>
            <w:tcW w:w="2117" w:type="pct"/>
            <w:vAlign w:val="center"/>
          </w:tcPr>
          <w:p>
            <w:pPr>
              <w:spacing w:line="420" w:lineRule="exact"/>
              <w:jc w:val="left"/>
              <w:rPr>
                <w:rFonts w:hint="eastAsia"/>
                <w:bCs/>
                <w:sz w:val="18"/>
                <w:szCs w:val="18"/>
              </w:rPr>
            </w:pPr>
            <w:r>
              <w:rPr>
                <w:rFonts w:hint="eastAsia" w:hAnsi="宋体"/>
                <w:bCs/>
                <w:sz w:val="18"/>
                <w:szCs w:val="18"/>
              </w:rPr>
              <w:t>Python安装及PyCharm安装及使用</w:t>
            </w:r>
          </w:p>
        </w:tc>
        <w:tc>
          <w:tcPr>
            <w:tcW w:w="387" w:type="pct"/>
            <w:vAlign w:val="center"/>
          </w:tcPr>
          <w:p>
            <w:pPr>
              <w:spacing w:line="420" w:lineRule="exact"/>
              <w:jc w:val="center"/>
              <w:rPr>
                <w:bCs/>
                <w:sz w:val="18"/>
                <w:szCs w:val="18"/>
              </w:rPr>
            </w:pPr>
            <w:r>
              <w:rPr>
                <w:rFonts w:hint="eastAsia"/>
                <w:bCs/>
                <w:sz w:val="18"/>
                <w:szCs w:val="18"/>
              </w:rPr>
              <w:t>2</w:t>
            </w:r>
          </w:p>
        </w:tc>
        <w:tc>
          <w:tcPr>
            <w:tcW w:w="474" w:type="pct"/>
            <w:vAlign w:val="center"/>
          </w:tcPr>
          <w:p>
            <w:pPr>
              <w:spacing w:line="420" w:lineRule="exact"/>
              <w:jc w:val="center"/>
              <w:rPr>
                <w:rFonts w:hAnsi="宋体"/>
                <w:bCs/>
                <w:sz w:val="18"/>
                <w:szCs w:val="18"/>
              </w:rPr>
            </w:pPr>
            <w:r>
              <w:rPr>
                <w:rFonts w:hint="eastAsia" w:hAnsi="宋体"/>
                <w:bCs/>
                <w:sz w:val="18"/>
                <w:szCs w:val="18"/>
              </w:rPr>
              <w:t>验证性</w:t>
            </w:r>
          </w:p>
        </w:tc>
        <w:tc>
          <w:tcPr>
            <w:tcW w:w="449" w:type="pct"/>
            <w:vAlign w:val="center"/>
          </w:tcPr>
          <w:p>
            <w:pPr>
              <w:spacing w:line="420" w:lineRule="exact"/>
              <w:jc w:val="center"/>
              <w:rPr>
                <w:bCs/>
                <w:sz w:val="18"/>
                <w:szCs w:val="18"/>
              </w:rPr>
            </w:pPr>
            <w:r>
              <w:rPr>
                <w:rFonts w:hint="eastAsia" w:hAnsi="宋体"/>
                <w:bCs/>
                <w:sz w:val="18"/>
                <w:szCs w:val="18"/>
              </w:rPr>
              <w:t>必做</w:t>
            </w:r>
          </w:p>
        </w:tc>
        <w:tc>
          <w:tcPr>
            <w:tcW w:w="516" w:type="pct"/>
            <w:vAlign w:val="center"/>
          </w:tcPr>
          <w:p>
            <w:pPr>
              <w:spacing w:line="420" w:lineRule="exact"/>
              <w:jc w:val="center"/>
              <w:rPr>
                <w:rFonts w:hint="eastAsia"/>
                <w:bCs/>
                <w:sz w:val="18"/>
                <w:szCs w:val="18"/>
              </w:rPr>
            </w:pPr>
            <w:r>
              <w:rPr>
                <w:rFonts w:hint="eastAsia" w:cs="Calibri"/>
                <w:bCs/>
                <w:color w:val="000000"/>
                <w:sz w:val="18"/>
                <w:szCs w:val="18"/>
              </w:rPr>
              <w:t>1、</w:t>
            </w:r>
            <w:r>
              <w:rPr>
                <w:rFonts w:cs="Calibri"/>
                <w:bCs/>
                <w:color w:val="000000"/>
                <w:sz w:val="18"/>
                <w:szCs w:val="18"/>
              </w:rPr>
              <w:t>2</w:t>
            </w:r>
          </w:p>
        </w:tc>
        <w:tc>
          <w:tcPr>
            <w:tcW w:w="672" w:type="pct"/>
            <w:vAlign w:val="center"/>
          </w:tcPr>
          <w:p>
            <w:pPr>
              <w:spacing w:line="420" w:lineRule="exact"/>
              <w:jc w:val="center"/>
              <w:rPr>
                <w:rFonts w:cs="Calibri"/>
                <w:bCs/>
                <w:color w:val="000000"/>
                <w:sz w:val="18"/>
                <w:szCs w:val="18"/>
              </w:rPr>
            </w:pPr>
            <w:r>
              <w:rPr>
                <w:rFonts w:hint="eastAsia" w:cs="Calibri"/>
                <w:bCs/>
                <w:color w:val="000000"/>
                <w:sz w:val="18"/>
                <w:szCs w:val="18"/>
                <w:lang w:val="en-US" w:eastAsia="zh-CN"/>
              </w:rPr>
              <w:t>5-1</w:t>
            </w:r>
            <w:r>
              <w:rPr>
                <w:rFonts w:cs="Calibri"/>
                <w:bCs/>
                <w:color w:val="000000"/>
                <w:sz w:val="18"/>
                <w:szCs w:val="18"/>
              </w:rPr>
              <w:t>, 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85" w:type="pct"/>
            <w:vAlign w:val="center"/>
          </w:tcPr>
          <w:p>
            <w:pPr>
              <w:spacing w:line="420" w:lineRule="exact"/>
              <w:jc w:val="center"/>
              <w:rPr>
                <w:rFonts w:hint="eastAsia"/>
                <w:bCs/>
                <w:sz w:val="18"/>
                <w:szCs w:val="18"/>
              </w:rPr>
            </w:pPr>
            <w:r>
              <w:rPr>
                <w:rFonts w:hint="eastAsia"/>
                <w:bCs/>
                <w:sz w:val="18"/>
                <w:szCs w:val="18"/>
              </w:rPr>
              <w:t>2</w:t>
            </w:r>
          </w:p>
        </w:tc>
        <w:tc>
          <w:tcPr>
            <w:tcW w:w="2117" w:type="pct"/>
            <w:vAlign w:val="center"/>
          </w:tcPr>
          <w:p>
            <w:pPr>
              <w:spacing w:line="420" w:lineRule="exact"/>
              <w:jc w:val="left"/>
              <w:rPr>
                <w:bCs/>
                <w:sz w:val="18"/>
                <w:szCs w:val="18"/>
              </w:rPr>
            </w:pPr>
            <w:r>
              <w:rPr>
                <w:rFonts w:hint="eastAsia"/>
                <w:bCs/>
                <w:sz w:val="18"/>
                <w:szCs w:val="18"/>
              </w:rPr>
              <w:t>编写函数模拟轮盘抽奖游戏程序设计</w:t>
            </w:r>
          </w:p>
        </w:tc>
        <w:tc>
          <w:tcPr>
            <w:tcW w:w="387" w:type="pct"/>
            <w:vAlign w:val="center"/>
          </w:tcPr>
          <w:p>
            <w:pPr>
              <w:spacing w:line="420" w:lineRule="exact"/>
              <w:jc w:val="center"/>
              <w:rPr>
                <w:bCs/>
                <w:sz w:val="18"/>
                <w:szCs w:val="18"/>
              </w:rPr>
            </w:pPr>
            <w:r>
              <w:rPr>
                <w:rFonts w:hint="eastAsia"/>
                <w:bCs/>
                <w:sz w:val="18"/>
                <w:szCs w:val="18"/>
              </w:rPr>
              <w:t>2</w:t>
            </w:r>
          </w:p>
        </w:tc>
        <w:tc>
          <w:tcPr>
            <w:tcW w:w="474" w:type="pct"/>
            <w:vAlign w:val="center"/>
          </w:tcPr>
          <w:p>
            <w:pPr>
              <w:spacing w:line="420" w:lineRule="exact"/>
              <w:jc w:val="center"/>
              <w:rPr>
                <w:rFonts w:hint="eastAsia" w:hAnsi="宋体"/>
                <w:bCs/>
                <w:sz w:val="18"/>
                <w:szCs w:val="18"/>
              </w:rPr>
            </w:pPr>
            <w:r>
              <w:rPr>
                <w:rFonts w:hint="eastAsia" w:hAnsi="宋体"/>
                <w:bCs/>
                <w:sz w:val="18"/>
                <w:szCs w:val="18"/>
              </w:rPr>
              <w:t>验证性</w:t>
            </w:r>
          </w:p>
        </w:tc>
        <w:tc>
          <w:tcPr>
            <w:tcW w:w="449" w:type="pct"/>
            <w:vAlign w:val="center"/>
          </w:tcPr>
          <w:p>
            <w:pPr>
              <w:spacing w:line="420" w:lineRule="exact"/>
              <w:jc w:val="center"/>
              <w:rPr>
                <w:bCs/>
                <w:sz w:val="18"/>
                <w:szCs w:val="18"/>
              </w:rPr>
            </w:pPr>
            <w:r>
              <w:rPr>
                <w:rFonts w:hint="eastAsia"/>
                <w:bCs/>
                <w:sz w:val="18"/>
                <w:szCs w:val="18"/>
              </w:rPr>
              <w:t>必做</w:t>
            </w:r>
          </w:p>
        </w:tc>
        <w:tc>
          <w:tcPr>
            <w:tcW w:w="516" w:type="pct"/>
            <w:vAlign w:val="center"/>
          </w:tcPr>
          <w:p>
            <w:pPr>
              <w:spacing w:line="420" w:lineRule="exact"/>
              <w:jc w:val="center"/>
              <w:rPr>
                <w:rFonts w:hint="eastAsia"/>
                <w:bCs/>
                <w:sz w:val="18"/>
                <w:szCs w:val="18"/>
              </w:rPr>
            </w:pPr>
            <w:r>
              <w:rPr>
                <w:rFonts w:hint="eastAsia" w:cs="Calibri"/>
                <w:bCs/>
                <w:color w:val="000000"/>
                <w:sz w:val="18"/>
                <w:szCs w:val="18"/>
              </w:rPr>
              <w:t>1、</w:t>
            </w:r>
            <w:r>
              <w:rPr>
                <w:rFonts w:cs="Calibri"/>
                <w:bCs/>
                <w:color w:val="000000"/>
                <w:sz w:val="18"/>
                <w:szCs w:val="18"/>
              </w:rPr>
              <w:t>2</w:t>
            </w:r>
          </w:p>
        </w:tc>
        <w:tc>
          <w:tcPr>
            <w:tcW w:w="672" w:type="pct"/>
            <w:vAlign w:val="center"/>
          </w:tcPr>
          <w:p>
            <w:pPr>
              <w:spacing w:line="420" w:lineRule="exact"/>
              <w:jc w:val="center"/>
              <w:rPr>
                <w:rFonts w:cs="Calibri"/>
                <w:bCs/>
                <w:color w:val="000000"/>
                <w:sz w:val="18"/>
                <w:szCs w:val="18"/>
              </w:rPr>
            </w:pPr>
            <w:r>
              <w:rPr>
                <w:rFonts w:hint="eastAsia" w:cs="Calibri"/>
                <w:bCs/>
                <w:color w:val="000000"/>
                <w:sz w:val="18"/>
                <w:szCs w:val="18"/>
                <w:lang w:val="en-US" w:eastAsia="zh-CN"/>
              </w:rPr>
              <w:t>5-1</w:t>
            </w:r>
            <w:r>
              <w:rPr>
                <w:rFonts w:cs="Calibri"/>
                <w:bCs/>
                <w:color w:val="000000"/>
                <w:sz w:val="18"/>
                <w:szCs w:val="18"/>
              </w:rPr>
              <w:t>, 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85" w:type="pct"/>
            <w:vAlign w:val="center"/>
          </w:tcPr>
          <w:p>
            <w:pPr>
              <w:spacing w:line="420" w:lineRule="exact"/>
              <w:jc w:val="center"/>
              <w:rPr>
                <w:rFonts w:hint="eastAsia"/>
                <w:bCs/>
                <w:sz w:val="18"/>
                <w:szCs w:val="18"/>
              </w:rPr>
            </w:pPr>
            <w:r>
              <w:rPr>
                <w:rFonts w:hint="eastAsia"/>
                <w:bCs/>
                <w:sz w:val="18"/>
                <w:szCs w:val="18"/>
              </w:rPr>
              <w:t>3</w:t>
            </w:r>
          </w:p>
        </w:tc>
        <w:tc>
          <w:tcPr>
            <w:tcW w:w="2117" w:type="pct"/>
            <w:vAlign w:val="center"/>
          </w:tcPr>
          <w:p>
            <w:pPr>
              <w:spacing w:line="420" w:lineRule="exact"/>
              <w:jc w:val="left"/>
              <w:rPr>
                <w:rFonts w:hint="eastAsia"/>
                <w:bCs/>
                <w:sz w:val="18"/>
                <w:szCs w:val="18"/>
              </w:rPr>
            </w:pPr>
            <w:r>
              <w:rPr>
                <w:rFonts w:hint="eastAsia"/>
                <w:bCs/>
                <w:sz w:val="18"/>
                <w:szCs w:val="18"/>
              </w:rPr>
              <w:t>TensorFlow环境安装与模型建立与训练</w:t>
            </w:r>
          </w:p>
        </w:tc>
        <w:tc>
          <w:tcPr>
            <w:tcW w:w="387" w:type="pct"/>
            <w:vAlign w:val="center"/>
          </w:tcPr>
          <w:p>
            <w:pPr>
              <w:spacing w:line="420" w:lineRule="exact"/>
              <w:jc w:val="center"/>
              <w:rPr>
                <w:rFonts w:hint="eastAsia"/>
                <w:bCs/>
                <w:sz w:val="18"/>
                <w:szCs w:val="18"/>
              </w:rPr>
            </w:pPr>
            <w:r>
              <w:rPr>
                <w:bCs/>
                <w:sz w:val="18"/>
                <w:szCs w:val="18"/>
              </w:rPr>
              <w:t>2</w:t>
            </w:r>
          </w:p>
        </w:tc>
        <w:tc>
          <w:tcPr>
            <w:tcW w:w="474" w:type="pct"/>
            <w:vAlign w:val="center"/>
          </w:tcPr>
          <w:p>
            <w:pPr>
              <w:spacing w:line="420" w:lineRule="exact"/>
              <w:jc w:val="center"/>
              <w:rPr>
                <w:rFonts w:hint="eastAsia" w:hAnsi="宋体"/>
                <w:bCs/>
                <w:sz w:val="18"/>
                <w:szCs w:val="18"/>
              </w:rPr>
            </w:pPr>
            <w:r>
              <w:rPr>
                <w:rFonts w:hint="eastAsia" w:hAnsi="宋体"/>
                <w:bCs/>
                <w:sz w:val="18"/>
                <w:szCs w:val="18"/>
              </w:rPr>
              <w:t>验证性</w:t>
            </w:r>
          </w:p>
        </w:tc>
        <w:tc>
          <w:tcPr>
            <w:tcW w:w="449" w:type="pct"/>
            <w:vAlign w:val="center"/>
          </w:tcPr>
          <w:p>
            <w:pPr>
              <w:spacing w:line="420" w:lineRule="exact"/>
              <w:jc w:val="center"/>
              <w:rPr>
                <w:rFonts w:hint="eastAsia"/>
                <w:bCs/>
                <w:sz w:val="18"/>
                <w:szCs w:val="18"/>
              </w:rPr>
            </w:pPr>
            <w:r>
              <w:rPr>
                <w:rFonts w:hint="eastAsia"/>
                <w:bCs/>
                <w:sz w:val="18"/>
                <w:szCs w:val="18"/>
              </w:rPr>
              <w:t>必做</w:t>
            </w:r>
          </w:p>
        </w:tc>
        <w:tc>
          <w:tcPr>
            <w:tcW w:w="516" w:type="pct"/>
            <w:vAlign w:val="center"/>
          </w:tcPr>
          <w:p>
            <w:pPr>
              <w:spacing w:line="420" w:lineRule="exact"/>
              <w:jc w:val="center"/>
              <w:rPr>
                <w:rFonts w:hint="eastAsia" w:cs="Calibri"/>
                <w:bCs/>
                <w:color w:val="000000"/>
                <w:sz w:val="18"/>
                <w:szCs w:val="18"/>
              </w:rPr>
            </w:pPr>
            <w:r>
              <w:rPr>
                <w:rFonts w:hint="eastAsia" w:cs="Calibri"/>
                <w:bCs/>
                <w:color w:val="000000"/>
                <w:sz w:val="18"/>
                <w:szCs w:val="18"/>
              </w:rPr>
              <w:t>2</w:t>
            </w:r>
          </w:p>
        </w:tc>
        <w:tc>
          <w:tcPr>
            <w:tcW w:w="672" w:type="pct"/>
            <w:vAlign w:val="center"/>
          </w:tcPr>
          <w:p>
            <w:pPr>
              <w:spacing w:line="420" w:lineRule="exact"/>
              <w:jc w:val="center"/>
              <w:rPr>
                <w:rFonts w:cs="Calibri"/>
                <w:bCs/>
                <w:color w:val="000000"/>
                <w:sz w:val="18"/>
                <w:szCs w:val="18"/>
              </w:rPr>
            </w:pPr>
            <w:r>
              <w:rPr>
                <w:rFonts w:hint="eastAsia" w:cs="Calibri"/>
                <w:bCs/>
                <w:color w:val="000000"/>
                <w:sz w:val="18"/>
                <w:szCs w:val="18"/>
              </w:rPr>
              <w:t>5-</w:t>
            </w:r>
            <w:r>
              <w:rPr>
                <w:rFonts w:cs="Calibri"/>
                <w:bCs/>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85" w:type="pct"/>
            <w:vAlign w:val="center"/>
          </w:tcPr>
          <w:p>
            <w:pPr>
              <w:spacing w:line="420" w:lineRule="exact"/>
              <w:jc w:val="center"/>
              <w:rPr>
                <w:rFonts w:hint="eastAsia"/>
                <w:bCs/>
                <w:sz w:val="18"/>
                <w:szCs w:val="18"/>
              </w:rPr>
            </w:pPr>
            <w:r>
              <w:rPr>
                <w:rFonts w:hint="eastAsia"/>
                <w:bCs/>
                <w:sz w:val="18"/>
                <w:szCs w:val="18"/>
              </w:rPr>
              <w:t>4</w:t>
            </w:r>
          </w:p>
        </w:tc>
        <w:tc>
          <w:tcPr>
            <w:tcW w:w="2117" w:type="pct"/>
            <w:vAlign w:val="center"/>
          </w:tcPr>
          <w:p>
            <w:pPr>
              <w:spacing w:line="420" w:lineRule="exact"/>
              <w:jc w:val="left"/>
              <w:rPr>
                <w:rFonts w:hint="eastAsia"/>
                <w:bCs/>
                <w:sz w:val="18"/>
                <w:szCs w:val="18"/>
              </w:rPr>
            </w:pPr>
            <w:r>
              <w:rPr>
                <w:rFonts w:hint="eastAsia"/>
                <w:bCs/>
                <w:sz w:val="18"/>
                <w:szCs w:val="18"/>
              </w:rPr>
              <w:t>PyTorch环境安装与利用PyTorch实现量化交易</w:t>
            </w:r>
          </w:p>
        </w:tc>
        <w:tc>
          <w:tcPr>
            <w:tcW w:w="387" w:type="pct"/>
            <w:vAlign w:val="center"/>
          </w:tcPr>
          <w:p>
            <w:pPr>
              <w:spacing w:line="420" w:lineRule="exact"/>
              <w:jc w:val="center"/>
              <w:rPr>
                <w:bCs/>
                <w:sz w:val="18"/>
                <w:szCs w:val="18"/>
              </w:rPr>
            </w:pPr>
            <w:r>
              <w:rPr>
                <w:rFonts w:hint="eastAsia"/>
                <w:bCs/>
                <w:sz w:val="18"/>
                <w:szCs w:val="18"/>
              </w:rPr>
              <w:t>2</w:t>
            </w:r>
          </w:p>
        </w:tc>
        <w:tc>
          <w:tcPr>
            <w:tcW w:w="474" w:type="pct"/>
            <w:vAlign w:val="center"/>
          </w:tcPr>
          <w:p>
            <w:pPr>
              <w:spacing w:line="420" w:lineRule="exact"/>
              <w:jc w:val="center"/>
              <w:rPr>
                <w:rFonts w:hint="eastAsia" w:hAnsi="宋体"/>
                <w:bCs/>
                <w:sz w:val="18"/>
                <w:szCs w:val="18"/>
              </w:rPr>
            </w:pPr>
            <w:r>
              <w:rPr>
                <w:rFonts w:hint="eastAsia" w:hAnsi="宋体"/>
                <w:bCs/>
                <w:sz w:val="18"/>
                <w:szCs w:val="18"/>
              </w:rPr>
              <w:t>验证性</w:t>
            </w:r>
          </w:p>
        </w:tc>
        <w:tc>
          <w:tcPr>
            <w:tcW w:w="449" w:type="pct"/>
            <w:vAlign w:val="center"/>
          </w:tcPr>
          <w:p>
            <w:pPr>
              <w:spacing w:line="420" w:lineRule="exact"/>
              <w:jc w:val="center"/>
              <w:rPr>
                <w:rFonts w:hint="eastAsia"/>
                <w:bCs/>
                <w:sz w:val="18"/>
                <w:szCs w:val="18"/>
              </w:rPr>
            </w:pPr>
            <w:r>
              <w:rPr>
                <w:rFonts w:hint="eastAsia"/>
                <w:bCs/>
                <w:sz w:val="18"/>
                <w:szCs w:val="18"/>
              </w:rPr>
              <w:t>必做</w:t>
            </w:r>
          </w:p>
        </w:tc>
        <w:tc>
          <w:tcPr>
            <w:tcW w:w="516" w:type="pct"/>
            <w:vAlign w:val="center"/>
          </w:tcPr>
          <w:p>
            <w:pPr>
              <w:spacing w:line="420" w:lineRule="exact"/>
              <w:jc w:val="center"/>
              <w:rPr>
                <w:rFonts w:hint="eastAsia" w:cs="Calibri"/>
                <w:bCs/>
                <w:color w:val="000000"/>
                <w:sz w:val="18"/>
                <w:szCs w:val="18"/>
              </w:rPr>
            </w:pPr>
            <w:r>
              <w:rPr>
                <w:rFonts w:hint="eastAsia" w:cs="Calibri"/>
                <w:bCs/>
                <w:color w:val="000000"/>
                <w:sz w:val="18"/>
                <w:szCs w:val="18"/>
              </w:rPr>
              <w:t>2</w:t>
            </w:r>
          </w:p>
        </w:tc>
        <w:tc>
          <w:tcPr>
            <w:tcW w:w="672" w:type="pct"/>
            <w:vAlign w:val="center"/>
          </w:tcPr>
          <w:p>
            <w:pPr>
              <w:spacing w:line="420" w:lineRule="exact"/>
              <w:jc w:val="center"/>
              <w:rPr>
                <w:rFonts w:cs="Calibri"/>
                <w:bCs/>
                <w:color w:val="000000"/>
                <w:sz w:val="18"/>
                <w:szCs w:val="18"/>
              </w:rPr>
            </w:pPr>
            <w:r>
              <w:rPr>
                <w:rFonts w:hint="eastAsia" w:cs="Calibri"/>
                <w:bCs/>
                <w:color w:val="000000"/>
                <w:sz w:val="18"/>
                <w:szCs w:val="18"/>
              </w:rPr>
              <w:t>5-</w:t>
            </w:r>
            <w:r>
              <w:rPr>
                <w:rFonts w:cs="Calibri"/>
                <w:bCs/>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85" w:type="pct"/>
            <w:vAlign w:val="center"/>
          </w:tcPr>
          <w:p>
            <w:pPr>
              <w:spacing w:line="420" w:lineRule="exact"/>
              <w:jc w:val="center"/>
              <w:rPr>
                <w:rFonts w:hint="eastAsia"/>
                <w:bCs/>
                <w:sz w:val="18"/>
                <w:szCs w:val="18"/>
              </w:rPr>
            </w:pPr>
            <w:r>
              <w:rPr>
                <w:bCs/>
                <w:sz w:val="18"/>
                <w:szCs w:val="18"/>
              </w:rPr>
              <w:t>5</w:t>
            </w:r>
          </w:p>
        </w:tc>
        <w:tc>
          <w:tcPr>
            <w:tcW w:w="2117" w:type="pct"/>
            <w:vAlign w:val="center"/>
          </w:tcPr>
          <w:p>
            <w:pPr>
              <w:spacing w:line="420" w:lineRule="exact"/>
              <w:jc w:val="left"/>
              <w:rPr>
                <w:bCs/>
                <w:sz w:val="18"/>
                <w:szCs w:val="18"/>
              </w:rPr>
            </w:pPr>
            <w:bookmarkStart w:id="77" w:name="_Hlk79084310"/>
            <w:r>
              <w:rPr>
                <w:rFonts w:hint="eastAsia" w:hAnsi="宋体"/>
                <w:bCs/>
                <w:sz w:val="18"/>
                <w:szCs w:val="18"/>
              </w:rPr>
              <w:t>使用numpy库进行矩阵创建及各种计算</w:t>
            </w:r>
            <w:bookmarkEnd w:id="77"/>
          </w:p>
        </w:tc>
        <w:tc>
          <w:tcPr>
            <w:tcW w:w="387" w:type="pct"/>
            <w:vAlign w:val="center"/>
          </w:tcPr>
          <w:p>
            <w:pPr>
              <w:spacing w:line="420" w:lineRule="exact"/>
              <w:ind w:firstLine="180" w:firstLineChars="100"/>
              <w:rPr>
                <w:bCs/>
                <w:sz w:val="18"/>
                <w:szCs w:val="18"/>
              </w:rPr>
            </w:pPr>
            <w:r>
              <w:rPr>
                <w:rFonts w:hint="eastAsia"/>
                <w:bCs/>
                <w:sz w:val="18"/>
                <w:szCs w:val="18"/>
              </w:rPr>
              <w:t>2</w:t>
            </w:r>
          </w:p>
        </w:tc>
        <w:tc>
          <w:tcPr>
            <w:tcW w:w="474" w:type="pct"/>
            <w:vAlign w:val="center"/>
          </w:tcPr>
          <w:p>
            <w:pPr>
              <w:spacing w:line="420" w:lineRule="exact"/>
              <w:jc w:val="center"/>
              <w:rPr>
                <w:rFonts w:hAnsi="宋体"/>
                <w:bCs/>
                <w:sz w:val="18"/>
                <w:szCs w:val="18"/>
              </w:rPr>
            </w:pPr>
            <w:r>
              <w:rPr>
                <w:rFonts w:hint="eastAsia" w:hAnsi="宋体"/>
                <w:bCs/>
                <w:sz w:val="18"/>
                <w:szCs w:val="18"/>
              </w:rPr>
              <w:t>验证性</w:t>
            </w:r>
          </w:p>
        </w:tc>
        <w:tc>
          <w:tcPr>
            <w:tcW w:w="449" w:type="pct"/>
            <w:vAlign w:val="center"/>
          </w:tcPr>
          <w:p>
            <w:pPr>
              <w:spacing w:line="420" w:lineRule="exact"/>
              <w:jc w:val="center"/>
              <w:rPr>
                <w:bCs/>
                <w:sz w:val="18"/>
                <w:szCs w:val="18"/>
              </w:rPr>
            </w:pPr>
            <w:r>
              <w:rPr>
                <w:rFonts w:hint="eastAsia" w:hAnsi="宋体"/>
                <w:bCs/>
                <w:sz w:val="18"/>
                <w:szCs w:val="18"/>
              </w:rPr>
              <w:t>必做</w:t>
            </w:r>
          </w:p>
        </w:tc>
        <w:tc>
          <w:tcPr>
            <w:tcW w:w="516" w:type="pct"/>
            <w:vAlign w:val="center"/>
          </w:tcPr>
          <w:p>
            <w:pPr>
              <w:spacing w:line="420" w:lineRule="exact"/>
              <w:jc w:val="center"/>
              <w:rPr>
                <w:rFonts w:hint="eastAsia" w:cs="Calibri"/>
                <w:bCs/>
                <w:color w:val="000000"/>
                <w:sz w:val="18"/>
                <w:szCs w:val="18"/>
              </w:rPr>
            </w:pPr>
            <w:r>
              <w:rPr>
                <w:rFonts w:hint="eastAsia" w:cs="Calibri"/>
                <w:bCs/>
                <w:color w:val="000000"/>
                <w:sz w:val="18"/>
                <w:szCs w:val="18"/>
              </w:rPr>
              <w:t>2</w:t>
            </w:r>
          </w:p>
        </w:tc>
        <w:tc>
          <w:tcPr>
            <w:tcW w:w="672" w:type="pct"/>
            <w:vAlign w:val="center"/>
          </w:tcPr>
          <w:p>
            <w:pPr>
              <w:spacing w:line="420" w:lineRule="exact"/>
              <w:jc w:val="center"/>
              <w:rPr>
                <w:rFonts w:cs="Calibri"/>
                <w:bCs/>
                <w:color w:val="000000"/>
                <w:sz w:val="18"/>
                <w:szCs w:val="18"/>
              </w:rPr>
            </w:pPr>
            <w:r>
              <w:rPr>
                <w:rFonts w:hint="eastAsia" w:cs="Calibri"/>
                <w:bCs/>
                <w:color w:val="000000"/>
                <w:sz w:val="18"/>
                <w:szCs w:val="18"/>
              </w:rPr>
              <w:t>5-</w:t>
            </w:r>
            <w:r>
              <w:rPr>
                <w:rFonts w:cs="Calibri"/>
                <w:bCs/>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85" w:type="pct"/>
            <w:vAlign w:val="center"/>
          </w:tcPr>
          <w:p>
            <w:pPr>
              <w:spacing w:line="420" w:lineRule="exact"/>
              <w:jc w:val="center"/>
              <w:rPr>
                <w:rFonts w:hint="eastAsia"/>
                <w:bCs/>
                <w:sz w:val="18"/>
                <w:szCs w:val="18"/>
              </w:rPr>
            </w:pPr>
            <w:r>
              <w:rPr>
                <w:bCs/>
                <w:sz w:val="18"/>
                <w:szCs w:val="18"/>
              </w:rPr>
              <w:t>6</w:t>
            </w:r>
          </w:p>
        </w:tc>
        <w:tc>
          <w:tcPr>
            <w:tcW w:w="2117" w:type="pct"/>
            <w:vAlign w:val="center"/>
          </w:tcPr>
          <w:p>
            <w:pPr>
              <w:spacing w:line="420" w:lineRule="exact"/>
              <w:jc w:val="left"/>
              <w:rPr>
                <w:rFonts w:hint="eastAsia" w:hAnsi="宋体"/>
                <w:bCs/>
                <w:sz w:val="18"/>
                <w:szCs w:val="18"/>
              </w:rPr>
            </w:pPr>
            <w:bookmarkStart w:id="78" w:name="_Hlk79084454"/>
            <w:r>
              <w:rPr>
                <w:rFonts w:hint="eastAsia" w:hAnsi="宋体"/>
                <w:bCs/>
                <w:sz w:val="18"/>
                <w:szCs w:val="18"/>
              </w:rPr>
              <w:t>使用pandas库实现二维数组创建与DataFrame操作</w:t>
            </w:r>
            <w:bookmarkEnd w:id="78"/>
          </w:p>
        </w:tc>
        <w:tc>
          <w:tcPr>
            <w:tcW w:w="387" w:type="pct"/>
            <w:vAlign w:val="center"/>
          </w:tcPr>
          <w:p>
            <w:pPr>
              <w:spacing w:line="420" w:lineRule="exact"/>
              <w:ind w:firstLine="180" w:firstLineChars="100"/>
              <w:rPr>
                <w:rFonts w:hint="eastAsia"/>
                <w:bCs/>
                <w:sz w:val="18"/>
                <w:szCs w:val="18"/>
              </w:rPr>
            </w:pPr>
            <w:r>
              <w:rPr>
                <w:rFonts w:hint="eastAsia"/>
                <w:bCs/>
                <w:sz w:val="18"/>
                <w:szCs w:val="18"/>
              </w:rPr>
              <w:t>2</w:t>
            </w:r>
          </w:p>
        </w:tc>
        <w:tc>
          <w:tcPr>
            <w:tcW w:w="474" w:type="pct"/>
            <w:vAlign w:val="center"/>
          </w:tcPr>
          <w:p>
            <w:pPr>
              <w:spacing w:line="420" w:lineRule="exact"/>
              <w:jc w:val="center"/>
              <w:rPr>
                <w:rFonts w:hint="eastAsia" w:hAnsi="宋体"/>
                <w:bCs/>
                <w:sz w:val="18"/>
                <w:szCs w:val="18"/>
              </w:rPr>
            </w:pPr>
            <w:r>
              <w:rPr>
                <w:rFonts w:hint="eastAsia" w:hAnsi="宋体"/>
                <w:bCs/>
                <w:sz w:val="18"/>
                <w:szCs w:val="18"/>
              </w:rPr>
              <w:t>验证性</w:t>
            </w:r>
          </w:p>
        </w:tc>
        <w:tc>
          <w:tcPr>
            <w:tcW w:w="449" w:type="pct"/>
            <w:vAlign w:val="center"/>
          </w:tcPr>
          <w:p>
            <w:pPr>
              <w:spacing w:line="420" w:lineRule="exact"/>
              <w:jc w:val="center"/>
              <w:rPr>
                <w:rFonts w:hint="eastAsia" w:hAnsi="宋体"/>
                <w:bCs/>
                <w:sz w:val="18"/>
                <w:szCs w:val="18"/>
              </w:rPr>
            </w:pPr>
            <w:r>
              <w:rPr>
                <w:rFonts w:hint="eastAsia" w:hAnsi="宋体"/>
                <w:bCs/>
                <w:sz w:val="18"/>
                <w:szCs w:val="18"/>
              </w:rPr>
              <w:t>必做</w:t>
            </w:r>
          </w:p>
        </w:tc>
        <w:tc>
          <w:tcPr>
            <w:tcW w:w="516" w:type="pct"/>
            <w:vAlign w:val="center"/>
          </w:tcPr>
          <w:p>
            <w:pPr>
              <w:spacing w:line="420" w:lineRule="exact"/>
              <w:jc w:val="center"/>
              <w:rPr>
                <w:rFonts w:hint="eastAsia" w:cs="Calibri"/>
                <w:bCs/>
                <w:color w:val="000000"/>
                <w:sz w:val="18"/>
                <w:szCs w:val="18"/>
              </w:rPr>
            </w:pPr>
            <w:r>
              <w:rPr>
                <w:rFonts w:hint="eastAsia" w:cs="Calibri"/>
                <w:bCs/>
                <w:color w:val="000000"/>
                <w:sz w:val="18"/>
                <w:szCs w:val="18"/>
              </w:rPr>
              <w:t>2</w:t>
            </w:r>
          </w:p>
        </w:tc>
        <w:tc>
          <w:tcPr>
            <w:tcW w:w="672" w:type="pct"/>
            <w:vAlign w:val="center"/>
          </w:tcPr>
          <w:p>
            <w:pPr>
              <w:spacing w:line="420" w:lineRule="exact"/>
              <w:jc w:val="center"/>
              <w:rPr>
                <w:rFonts w:cs="Calibri"/>
                <w:bCs/>
                <w:color w:val="000000"/>
                <w:sz w:val="18"/>
                <w:szCs w:val="18"/>
              </w:rPr>
            </w:pPr>
            <w:r>
              <w:rPr>
                <w:rFonts w:hint="eastAsia" w:cs="Calibri"/>
                <w:bCs/>
                <w:color w:val="000000"/>
                <w:sz w:val="18"/>
                <w:szCs w:val="18"/>
              </w:rPr>
              <w:t>5-</w:t>
            </w:r>
            <w:r>
              <w:rPr>
                <w:rFonts w:cs="Calibri"/>
                <w:bCs/>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85" w:type="pct"/>
            <w:vAlign w:val="center"/>
          </w:tcPr>
          <w:p>
            <w:pPr>
              <w:spacing w:line="420" w:lineRule="exact"/>
              <w:jc w:val="center"/>
              <w:rPr>
                <w:rFonts w:hint="eastAsia"/>
                <w:bCs/>
                <w:sz w:val="18"/>
                <w:szCs w:val="18"/>
              </w:rPr>
            </w:pPr>
            <w:r>
              <w:rPr>
                <w:bCs/>
                <w:sz w:val="18"/>
                <w:szCs w:val="18"/>
              </w:rPr>
              <w:t>7</w:t>
            </w:r>
          </w:p>
        </w:tc>
        <w:tc>
          <w:tcPr>
            <w:tcW w:w="2117" w:type="pct"/>
            <w:vAlign w:val="center"/>
          </w:tcPr>
          <w:p>
            <w:pPr>
              <w:spacing w:line="420" w:lineRule="exact"/>
              <w:jc w:val="left"/>
              <w:rPr>
                <w:rFonts w:hint="eastAsia" w:hAnsi="宋体"/>
                <w:bCs/>
                <w:sz w:val="18"/>
                <w:szCs w:val="18"/>
              </w:rPr>
            </w:pPr>
            <w:r>
              <w:rPr>
                <w:rFonts w:hint="eastAsia" w:hAnsi="宋体"/>
                <w:bCs/>
                <w:sz w:val="18"/>
                <w:szCs w:val="18"/>
              </w:rPr>
              <w:t>DataFrame数据处理与分析程序设计</w:t>
            </w:r>
          </w:p>
        </w:tc>
        <w:tc>
          <w:tcPr>
            <w:tcW w:w="387" w:type="pct"/>
            <w:vAlign w:val="center"/>
          </w:tcPr>
          <w:p>
            <w:pPr>
              <w:spacing w:line="420" w:lineRule="exact"/>
              <w:ind w:firstLine="180" w:firstLineChars="100"/>
              <w:rPr>
                <w:rFonts w:hint="eastAsia"/>
                <w:bCs/>
                <w:sz w:val="18"/>
                <w:szCs w:val="18"/>
              </w:rPr>
            </w:pPr>
            <w:r>
              <w:rPr>
                <w:rFonts w:hint="eastAsia"/>
                <w:bCs/>
                <w:sz w:val="18"/>
                <w:szCs w:val="18"/>
              </w:rPr>
              <w:t>2</w:t>
            </w:r>
          </w:p>
        </w:tc>
        <w:tc>
          <w:tcPr>
            <w:tcW w:w="474" w:type="pct"/>
            <w:vAlign w:val="center"/>
          </w:tcPr>
          <w:p>
            <w:pPr>
              <w:spacing w:line="420" w:lineRule="exact"/>
              <w:jc w:val="center"/>
              <w:rPr>
                <w:rFonts w:hint="eastAsia" w:hAnsi="宋体"/>
                <w:bCs/>
                <w:sz w:val="18"/>
                <w:szCs w:val="18"/>
              </w:rPr>
            </w:pPr>
            <w:r>
              <w:rPr>
                <w:rFonts w:hint="eastAsia" w:hAnsi="宋体"/>
                <w:bCs/>
                <w:sz w:val="18"/>
                <w:szCs w:val="18"/>
              </w:rPr>
              <w:t>验证性</w:t>
            </w:r>
          </w:p>
        </w:tc>
        <w:tc>
          <w:tcPr>
            <w:tcW w:w="449" w:type="pct"/>
            <w:vAlign w:val="center"/>
          </w:tcPr>
          <w:p>
            <w:pPr>
              <w:spacing w:line="420" w:lineRule="exact"/>
              <w:jc w:val="center"/>
              <w:rPr>
                <w:rFonts w:hint="eastAsia" w:hAnsi="宋体"/>
                <w:bCs/>
                <w:sz w:val="18"/>
                <w:szCs w:val="18"/>
              </w:rPr>
            </w:pPr>
            <w:r>
              <w:rPr>
                <w:rFonts w:hint="eastAsia" w:hAnsi="宋体"/>
                <w:bCs/>
                <w:sz w:val="18"/>
                <w:szCs w:val="18"/>
              </w:rPr>
              <w:t>必做</w:t>
            </w:r>
          </w:p>
        </w:tc>
        <w:tc>
          <w:tcPr>
            <w:tcW w:w="516" w:type="pct"/>
            <w:vAlign w:val="center"/>
          </w:tcPr>
          <w:p>
            <w:pPr>
              <w:spacing w:line="420" w:lineRule="exact"/>
              <w:jc w:val="center"/>
              <w:rPr>
                <w:rFonts w:hint="eastAsia" w:cs="Calibri"/>
                <w:bCs/>
                <w:color w:val="000000"/>
                <w:sz w:val="18"/>
                <w:szCs w:val="18"/>
              </w:rPr>
            </w:pPr>
            <w:r>
              <w:rPr>
                <w:rFonts w:hint="eastAsia" w:cs="Calibri"/>
                <w:bCs/>
                <w:color w:val="000000"/>
                <w:sz w:val="18"/>
                <w:szCs w:val="18"/>
              </w:rPr>
              <w:t>2</w:t>
            </w:r>
          </w:p>
        </w:tc>
        <w:tc>
          <w:tcPr>
            <w:tcW w:w="672" w:type="pct"/>
            <w:vAlign w:val="center"/>
          </w:tcPr>
          <w:p>
            <w:pPr>
              <w:spacing w:line="420" w:lineRule="exact"/>
              <w:jc w:val="center"/>
              <w:rPr>
                <w:rFonts w:cs="Calibri"/>
                <w:bCs/>
                <w:color w:val="000000"/>
                <w:sz w:val="18"/>
                <w:szCs w:val="18"/>
              </w:rPr>
            </w:pPr>
            <w:r>
              <w:rPr>
                <w:rFonts w:hint="eastAsia" w:cs="Calibri"/>
                <w:bCs/>
                <w:color w:val="000000"/>
                <w:sz w:val="18"/>
                <w:szCs w:val="18"/>
              </w:rPr>
              <w:t>5-</w:t>
            </w:r>
            <w:r>
              <w:rPr>
                <w:rFonts w:cs="Calibri"/>
                <w:bCs/>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85" w:type="pct"/>
            <w:vAlign w:val="center"/>
          </w:tcPr>
          <w:p>
            <w:pPr>
              <w:spacing w:line="420" w:lineRule="exact"/>
              <w:jc w:val="center"/>
              <w:rPr>
                <w:rFonts w:hint="eastAsia"/>
                <w:bCs/>
                <w:sz w:val="18"/>
                <w:szCs w:val="18"/>
              </w:rPr>
            </w:pPr>
            <w:r>
              <w:rPr>
                <w:bCs/>
                <w:sz w:val="18"/>
                <w:szCs w:val="18"/>
              </w:rPr>
              <w:t>8</w:t>
            </w:r>
          </w:p>
        </w:tc>
        <w:tc>
          <w:tcPr>
            <w:tcW w:w="2117" w:type="pct"/>
            <w:vAlign w:val="center"/>
          </w:tcPr>
          <w:p>
            <w:pPr>
              <w:spacing w:line="420" w:lineRule="exact"/>
              <w:jc w:val="left"/>
              <w:rPr>
                <w:rFonts w:hint="eastAsia" w:hAnsi="宋体"/>
                <w:bCs/>
                <w:sz w:val="18"/>
                <w:szCs w:val="18"/>
              </w:rPr>
            </w:pPr>
            <w:r>
              <w:rPr>
                <w:rFonts w:hint="eastAsia" w:hAnsi="宋体"/>
                <w:bCs/>
                <w:sz w:val="18"/>
                <w:szCs w:val="18"/>
              </w:rPr>
              <w:t>绘制三维图形</w:t>
            </w:r>
          </w:p>
        </w:tc>
        <w:tc>
          <w:tcPr>
            <w:tcW w:w="387" w:type="pct"/>
            <w:vAlign w:val="center"/>
          </w:tcPr>
          <w:p>
            <w:pPr>
              <w:spacing w:line="420" w:lineRule="exact"/>
              <w:ind w:firstLine="180" w:firstLineChars="100"/>
              <w:rPr>
                <w:rFonts w:hint="eastAsia"/>
                <w:bCs/>
                <w:sz w:val="18"/>
                <w:szCs w:val="18"/>
              </w:rPr>
            </w:pPr>
            <w:r>
              <w:rPr>
                <w:rFonts w:hint="eastAsia"/>
                <w:bCs/>
                <w:sz w:val="18"/>
                <w:szCs w:val="18"/>
              </w:rPr>
              <w:t>2</w:t>
            </w:r>
          </w:p>
        </w:tc>
        <w:tc>
          <w:tcPr>
            <w:tcW w:w="474" w:type="pct"/>
            <w:vAlign w:val="center"/>
          </w:tcPr>
          <w:p>
            <w:pPr>
              <w:spacing w:line="420" w:lineRule="exact"/>
              <w:jc w:val="center"/>
              <w:rPr>
                <w:rFonts w:hint="eastAsia" w:hAnsi="宋体"/>
                <w:bCs/>
                <w:sz w:val="18"/>
                <w:szCs w:val="18"/>
              </w:rPr>
            </w:pPr>
            <w:r>
              <w:rPr>
                <w:rFonts w:hint="eastAsia" w:hAnsi="宋体"/>
                <w:bCs/>
                <w:sz w:val="18"/>
                <w:szCs w:val="18"/>
              </w:rPr>
              <w:t>设计性</w:t>
            </w:r>
          </w:p>
        </w:tc>
        <w:tc>
          <w:tcPr>
            <w:tcW w:w="449" w:type="pct"/>
            <w:vAlign w:val="center"/>
          </w:tcPr>
          <w:p>
            <w:pPr>
              <w:spacing w:line="420" w:lineRule="exact"/>
              <w:jc w:val="center"/>
              <w:rPr>
                <w:rFonts w:hint="eastAsia" w:hAnsi="宋体"/>
                <w:bCs/>
                <w:sz w:val="18"/>
                <w:szCs w:val="18"/>
              </w:rPr>
            </w:pPr>
            <w:r>
              <w:rPr>
                <w:rFonts w:hint="eastAsia" w:hAnsi="宋体"/>
                <w:bCs/>
                <w:sz w:val="18"/>
                <w:szCs w:val="18"/>
              </w:rPr>
              <w:t>必做</w:t>
            </w:r>
          </w:p>
        </w:tc>
        <w:tc>
          <w:tcPr>
            <w:tcW w:w="516" w:type="pct"/>
            <w:vAlign w:val="center"/>
          </w:tcPr>
          <w:p>
            <w:pPr>
              <w:spacing w:line="420" w:lineRule="exact"/>
              <w:jc w:val="center"/>
              <w:rPr>
                <w:rFonts w:hint="eastAsia" w:cs="Calibri"/>
                <w:bCs/>
                <w:color w:val="000000"/>
                <w:sz w:val="18"/>
                <w:szCs w:val="18"/>
              </w:rPr>
            </w:pPr>
            <w:r>
              <w:rPr>
                <w:rFonts w:hint="eastAsia" w:cs="Calibri"/>
                <w:bCs/>
                <w:color w:val="000000"/>
                <w:sz w:val="18"/>
                <w:szCs w:val="18"/>
              </w:rPr>
              <w:t>2</w:t>
            </w:r>
          </w:p>
        </w:tc>
        <w:tc>
          <w:tcPr>
            <w:tcW w:w="672" w:type="pct"/>
            <w:vAlign w:val="center"/>
          </w:tcPr>
          <w:p>
            <w:pPr>
              <w:spacing w:line="420" w:lineRule="exact"/>
              <w:jc w:val="center"/>
              <w:rPr>
                <w:rFonts w:cs="Calibri"/>
                <w:bCs/>
                <w:color w:val="000000"/>
                <w:sz w:val="18"/>
                <w:szCs w:val="18"/>
              </w:rPr>
            </w:pPr>
            <w:r>
              <w:rPr>
                <w:rFonts w:hint="eastAsia" w:cs="Calibri"/>
                <w:bCs/>
                <w:color w:val="000000"/>
                <w:sz w:val="18"/>
                <w:szCs w:val="18"/>
              </w:rPr>
              <w:t>5-</w:t>
            </w:r>
            <w:r>
              <w:rPr>
                <w:rFonts w:cs="Calibri"/>
                <w:bCs/>
                <w:color w:val="000000"/>
                <w:sz w:val="18"/>
                <w:szCs w:val="18"/>
              </w:rPr>
              <w:t>2</w:t>
            </w:r>
          </w:p>
        </w:tc>
      </w:tr>
    </w:tbl>
    <w:p>
      <w:pPr>
        <w:adjustRightInd w:val="0"/>
        <w:snapToGrid w:val="0"/>
        <w:spacing w:line="360" w:lineRule="auto"/>
        <w:ind w:firstLine="420" w:firstLineChars="200"/>
        <w:rPr>
          <w:rFonts w:hint="eastAsia"/>
          <w:szCs w:val="21"/>
          <w:lang w:bidi="ar"/>
        </w:rPr>
      </w:pPr>
    </w:p>
    <w:p>
      <w:pPr>
        <w:adjustRightInd w:val="0"/>
        <w:snapToGrid w:val="0"/>
        <w:spacing w:line="360" w:lineRule="auto"/>
        <w:ind w:firstLine="420" w:firstLineChars="200"/>
        <w:rPr>
          <w:rFonts w:hint="eastAsia"/>
          <w:szCs w:val="21"/>
          <w:lang w:bidi="ar"/>
        </w:rPr>
      </w:pPr>
      <w:r>
        <w:rPr>
          <w:rFonts w:hint="eastAsia"/>
          <w:szCs w:val="21"/>
          <w:lang w:bidi="ar"/>
        </w:rPr>
        <w:t>实验环节主要是上机操作，要求保证上机条件，即具备Python解释器及PyCharm开发工具；要求学生熟炼掌握PyCharm的使用方法；掌握在集成开发环境下排查常见语法错误和编译错误的方法；掌握使用互联网寻找解决方案的能力；预习并上机实现相关实验内容。</w:t>
      </w:r>
    </w:p>
    <w:p>
      <w:pPr>
        <w:adjustRightInd w:val="0"/>
        <w:snapToGrid w:val="0"/>
        <w:spacing w:line="360" w:lineRule="auto"/>
        <w:ind w:firstLine="420" w:firstLineChars="200"/>
        <w:rPr>
          <w:rFonts w:hint="eastAsia"/>
          <w:szCs w:val="21"/>
          <w:lang w:bidi="ar"/>
        </w:rPr>
      </w:pPr>
      <w:r>
        <w:rPr>
          <w:rFonts w:hint="eastAsia"/>
          <w:szCs w:val="21"/>
          <w:lang w:bidi="ar"/>
        </w:rPr>
        <w:t>16个学时共完成</w:t>
      </w:r>
      <w:r>
        <w:rPr>
          <w:szCs w:val="21"/>
          <w:lang w:bidi="ar"/>
        </w:rPr>
        <w:t>8</w:t>
      </w:r>
      <w:r>
        <w:rPr>
          <w:rFonts w:hint="eastAsia"/>
          <w:szCs w:val="21"/>
          <w:lang w:bidi="ar"/>
        </w:rPr>
        <w:t>个实验，均为正常课内实验，最后大作业为独立实验，需要学生在课外补充一些时间来完成。</w:t>
      </w:r>
    </w:p>
    <w:p>
      <w:pPr>
        <w:adjustRightInd w:val="0"/>
        <w:snapToGrid w:val="0"/>
        <w:spacing w:line="360" w:lineRule="auto"/>
        <w:ind w:firstLine="420" w:firstLineChars="200"/>
        <w:rPr>
          <w:rFonts w:hint="eastAsia"/>
          <w:szCs w:val="21"/>
          <w:lang w:bidi="ar"/>
        </w:rPr>
      </w:pPr>
      <w:r>
        <w:rPr>
          <w:rFonts w:hint="eastAsia"/>
          <w:szCs w:val="21"/>
          <w:lang w:bidi="ar"/>
        </w:rPr>
        <w:t>在实验过程中要注重培养学生的诚信意识、创新意识和坚持精神等，通过实验使学生能够理论联系实际，灵活运用所学知识，严谨认真，精益求精，养成良好的设计习惯。</w:t>
      </w:r>
    </w:p>
    <w:p>
      <w:pPr>
        <w:spacing w:line="360" w:lineRule="auto"/>
        <w:ind w:firstLine="422" w:firstLineChars="200"/>
        <w:rPr>
          <w:rFonts w:hint="eastAsia" w:ascii="宋体" w:hAnsi="宋体"/>
          <w:b/>
          <w:color w:val="000000"/>
          <w:szCs w:val="21"/>
        </w:rPr>
      </w:pPr>
      <w:r>
        <w:rPr>
          <w:rFonts w:hint="eastAsia" w:ascii="宋体" w:hAnsi="宋体"/>
          <w:b/>
          <w:color w:val="000000"/>
          <w:szCs w:val="21"/>
        </w:rPr>
        <w:t>实验一、</w:t>
      </w:r>
      <w:r>
        <w:rPr>
          <w:rFonts w:hint="eastAsia" w:ascii="宋体" w:hAnsi="宋体"/>
          <w:b/>
          <w:bCs/>
          <w:szCs w:val="21"/>
        </w:rPr>
        <w:t>Python安装、PyCharm安装及使用</w:t>
      </w:r>
    </w:p>
    <w:p>
      <w:pPr>
        <w:spacing w:line="360" w:lineRule="auto"/>
        <w:ind w:firstLine="420" w:firstLineChars="200"/>
        <w:rPr>
          <w:rFonts w:hint="eastAsia" w:ascii="宋体" w:hAnsi="宋体"/>
          <w:color w:val="000000"/>
          <w:szCs w:val="21"/>
        </w:rPr>
      </w:pPr>
      <w:r>
        <w:rPr>
          <w:rFonts w:hint="eastAsia" w:ascii="宋体" w:hAnsi="宋体"/>
          <w:color w:val="000000"/>
          <w:szCs w:val="21"/>
        </w:rPr>
        <w:t>实验目的：掌握Python及PyCharm的安装方式，掌握Python程序设计步骤，熟练掌握PyCharm开发环境。</w:t>
      </w:r>
    </w:p>
    <w:p>
      <w:pPr>
        <w:spacing w:line="360" w:lineRule="auto"/>
        <w:ind w:firstLine="420" w:firstLineChars="200"/>
        <w:rPr>
          <w:rFonts w:hint="eastAsia" w:ascii="宋体" w:hAnsi="宋体"/>
          <w:color w:val="000000"/>
          <w:szCs w:val="21"/>
        </w:rPr>
      </w:pPr>
      <w:r>
        <w:rPr>
          <w:rFonts w:hint="eastAsia" w:ascii="宋体" w:hAnsi="宋体"/>
          <w:color w:val="000000"/>
          <w:szCs w:val="21"/>
        </w:rPr>
        <w:t>实验原理：安装、编辑、编译、运行。</w:t>
      </w:r>
    </w:p>
    <w:p>
      <w:pPr>
        <w:spacing w:line="360" w:lineRule="auto"/>
        <w:ind w:firstLine="420" w:firstLineChars="200"/>
        <w:rPr>
          <w:rFonts w:hint="eastAsia" w:ascii="宋体" w:hAnsi="宋体"/>
          <w:color w:val="000000"/>
          <w:szCs w:val="21"/>
        </w:rPr>
      </w:pPr>
      <w:r>
        <w:rPr>
          <w:rFonts w:hint="eastAsia" w:ascii="宋体" w:hAnsi="宋体"/>
          <w:color w:val="000000"/>
          <w:szCs w:val="21"/>
        </w:rPr>
        <w:t>实验仪器：计算机。</w:t>
      </w:r>
    </w:p>
    <w:p>
      <w:pPr>
        <w:spacing w:line="360" w:lineRule="auto"/>
        <w:ind w:firstLine="420" w:firstLineChars="200"/>
        <w:rPr>
          <w:rFonts w:hint="eastAsia" w:ascii="宋体" w:hAnsi="宋体"/>
          <w:color w:val="000000"/>
          <w:szCs w:val="21"/>
        </w:rPr>
      </w:pPr>
      <w:r>
        <w:rPr>
          <w:rFonts w:hint="eastAsia" w:ascii="宋体" w:hAnsi="宋体"/>
          <w:color w:val="000000"/>
          <w:szCs w:val="21"/>
        </w:rPr>
        <w:t>实验安排：教师演示Python及PyCharm安装过程，再演示在PyCharm中编写Python程序的步骤，最后指导学生完成安装并学会编写第一个程序。</w:t>
      </w:r>
    </w:p>
    <w:p>
      <w:pPr>
        <w:spacing w:line="360" w:lineRule="auto"/>
        <w:ind w:firstLine="420" w:firstLineChars="200"/>
        <w:rPr>
          <w:rFonts w:ascii="宋体" w:hAnsi="宋体"/>
          <w:color w:val="000000"/>
          <w:szCs w:val="21"/>
        </w:rPr>
      </w:pPr>
      <w:r>
        <w:rPr>
          <w:rFonts w:hint="eastAsia" w:ascii="宋体" w:hAnsi="宋体"/>
          <w:color w:val="000000"/>
          <w:szCs w:val="21"/>
        </w:rPr>
        <w:t>实验报告要求：详细描述Python及PyCharm安装过程及使用PyCharm进行Python程序设计的一般步骤、运行程序及查看结果的操作方法。</w:t>
      </w:r>
    </w:p>
    <w:p>
      <w:pPr>
        <w:spacing w:line="360" w:lineRule="auto"/>
        <w:ind w:firstLine="422" w:firstLineChars="200"/>
        <w:rPr>
          <w:b/>
          <w:color w:val="000000"/>
          <w:szCs w:val="21"/>
        </w:rPr>
      </w:pPr>
      <w:r>
        <w:rPr>
          <w:rFonts w:hint="eastAsia"/>
          <w:b/>
          <w:color w:val="000000"/>
          <w:szCs w:val="21"/>
        </w:rPr>
        <w:t>实验二、</w:t>
      </w:r>
      <w:r>
        <w:rPr>
          <w:rFonts w:hint="eastAsia" w:ascii="宋体" w:hAnsi="宋体"/>
          <w:b/>
          <w:bCs/>
          <w:szCs w:val="21"/>
        </w:rPr>
        <w:t>编写函数模拟轮盘抽奖游戏程序设计</w:t>
      </w:r>
    </w:p>
    <w:p>
      <w:pPr>
        <w:spacing w:line="360" w:lineRule="auto"/>
        <w:ind w:firstLine="420" w:firstLineChars="200"/>
        <w:rPr>
          <w:rFonts w:hint="eastAsia" w:ascii="宋体" w:hAnsi="宋体"/>
          <w:color w:val="000000"/>
          <w:szCs w:val="21"/>
        </w:rPr>
      </w:pPr>
      <w:r>
        <w:rPr>
          <w:rFonts w:hint="eastAsia" w:ascii="宋体" w:hAnsi="宋体"/>
          <w:color w:val="000000"/>
          <w:szCs w:val="21"/>
        </w:rPr>
        <w:t>实验目的：掌握Python中函数编程方法、随机数的使用方法。</w:t>
      </w:r>
    </w:p>
    <w:p>
      <w:pPr>
        <w:spacing w:line="360" w:lineRule="auto"/>
        <w:ind w:firstLine="420" w:firstLineChars="200"/>
        <w:rPr>
          <w:rFonts w:hint="eastAsia" w:ascii="宋体" w:hAnsi="宋体"/>
          <w:color w:val="000000"/>
          <w:szCs w:val="21"/>
        </w:rPr>
      </w:pPr>
      <w:r>
        <w:rPr>
          <w:rFonts w:hint="eastAsia" w:ascii="宋体" w:hAnsi="宋体"/>
          <w:color w:val="000000"/>
          <w:szCs w:val="21"/>
        </w:rPr>
        <w:t>实验原理：Python中函数编程的语法及语义规范，随机数使用方法。</w:t>
      </w:r>
    </w:p>
    <w:p>
      <w:pPr>
        <w:spacing w:line="360" w:lineRule="auto"/>
        <w:ind w:firstLine="420" w:firstLineChars="200"/>
        <w:rPr>
          <w:rFonts w:hint="eastAsia" w:ascii="宋体" w:hAnsi="宋体"/>
          <w:color w:val="000000"/>
          <w:szCs w:val="21"/>
        </w:rPr>
      </w:pPr>
      <w:r>
        <w:rPr>
          <w:rFonts w:hint="eastAsia" w:ascii="宋体" w:hAnsi="宋体"/>
          <w:color w:val="000000"/>
          <w:szCs w:val="21"/>
        </w:rPr>
        <w:t>实验仪器：计算机。</w:t>
      </w:r>
    </w:p>
    <w:p>
      <w:pPr>
        <w:spacing w:line="360" w:lineRule="auto"/>
        <w:ind w:firstLine="420" w:firstLineChars="200"/>
        <w:rPr>
          <w:rFonts w:hint="eastAsia" w:ascii="宋体" w:hAnsi="宋体"/>
          <w:color w:val="000000"/>
          <w:szCs w:val="21"/>
        </w:rPr>
      </w:pPr>
      <w:r>
        <w:rPr>
          <w:rFonts w:hint="eastAsia" w:ascii="宋体" w:hAnsi="宋体"/>
          <w:color w:val="000000"/>
          <w:szCs w:val="21"/>
        </w:rPr>
        <w:t>实验安排：教师介绍Python中函数编程的相关内容及随机数生成方式和使用方式，学生编写相关程序并调试执行得到正确结果。</w:t>
      </w:r>
    </w:p>
    <w:p>
      <w:pPr>
        <w:spacing w:line="360" w:lineRule="auto"/>
        <w:ind w:firstLine="420" w:firstLineChars="200"/>
        <w:rPr>
          <w:rFonts w:hint="eastAsia" w:ascii="宋体" w:hAnsi="宋体"/>
          <w:color w:val="000000"/>
          <w:szCs w:val="21"/>
        </w:rPr>
      </w:pPr>
      <w:r>
        <w:rPr>
          <w:rFonts w:hint="eastAsia" w:ascii="宋体" w:hAnsi="宋体"/>
          <w:color w:val="000000"/>
          <w:szCs w:val="21"/>
        </w:rPr>
        <w:t>实验报告要求：详细分析函数编程的各部分内容，并做结果分析，最终能够完成模块化程序设计。</w:t>
      </w:r>
    </w:p>
    <w:p>
      <w:pPr>
        <w:spacing w:line="360" w:lineRule="auto"/>
        <w:ind w:firstLine="422" w:firstLineChars="200"/>
        <w:rPr>
          <w:b/>
          <w:color w:val="000000"/>
          <w:szCs w:val="21"/>
        </w:rPr>
      </w:pPr>
      <w:r>
        <w:rPr>
          <w:rFonts w:hint="eastAsia"/>
          <w:b/>
          <w:color w:val="000000"/>
          <w:szCs w:val="21"/>
        </w:rPr>
        <w:t>实验三、TensorFlow环境安装与模型建立与训练</w:t>
      </w:r>
    </w:p>
    <w:p>
      <w:pPr>
        <w:spacing w:line="360" w:lineRule="auto"/>
        <w:ind w:firstLine="420" w:firstLineChars="200"/>
        <w:rPr>
          <w:rFonts w:hint="eastAsia" w:ascii="宋体" w:hAnsi="宋体"/>
          <w:color w:val="000000"/>
          <w:szCs w:val="21"/>
        </w:rPr>
      </w:pPr>
      <w:r>
        <w:rPr>
          <w:rFonts w:hint="eastAsia" w:ascii="宋体" w:hAnsi="宋体"/>
          <w:color w:val="000000"/>
          <w:szCs w:val="21"/>
        </w:rPr>
        <w:t>实验目的：掌握TensorFlow的使用方法。</w:t>
      </w:r>
    </w:p>
    <w:p>
      <w:pPr>
        <w:spacing w:line="360" w:lineRule="auto"/>
        <w:ind w:firstLine="420" w:firstLineChars="200"/>
        <w:rPr>
          <w:rFonts w:hint="eastAsia" w:ascii="宋体" w:hAnsi="宋体"/>
          <w:color w:val="000000"/>
          <w:szCs w:val="21"/>
        </w:rPr>
      </w:pPr>
      <w:r>
        <w:rPr>
          <w:rFonts w:hint="eastAsia" w:ascii="宋体" w:hAnsi="宋体"/>
          <w:color w:val="000000"/>
          <w:szCs w:val="21"/>
        </w:rPr>
        <w:t>实验原理：TensorFlow库的安装及使用方法。</w:t>
      </w:r>
    </w:p>
    <w:p>
      <w:pPr>
        <w:spacing w:line="360" w:lineRule="auto"/>
        <w:ind w:firstLine="420" w:firstLineChars="200"/>
        <w:rPr>
          <w:rFonts w:hint="eastAsia" w:ascii="宋体" w:hAnsi="宋体"/>
          <w:color w:val="000000"/>
          <w:szCs w:val="21"/>
        </w:rPr>
      </w:pPr>
      <w:r>
        <w:rPr>
          <w:rFonts w:hint="eastAsia" w:ascii="宋体" w:hAnsi="宋体"/>
          <w:color w:val="000000"/>
          <w:szCs w:val="21"/>
        </w:rPr>
        <w:t>实验仪器：计算机。</w:t>
      </w:r>
    </w:p>
    <w:p>
      <w:pPr>
        <w:spacing w:line="360" w:lineRule="auto"/>
        <w:ind w:firstLine="420" w:firstLineChars="200"/>
        <w:rPr>
          <w:rFonts w:hint="eastAsia" w:ascii="宋体" w:hAnsi="宋体"/>
          <w:color w:val="000000"/>
          <w:szCs w:val="21"/>
        </w:rPr>
      </w:pPr>
      <w:r>
        <w:rPr>
          <w:rFonts w:hint="eastAsia" w:ascii="宋体" w:hAnsi="宋体"/>
          <w:color w:val="000000"/>
          <w:szCs w:val="21"/>
        </w:rPr>
        <w:t>实验安排：教师介绍TensorFlow库的安装方式和使用方式，学生编写相关程序并调试执行得到正确结果。</w:t>
      </w:r>
    </w:p>
    <w:p>
      <w:pPr>
        <w:spacing w:line="360" w:lineRule="auto"/>
        <w:ind w:firstLine="420" w:firstLineChars="200"/>
        <w:rPr>
          <w:rFonts w:hint="eastAsia" w:ascii="宋体" w:hAnsi="宋体"/>
          <w:color w:val="000000"/>
          <w:szCs w:val="21"/>
        </w:rPr>
      </w:pPr>
      <w:r>
        <w:rPr>
          <w:rFonts w:hint="eastAsia" w:ascii="宋体" w:hAnsi="宋体"/>
          <w:color w:val="000000"/>
          <w:szCs w:val="21"/>
        </w:rPr>
        <w:t>实验报告要求：详细分析TensorFlow编程的各部分内容，并做结果分析，最终能够完成TensorFlow程序设计。</w:t>
      </w:r>
    </w:p>
    <w:p>
      <w:pPr>
        <w:spacing w:line="360" w:lineRule="auto"/>
        <w:ind w:firstLine="422" w:firstLineChars="200"/>
        <w:rPr>
          <w:b/>
          <w:color w:val="000000"/>
          <w:szCs w:val="21"/>
        </w:rPr>
      </w:pPr>
      <w:r>
        <w:rPr>
          <w:rFonts w:hint="eastAsia"/>
          <w:b/>
          <w:color w:val="000000"/>
          <w:szCs w:val="21"/>
        </w:rPr>
        <w:t>实验四、PyTorch环境安装与利用PyTorch实现量化交易</w:t>
      </w:r>
    </w:p>
    <w:p>
      <w:pPr>
        <w:spacing w:line="360" w:lineRule="auto"/>
        <w:ind w:firstLine="420" w:firstLineChars="200"/>
        <w:rPr>
          <w:rFonts w:hint="eastAsia" w:ascii="宋体" w:hAnsi="宋体"/>
          <w:color w:val="000000"/>
          <w:szCs w:val="21"/>
        </w:rPr>
      </w:pPr>
      <w:r>
        <w:rPr>
          <w:rFonts w:hint="eastAsia" w:ascii="宋体" w:hAnsi="宋体"/>
          <w:color w:val="000000"/>
          <w:szCs w:val="21"/>
        </w:rPr>
        <w:t>实验目的：掌握PyTorch的使用方法。</w:t>
      </w:r>
    </w:p>
    <w:p>
      <w:pPr>
        <w:spacing w:line="360" w:lineRule="auto"/>
        <w:ind w:firstLine="420" w:firstLineChars="200"/>
        <w:rPr>
          <w:rFonts w:hint="eastAsia" w:ascii="宋体" w:hAnsi="宋体"/>
          <w:color w:val="000000"/>
          <w:szCs w:val="21"/>
        </w:rPr>
      </w:pPr>
      <w:r>
        <w:rPr>
          <w:rFonts w:hint="eastAsia" w:ascii="宋体" w:hAnsi="宋体"/>
          <w:color w:val="000000"/>
          <w:szCs w:val="21"/>
        </w:rPr>
        <w:t>实验原理：PyTorch库的安装及使用方法。</w:t>
      </w:r>
    </w:p>
    <w:p>
      <w:pPr>
        <w:spacing w:line="360" w:lineRule="auto"/>
        <w:ind w:firstLine="420" w:firstLineChars="200"/>
        <w:rPr>
          <w:rFonts w:hint="eastAsia" w:ascii="宋体" w:hAnsi="宋体"/>
          <w:color w:val="000000"/>
          <w:szCs w:val="21"/>
        </w:rPr>
      </w:pPr>
      <w:r>
        <w:rPr>
          <w:rFonts w:hint="eastAsia" w:ascii="宋体" w:hAnsi="宋体"/>
          <w:color w:val="000000"/>
          <w:szCs w:val="21"/>
        </w:rPr>
        <w:t>实验仪器：计算机。</w:t>
      </w:r>
    </w:p>
    <w:p>
      <w:pPr>
        <w:spacing w:line="360" w:lineRule="auto"/>
        <w:ind w:firstLine="420" w:firstLineChars="200"/>
        <w:rPr>
          <w:rFonts w:hint="eastAsia" w:ascii="宋体" w:hAnsi="宋体"/>
          <w:color w:val="000000"/>
          <w:szCs w:val="21"/>
        </w:rPr>
      </w:pPr>
      <w:r>
        <w:rPr>
          <w:rFonts w:hint="eastAsia" w:ascii="宋体" w:hAnsi="宋体"/>
          <w:color w:val="000000"/>
          <w:szCs w:val="21"/>
        </w:rPr>
        <w:t>实验安排：教师介绍PyTorch库的安装方式和使用方式，学生编写相关程序并调试执行得到正确结果。</w:t>
      </w:r>
    </w:p>
    <w:p>
      <w:pPr>
        <w:spacing w:line="360" w:lineRule="auto"/>
        <w:ind w:firstLine="420" w:firstLineChars="200"/>
        <w:rPr>
          <w:rFonts w:hint="eastAsia" w:ascii="宋体" w:hAnsi="宋体"/>
          <w:color w:val="000000"/>
          <w:szCs w:val="21"/>
        </w:rPr>
      </w:pPr>
      <w:r>
        <w:rPr>
          <w:rFonts w:hint="eastAsia" w:ascii="宋体" w:hAnsi="宋体"/>
          <w:color w:val="000000"/>
          <w:szCs w:val="21"/>
        </w:rPr>
        <w:t>实验报告要求：详细分析PyTorch编程的各部分内容，并做结果分析，最终能够完成PyTorch程序设计。</w:t>
      </w:r>
    </w:p>
    <w:p>
      <w:pPr>
        <w:spacing w:line="360" w:lineRule="auto"/>
        <w:ind w:firstLine="422" w:firstLineChars="200"/>
        <w:rPr>
          <w:rFonts w:ascii="宋体" w:hAnsi="宋体"/>
          <w:b/>
          <w:bCs/>
          <w:color w:val="000000"/>
          <w:szCs w:val="21"/>
        </w:rPr>
      </w:pPr>
      <w:r>
        <w:rPr>
          <w:rFonts w:hint="eastAsia" w:ascii="宋体" w:hAnsi="宋体"/>
          <w:b/>
          <w:bCs/>
          <w:color w:val="000000"/>
          <w:szCs w:val="21"/>
        </w:rPr>
        <w:t>实验五、使用numpy库进行矩阵创建及各种计算</w:t>
      </w:r>
    </w:p>
    <w:p>
      <w:pPr>
        <w:spacing w:line="360" w:lineRule="auto"/>
        <w:ind w:firstLine="420" w:firstLineChars="200"/>
        <w:rPr>
          <w:rFonts w:hint="eastAsia" w:ascii="宋体" w:hAnsi="宋体"/>
          <w:color w:val="000000"/>
          <w:szCs w:val="21"/>
        </w:rPr>
      </w:pPr>
      <w:r>
        <w:rPr>
          <w:rFonts w:hint="eastAsia" w:ascii="宋体" w:hAnsi="宋体"/>
          <w:color w:val="000000"/>
          <w:szCs w:val="21"/>
        </w:rPr>
        <w:t>实验目的：掌握numpy库进行矩阵创建与各种计算的基本概念及实现方式。</w:t>
      </w:r>
    </w:p>
    <w:p>
      <w:pPr>
        <w:spacing w:line="360" w:lineRule="auto"/>
        <w:ind w:firstLine="420" w:firstLineChars="200"/>
        <w:rPr>
          <w:rFonts w:hint="eastAsia" w:ascii="宋体" w:hAnsi="宋体"/>
          <w:color w:val="000000"/>
          <w:szCs w:val="21"/>
        </w:rPr>
      </w:pPr>
      <w:r>
        <w:rPr>
          <w:rFonts w:hint="eastAsia" w:ascii="宋体" w:hAnsi="宋体"/>
          <w:color w:val="000000"/>
          <w:szCs w:val="21"/>
        </w:rPr>
        <w:t>实验原理：矩阵创建与各种计算。</w:t>
      </w:r>
    </w:p>
    <w:p>
      <w:pPr>
        <w:spacing w:line="360" w:lineRule="auto"/>
        <w:ind w:firstLine="420" w:firstLineChars="200"/>
        <w:rPr>
          <w:rFonts w:hint="eastAsia" w:ascii="宋体" w:hAnsi="宋体"/>
          <w:color w:val="000000"/>
          <w:szCs w:val="21"/>
        </w:rPr>
      </w:pPr>
      <w:r>
        <w:rPr>
          <w:rFonts w:hint="eastAsia" w:ascii="宋体" w:hAnsi="宋体"/>
          <w:color w:val="000000"/>
          <w:szCs w:val="21"/>
        </w:rPr>
        <w:t>实验仪器：计算机。</w:t>
      </w:r>
    </w:p>
    <w:p>
      <w:pPr>
        <w:spacing w:line="360" w:lineRule="auto"/>
        <w:ind w:firstLine="420" w:firstLineChars="200"/>
        <w:rPr>
          <w:rFonts w:hint="eastAsia" w:ascii="宋体" w:hAnsi="宋体"/>
          <w:color w:val="000000"/>
          <w:szCs w:val="21"/>
        </w:rPr>
      </w:pPr>
      <w:r>
        <w:rPr>
          <w:rFonts w:hint="eastAsia" w:ascii="宋体" w:hAnsi="宋体"/>
          <w:color w:val="000000"/>
          <w:szCs w:val="21"/>
        </w:rPr>
        <w:t>实验安排：教师介绍Python中矩阵创建与各种计算的相关内容和实现方式，学生编写相关程序并调试执行得到正确结果。</w:t>
      </w:r>
    </w:p>
    <w:p>
      <w:pPr>
        <w:spacing w:line="360" w:lineRule="auto"/>
        <w:ind w:firstLine="420" w:firstLineChars="200"/>
        <w:rPr>
          <w:rFonts w:hint="eastAsia" w:ascii="宋体" w:hAnsi="宋体"/>
          <w:color w:val="000000"/>
          <w:szCs w:val="21"/>
        </w:rPr>
      </w:pPr>
      <w:r>
        <w:rPr>
          <w:rFonts w:hint="eastAsia" w:ascii="宋体" w:hAnsi="宋体"/>
          <w:color w:val="000000"/>
          <w:szCs w:val="21"/>
        </w:rPr>
        <w:t>实验报告要求：详细分析使用numpy库进行矩阵创建及各种计算编程的各部分内容，并做结果分析。</w:t>
      </w:r>
    </w:p>
    <w:p>
      <w:pPr>
        <w:spacing w:line="360" w:lineRule="auto"/>
        <w:ind w:firstLine="422" w:firstLineChars="200"/>
        <w:rPr>
          <w:rFonts w:ascii="宋体" w:hAnsi="宋体"/>
          <w:b/>
          <w:bCs/>
          <w:color w:val="000000"/>
          <w:szCs w:val="21"/>
        </w:rPr>
      </w:pPr>
      <w:r>
        <w:rPr>
          <w:rFonts w:hint="eastAsia" w:ascii="宋体" w:hAnsi="宋体"/>
          <w:b/>
          <w:bCs/>
          <w:color w:val="000000"/>
          <w:szCs w:val="21"/>
        </w:rPr>
        <w:t>实验六、使用pandas库实现二维数组创建与DataFrame操作</w:t>
      </w:r>
    </w:p>
    <w:p>
      <w:pPr>
        <w:spacing w:line="360" w:lineRule="auto"/>
        <w:ind w:firstLine="420" w:firstLineChars="200"/>
        <w:rPr>
          <w:rFonts w:ascii="宋体" w:hAnsi="宋体"/>
          <w:color w:val="000000"/>
          <w:szCs w:val="21"/>
        </w:rPr>
      </w:pPr>
      <w:r>
        <w:rPr>
          <w:rFonts w:hint="eastAsia" w:ascii="宋体" w:hAnsi="宋体"/>
          <w:color w:val="000000"/>
          <w:szCs w:val="21"/>
        </w:rPr>
        <w:t>实验目的：掌握pandas库的使用及二维数组创建方式和DataFrame操作。</w:t>
      </w:r>
    </w:p>
    <w:p>
      <w:pPr>
        <w:spacing w:line="360" w:lineRule="auto"/>
        <w:ind w:firstLine="420" w:firstLineChars="200"/>
        <w:rPr>
          <w:rFonts w:ascii="宋体" w:hAnsi="宋体"/>
          <w:color w:val="000000"/>
          <w:szCs w:val="21"/>
        </w:rPr>
      </w:pPr>
      <w:r>
        <w:rPr>
          <w:rFonts w:hint="eastAsia" w:ascii="宋体" w:hAnsi="宋体"/>
          <w:color w:val="000000"/>
          <w:szCs w:val="21"/>
        </w:rPr>
        <w:t>实验原理：二维数组创建与DataFrame操作。</w:t>
      </w:r>
    </w:p>
    <w:p>
      <w:pPr>
        <w:spacing w:line="360" w:lineRule="auto"/>
        <w:ind w:firstLine="420" w:firstLineChars="200"/>
        <w:rPr>
          <w:rFonts w:ascii="宋体" w:hAnsi="宋体"/>
          <w:color w:val="000000"/>
          <w:szCs w:val="21"/>
        </w:rPr>
      </w:pPr>
      <w:r>
        <w:rPr>
          <w:rFonts w:hint="eastAsia" w:ascii="宋体" w:hAnsi="宋体"/>
          <w:color w:val="000000"/>
          <w:szCs w:val="21"/>
        </w:rPr>
        <w:t>实验仪器：计算机。</w:t>
      </w:r>
    </w:p>
    <w:p>
      <w:pPr>
        <w:spacing w:line="360" w:lineRule="auto"/>
        <w:ind w:firstLine="420" w:firstLineChars="200"/>
        <w:rPr>
          <w:rFonts w:ascii="宋体" w:hAnsi="宋体"/>
          <w:color w:val="000000"/>
          <w:szCs w:val="21"/>
        </w:rPr>
      </w:pPr>
      <w:r>
        <w:rPr>
          <w:rFonts w:hint="eastAsia" w:ascii="宋体" w:hAnsi="宋体"/>
          <w:color w:val="000000"/>
          <w:szCs w:val="21"/>
        </w:rPr>
        <w:t>实验安排：教师介绍使用pandas库进行二维数组创建与DataFrame操作的基本原理与实现方式，学生编写相关程序并调试执行得到正确结果。</w:t>
      </w:r>
    </w:p>
    <w:p>
      <w:pPr>
        <w:spacing w:line="360" w:lineRule="auto"/>
        <w:ind w:firstLine="420" w:firstLineChars="200"/>
        <w:rPr>
          <w:rFonts w:hint="eastAsia" w:ascii="宋体" w:hAnsi="宋体"/>
          <w:color w:val="000000"/>
          <w:szCs w:val="21"/>
        </w:rPr>
      </w:pPr>
      <w:r>
        <w:rPr>
          <w:rFonts w:hint="eastAsia" w:ascii="宋体" w:hAnsi="宋体"/>
          <w:color w:val="000000"/>
          <w:szCs w:val="21"/>
        </w:rPr>
        <w:t>实验报告要求：详细分析使用pandas库及二维数组创建方式和DataFrame操作各种计算编程的各部分内容，并做结果分析。</w:t>
      </w:r>
    </w:p>
    <w:p>
      <w:pPr>
        <w:spacing w:line="360" w:lineRule="auto"/>
        <w:ind w:firstLine="422" w:firstLineChars="200"/>
        <w:rPr>
          <w:rFonts w:ascii="宋体" w:hAnsi="宋体"/>
          <w:b/>
          <w:bCs/>
          <w:color w:val="000000"/>
          <w:szCs w:val="21"/>
        </w:rPr>
      </w:pPr>
      <w:r>
        <w:rPr>
          <w:rFonts w:hint="eastAsia" w:ascii="宋体" w:hAnsi="宋体"/>
          <w:b/>
          <w:bCs/>
          <w:color w:val="000000"/>
          <w:szCs w:val="21"/>
        </w:rPr>
        <w:t>实验七、DataFrame数据处理与分析程序设计</w:t>
      </w:r>
    </w:p>
    <w:p>
      <w:pPr>
        <w:spacing w:line="360" w:lineRule="auto"/>
        <w:ind w:firstLine="420" w:firstLineChars="200"/>
        <w:rPr>
          <w:rFonts w:ascii="宋体" w:hAnsi="宋体"/>
          <w:color w:val="000000"/>
          <w:szCs w:val="21"/>
        </w:rPr>
      </w:pPr>
      <w:r>
        <w:rPr>
          <w:rFonts w:hint="eastAsia" w:ascii="宋体" w:hAnsi="宋体"/>
          <w:color w:val="000000"/>
          <w:szCs w:val="21"/>
        </w:rPr>
        <w:t>实验目的：掌握DataFrame数据处理与分析。</w:t>
      </w:r>
    </w:p>
    <w:p>
      <w:pPr>
        <w:spacing w:line="360" w:lineRule="auto"/>
        <w:ind w:firstLine="420" w:firstLineChars="200"/>
        <w:rPr>
          <w:rFonts w:ascii="宋体" w:hAnsi="宋体"/>
          <w:color w:val="000000"/>
          <w:szCs w:val="21"/>
        </w:rPr>
      </w:pPr>
      <w:r>
        <w:rPr>
          <w:rFonts w:hint="eastAsia" w:ascii="宋体" w:hAnsi="宋体"/>
          <w:color w:val="000000"/>
          <w:szCs w:val="21"/>
        </w:rPr>
        <w:t>实验原理：DataFrame数据处理与分析。</w:t>
      </w:r>
    </w:p>
    <w:p>
      <w:pPr>
        <w:spacing w:line="360" w:lineRule="auto"/>
        <w:ind w:firstLine="420" w:firstLineChars="200"/>
        <w:rPr>
          <w:rFonts w:ascii="宋体" w:hAnsi="宋体"/>
          <w:color w:val="000000"/>
          <w:szCs w:val="21"/>
        </w:rPr>
      </w:pPr>
      <w:r>
        <w:rPr>
          <w:rFonts w:hint="eastAsia" w:ascii="宋体" w:hAnsi="宋体"/>
          <w:color w:val="000000"/>
          <w:szCs w:val="21"/>
        </w:rPr>
        <w:t>实验仪器：计算机。</w:t>
      </w:r>
    </w:p>
    <w:p>
      <w:pPr>
        <w:spacing w:line="360" w:lineRule="auto"/>
        <w:ind w:firstLine="420" w:firstLineChars="200"/>
        <w:rPr>
          <w:rFonts w:ascii="宋体" w:hAnsi="宋体"/>
          <w:color w:val="000000"/>
          <w:szCs w:val="21"/>
        </w:rPr>
      </w:pPr>
      <w:r>
        <w:rPr>
          <w:rFonts w:hint="eastAsia" w:ascii="宋体" w:hAnsi="宋体"/>
          <w:color w:val="000000"/>
          <w:szCs w:val="21"/>
        </w:rPr>
        <w:t>实验安排：教师介绍使用pandas库进行DataFrame数据处理与分析的基本原理与实现方式，学生编写相关程序并调试执行得到正确结果。</w:t>
      </w:r>
    </w:p>
    <w:p>
      <w:pPr>
        <w:spacing w:line="360" w:lineRule="auto"/>
        <w:ind w:firstLine="420" w:firstLineChars="200"/>
        <w:rPr>
          <w:rFonts w:hint="eastAsia" w:ascii="宋体" w:hAnsi="宋体"/>
          <w:color w:val="000000"/>
          <w:szCs w:val="21"/>
        </w:rPr>
      </w:pPr>
      <w:r>
        <w:rPr>
          <w:rFonts w:hint="eastAsia" w:ascii="宋体" w:hAnsi="宋体"/>
          <w:color w:val="000000"/>
          <w:szCs w:val="21"/>
        </w:rPr>
        <w:t>实验报告要求：详细分析使用pandas库DataFrame数据处理与分析编程的各部分内容，并做结果分析。</w:t>
      </w:r>
    </w:p>
    <w:p>
      <w:pPr>
        <w:spacing w:line="360" w:lineRule="auto"/>
        <w:ind w:firstLine="422" w:firstLineChars="200"/>
        <w:rPr>
          <w:rFonts w:ascii="宋体" w:hAnsi="宋体"/>
          <w:b/>
          <w:bCs/>
          <w:color w:val="000000"/>
          <w:szCs w:val="21"/>
        </w:rPr>
      </w:pPr>
      <w:r>
        <w:rPr>
          <w:rFonts w:hint="eastAsia" w:ascii="宋体" w:hAnsi="宋体"/>
          <w:b/>
          <w:bCs/>
          <w:color w:val="000000"/>
          <w:szCs w:val="21"/>
        </w:rPr>
        <w:t>实验八、绘制三维图形</w:t>
      </w:r>
    </w:p>
    <w:p>
      <w:pPr>
        <w:spacing w:line="360" w:lineRule="auto"/>
        <w:ind w:firstLine="420" w:firstLineChars="200"/>
        <w:rPr>
          <w:rFonts w:ascii="宋体" w:hAnsi="宋体"/>
          <w:color w:val="000000"/>
          <w:szCs w:val="21"/>
        </w:rPr>
      </w:pPr>
      <w:r>
        <w:rPr>
          <w:rFonts w:hint="eastAsia" w:ascii="宋体" w:hAnsi="宋体"/>
          <w:color w:val="000000"/>
          <w:szCs w:val="21"/>
        </w:rPr>
        <w:t>实验目的：掌握三维图形的绘制方法。</w:t>
      </w:r>
    </w:p>
    <w:p>
      <w:pPr>
        <w:spacing w:line="360" w:lineRule="auto"/>
        <w:ind w:firstLine="420" w:firstLineChars="200"/>
        <w:rPr>
          <w:rFonts w:ascii="宋体" w:hAnsi="宋体"/>
          <w:color w:val="000000"/>
          <w:szCs w:val="21"/>
        </w:rPr>
      </w:pPr>
      <w:r>
        <w:rPr>
          <w:rFonts w:hint="eastAsia" w:ascii="宋体" w:hAnsi="宋体"/>
          <w:color w:val="000000"/>
          <w:szCs w:val="21"/>
        </w:rPr>
        <w:t>实验原理：三维图形的绘制。</w:t>
      </w:r>
    </w:p>
    <w:p>
      <w:pPr>
        <w:spacing w:line="360" w:lineRule="auto"/>
        <w:ind w:firstLine="420" w:firstLineChars="200"/>
        <w:rPr>
          <w:rFonts w:ascii="宋体" w:hAnsi="宋体"/>
          <w:color w:val="000000"/>
          <w:szCs w:val="21"/>
        </w:rPr>
      </w:pPr>
      <w:r>
        <w:rPr>
          <w:rFonts w:hint="eastAsia" w:ascii="宋体" w:hAnsi="宋体"/>
          <w:color w:val="000000"/>
          <w:szCs w:val="21"/>
        </w:rPr>
        <w:t>实验仪器：计算机。</w:t>
      </w:r>
    </w:p>
    <w:p>
      <w:pPr>
        <w:spacing w:line="360" w:lineRule="auto"/>
        <w:ind w:firstLine="420" w:firstLineChars="200"/>
        <w:rPr>
          <w:rFonts w:ascii="宋体" w:hAnsi="宋体"/>
          <w:color w:val="000000"/>
          <w:szCs w:val="21"/>
        </w:rPr>
      </w:pPr>
      <w:r>
        <w:rPr>
          <w:rFonts w:hint="eastAsia" w:ascii="宋体" w:hAnsi="宋体"/>
          <w:color w:val="000000"/>
          <w:szCs w:val="21"/>
        </w:rPr>
        <w:t>实验安排：教师介绍绘制三维图形的基本原理与实现方式，学生编写相关程序并调试执行得到正确结果。</w:t>
      </w:r>
    </w:p>
    <w:p>
      <w:pPr>
        <w:spacing w:line="360" w:lineRule="auto"/>
        <w:ind w:firstLine="420" w:firstLineChars="200"/>
        <w:rPr>
          <w:rFonts w:hint="eastAsia" w:ascii="宋体" w:hAnsi="宋体"/>
          <w:color w:val="000000"/>
          <w:szCs w:val="21"/>
        </w:rPr>
      </w:pPr>
      <w:r>
        <w:rPr>
          <w:rFonts w:hint="eastAsia" w:ascii="宋体" w:hAnsi="宋体"/>
          <w:color w:val="000000"/>
          <w:szCs w:val="21"/>
        </w:rPr>
        <w:t>实验报告要求：详细分析绘制三维图形的方法，分析编程的各部分内容，并做结果分析。</w:t>
      </w:r>
    </w:p>
    <w:p>
      <w:pPr>
        <w:adjustRightInd w:val="0"/>
        <w:snapToGrid w:val="0"/>
        <w:spacing w:before="156" w:beforeLines="50" w:line="360" w:lineRule="auto"/>
        <w:rPr>
          <w:rFonts w:hint="eastAsia" w:eastAsia="黑体"/>
          <w:color w:val="0D0D0D"/>
          <w:szCs w:val="21"/>
        </w:rPr>
      </w:pPr>
      <w:r>
        <w:rPr>
          <w:rFonts w:hint="eastAsia" w:eastAsia="黑体"/>
          <w:color w:val="0D0D0D"/>
          <w:szCs w:val="21"/>
        </w:rPr>
        <w:t>五、达成课程目标的途径和措施</w:t>
      </w:r>
    </w:p>
    <w:p>
      <w:pPr>
        <w:adjustRightInd w:val="0"/>
        <w:snapToGrid w:val="0"/>
        <w:spacing w:line="360" w:lineRule="auto"/>
        <w:ind w:firstLine="420"/>
        <w:rPr>
          <w:szCs w:val="21"/>
        </w:rPr>
      </w:pPr>
      <w:r>
        <w:rPr>
          <w:szCs w:val="21"/>
        </w:rPr>
        <w:t>1</w:t>
      </w:r>
      <w:r>
        <w:rPr>
          <w:rFonts w:hint="eastAsia"/>
          <w:szCs w:val="21"/>
        </w:rPr>
        <w:t>、全学时实践教学模式</w:t>
      </w:r>
    </w:p>
    <w:p>
      <w:pPr>
        <w:adjustRightInd w:val="0"/>
        <w:snapToGrid w:val="0"/>
        <w:spacing w:line="360" w:lineRule="auto"/>
        <w:ind w:firstLine="420"/>
        <w:rPr>
          <w:rFonts w:hint="eastAsia"/>
          <w:szCs w:val="21"/>
        </w:rPr>
      </w:pPr>
      <w:r>
        <w:rPr>
          <w:rFonts w:hint="eastAsia"/>
          <w:szCs w:val="21"/>
        </w:rPr>
        <w:t>课程采用全学时实践教学模式，全部教学环节在实验室展开，施行“边讲边学边练”教学方式，保证学生学一个会一个的教学效果。</w:t>
      </w:r>
    </w:p>
    <w:p>
      <w:pPr>
        <w:adjustRightInd w:val="0"/>
        <w:snapToGrid w:val="0"/>
        <w:spacing w:line="360" w:lineRule="auto"/>
        <w:ind w:firstLine="420"/>
        <w:rPr>
          <w:szCs w:val="21"/>
        </w:rPr>
      </w:pPr>
      <w:r>
        <w:rPr>
          <w:rFonts w:hint="eastAsia"/>
          <w:szCs w:val="21"/>
        </w:rPr>
        <w:t>2、点滴法和案例法相结合的教学手段</w:t>
      </w:r>
    </w:p>
    <w:p>
      <w:pPr>
        <w:adjustRightInd w:val="0"/>
        <w:snapToGrid w:val="0"/>
        <w:spacing w:line="360" w:lineRule="auto"/>
        <w:ind w:firstLine="420"/>
        <w:rPr>
          <w:rFonts w:hint="eastAsia"/>
          <w:szCs w:val="21"/>
        </w:rPr>
      </w:pPr>
      <w:r>
        <w:rPr>
          <w:rFonts w:hint="eastAsia"/>
          <w:szCs w:val="21"/>
        </w:rPr>
        <w:t>点滴教学法指从知识点入手，逐个攻破各教学内容；案例教学法指从知识应用入手，使学生深刻领悟到学以致用的内在含义，二者相结合，针对不同特点的教学内容，交叉使用不同教学法，提高学生的学习效率。</w:t>
      </w:r>
    </w:p>
    <w:p>
      <w:pPr>
        <w:adjustRightInd w:val="0"/>
        <w:snapToGrid w:val="0"/>
        <w:spacing w:before="156" w:beforeLines="50" w:line="360" w:lineRule="auto"/>
        <w:rPr>
          <w:rFonts w:hint="eastAsia" w:eastAsia="黑体"/>
          <w:color w:val="0D0D0D"/>
          <w:szCs w:val="21"/>
        </w:rPr>
      </w:pPr>
      <w:r>
        <w:rPr>
          <w:rFonts w:hint="eastAsia" w:eastAsia="黑体"/>
          <w:color w:val="0D0D0D"/>
          <w:szCs w:val="21"/>
        </w:rPr>
        <w:t>六、考核方式</w:t>
      </w:r>
    </w:p>
    <w:p>
      <w:pPr>
        <w:adjustRightInd w:val="0"/>
        <w:snapToGrid w:val="0"/>
        <w:spacing w:line="360" w:lineRule="auto"/>
        <w:ind w:firstLine="422" w:firstLineChars="200"/>
        <w:rPr>
          <w:rFonts w:hint="eastAsia"/>
          <w:b/>
          <w:bCs/>
          <w:szCs w:val="21"/>
          <w:lang w:bidi="ar"/>
        </w:rPr>
      </w:pPr>
      <w:r>
        <w:rPr>
          <w:rFonts w:hint="eastAsia"/>
          <w:b/>
          <w:bCs/>
          <w:szCs w:val="21"/>
          <w:lang w:bidi="ar"/>
        </w:rPr>
        <w:t>1、评价环节</w:t>
      </w:r>
    </w:p>
    <w:p>
      <w:pPr>
        <w:adjustRightInd w:val="0"/>
        <w:snapToGrid w:val="0"/>
        <w:spacing w:line="360" w:lineRule="auto"/>
        <w:ind w:firstLine="420" w:firstLineChars="200"/>
        <w:rPr>
          <w:rFonts w:hint="eastAsia"/>
          <w:szCs w:val="21"/>
          <w:lang w:bidi="ar"/>
        </w:rPr>
      </w:pPr>
      <w:r>
        <w:rPr>
          <w:rFonts w:hint="eastAsia"/>
          <w:szCs w:val="21"/>
          <w:lang w:bidi="ar"/>
        </w:rPr>
        <w:t>课程考核方式包括平时作业及结课作业情况，所有考核环节均需覆盖到所有学生。</w:t>
      </w:r>
    </w:p>
    <w:p>
      <w:pPr>
        <w:adjustRightInd w:val="0"/>
        <w:snapToGrid w:val="0"/>
        <w:spacing w:line="360" w:lineRule="auto"/>
        <w:ind w:firstLine="422" w:firstLineChars="200"/>
        <w:rPr>
          <w:rFonts w:hint="eastAsia"/>
          <w:b/>
          <w:bCs/>
          <w:szCs w:val="21"/>
          <w:lang w:bidi="ar"/>
        </w:rPr>
      </w:pPr>
      <w:r>
        <w:rPr>
          <w:rFonts w:hint="eastAsia"/>
          <w:b/>
          <w:bCs/>
          <w:szCs w:val="21"/>
          <w:lang w:bidi="ar"/>
        </w:rPr>
        <w:t>2、定量评价</w:t>
      </w:r>
    </w:p>
    <w:p>
      <w:pPr>
        <w:spacing w:line="360" w:lineRule="auto"/>
        <w:ind w:firstLine="420" w:firstLineChars="200"/>
        <w:rPr>
          <w:rFonts w:ascii="宋体" w:hAnsi="宋体"/>
          <w:szCs w:val="21"/>
        </w:rPr>
      </w:pPr>
      <w:r>
        <w:rPr>
          <w:rFonts w:hint="eastAsia" w:ascii="宋体" w:hAnsi="宋体"/>
          <w:szCs w:val="21"/>
        </w:rPr>
        <w:t>本课程的课程目标达成的支撑材料为：平时作业和结课大作业。其中三次</w:t>
      </w:r>
      <w:r>
        <w:rPr>
          <w:rFonts w:ascii="宋体" w:hAnsi="宋体"/>
          <w:szCs w:val="21"/>
        </w:rPr>
        <w:t>平时</w:t>
      </w:r>
      <w:r>
        <w:rPr>
          <w:rFonts w:hint="eastAsia" w:ascii="宋体" w:hAnsi="宋体"/>
          <w:szCs w:val="21"/>
        </w:rPr>
        <w:t>作业和结课大作业都为纸质材料。这些支撑材料对两个课程目标均有一定程度的支撑作用，具体占比情况如下表所示。</w:t>
      </w:r>
    </w:p>
    <w:p>
      <w:pPr>
        <w:spacing w:line="360" w:lineRule="auto"/>
        <w:jc w:val="center"/>
        <w:rPr>
          <w:rFonts w:ascii="宋体" w:hAnsi="宋体" w:cs="宋体"/>
          <w:b/>
          <w:bCs/>
          <w:sz w:val="18"/>
          <w:szCs w:val="18"/>
        </w:rPr>
      </w:pPr>
      <w:r>
        <w:rPr>
          <w:rFonts w:hint="eastAsia" w:ascii="宋体" w:hAnsi="宋体" w:cs="宋体"/>
          <w:b/>
          <w:bCs/>
          <w:color w:val="000000"/>
          <w:sz w:val="18"/>
          <w:szCs w:val="18"/>
        </w:rPr>
        <w:t>表</w:t>
      </w:r>
      <w:r>
        <w:rPr>
          <w:rFonts w:ascii="宋体" w:hAnsi="宋体" w:cs="宋体"/>
          <w:b/>
          <w:bCs/>
          <w:color w:val="000000"/>
          <w:sz w:val="18"/>
          <w:szCs w:val="18"/>
        </w:rPr>
        <w:t>6</w:t>
      </w:r>
      <w:r>
        <w:rPr>
          <w:rFonts w:hint="eastAsia" w:ascii="宋体" w:hAnsi="宋体" w:cs="宋体"/>
          <w:b/>
          <w:bCs/>
          <w:color w:val="000000"/>
          <w:sz w:val="18"/>
          <w:szCs w:val="18"/>
        </w:rPr>
        <w:t xml:space="preserve">.1   </w:t>
      </w:r>
      <w:r>
        <w:rPr>
          <w:rFonts w:hint="eastAsia" w:ascii="宋体" w:hAnsi="宋体" w:cs="宋体"/>
          <w:b/>
          <w:bCs/>
          <w:sz w:val="18"/>
          <w:szCs w:val="18"/>
        </w:rPr>
        <w:t>各考核方式对课程目标达成评价的权重占比分配</w:t>
      </w:r>
    </w:p>
    <w:tbl>
      <w:tblPr>
        <w:tblStyle w:val="1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9"/>
        <w:gridCol w:w="2445"/>
        <w:gridCol w:w="1222"/>
        <w:gridCol w:w="2480"/>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78" w:type="pct"/>
            <w:vMerge w:val="restart"/>
            <w:vAlign w:val="center"/>
          </w:tcPr>
          <w:p>
            <w:pPr>
              <w:snapToGrid w:val="0"/>
              <w:jc w:val="center"/>
              <w:rPr>
                <w:b/>
                <w:sz w:val="18"/>
                <w:szCs w:val="18"/>
              </w:rPr>
            </w:pPr>
            <w:r>
              <w:rPr>
                <w:b/>
                <w:kern w:val="0"/>
                <w:sz w:val="18"/>
                <w:szCs w:val="18"/>
              </w:rPr>
              <w:t>课程目标</w:t>
            </w:r>
          </w:p>
        </w:tc>
        <w:tc>
          <w:tcPr>
            <w:tcW w:w="3311" w:type="pct"/>
            <w:gridSpan w:val="3"/>
            <w:vAlign w:val="center"/>
          </w:tcPr>
          <w:p>
            <w:pPr>
              <w:snapToGrid w:val="0"/>
              <w:jc w:val="center"/>
              <w:rPr>
                <w:b/>
                <w:sz w:val="18"/>
                <w:szCs w:val="18"/>
              </w:rPr>
            </w:pPr>
            <w:r>
              <w:rPr>
                <w:b/>
                <w:sz w:val="18"/>
                <w:szCs w:val="18"/>
              </w:rPr>
              <w:t>考核方式以及成绩占比</w:t>
            </w:r>
            <w:r>
              <w:rPr>
                <w:position w:val="-12"/>
              </w:rPr>
              <w:object>
                <v:shape id="_x0000_i1193" o:spt="75" type="#_x0000_t75" style="height:15.8pt;width:13.3pt;" o:ole="t" filled="f" o:preferrelative="t" stroked="f" coordsize="21600,21600">
                  <v:path/>
                  <v:fill on="f" focussize="0,0"/>
                  <v:stroke on="f" joinstyle="miter"/>
                  <v:imagedata r:id="rId300" o:title=""/>
                  <o:lock v:ext="edit" aspectratio="t"/>
                  <w10:wrap type="none"/>
                  <w10:anchorlock/>
                </v:shape>
                <o:OLEObject Type="Embed" ProgID="Equation.DSMT4" ShapeID="_x0000_i1193" DrawAspect="Content" ObjectID="_1468075893" r:id="rId339">
                  <o:LockedField>false</o:LockedField>
                </o:OLEObject>
              </w:object>
            </w:r>
            <w:r>
              <w:rPr>
                <w:b/>
                <w:sz w:val="18"/>
                <w:szCs w:val="18"/>
              </w:rPr>
              <w:t>（%）</w:t>
            </w:r>
          </w:p>
        </w:tc>
        <w:tc>
          <w:tcPr>
            <w:tcW w:w="810" w:type="pct"/>
            <w:vMerge w:val="restart"/>
            <w:vAlign w:val="center"/>
          </w:tcPr>
          <w:p>
            <w:pPr>
              <w:snapToGrid w:val="0"/>
              <w:jc w:val="center"/>
              <w:rPr>
                <w:b/>
                <w:kern w:val="0"/>
                <w:sz w:val="18"/>
                <w:szCs w:val="18"/>
              </w:rPr>
            </w:pPr>
            <w:r>
              <w:rPr>
                <w:b/>
                <w:kern w:val="0"/>
                <w:sz w:val="18"/>
                <w:szCs w:val="18"/>
              </w:rPr>
              <w:t>分课程</w:t>
            </w:r>
          </w:p>
          <w:p>
            <w:pPr>
              <w:snapToGrid w:val="0"/>
              <w:jc w:val="center"/>
              <w:rPr>
                <w:b/>
                <w:i/>
                <w:kern w:val="0"/>
                <w:sz w:val="18"/>
                <w:szCs w:val="18"/>
              </w:rPr>
            </w:pPr>
            <w:r>
              <w:rPr>
                <w:b/>
                <w:kern w:val="0"/>
                <w:sz w:val="18"/>
                <w:szCs w:val="18"/>
              </w:rPr>
              <w:t>目标权重</w:t>
            </w:r>
            <w:r>
              <w:rPr>
                <w:b/>
                <w:i/>
                <w:kern w:val="0"/>
                <w:sz w:val="18"/>
                <w:szCs w:val="18"/>
              </w:rPr>
              <w:t>P</w:t>
            </w:r>
            <w:r>
              <w:rPr>
                <w:b/>
                <w:i/>
                <w:kern w:val="0"/>
                <w:sz w:val="18"/>
                <w:szCs w:val="18"/>
                <w:vertAlign w:val="subscript"/>
              </w:rPr>
              <w:t>i</w:t>
            </w:r>
          </w:p>
          <w:p>
            <w:pPr>
              <w:snapToGrid w:val="0"/>
              <w:jc w:val="center"/>
              <w:rPr>
                <w:kern w:val="0"/>
                <w:sz w:val="18"/>
                <w:szCs w:val="18"/>
              </w:rPr>
            </w:pPr>
            <w:r>
              <w:rPr>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pct"/>
            <w:vMerge w:val="continue"/>
            <w:vAlign w:val="center"/>
          </w:tcPr>
          <w:p>
            <w:pPr>
              <w:widowControl/>
              <w:snapToGrid w:val="0"/>
              <w:jc w:val="center"/>
              <w:rPr>
                <w:b/>
                <w:kern w:val="0"/>
                <w:sz w:val="18"/>
                <w:szCs w:val="18"/>
              </w:rPr>
            </w:pPr>
          </w:p>
        </w:tc>
        <w:tc>
          <w:tcPr>
            <w:tcW w:w="1317" w:type="pct"/>
            <w:vAlign w:val="center"/>
          </w:tcPr>
          <w:p>
            <w:pPr>
              <w:widowControl/>
              <w:snapToGrid w:val="0"/>
              <w:jc w:val="center"/>
              <w:rPr>
                <w:b/>
                <w:kern w:val="0"/>
                <w:sz w:val="18"/>
                <w:szCs w:val="18"/>
              </w:rPr>
            </w:pPr>
            <w:r>
              <w:rPr>
                <w:rFonts w:hint="eastAsia"/>
                <w:b/>
                <w:kern w:val="0"/>
                <w:sz w:val="18"/>
                <w:szCs w:val="18"/>
              </w:rPr>
              <w:t>随堂考核</w:t>
            </w:r>
          </w:p>
          <w:p>
            <w:pPr>
              <w:widowControl/>
              <w:snapToGrid w:val="0"/>
              <w:jc w:val="center"/>
              <w:rPr>
                <w:b/>
                <w:kern w:val="0"/>
                <w:sz w:val="18"/>
                <w:szCs w:val="18"/>
              </w:rPr>
            </w:pPr>
            <w:r>
              <w:rPr>
                <w:b/>
                <w:kern w:val="0"/>
                <w:sz w:val="18"/>
                <w:szCs w:val="18"/>
              </w:rPr>
              <w:t>（1）</w:t>
            </w:r>
          </w:p>
        </w:tc>
        <w:tc>
          <w:tcPr>
            <w:tcW w:w="658" w:type="pct"/>
            <w:vAlign w:val="center"/>
          </w:tcPr>
          <w:p>
            <w:pPr>
              <w:widowControl/>
              <w:snapToGrid w:val="0"/>
              <w:jc w:val="center"/>
              <w:rPr>
                <w:b/>
                <w:kern w:val="0"/>
                <w:sz w:val="18"/>
                <w:szCs w:val="18"/>
              </w:rPr>
            </w:pPr>
            <w:r>
              <w:rPr>
                <w:b/>
                <w:kern w:val="0"/>
                <w:sz w:val="18"/>
                <w:szCs w:val="18"/>
              </w:rPr>
              <w:t>实验</w:t>
            </w:r>
          </w:p>
          <w:p>
            <w:pPr>
              <w:widowControl/>
              <w:snapToGrid w:val="0"/>
              <w:jc w:val="center"/>
              <w:rPr>
                <w:b/>
                <w:kern w:val="0"/>
                <w:sz w:val="18"/>
                <w:szCs w:val="18"/>
              </w:rPr>
            </w:pPr>
            <w:r>
              <w:rPr>
                <w:b/>
                <w:kern w:val="0"/>
                <w:sz w:val="18"/>
                <w:szCs w:val="18"/>
              </w:rPr>
              <w:t>（2）</w:t>
            </w:r>
          </w:p>
        </w:tc>
        <w:tc>
          <w:tcPr>
            <w:tcW w:w="1335" w:type="pct"/>
            <w:vAlign w:val="center"/>
          </w:tcPr>
          <w:p>
            <w:pPr>
              <w:widowControl/>
              <w:snapToGrid w:val="0"/>
              <w:jc w:val="center"/>
              <w:rPr>
                <w:b/>
                <w:kern w:val="0"/>
                <w:sz w:val="18"/>
                <w:szCs w:val="18"/>
              </w:rPr>
            </w:pPr>
            <w:r>
              <w:rPr>
                <w:rFonts w:hint="eastAsia"/>
                <w:b/>
                <w:kern w:val="0"/>
                <w:sz w:val="18"/>
                <w:szCs w:val="18"/>
              </w:rPr>
              <w:t>结课大作业</w:t>
            </w:r>
          </w:p>
          <w:p>
            <w:pPr>
              <w:widowControl/>
              <w:snapToGrid w:val="0"/>
              <w:jc w:val="center"/>
              <w:rPr>
                <w:b/>
                <w:kern w:val="0"/>
                <w:sz w:val="18"/>
                <w:szCs w:val="18"/>
              </w:rPr>
            </w:pPr>
            <w:r>
              <w:rPr>
                <w:b/>
                <w:kern w:val="0"/>
                <w:sz w:val="18"/>
                <w:szCs w:val="18"/>
              </w:rPr>
              <w:t>（3）</w:t>
            </w:r>
          </w:p>
        </w:tc>
        <w:tc>
          <w:tcPr>
            <w:tcW w:w="810" w:type="pct"/>
            <w:vMerge w:val="continue"/>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pct"/>
            <w:vAlign w:val="center"/>
          </w:tcPr>
          <w:p>
            <w:pPr>
              <w:widowControl/>
              <w:snapToGrid w:val="0"/>
              <w:jc w:val="center"/>
              <w:rPr>
                <w:kern w:val="0"/>
                <w:sz w:val="18"/>
                <w:szCs w:val="18"/>
              </w:rPr>
            </w:pPr>
            <w:r>
              <w:rPr>
                <w:kern w:val="0"/>
                <w:sz w:val="18"/>
                <w:szCs w:val="18"/>
              </w:rPr>
              <w:t>1</w:t>
            </w:r>
          </w:p>
        </w:tc>
        <w:tc>
          <w:tcPr>
            <w:tcW w:w="1317" w:type="pct"/>
            <w:vAlign w:val="center"/>
          </w:tcPr>
          <w:p>
            <w:pPr>
              <w:jc w:val="center"/>
              <w:rPr>
                <w:sz w:val="18"/>
                <w:szCs w:val="18"/>
              </w:rPr>
            </w:pPr>
            <w:r>
              <w:rPr>
                <w:sz w:val="18"/>
                <w:szCs w:val="18"/>
              </w:rPr>
              <w:t>20</w:t>
            </w:r>
          </w:p>
        </w:tc>
        <w:tc>
          <w:tcPr>
            <w:tcW w:w="658" w:type="pct"/>
            <w:vAlign w:val="center"/>
          </w:tcPr>
          <w:p>
            <w:pPr>
              <w:jc w:val="center"/>
              <w:rPr>
                <w:sz w:val="18"/>
                <w:szCs w:val="18"/>
              </w:rPr>
            </w:pPr>
            <w:r>
              <w:rPr>
                <w:sz w:val="18"/>
                <w:szCs w:val="18"/>
                <w:lang w:bidi="ar"/>
              </w:rPr>
              <w:t>10</w:t>
            </w:r>
          </w:p>
        </w:tc>
        <w:tc>
          <w:tcPr>
            <w:tcW w:w="1335" w:type="pct"/>
            <w:vAlign w:val="center"/>
          </w:tcPr>
          <w:p>
            <w:pPr>
              <w:jc w:val="center"/>
              <w:rPr>
                <w:sz w:val="18"/>
                <w:szCs w:val="18"/>
              </w:rPr>
            </w:pPr>
            <w:r>
              <w:rPr>
                <w:sz w:val="18"/>
                <w:szCs w:val="18"/>
              </w:rPr>
              <w:t>10</w:t>
            </w:r>
          </w:p>
        </w:tc>
        <w:tc>
          <w:tcPr>
            <w:tcW w:w="810" w:type="pct"/>
            <w:vAlign w:val="center"/>
          </w:tcPr>
          <w:p>
            <w:pPr>
              <w:snapToGrid w:val="0"/>
              <w:jc w:val="center"/>
              <w:rPr>
                <w:sz w:val="18"/>
                <w:szCs w:val="18"/>
              </w:rPr>
            </w:pPr>
            <w:r>
              <w:rPr>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pct"/>
            <w:vAlign w:val="center"/>
          </w:tcPr>
          <w:p>
            <w:pPr>
              <w:widowControl/>
              <w:snapToGrid w:val="0"/>
              <w:jc w:val="center"/>
              <w:rPr>
                <w:kern w:val="0"/>
                <w:sz w:val="18"/>
                <w:szCs w:val="18"/>
              </w:rPr>
            </w:pPr>
            <w:r>
              <w:rPr>
                <w:kern w:val="0"/>
                <w:sz w:val="18"/>
                <w:szCs w:val="18"/>
              </w:rPr>
              <w:t>2</w:t>
            </w:r>
          </w:p>
        </w:tc>
        <w:tc>
          <w:tcPr>
            <w:tcW w:w="1317" w:type="pct"/>
            <w:vAlign w:val="center"/>
          </w:tcPr>
          <w:p>
            <w:pPr>
              <w:jc w:val="center"/>
              <w:rPr>
                <w:rFonts w:hint="default" w:eastAsia="宋体"/>
                <w:sz w:val="18"/>
                <w:szCs w:val="18"/>
                <w:lang w:val="en-US" w:eastAsia="zh-CN"/>
              </w:rPr>
            </w:pPr>
            <w:r>
              <w:rPr>
                <w:rFonts w:hint="eastAsia"/>
                <w:sz w:val="18"/>
                <w:szCs w:val="18"/>
                <w:lang w:val="en-US" w:eastAsia="zh-CN"/>
              </w:rPr>
              <w:t>10</w:t>
            </w:r>
          </w:p>
        </w:tc>
        <w:tc>
          <w:tcPr>
            <w:tcW w:w="658" w:type="pct"/>
            <w:vAlign w:val="center"/>
          </w:tcPr>
          <w:p>
            <w:pPr>
              <w:jc w:val="center"/>
              <w:rPr>
                <w:rFonts w:hint="default" w:eastAsia="宋体"/>
                <w:sz w:val="18"/>
                <w:szCs w:val="18"/>
                <w:lang w:val="en-US" w:eastAsia="zh-CN"/>
              </w:rPr>
            </w:pPr>
            <w:r>
              <w:rPr>
                <w:rFonts w:hint="eastAsia"/>
                <w:sz w:val="18"/>
                <w:szCs w:val="18"/>
                <w:lang w:val="en-US" w:eastAsia="zh-CN"/>
              </w:rPr>
              <w:t>20</w:t>
            </w:r>
          </w:p>
        </w:tc>
        <w:tc>
          <w:tcPr>
            <w:tcW w:w="1335" w:type="pct"/>
            <w:vAlign w:val="center"/>
          </w:tcPr>
          <w:p>
            <w:pPr>
              <w:jc w:val="center"/>
              <w:rPr>
                <w:rFonts w:hint="default" w:eastAsia="宋体"/>
                <w:sz w:val="18"/>
                <w:szCs w:val="18"/>
                <w:lang w:val="en-US" w:eastAsia="zh-CN"/>
              </w:rPr>
            </w:pPr>
            <w:r>
              <w:rPr>
                <w:rFonts w:hint="eastAsia"/>
                <w:sz w:val="18"/>
                <w:szCs w:val="18"/>
                <w:lang w:val="en-US" w:eastAsia="zh-CN"/>
              </w:rPr>
              <w:t>30</w:t>
            </w:r>
          </w:p>
        </w:tc>
        <w:tc>
          <w:tcPr>
            <w:tcW w:w="810" w:type="pct"/>
            <w:vAlign w:val="center"/>
          </w:tcPr>
          <w:p>
            <w:pPr>
              <w:snapToGrid w:val="0"/>
              <w:jc w:val="center"/>
              <w:rPr>
                <w:sz w:val="18"/>
                <w:szCs w:val="18"/>
              </w:rPr>
            </w:pPr>
            <w:r>
              <w:rPr>
                <w:rFonts w:hint="eastAsia"/>
                <w:sz w:val="18"/>
                <w:szCs w:val="18"/>
                <w:lang w:val="en-US" w:eastAsia="zh-CN"/>
              </w:rPr>
              <w:t>6</w:t>
            </w:r>
            <w:r>
              <w:rPr>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pct"/>
            <w:vAlign w:val="center"/>
          </w:tcPr>
          <w:p>
            <w:pPr>
              <w:widowControl/>
              <w:snapToGrid w:val="0"/>
              <w:jc w:val="center"/>
              <w:rPr>
                <w:kern w:val="0"/>
                <w:sz w:val="18"/>
                <w:szCs w:val="18"/>
              </w:rPr>
            </w:pPr>
            <w:r>
              <w:rPr>
                <w:kern w:val="0"/>
                <w:sz w:val="18"/>
                <w:szCs w:val="18"/>
              </w:rPr>
              <w:t>考核环节成绩比例合计（%）</w:t>
            </w:r>
          </w:p>
        </w:tc>
        <w:tc>
          <w:tcPr>
            <w:tcW w:w="1317" w:type="pct"/>
            <w:vAlign w:val="center"/>
          </w:tcPr>
          <w:p>
            <w:pPr>
              <w:jc w:val="center"/>
              <w:rPr>
                <w:sz w:val="18"/>
                <w:szCs w:val="18"/>
              </w:rPr>
            </w:pPr>
            <w:r>
              <w:rPr>
                <w:sz w:val="18"/>
                <w:szCs w:val="18"/>
              </w:rPr>
              <w:t>30</w:t>
            </w:r>
          </w:p>
        </w:tc>
        <w:tc>
          <w:tcPr>
            <w:tcW w:w="658" w:type="pct"/>
            <w:vAlign w:val="center"/>
          </w:tcPr>
          <w:p>
            <w:pPr>
              <w:jc w:val="center"/>
              <w:rPr>
                <w:sz w:val="18"/>
                <w:szCs w:val="18"/>
              </w:rPr>
            </w:pPr>
            <w:r>
              <w:rPr>
                <w:sz w:val="18"/>
                <w:szCs w:val="18"/>
                <w:lang w:bidi="ar"/>
              </w:rPr>
              <w:t>30</w:t>
            </w:r>
          </w:p>
        </w:tc>
        <w:tc>
          <w:tcPr>
            <w:tcW w:w="1335" w:type="pct"/>
            <w:vAlign w:val="center"/>
          </w:tcPr>
          <w:p>
            <w:pPr>
              <w:jc w:val="center"/>
              <w:rPr>
                <w:sz w:val="18"/>
                <w:szCs w:val="18"/>
              </w:rPr>
            </w:pPr>
            <w:r>
              <w:rPr>
                <w:sz w:val="18"/>
                <w:szCs w:val="18"/>
              </w:rPr>
              <w:t>40</w:t>
            </w:r>
          </w:p>
        </w:tc>
        <w:tc>
          <w:tcPr>
            <w:tcW w:w="810" w:type="pct"/>
            <w:vAlign w:val="center"/>
          </w:tcPr>
          <w:p>
            <w:pPr>
              <w:snapToGrid w:val="0"/>
              <w:jc w:val="center"/>
              <w:rPr>
                <w:sz w:val="18"/>
                <w:szCs w:val="18"/>
              </w:rPr>
            </w:pPr>
            <w:r>
              <w:rPr>
                <w:sz w:val="18"/>
                <w:szCs w:val="18"/>
              </w:rPr>
              <w:t>100</w:t>
            </w:r>
          </w:p>
        </w:tc>
      </w:tr>
    </w:tbl>
    <w:p>
      <w:pPr>
        <w:spacing w:before="240" w:line="360" w:lineRule="auto"/>
        <w:ind w:firstLine="420" w:firstLineChars="200"/>
        <w:rPr>
          <w:rFonts w:hint="eastAsia"/>
          <w:szCs w:val="21"/>
        </w:rPr>
      </w:pPr>
      <w:r>
        <w:rPr>
          <w:szCs w:val="21"/>
        </w:rPr>
        <w:t>那么第i个分课程目标的评价基于各环节</w:t>
      </w:r>
      <w:r>
        <w:rPr>
          <w:rFonts w:hint="eastAsia"/>
          <w:szCs w:val="21"/>
        </w:rPr>
        <w:t>k</w:t>
      </w:r>
      <w:r>
        <w:rPr>
          <w:szCs w:val="21"/>
        </w:rPr>
        <w:t>的贡献加权求和，就是该分课程目标的达成</w:t>
      </w:r>
      <w:r>
        <w:rPr>
          <w:rFonts w:hint="eastAsia"/>
          <w:szCs w:val="21"/>
        </w:rPr>
        <w:t>度</w:t>
      </w:r>
      <w:r>
        <w:rPr>
          <w:rFonts w:hint="eastAsia"/>
          <w:i/>
          <w:szCs w:val="21"/>
        </w:rPr>
        <w:t>A</w:t>
      </w:r>
      <w:r>
        <w:rPr>
          <w:rFonts w:hint="eastAsia"/>
          <w:szCs w:val="21"/>
          <w:vertAlign w:val="subscript"/>
        </w:rPr>
        <w:t>i</w:t>
      </w:r>
      <w:r>
        <w:rPr>
          <w:szCs w:val="21"/>
        </w:rPr>
        <w:t>，即</w:t>
      </w:r>
      <w:r>
        <w:rPr>
          <w:rFonts w:hint="eastAsia"/>
          <w:szCs w:val="21"/>
        </w:rPr>
        <w:t xml:space="preserve"> </w:t>
      </w:r>
    </w:p>
    <w:p>
      <w:pPr>
        <w:spacing w:before="240" w:line="360" w:lineRule="auto"/>
        <w:ind w:firstLine="420" w:firstLineChars="200"/>
        <w:rPr>
          <w:rFonts w:hint="eastAsia"/>
          <w:szCs w:val="21"/>
        </w:rPr>
      </w:pPr>
      <w:r>
        <w:rPr>
          <w:rFonts w:hint="eastAsia"/>
          <w:szCs w:val="21"/>
        </w:rPr>
        <w:t>度</w:t>
      </w:r>
      <w:r>
        <w:rPr>
          <w:rFonts w:hint="eastAsia"/>
          <w:i/>
          <w:szCs w:val="21"/>
        </w:rPr>
        <w:t>A</w:t>
      </w:r>
      <w:r>
        <w:rPr>
          <w:rFonts w:hint="eastAsia"/>
          <w:szCs w:val="21"/>
          <w:vertAlign w:val="subscript"/>
        </w:rPr>
        <w:t>i</w:t>
      </w:r>
      <w:r>
        <w:rPr>
          <w:szCs w:val="21"/>
        </w:rPr>
        <w:t>，即</w:t>
      </w:r>
      <w:r>
        <w:rPr>
          <w:rFonts w:hint="eastAsia"/>
          <w:szCs w:val="21"/>
        </w:rPr>
        <w:t xml:space="preserve"> </w:t>
      </w:r>
    </w:p>
    <w:p>
      <w:pPr>
        <w:spacing w:line="360" w:lineRule="auto"/>
        <w:jc w:val="center"/>
        <w:rPr>
          <w:rFonts w:hint="eastAsia"/>
          <w:sz w:val="24"/>
        </w:rPr>
      </w:pPr>
      <w:r>
        <w:rPr>
          <w:position w:val="-14"/>
        </w:rPr>
        <w:t xml:space="preserve">     </w:t>
      </w:r>
      <w:r>
        <w:rPr>
          <w:rFonts w:hint="eastAsia"/>
          <w:position w:val="-14"/>
        </w:rPr>
        <w:t xml:space="preserve">     </w:t>
      </w:r>
      <w:r>
        <w:rPr>
          <w:position w:val="-14"/>
        </w:rPr>
        <w:t xml:space="preserve">          </w:t>
      </w:r>
      <w:r>
        <w:rPr>
          <w:position w:val="-14"/>
        </w:rPr>
        <w:object>
          <v:shape id="_x0000_i1194" o:spt="75" type="#_x0000_t75" style="height:20pt;width:80.5pt;" o:ole="t" filled="f" o:preferrelative="t" stroked="f" coordsize="21600,21600">
            <v:path/>
            <v:fill on="f" focussize="0,0"/>
            <v:stroke on="f" joinstyle="miter"/>
            <v:imagedata r:id="rId341" o:title=""/>
            <o:lock v:ext="edit" aspectratio="t"/>
            <w10:wrap type="none"/>
            <w10:anchorlock/>
          </v:shape>
          <o:OLEObject Type="Embed" ProgID="Equation.DSMT4" ShapeID="_x0000_i1194" DrawAspect="Content" ObjectID="_1468075894" r:id="rId340">
            <o:LockedField>false</o:LockedField>
          </o:OLEObject>
        </w:object>
      </w:r>
      <w:r>
        <w:rPr>
          <w:rFonts w:hint="eastAsia"/>
          <w:position w:val="-14"/>
        </w:rPr>
        <w:t xml:space="preserve">             </w:t>
      </w:r>
      <w:r>
        <w:rPr>
          <w:position w:val="-14"/>
        </w:rPr>
        <w:t xml:space="preserve">     </w:t>
      </w:r>
      <w:r>
        <w:rPr>
          <w:rFonts w:hint="eastAsia"/>
          <w:position w:val="-14"/>
        </w:rPr>
        <w:t xml:space="preserve">    </w:t>
      </w:r>
      <w:r>
        <w:rPr>
          <w:rFonts w:hint="eastAsia"/>
          <w:position w:val="-14"/>
          <w:lang w:val="en-US" w:eastAsia="zh-CN"/>
        </w:rPr>
        <w:t>6</w:t>
      </w:r>
      <w:r>
        <w:rPr>
          <w:rFonts w:hint="eastAsia"/>
          <w:position w:val="-14"/>
        </w:rPr>
        <w:t>-1</w:t>
      </w:r>
    </w:p>
    <w:p>
      <w:pPr>
        <w:snapToGrid w:val="0"/>
        <w:spacing w:line="360" w:lineRule="auto"/>
        <w:ind w:firstLine="420" w:firstLineChars="200"/>
        <w:rPr>
          <w:rFonts w:hint="eastAsia"/>
          <w:szCs w:val="21"/>
        </w:rPr>
      </w:pPr>
      <w:r>
        <w:rPr>
          <w:szCs w:val="21"/>
        </w:rPr>
        <w:t>而多个分课程目标再根据比例加权求和，就得到本门课程</w:t>
      </w:r>
      <w:r>
        <w:rPr>
          <w:rFonts w:hint="eastAsia"/>
          <w:szCs w:val="21"/>
        </w:rPr>
        <w:t>的</w:t>
      </w:r>
      <w:r>
        <w:rPr>
          <w:szCs w:val="21"/>
        </w:rPr>
        <w:t>课程目标达成</w:t>
      </w:r>
      <w:r>
        <w:rPr>
          <w:rFonts w:hint="eastAsia"/>
          <w:szCs w:val="21"/>
        </w:rPr>
        <w:t>度</w:t>
      </w:r>
      <w:r>
        <w:rPr>
          <w:rFonts w:hint="eastAsia"/>
          <w:i/>
          <w:szCs w:val="21"/>
        </w:rPr>
        <w:t>A。</w:t>
      </w:r>
    </w:p>
    <w:p>
      <w:pPr>
        <w:spacing w:line="360" w:lineRule="auto"/>
        <w:ind w:left="-2" w:leftChars="-1" w:firstLine="3465" w:firstLineChars="1650"/>
        <w:jc w:val="left"/>
        <w:rPr>
          <w:rFonts w:hint="eastAsia"/>
        </w:rPr>
      </w:pPr>
      <w:r>
        <w:rPr>
          <w:position w:val="-14"/>
        </w:rPr>
        <w:object>
          <v:shape id="_x0000_i1195" o:spt="75" type="#_x0000_t75" style="height:20pt;width:62.5pt;" o:ole="t" filled="f" o:preferrelative="t" stroked="f" coordsize="21600,21600">
            <v:path/>
            <v:fill on="f" focussize="0,0"/>
            <v:stroke on="f" joinstyle="miter"/>
            <v:imagedata r:id="rId298" o:title=""/>
            <o:lock v:ext="edit" aspectratio="t"/>
            <w10:wrap type="none"/>
            <w10:anchorlock/>
          </v:shape>
          <o:OLEObject Type="Embed" ProgID="Equation.DSMT4" ShapeID="_x0000_i1195" DrawAspect="Content" ObjectID="_1468075895" r:id="rId342">
            <o:LockedField>false</o:LockedField>
          </o:OLEObject>
        </w:object>
      </w:r>
      <w:r>
        <w:rPr>
          <w:rFonts w:hint="eastAsia"/>
          <w:position w:val="-14"/>
        </w:rPr>
        <w:t xml:space="preserve">               </w:t>
      </w:r>
      <w:r>
        <w:rPr>
          <w:rFonts w:hint="eastAsia"/>
          <w:position w:val="-14"/>
          <w:lang w:val="en-US" w:eastAsia="zh-CN"/>
        </w:rPr>
        <w:t xml:space="preserve">      </w:t>
      </w:r>
      <w:r>
        <w:rPr>
          <w:rFonts w:hint="eastAsia"/>
          <w:position w:val="-14"/>
        </w:rPr>
        <w:t xml:space="preserve"> </w:t>
      </w:r>
      <w:r>
        <w:rPr>
          <w:position w:val="-14"/>
        </w:rPr>
        <w:t xml:space="preserve">  </w:t>
      </w:r>
      <w:r>
        <w:rPr>
          <w:rFonts w:hint="eastAsia"/>
          <w:position w:val="-14"/>
          <w:lang w:val="en-US" w:eastAsia="zh-CN"/>
        </w:rPr>
        <w:t xml:space="preserve"> </w:t>
      </w:r>
      <w:r>
        <w:rPr>
          <w:position w:val="-14"/>
        </w:rPr>
        <w:t xml:space="preserve"> </w:t>
      </w:r>
      <w:r>
        <w:rPr>
          <w:rFonts w:hint="eastAsia"/>
          <w:position w:val="-14"/>
          <w:lang w:val="en-US" w:eastAsia="zh-CN"/>
        </w:rPr>
        <w:t>6</w:t>
      </w:r>
      <w:r>
        <w:rPr>
          <w:rFonts w:hint="eastAsia"/>
          <w:position w:val="-14"/>
        </w:rPr>
        <w:t>-2</w:t>
      </w:r>
    </w:p>
    <w:p>
      <w:pPr>
        <w:spacing w:line="360" w:lineRule="auto"/>
        <w:ind w:firstLine="630" w:firstLineChars="300"/>
        <w:rPr>
          <w:rFonts w:hint="eastAsia"/>
          <w:szCs w:val="21"/>
        </w:rPr>
      </w:pPr>
      <w:r>
        <w:rPr>
          <w:rFonts w:hint="eastAsia"/>
          <w:szCs w:val="21"/>
        </w:rPr>
        <w:t xml:space="preserve">其中： </w:t>
      </w:r>
      <w:r>
        <w:rPr>
          <w:i/>
          <w:szCs w:val="21"/>
        </w:rPr>
        <w:t>k</w:t>
      </w:r>
      <w:r>
        <w:rPr>
          <w:szCs w:val="21"/>
        </w:rPr>
        <w:t>表示不同的</w:t>
      </w:r>
      <w:r>
        <w:rPr>
          <w:rFonts w:hint="eastAsia"/>
          <w:szCs w:val="21"/>
        </w:rPr>
        <w:t>考核环节</w:t>
      </w:r>
      <w:r>
        <w:rPr>
          <w:szCs w:val="21"/>
        </w:rPr>
        <w:t>，</w:t>
      </w:r>
      <w:r>
        <w:rPr>
          <w:i/>
          <w:szCs w:val="21"/>
        </w:rPr>
        <w:t>i</w:t>
      </w:r>
      <w:r>
        <w:rPr>
          <w:szCs w:val="21"/>
        </w:rPr>
        <w:t>表示不同的</w:t>
      </w:r>
      <w:r>
        <w:rPr>
          <w:rFonts w:hint="eastAsia"/>
          <w:szCs w:val="21"/>
        </w:rPr>
        <w:t>分</w:t>
      </w:r>
      <w:r>
        <w:rPr>
          <w:szCs w:val="21"/>
        </w:rPr>
        <w:t>课程目标</w:t>
      </w:r>
      <w:r>
        <w:rPr>
          <w:rFonts w:hint="eastAsia"/>
          <w:szCs w:val="21"/>
        </w:rPr>
        <w:t>；</w:t>
      </w:r>
    </w:p>
    <w:p>
      <w:pPr>
        <w:spacing w:line="360" w:lineRule="auto"/>
        <w:ind w:firstLine="1260" w:firstLineChars="600"/>
      </w:pPr>
      <w:r>
        <w:rPr>
          <w:position w:val="-10"/>
        </w:rPr>
        <w:object>
          <v:shape id="_x0000_i1196" o:spt="75" type="#_x0000_t75" style="height:17pt;width:68.5pt;" o:ole="t" filled="f" o:preferrelative="t" stroked="f" coordsize="21600,21600">
            <v:path/>
            <v:fill on="f" focussize="0,0"/>
            <v:stroke on="f" joinstyle="miter"/>
            <v:imagedata r:id="rId344" o:title=""/>
            <o:lock v:ext="edit" aspectratio="t"/>
            <w10:wrap type="none"/>
            <w10:anchorlock/>
          </v:shape>
          <o:OLEObject Type="Embed" ProgID="Equation.3" ShapeID="_x0000_i1196" DrawAspect="Content" ObjectID="_1468075896" r:id="rId343">
            <o:LockedField>false</o:LockedField>
          </o:OLEObject>
        </w:object>
      </w:r>
      <w:r>
        <w:t>是第</w:t>
      </w:r>
      <w:r>
        <w:rPr>
          <w:i/>
        </w:rPr>
        <w:t>k</w:t>
      </w:r>
      <w:r>
        <w:t>种评价方式通过第</w:t>
      </w:r>
      <w:r>
        <w:rPr>
          <w:i/>
        </w:rPr>
        <w:t>i</w:t>
      </w:r>
      <w:r>
        <w:t>个课程目标反映在总的课程目标评分占比；</w:t>
      </w:r>
    </w:p>
    <w:p>
      <w:pPr>
        <w:tabs>
          <w:tab w:val="left" w:pos="243"/>
        </w:tabs>
        <w:spacing w:line="360" w:lineRule="auto"/>
        <w:ind w:firstLine="420" w:firstLineChars="200"/>
        <w:rPr>
          <w:szCs w:val="21"/>
        </w:rPr>
      </w:pPr>
      <w:r>
        <w:rPr>
          <w:rFonts w:hint="eastAsia"/>
          <w:position w:val="-10"/>
        </w:rPr>
        <w:tab/>
      </w:r>
      <w:r>
        <w:rPr>
          <w:rFonts w:hint="eastAsia"/>
          <w:position w:val="-10"/>
        </w:rPr>
        <w:t xml:space="preserve">    </w:t>
      </w:r>
      <w:r>
        <w:rPr>
          <w:position w:val="-10"/>
        </w:rPr>
        <w:object>
          <v:shape id="_x0000_i1197" o:spt="75" type="#_x0000_t75" style="height:19pt;width:16.5pt;" o:ole="t" filled="f" o:preferrelative="t" stroked="f" coordsize="21600,21600">
            <v:path/>
            <v:fill on="f" focussize="0,0"/>
            <v:stroke on="f" joinstyle="miter"/>
            <v:imagedata r:id="rId153" o:title=""/>
            <o:lock v:ext="edit" aspectratio="t"/>
            <w10:wrap type="none"/>
            <w10:anchorlock/>
          </v:shape>
          <o:OLEObject Type="Embed" ProgID="Equation.3" ShapeID="_x0000_i1197" DrawAspect="Content" ObjectID="_1468075897" r:id="rId345">
            <o:LockedField>false</o:LockedField>
          </o:OLEObject>
        </w:object>
      </w:r>
      <w:r>
        <w:t>表示第</w:t>
      </w:r>
      <w:r>
        <w:rPr>
          <w:i/>
        </w:rPr>
        <w:t>k</w:t>
      </w:r>
      <w:r>
        <w:t>种评价方式对第</w:t>
      </w:r>
      <w:r>
        <w:rPr>
          <w:i/>
        </w:rPr>
        <w:t>i</w:t>
      </w:r>
      <w:r>
        <w:t>个课程目标百分占比；</w:t>
      </w:r>
    </w:p>
    <w:p>
      <w:pPr>
        <w:tabs>
          <w:tab w:val="left" w:pos="243"/>
        </w:tabs>
        <w:spacing w:line="360" w:lineRule="auto"/>
        <w:ind w:firstLine="420" w:firstLineChars="200"/>
        <w:rPr>
          <w:rFonts w:hint="eastAsia"/>
        </w:rPr>
      </w:pPr>
      <w:r>
        <w:rPr>
          <w:rFonts w:hint="eastAsia"/>
          <w:position w:val="-10"/>
        </w:rPr>
        <w:tab/>
      </w:r>
      <w:r>
        <w:rPr>
          <w:rFonts w:hint="eastAsia"/>
          <w:position w:val="-10"/>
        </w:rPr>
        <w:t xml:space="preserve">     </w:t>
      </w:r>
      <w:r>
        <w:rPr>
          <w:position w:val="-10"/>
        </w:rPr>
        <w:object>
          <v:shape id="_x0000_i1198" o:spt="75" type="#_x0000_t75" style="height:19pt;width:13.5pt;" o:ole="t" filled="f" o:preferrelative="t" stroked="f" coordsize="21600,21600">
            <v:path/>
            <v:fill on="f" focussize="0,0"/>
            <v:stroke on="f" joinstyle="miter"/>
            <v:imagedata r:id="rId155" o:title=""/>
            <o:lock v:ext="edit" aspectratio="t"/>
            <w10:wrap type="none"/>
            <w10:anchorlock/>
          </v:shape>
          <o:OLEObject Type="Embed" ProgID="Equation.3" ShapeID="_x0000_i1198" DrawAspect="Content" ObjectID="_1468075898" r:id="rId346">
            <o:LockedField>false</o:LockedField>
          </o:OLEObject>
        </w:object>
      </w:r>
      <w:r>
        <w:t>表示第</w:t>
      </w:r>
      <w:r>
        <w:rPr>
          <w:i/>
        </w:rPr>
        <w:t>i</w:t>
      </w:r>
      <w:r>
        <w:t>个课程目标在课程总评价中的占比</w:t>
      </w:r>
      <w:r>
        <w:rPr>
          <w:rFonts w:hint="eastAsia"/>
        </w:rPr>
        <w:t>；</w:t>
      </w:r>
    </w:p>
    <w:p>
      <w:pPr>
        <w:spacing w:line="360" w:lineRule="auto"/>
        <w:ind w:firstLine="1400" w:firstLineChars="500"/>
        <w:rPr>
          <w:rFonts w:hint="eastAsia"/>
        </w:rPr>
      </w:pPr>
      <w:r>
        <w:rPr>
          <w:i/>
          <w:iCs/>
          <w:kern w:val="0"/>
          <w:sz w:val="28"/>
          <w:szCs w:val="28"/>
        </w:rPr>
        <w:t>G</w:t>
      </w:r>
      <w:r>
        <w:rPr>
          <w:i/>
          <w:iCs/>
          <w:kern w:val="0"/>
          <w:sz w:val="28"/>
          <w:szCs w:val="28"/>
          <w:vertAlign w:val="subscript"/>
        </w:rPr>
        <w:t>i</w:t>
      </w:r>
      <w:r>
        <w:rPr>
          <w:rFonts w:hint="eastAsia"/>
          <w:i/>
          <w:iCs/>
          <w:kern w:val="0"/>
          <w:sz w:val="28"/>
          <w:szCs w:val="28"/>
          <w:vertAlign w:val="subscript"/>
        </w:rPr>
        <w:t>k</w:t>
      </w:r>
      <w:r>
        <w:t>表示第</w:t>
      </w:r>
      <w:r>
        <w:rPr>
          <w:i/>
          <w:iCs/>
        </w:rPr>
        <w:t>k</w:t>
      </w:r>
      <w:r>
        <w:t>种</w:t>
      </w:r>
      <w:r>
        <w:rPr>
          <w:rFonts w:hint="eastAsia"/>
        </w:rPr>
        <w:t>考核</w:t>
      </w:r>
      <w:r>
        <w:t>方式</w:t>
      </w:r>
      <w:r>
        <w:rPr>
          <w:rFonts w:hint="eastAsia"/>
        </w:rPr>
        <w:t>支撑</w:t>
      </w:r>
      <w:r>
        <w:t>第i个</w:t>
      </w:r>
      <w:r>
        <w:rPr>
          <w:rFonts w:hint="eastAsia"/>
        </w:rPr>
        <w:t>课程目标的</w:t>
      </w:r>
      <w:r>
        <w:t>达成度</w:t>
      </w:r>
      <w:r>
        <w:rPr>
          <w:rFonts w:hint="eastAsia"/>
        </w:rPr>
        <w:t xml:space="preserve">。   </w:t>
      </w:r>
    </w:p>
    <w:p>
      <w:pPr>
        <w:spacing w:line="360" w:lineRule="auto"/>
        <w:ind w:firstLine="420" w:firstLineChars="200"/>
        <w:rPr>
          <w:szCs w:val="21"/>
        </w:rPr>
      </w:pPr>
      <w:r>
        <w:rPr>
          <w:rFonts w:hint="eastAsia"/>
          <w:szCs w:val="21"/>
        </w:rPr>
        <w:t>本课程的评价标准从作业、结课大作业两个方面进行分析，分别对各考核方式的课程目标达成情况以及总的达成度进行分析。每一项课程目标达到</w:t>
      </w:r>
      <w:r>
        <w:rPr>
          <w:szCs w:val="21"/>
        </w:rPr>
        <w:t>6</w:t>
      </w:r>
      <w:r>
        <w:rPr>
          <w:rFonts w:hint="eastAsia"/>
          <w:szCs w:val="21"/>
        </w:rPr>
        <w:t>0分为合格。</w:t>
      </w:r>
    </w:p>
    <w:p>
      <w:pPr>
        <w:adjustRightInd w:val="0"/>
        <w:snapToGrid w:val="0"/>
        <w:spacing w:line="360" w:lineRule="auto"/>
        <w:ind w:firstLine="422" w:firstLineChars="200"/>
        <w:rPr>
          <w:rFonts w:hint="eastAsia"/>
          <w:b/>
          <w:bCs/>
          <w:szCs w:val="21"/>
          <w:lang w:bidi="ar"/>
        </w:rPr>
      </w:pPr>
      <w:r>
        <w:rPr>
          <w:rFonts w:hint="eastAsia"/>
          <w:b/>
          <w:bCs/>
          <w:szCs w:val="21"/>
          <w:lang w:bidi="ar"/>
        </w:rPr>
        <w:t>3、定性评价</w:t>
      </w:r>
    </w:p>
    <w:p>
      <w:pPr>
        <w:adjustRightInd w:val="0"/>
        <w:snapToGrid w:val="0"/>
        <w:spacing w:line="360" w:lineRule="auto"/>
        <w:ind w:firstLine="420" w:firstLineChars="200"/>
        <w:rPr>
          <w:rFonts w:hint="eastAsia"/>
          <w:szCs w:val="21"/>
          <w:lang w:bidi="ar"/>
        </w:rPr>
      </w:pPr>
      <w:r>
        <w:rPr>
          <w:rFonts w:hint="eastAsia"/>
          <w:szCs w:val="21"/>
          <w:lang w:bidi="ar"/>
        </w:rPr>
        <w:t>针对每门课的课程目标，直接设计问题，并要求学生明确给出目标能力达到的程度“很好（0.95）、较好（0.75）、中（0.60）、较差（0.45）、很差（0.25）”，根据各区段统计比例与括号中的目标分值加权后求和得出定性评价的结果。</w:t>
      </w:r>
    </w:p>
    <w:p>
      <w:pPr>
        <w:adjustRightInd w:val="0"/>
        <w:snapToGrid w:val="0"/>
        <w:spacing w:line="360" w:lineRule="auto"/>
        <w:ind w:firstLine="422" w:firstLineChars="200"/>
        <w:rPr>
          <w:b/>
          <w:bCs/>
          <w:szCs w:val="21"/>
          <w:lang w:bidi="ar"/>
        </w:rPr>
      </w:pPr>
      <w:r>
        <w:rPr>
          <w:rFonts w:hint="eastAsia"/>
          <w:b/>
          <w:bCs/>
          <w:szCs w:val="21"/>
          <w:lang w:bidi="ar"/>
        </w:rPr>
        <w:t>4、定性评价和定量评价结果的综合</w:t>
      </w:r>
    </w:p>
    <w:p>
      <w:pPr>
        <w:adjustRightInd w:val="0"/>
        <w:snapToGrid w:val="0"/>
        <w:spacing w:line="360" w:lineRule="auto"/>
        <w:ind w:firstLine="420" w:firstLineChars="200"/>
        <w:rPr>
          <w:rFonts w:hint="eastAsia"/>
          <w:szCs w:val="21"/>
          <w:lang w:bidi="ar"/>
        </w:rPr>
      </w:pPr>
      <w:r>
        <w:rPr>
          <w:rFonts w:hint="eastAsia"/>
          <w:szCs w:val="21"/>
          <w:lang w:bidi="ar"/>
        </w:rPr>
        <w:t>同一课程目标的评价，取定性评价和定量评价的平均值，作为最终评价结果。</w:t>
      </w:r>
    </w:p>
    <w:p>
      <w:pPr>
        <w:adjustRightInd w:val="0"/>
        <w:snapToGrid w:val="0"/>
        <w:spacing w:before="156" w:beforeLines="50" w:line="360" w:lineRule="auto"/>
        <w:rPr>
          <w:rFonts w:hint="eastAsia" w:eastAsia="黑体"/>
          <w:color w:val="0D0D0D"/>
          <w:szCs w:val="21"/>
        </w:rPr>
      </w:pPr>
      <w:r>
        <w:rPr>
          <w:rFonts w:hint="eastAsia" w:eastAsia="黑体"/>
          <w:color w:val="0D0D0D"/>
          <w:szCs w:val="21"/>
        </w:rPr>
        <w:t>七、评价标准：</w:t>
      </w:r>
    </w:p>
    <w:p>
      <w:pPr>
        <w:adjustRightInd w:val="0"/>
        <w:snapToGrid w:val="0"/>
        <w:spacing w:line="360" w:lineRule="auto"/>
        <w:ind w:firstLine="420" w:firstLineChars="200"/>
        <w:rPr>
          <w:szCs w:val="21"/>
          <w:lang w:bidi="ar"/>
        </w:rPr>
      </w:pPr>
      <w:r>
        <w:rPr>
          <w:rFonts w:hint="eastAsia"/>
          <w:szCs w:val="21"/>
          <w:lang w:bidi="ar"/>
        </w:rPr>
        <w:t>本课程允许教师在各评价环节根据具体情况采取多样化、个性化的考核手段，其评价标准应当在《SIE-CT-01：授课计划》中明确并向学生公布，教学过程中的考核评价应当严格按照标准完成。</w:t>
      </w:r>
    </w:p>
    <w:p>
      <w:pPr>
        <w:adjustRightInd w:val="0"/>
        <w:snapToGrid w:val="0"/>
        <w:spacing w:before="156" w:beforeLines="50" w:line="360" w:lineRule="auto"/>
        <w:rPr>
          <w:rFonts w:hint="eastAsia" w:eastAsia="黑体"/>
          <w:color w:val="0D0D0D"/>
          <w:szCs w:val="21"/>
        </w:rPr>
      </w:pPr>
      <w:r>
        <w:rPr>
          <w:rFonts w:hint="eastAsia" w:eastAsia="黑体"/>
          <w:color w:val="0D0D0D"/>
          <w:szCs w:val="21"/>
        </w:rPr>
        <w:t>八、课程目标达成评价结果用于持续改进</w:t>
      </w:r>
    </w:p>
    <w:p>
      <w:pPr>
        <w:adjustRightInd w:val="0"/>
        <w:snapToGrid w:val="0"/>
        <w:spacing w:line="360" w:lineRule="auto"/>
        <w:ind w:firstLine="420" w:firstLineChars="200"/>
        <w:rPr>
          <w:rFonts w:hint="eastAsia"/>
          <w:szCs w:val="21"/>
          <w:lang w:bidi="ar"/>
        </w:rPr>
      </w:pPr>
      <w:r>
        <w:rPr>
          <w:rFonts w:hint="eastAsia"/>
          <w:szCs w:val="21"/>
          <w:lang w:bidi="ar"/>
        </w:rPr>
        <w:t>课程目标达成评价结果将用于后续教学过程的持续改进。</w:t>
      </w:r>
    </w:p>
    <w:p>
      <w:pPr>
        <w:adjustRightInd w:val="0"/>
        <w:snapToGrid w:val="0"/>
        <w:spacing w:line="360" w:lineRule="auto"/>
        <w:ind w:firstLine="420" w:firstLineChars="200"/>
        <w:rPr>
          <w:rFonts w:hint="eastAsia"/>
          <w:szCs w:val="21"/>
          <w:highlight w:val="yellow"/>
          <w:lang w:bidi="ar"/>
        </w:rPr>
      </w:pPr>
      <w:r>
        <w:rPr>
          <w:rFonts w:hint="eastAsia"/>
          <w:szCs w:val="21"/>
          <w:lang w:bidi="ar"/>
        </w:rPr>
        <w:t>针对课程目标达成评价中发现的问题与不足，重点是达成值相对较低的项，在本次授课总结中应由授课教师分析具体原因，并给出改进建议。后续任课教师应当针对以前的问题和建议，在授课计划中做好落实改进计划，并在授课过程中予以落实。</w:t>
      </w:r>
    </w:p>
    <w:p>
      <w:pPr>
        <w:adjustRightInd w:val="0"/>
        <w:snapToGrid w:val="0"/>
        <w:spacing w:before="156" w:beforeLines="50" w:line="360" w:lineRule="auto"/>
        <w:rPr>
          <w:rFonts w:hint="eastAsia" w:eastAsia="黑体"/>
          <w:color w:val="0D0D0D"/>
          <w:szCs w:val="21"/>
        </w:rPr>
      </w:pPr>
      <w:r>
        <w:rPr>
          <w:rFonts w:hint="eastAsia" w:eastAsia="黑体"/>
          <w:color w:val="0D0D0D"/>
          <w:szCs w:val="21"/>
        </w:rPr>
        <w:t>九、覆盖课程目标达成评价的知识点及权重</w:t>
      </w:r>
    </w:p>
    <w:p>
      <w:pPr>
        <w:jc w:val="center"/>
        <w:rPr>
          <w:rFonts w:hint="eastAsia" w:eastAsia="黑体"/>
          <w:color w:val="FF0000"/>
          <w:szCs w:val="21"/>
          <w:highlight w:val="yellow"/>
        </w:rPr>
      </w:pPr>
      <w:r>
        <w:rPr>
          <w:b/>
          <w:bCs/>
          <w:color w:val="000000"/>
          <w:sz w:val="18"/>
          <w:szCs w:val="18"/>
        </w:rPr>
        <w:t>表</w:t>
      </w:r>
      <w:r>
        <w:rPr>
          <w:rFonts w:hint="eastAsia"/>
          <w:b/>
          <w:bCs/>
          <w:color w:val="000000"/>
          <w:sz w:val="18"/>
          <w:szCs w:val="18"/>
        </w:rPr>
        <w:t xml:space="preserve">9.1   </w:t>
      </w:r>
      <w:r>
        <w:rPr>
          <w:b/>
          <w:bCs/>
          <w:sz w:val="18"/>
          <w:szCs w:val="18"/>
        </w:rPr>
        <w:t>各考核方式对课程目标达成评价的</w:t>
      </w:r>
      <w:r>
        <w:rPr>
          <w:rFonts w:hint="eastAsia"/>
          <w:b/>
          <w:bCs/>
          <w:sz w:val="18"/>
          <w:szCs w:val="18"/>
        </w:rPr>
        <w:t>权重</w:t>
      </w:r>
      <w:r>
        <w:rPr>
          <w:b/>
          <w:bCs/>
          <w:sz w:val="18"/>
          <w:szCs w:val="18"/>
        </w:rPr>
        <w:t>占比分配</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6"/>
        <w:gridCol w:w="1666"/>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6" w:type="pct"/>
            <w:tcBorders>
              <w:bottom w:val="single" w:color="auto" w:sz="4" w:space="0"/>
              <w:right w:val="single" w:color="auto" w:sz="4" w:space="0"/>
            </w:tcBorders>
            <w:vAlign w:val="center"/>
          </w:tcPr>
          <w:p>
            <w:pPr>
              <w:jc w:val="center"/>
              <w:rPr>
                <w:sz w:val="18"/>
                <w:szCs w:val="18"/>
                <w:highlight w:val="yellow"/>
              </w:rPr>
            </w:pPr>
            <w:r>
              <w:rPr>
                <w:rFonts w:hint="eastAsia" w:cs="宋体"/>
                <w:sz w:val="18"/>
                <w:szCs w:val="18"/>
                <w:lang w:bidi="ar"/>
              </w:rPr>
              <w:t>知识点</w:t>
            </w:r>
          </w:p>
        </w:tc>
        <w:tc>
          <w:tcPr>
            <w:tcW w:w="897" w:type="pct"/>
            <w:tcBorders>
              <w:left w:val="single" w:color="auto" w:sz="4" w:space="0"/>
              <w:bottom w:val="single" w:color="auto" w:sz="4" w:space="0"/>
              <w:right w:val="single" w:color="auto" w:sz="4" w:space="0"/>
            </w:tcBorders>
            <w:vAlign w:val="center"/>
          </w:tcPr>
          <w:p>
            <w:pPr>
              <w:jc w:val="center"/>
              <w:rPr>
                <w:sz w:val="18"/>
                <w:szCs w:val="18"/>
              </w:rPr>
            </w:pPr>
            <w:r>
              <w:rPr>
                <w:rFonts w:hint="eastAsia" w:cs="宋体"/>
                <w:sz w:val="18"/>
                <w:szCs w:val="18"/>
                <w:lang w:bidi="ar"/>
              </w:rPr>
              <w:t>权重</w:t>
            </w:r>
          </w:p>
        </w:tc>
        <w:tc>
          <w:tcPr>
            <w:tcW w:w="1047" w:type="pct"/>
            <w:tcBorders>
              <w:left w:val="single" w:color="auto" w:sz="4" w:space="0"/>
              <w:bottom w:val="single" w:color="auto" w:sz="4" w:space="0"/>
            </w:tcBorders>
            <w:vAlign w:val="center"/>
          </w:tcPr>
          <w:p>
            <w:pPr>
              <w:jc w:val="center"/>
              <w:rPr>
                <w:sz w:val="18"/>
                <w:szCs w:val="18"/>
              </w:rPr>
            </w:pPr>
            <w:r>
              <w:rPr>
                <w:rFonts w:hint="eastAsia" w:cs="宋体"/>
                <w:sz w:val="18"/>
                <w:szCs w:val="18"/>
                <w:lang w:bidi="ar"/>
              </w:rPr>
              <w:t>支撑课程目标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6" w:type="pct"/>
            <w:tcBorders>
              <w:top w:val="single" w:color="auto" w:sz="4" w:space="0"/>
              <w:bottom w:val="single" w:color="auto" w:sz="4" w:space="0"/>
              <w:right w:val="single" w:color="auto" w:sz="4" w:space="0"/>
            </w:tcBorders>
            <w:vAlign w:val="center"/>
          </w:tcPr>
          <w:p>
            <w:pPr>
              <w:widowControl/>
              <w:ind w:left="174" w:leftChars="83"/>
              <w:rPr>
                <w:snapToGrid w:val="0"/>
                <w:kern w:val="0"/>
                <w:sz w:val="18"/>
                <w:szCs w:val="18"/>
              </w:rPr>
            </w:pPr>
            <w:r>
              <w:rPr>
                <w:snapToGrid w:val="0"/>
                <w:kern w:val="0"/>
                <w:sz w:val="18"/>
                <w:szCs w:val="18"/>
                <w:lang w:bidi="ar"/>
              </w:rPr>
              <w:t xml:space="preserve">1 </w:t>
            </w:r>
            <w:r>
              <w:rPr>
                <w:rFonts w:hint="eastAsia"/>
                <w:snapToGrid w:val="0"/>
                <w:kern w:val="0"/>
                <w:sz w:val="18"/>
                <w:szCs w:val="18"/>
                <w:lang w:bidi="ar"/>
              </w:rPr>
              <w:t>Python基础</w:t>
            </w:r>
          </w:p>
        </w:tc>
        <w:tc>
          <w:tcPr>
            <w:tcW w:w="897"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lang w:bidi="ar"/>
              </w:rPr>
              <w:t>0.05</w:t>
            </w:r>
          </w:p>
        </w:tc>
        <w:tc>
          <w:tcPr>
            <w:tcW w:w="1047" w:type="pct"/>
            <w:tcBorders>
              <w:top w:val="single" w:color="auto" w:sz="4" w:space="0"/>
              <w:left w:val="single" w:color="auto" w:sz="4" w:space="0"/>
              <w:bottom w:val="single" w:color="auto" w:sz="4" w:space="0"/>
            </w:tcBorders>
            <w:vAlign w:val="center"/>
          </w:tcPr>
          <w:p>
            <w:pPr>
              <w:jc w:val="center"/>
              <w:rPr>
                <w:sz w:val="18"/>
                <w:szCs w:val="18"/>
              </w:rPr>
            </w:pPr>
            <w:r>
              <w:rPr>
                <w:sz w:val="18"/>
                <w:szCs w:val="18"/>
                <w:lang w:bidi="ar"/>
              </w:rPr>
              <w:t>1</w:t>
            </w:r>
            <w:r>
              <w:rPr>
                <w:rFonts w:hint="eastAsia"/>
                <w:sz w:val="18"/>
                <w:szCs w:val="18"/>
                <w:lang w:bidi="ar"/>
              </w:rPr>
              <w:t>、</w:t>
            </w:r>
            <w:r>
              <w:rPr>
                <w:sz w:val="18"/>
                <w:szCs w:val="18"/>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6" w:type="pct"/>
            <w:tcBorders>
              <w:top w:val="single" w:color="auto" w:sz="4" w:space="0"/>
              <w:bottom w:val="single" w:color="auto" w:sz="4" w:space="0"/>
              <w:right w:val="single" w:color="auto" w:sz="4" w:space="0"/>
            </w:tcBorders>
            <w:vAlign w:val="center"/>
          </w:tcPr>
          <w:p>
            <w:pPr>
              <w:widowControl/>
              <w:ind w:left="174" w:leftChars="83"/>
              <w:rPr>
                <w:snapToGrid w:val="0"/>
                <w:kern w:val="0"/>
                <w:sz w:val="18"/>
                <w:szCs w:val="18"/>
              </w:rPr>
            </w:pPr>
            <w:r>
              <w:rPr>
                <w:snapToGrid w:val="0"/>
                <w:kern w:val="0"/>
                <w:sz w:val="18"/>
                <w:szCs w:val="18"/>
                <w:lang w:bidi="ar"/>
              </w:rPr>
              <w:t>2</w:t>
            </w:r>
            <w:r>
              <w:rPr>
                <w:rFonts w:hint="eastAsia"/>
                <w:snapToGrid w:val="0"/>
                <w:kern w:val="0"/>
                <w:sz w:val="18"/>
                <w:szCs w:val="18"/>
                <w:lang w:bidi="ar"/>
              </w:rPr>
              <w:t>数据类型、运算符与内置函数</w:t>
            </w:r>
          </w:p>
        </w:tc>
        <w:tc>
          <w:tcPr>
            <w:tcW w:w="897"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lang w:bidi="ar"/>
              </w:rPr>
              <w:t>0.10</w:t>
            </w:r>
          </w:p>
        </w:tc>
        <w:tc>
          <w:tcPr>
            <w:tcW w:w="1047" w:type="pct"/>
            <w:tcBorders>
              <w:top w:val="single" w:color="auto" w:sz="4" w:space="0"/>
              <w:left w:val="single" w:color="auto" w:sz="4" w:space="0"/>
              <w:bottom w:val="single" w:color="auto" w:sz="4" w:space="0"/>
            </w:tcBorders>
            <w:vAlign w:val="center"/>
          </w:tcPr>
          <w:p>
            <w:pPr>
              <w:jc w:val="center"/>
              <w:rPr>
                <w:sz w:val="18"/>
                <w:szCs w:val="18"/>
              </w:rPr>
            </w:pPr>
            <w:r>
              <w:rPr>
                <w:sz w:val="18"/>
                <w:szCs w:val="18"/>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6" w:type="pct"/>
            <w:tcBorders>
              <w:top w:val="single" w:color="auto" w:sz="4" w:space="0"/>
              <w:bottom w:val="single" w:color="auto" w:sz="4" w:space="0"/>
              <w:right w:val="single" w:color="auto" w:sz="4" w:space="0"/>
            </w:tcBorders>
            <w:vAlign w:val="center"/>
          </w:tcPr>
          <w:p>
            <w:pPr>
              <w:widowControl/>
              <w:ind w:left="174" w:leftChars="83"/>
              <w:rPr>
                <w:kern w:val="0"/>
                <w:sz w:val="18"/>
                <w:szCs w:val="18"/>
              </w:rPr>
            </w:pPr>
            <w:r>
              <w:rPr>
                <w:snapToGrid w:val="0"/>
                <w:kern w:val="0"/>
                <w:sz w:val="18"/>
                <w:szCs w:val="18"/>
                <w:lang w:bidi="ar"/>
              </w:rPr>
              <w:t xml:space="preserve">3 </w:t>
            </w:r>
            <w:r>
              <w:rPr>
                <w:rFonts w:hint="eastAsia"/>
                <w:snapToGrid w:val="0"/>
                <w:kern w:val="0"/>
                <w:sz w:val="18"/>
                <w:szCs w:val="18"/>
                <w:lang w:bidi="ar"/>
              </w:rPr>
              <w:t>Python序列</w:t>
            </w:r>
          </w:p>
        </w:tc>
        <w:tc>
          <w:tcPr>
            <w:tcW w:w="897"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lang w:bidi="ar"/>
              </w:rPr>
              <w:t>0.10</w:t>
            </w:r>
          </w:p>
        </w:tc>
        <w:tc>
          <w:tcPr>
            <w:tcW w:w="1047" w:type="pct"/>
            <w:tcBorders>
              <w:top w:val="single" w:color="auto" w:sz="4" w:space="0"/>
              <w:left w:val="single" w:color="auto" w:sz="4" w:space="0"/>
              <w:bottom w:val="single" w:color="auto" w:sz="4" w:space="0"/>
            </w:tcBorders>
            <w:vAlign w:val="center"/>
          </w:tcPr>
          <w:p>
            <w:pPr>
              <w:jc w:val="center"/>
              <w:rPr>
                <w:sz w:val="18"/>
                <w:szCs w:val="18"/>
              </w:rPr>
            </w:pPr>
            <w:r>
              <w:rPr>
                <w:sz w:val="18"/>
                <w:szCs w:val="18"/>
                <w:lang w:bidi="ar"/>
              </w:rPr>
              <w:t>1</w:t>
            </w:r>
            <w:r>
              <w:rPr>
                <w:rFonts w:hint="eastAsia"/>
                <w:sz w:val="18"/>
                <w:szCs w:val="18"/>
                <w:lang w:bidi="ar"/>
              </w:rPr>
              <w:t>、</w:t>
            </w:r>
            <w:r>
              <w:rPr>
                <w:sz w:val="18"/>
                <w:szCs w:val="18"/>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6" w:type="pct"/>
            <w:tcBorders>
              <w:top w:val="single" w:color="auto" w:sz="4" w:space="0"/>
              <w:bottom w:val="single" w:color="auto" w:sz="4" w:space="0"/>
              <w:right w:val="single" w:color="auto" w:sz="4" w:space="0"/>
            </w:tcBorders>
            <w:vAlign w:val="center"/>
          </w:tcPr>
          <w:p>
            <w:pPr>
              <w:widowControl/>
              <w:ind w:left="174" w:leftChars="83"/>
              <w:rPr>
                <w:kern w:val="0"/>
                <w:sz w:val="18"/>
                <w:szCs w:val="18"/>
              </w:rPr>
            </w:pPr>
            <w:r>
              <w:rPr>
                <w:snapToGrid w:val="0"/>
                <w:kern w:val="0"/>
                <w:sz w:val="18"/>
                <w:szCs w:val="18"/>
                <w:lang w:bidi="ar"/>
              </w:rPr>
              <w:t xml:space="preserve">4 </w:t>
            </w:r>
            <w:r>
              <w:rPr>
                <w:rFonts w:hint="eastAsia"/>
                <w:snapToGrid w:val="0"/>
                <w:kern w:val="0"/>
                <w:sz w:val="18"/>
                <w:szCs w:val="18"/>
                <w:lang w:bidi="ar"/>
              </w:rPr>
              <w:t>选择结构、循环结构、函数定义与使用</w:t>
            </w:r>
          </w:p>
        </w:tc>
        <w:tc>
          <w:tcPr>
            <w:tcW w:w="897"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lang w:bidi="ar"/>
              </w:rPr>
              <w:t>0.10</w:t>
            </w:r>
          </w:p>
        </w:tc>
        <w:tc>
          <w:tcPr>
            <w:tcW w:w="1047" w:type="pct"/>
            <w:tcBorders>
              <w:top w:val="single" w:color="auto" w:sz="4" w:space="0"/>
              <w:left w:val="single" w:color="auto" w:sz="4" w:space="0"/>
              <w:bottom w:val="single" w:color="auto" w:sz="4" w:space="0"/>
            </w:tcBorders>
          </w:tcPr>
          <w:p>
            <w:pPr>
              <w:jc w:val="center"/>
            </w:pPr>
            <w:r>
              <w:rPr>
                <w:sz w:val="18"/>
                <w:szCs w:val="18"/>
                <w:lang w:bidi="ar"/>
              </w:rPr>
              <w:t>1</w:t>
            </w:r>
            <w:r>
              <w:rPr>
                <w:rFonts w:hint="eastAsia"/>
                <w:sz w:val="18"/>
                <w:szCs w:val="18"/>
                <w:lang w:bidi="ar"/>
              </w:rPr>
              <w:t>、</w:t>
            </w:r>
            <w:r>
              <w:rPr>
                <w:sz w:val="18"/>
                <w:szCs w:val="18"/>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6" w:type="pct"/>
            <w:tcBorders>
              <w:top w:val="single" w:color="auto" w:sz="4" w:space="0"/>
              <w:bottom w:val="single" w:color="auto" w:sz="4" w:space="0"/>
              <w:right w:val="single" w:color="auto" w:sz="4" w:space="0"/>
            </w:tcBorders>
            <w:vAlign w:val="center"/>
          </w:tcPr>
          <w:p>
            <w:pPr>
              <w:widowControl/>
              <w:ind w:left="174" w:leftChars="83"/>
              <w:rPr>
                <w:snapToGrid w:val="0"/>
                <w:kern w:val="0"/>
                <w:sz w:val="18"/>
                <w:szCs w:val="18"/>
                <w:lang w:bidi="ar"/>
              </w:rPr>
            </w:pPr>
            <w:r>
              <w:rPr>
                <w:rFonts w:hint="eastAsia"/>
                <w:snapToGrid w:val="0"/>
                <w:kern w:val="0"/>
                <w:sz w:val="18"/>
                <w:szCs w:val="18"/>
                <w:lang w:bidi="ar"/>
              </w:rPr>
              <w:t>5 TensorFlow库、PyTorch库</w:t>
            </w:r>
          </w:p>
        </w:tc>
        <w:tc>
          <w:tcPr>
            <w:tcW w:w="897" w:type="pct"/>
            <w:tcBorders>
              <w:top w:val="single" w:color="auto" w:sz="4" w:space="0"/>
              <w:left w:val="single" w:color="auto" w:sz="4" w:space="0"/>
              <w:bottom w:val="single" w:color="auto" w:sz="4" w:space="0"/>
              <w:right w:val="single" w:color="auto" w:sz="4" w:space="0"/>
            </w:tcBorders>
            <w:vAlign w:val="center"/>
          </w:tcPr>
          <w:p>
            <w:pPr>
              <w:jc w:val="center"/>
              <w:rPr>
                <w:sz w:val="18"/>
                <w:szCs w:val="18"/>
                <w:lang w:bidi="ar"/>
              </w:rPr>
            </w:pPr>
            <w:r>
              <w:rPr>
                <w:rFonts w:hint="eastAsia"/>
                <w:sz w:val="18"/>
                <w:szCs w:val="18"/>
                <w:lang w:bidi="ar"/>
              </w:rPr>
              <w:t>0</w:t>
            </w:r>
            <w:r>
              <w:rPr>
                <w:sz w:val="18"/>
                <w:szCs w:val="18"/>
                <w:lang w:bidi="ar"/>
              </w:rPr>
              <w:t>.10</w:t>
            </w:r>
          </w:p>
        </w:tc>
        <w:tc>
          <w:tcPr>
            <w:tcW w:w="1047" w:type="pct"/>
            <w:tcBorders>
              <w:top w:val="single" w:color="auto" w:sz="4" w:space="0"/>
              <w:left w:val="single" w:color="auto" w:sz="4" w:space="0"/>
              <w:bottom w:val="single" w:color="auto" w:sz="4" w:space="0"/>
            </w:tcBorders>
          </w:tcPr>
          <w:p>
            <w:pPr>
              <w:jc w:val="center"/>
              <w:rPr>
                <w:sz w:val="18"/>
                <w:szCs w:val="18"/>
                <w:lang w:bidi="ar"/>
              </w:rPr>
            </w:pPr>
            <w:r>
              <w:rPr>
                <w:rFonts w:hint="eastAsia"/>
                <w:sz w:val="18"/>
                <w:szCs w:val="18"/>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6" w:type="pct"/>
            <w:tcBorders>
              <w:top w:val="single" w:color="auto" w:sz="4" w:space="0"/>
              <w:bottom w:val="single" w:color="auto" w:sz="4" w:space="0"/>
              <w:right w:val="single" w:color="auto" w:sz="4" w:space="0"/>
            </w:tcBorders>
            <w:vAlign w:val="center"/>
          </w:tcPr>
          <w:p>
            <w:pPr>
              <w:widowControl/>
              <w:ind w:left="174" w:leftChars="83"/>
              <w:rPr>
                <w:kern w:val="0"/>
                <w:sz w:val="18"/>
                <w:szCs w:val="18"/>
              </w:rPr>
            </w:pPr>
            <w:r>
              <w:rPr>
                <w:snapToGrid w:val="0"/>
                <w:kern w:val="0"/>
                <w:sz w:val="18"/>
                <w:szCs w:val="18"/>
                <w:lang w:bidi="ar"/>
              </w:rPr>
              <w:t xml:space="preserve">6 </w:t>
            </w:r>
            <w:r>
              <w:rPr>
                <w:rFonts w:hint="eastAsia"/>
                <w:snapToGrid w:val="0"/>
                <w:kern w:val="0"/>
                <w:sz w:val="18"/>
                <w:szCs w:val="18"/>
                <w:lang w:bidi="ar"/>
              </w:rPr>
              <w:t>文件操作</w:t>
            </w:r>
          </w:p>
        </w:tc>
        <w:tc>
          <w:tcPr>
            <w:tcW w:w="897"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lang w:bidi="ar"/>
              </w:rPr>
              <w:t>0.05</w:t>
            </w:r>
          </w:p>
        </w:tc>
        <w:tc>
          <w:tcPr>
            <w:tcW w:w="1047" w:type="pct"/>
            <w:tcBorders>
              <w:top w:val="single" w:color="auto" w:sz="4" w:space="0"/>
              <w:left w:val="single" w:color="auto" w:sz="4" w:space="0"/>
              <w:bottom w:val="single" w:color="auto" w:sz="4" w:space="0"/>
            </w:tcBorders>
          </w:tcPr>
          <w:p>
            <w:pPr>
              <w:jc w:val="center"/>
              <w:rPr>
                <w:sz w:val="18"/>
                <w:szCs w:val="18"/>
                <w:lang w:bidi="ar"/>
              </w:rPr>
            </w:pPr>
            <w:r>
              <w:rPr>
                <w:rFonts w:hint="eastAsia"/>
                <w:sz w:val="18"/>
                <w:szCs w:val="18"/>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6" w:type="pct"/>
            <w:tcBorders>
              <w:top w:val="single" w:color="auto" w:sz="4" w:space="0"/>
              <w:bottom w:val="single" w:color="auto" w:sz="4" w:space="0"/>
              <w:right w:val="single" w:color="auto" w:sz="4" w:space="0"/>
            </w:tcBorders>
            <w:vAlign w:val="center"/>
          </w:tcPr>
          <w:p>
            <w:pPr>
              <w:widowControl/>
              <w:ind w:left="174" w:leftChars="83"/>
              <w:rPr>
                <w:kern w:val="0"/>
                <w:sz w:val="18"/>
                <w:szCs w:val="18"/>
              </w:rPr>
            </w:pPr>
            <w:r>
              <w:rPr>
                <w:kern w:val="0"/>
                <w:sz w:val="18"/>
                <w:szCs w:val="18"/>
                <w:lang w:bidi="ar"/>
              </w:rPr>
              <w:t xml:space="preserve">7 </w:t>
            </w:r>
            <w:r>
              <w:rPr>
                <w:rFonts w:hint="eastAsia" w:cs="宋体"/>
                <w:kern w:val="0"/>
                <w:sz w:val="18"/>
                <w:szCs w:val="18"/>
                <w:lang w:bidi="ar"/>
              </w:rPr>
              <w:t>numpy数组与矩阵计算</w:t>
            </w:r>
          </w:p>
        </w:tc>
        <w:tc>
          <w:tcPr>
            <w:tcW w:w="897"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lang w:bidi="ar"/>
              </w:rPr>
              <w:t>0.10</w:t>
            </w:r>
          </w:p>
        </w:tc>
        <w:tc>
          <w:tcPr>
            <w:tcW w:w="1047" w:type="pct"/>
            <w:tcBorders>
              <w:top w:val="single" w:color="auto" w:sz="4" w:space="0"/>
              <w:left w:val="single" w:color="auto" w:sz="4" w:space="0"/>
              <w:bottom w:val="single" w:color="auto" w:sz="4" w:space="0"/>
            </w:tcBorders>
          </w:tcPr>
          <w:p>
            <w:pPr>
              <w:jc w:val="center"/>
              <w:rPr>
                <w:sz w:val="18"/>
                <w:szCs w:val="18"/>
                <w:lang w:bidi="ar"/>
              </w:rPr>
            </w:pPr>
            <w:r>
              <w:rPr>
                <w:rFonts w:hint="eastAsia"/>
                <w:sz w:val="18"/>
                <w:szCs w:val="18"/>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6" w:type="pct"/>
            <w:tcBorders>
              <w:top w:val="single" w:color="auto" w:sz="4" w:space="0"/>
              <w:bottom w:val="single" w:color="auto" w:sz="4" w:space="0"/>
              <w:right w:val="single" w:color="auto" w:sz="4" w:space="0"/>
            </w:tcBorders>
            <w:vAlign w:val="center"/>
          </w:tcPr>
          <w:p>
            <w:pPr>
              <w:widowControl/>
              <w:ind w:left="174" w:leftChars="83"/>
              <w:rPr>
                <w:kern w:val="0"/>
                <w:sz w:val="18"/>
                <w:szCs w:val="18"/>
              </w:rPr>
            </w:pPr>
            <w:r>
              <w:rPr>
                <w:kern w:val="0"/>
                <w:sz w:val="18"/>
                <w:szCs w:val="18"/>
                <w:lang w:bidi="ar"/>
              </w:rPr>
              <w:t>8</w:t>
            </w:r>
            <w:r>
              <w:rPr>
                <w:rFonts w:hint="eastAsia" w:cs="宋体"/>
                <w:kern w:val="0"/>
                <w:sz w:val="18"/>
                <w:szCs w:val="18"/>
                <w:lang w:bidi="ar"/>
              </w:rPr>
              <w:t xml:space="preserve"> pandas数据分析实战</w:t>
            </w:r>
          </w:p>
        </w:tc>
        <w:tc>
          <w:tcPr>
            <w:tcW w:w="897"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lang w:bidi="ar"/>
              </w:rPr>
              <w:t>0.20</w:t>
            </w:r>
          </w:p>
        </w:tc>
        <w:tc>
          <w:tcPr>
            <w:tcW w:w="1047" w:type="pct"/>
            <w:tcBorders>
              <w:top w:val="single" w:color="auto" w:sz="4" w:space="0"/>
              <w:left w:val="single" w:color="auto" w:sz="4" w:space="0"/>
              <w:bottom w:val="single" w:color="auto" w:sz="4" w:space="0"/>
            </w:tcBorders>
          </w:tcPr>
          <w:p>
            <w:pPr>
              <w:jc w:val="center"/>
              <w:rPr>
                <w:sz w:val="18"/>
                <w:szCs w:val="18"/>
                <w:lang w:bidi="ar"/>
              </w:rPr>
            </w:pPr>
            <w:r>
              <w:rPr>
                <w:rFonts w:hint="eastAsia"/>
                <w:sz w:val="18"/>
                <w:szCs w:val="18"/>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6" w:type="pct"/>
            <w:tcBorders>
              <w:top w:val="single" w:color="auto" w:sz="4" w:space="0"/>
              <w:right w:val="single" w:color="auto" w:sz="4" w:space="0"/>
            </w:tcBorders>
            <w:vAlign w:val="center"/>
          </w:tcPr>
          <w:p>
            <w:pPr>
              <w:widowControl/>
              <w:ind w:left="174" w:leftChars="83"/>
              <w:rPr>
                <w:kern w:val="0"/>
                <w:sz w:val="18"/>
                <w:szCs w:val="18"/>
                <w:lang w:bidi="ar"/>
              </w:rPr>
            </w:pPr>
            <w:r>
              <w:rPr>
                <w:kern w:val="0"/>
                <w:sz w:val="18"/>
                <w:szCs w:val="18"/>
                <w:lang w:bidi="ar"/>
              </w:rPr>
              <w:t xml:space="preserve">9 </w:t>
            </w:r>
            <w:r>
              <w:rPr>
                <w:rFonts w:hint="eastAsia"/>
                <w:kern w:val="0"/>
                <w:sz w:val="18"/>
                <w:szCs w:val="18"/>
                <w:lang w:bidi="ar"/>
              </w:rPr>
              <w:t>Matplotliib数据可视化实战</w:t>
            </w:r>
          </w:p>
        </w:tc>
        <w:tc>
          <w:tcPr>
            <w:tcW w:w="897" w:type="pct"/>
            <w:tcBorders>
              <w:top w:val="single" w:color="auto" w:sz="4" w:space="0"/>
              <w:left w:val="single" w:color="auto" w:sz="4" w:space="0"/>
              <w:right w:val="single" w:color="auto" w:sz="4" w:space="0"/>
            </w:tcBorders>
            <w:vAlign w:val="center"/>
          </w:tcPr>
          <w:p>
            <w:pPr>
              <w:jc w:val="center"/>
              <w:rPr>
                <w:sz w:val="18"/>
                <w:szCs w:val="18"/>
                <w:lang w:bidi="ar"/>
              </w:rPr>
            </w:pPr>
            <w:r>
              <w:rPr>
                <w:rFonts w:hint="eastAsia"/>
                <w:sz w:val="18"/>
                <w:szCs w:val="18"/>
                <w:lang w:bidi="ar"/>
              </w:rPr>
              <w:t>0</w:t>
            </w:r>
            <w:r>
              <w:rPr>
                <w:sz w:val="18"/>
                <w:szCs w:val="18"/>
                <w:lang w:bidi="ar"/>
              </w:rPr>
              <w:t>.20</w:t>
            </w:r>
          </w:p>
        </w:tc>
        <w:tc>
          <w:tcPr>
            <w:tcW w:w="1047" w:type="pct"/>
            <w:tcBorders>
              <w:top w:val="single" w:color="auto" w:sz="4" w:space="0"/>
              <w:left w:val="single" w:color="auto" w:sz="4" w:space="0"/>
            </w:tcBorders>
          </w:tcPr>
          <w:p>
            <w:pPr>
              <w:jc w:val="center"/>
              <w:rPr>
                <w:sz w:val="18"/>
                <w:szCs w:val="18"/>
                <w:lang w:bidi="ar"/>
              </w:rPr>
            </w:pPr>
            <w:r>
              <w:rPr>
                <w:rFonts w:hint="eastAsia"/>
                <w:sz w:val="18"/>
                <w:szCs w:val="18"/>
                <w:lang w:bidi="ar"/>
              </w:rPr>
              <w:t>2</w:t>
            </w:r>
          </w:p>
        </w:tc>
      </w:tr>
    </w:tbl>
    <w:p>
      <w:pPr>
        <w:adjustRightInd w:val="0"/>
        <w:snapToGrid w:val="0"/>
        <w:spacing w:line="360" w:lineRule="auto"/>
        <w:ind w:firstLine="420" w:firstLineChars="200"/>
        <w:rPr>
          <w:color w:val="0D0D0D"/>
          <w:szCs w:val="21"/>
          <w:lang w:bidi="ar"/>
        </w:rPr>
      </w:pPr>
      <w:r>
        <w:rPr>
          <w:rFonts w:hint="eastAsia"/>
          <w:color w:val="0D0D0D"/>
          <w:szCs w:val="21"/>
          <w:lang w:bidi="ar"/>
        </w:rPr>
        <w:t>学生可以依据仪器与电子学院相关文件，以允许的第二课堂成果折算单项成绩，与对应知识点加权累计达到</w:t>
      </w:r>
      <w:r>
        <w:rPr>
          <w:color w:val="0D0D0D"/>
          <w:szCs w:val="21"/>
          <w:lang w:bidi="ar"/>
        </w:rPr>
        <w:t>75</w:t>
      </w:r>
      <w:r>
        <w:rPr>
          <w:rFonts w:hint="eastAsia"/>
          <w:color w:val="0D0D0D"/>
          <w:szCs w:val="21"/>
          <w:lang w:bidi="ar"/>
        </w:rPr>
        <w:t>分（含）以上，且对所有课程目标的支撑不能有缺项，即可申请本门课程免修。</w:t>
      </w:r>
    </w:p>
    <w:p>
      <w:pPr>
        <w:adjustRightInd w:val="0"/>
        <w:snapToGrid w:val="0"/>
        <w:spacing w:before="156" w:beforeLines="50" w:line="360" w:lineRule="auto"/>
        <w:rPr>
          <w:rFonts w:hint="eastAsia" w:eastAsia="黑体"/>
          <w:color w:val="0D0D0D"/>
          <w:szCs w:val="21"/>
        </w:rPr>
      </w:pPr>
      <w:r>
        <w:rPr>
          <w:rFonts w:hint="eastAsia" w:eastAsia="黑体"/>
          <w:color w:val="0D0D0D"/>
          <w:szCs w:val="21"/>
        </w:rPr>
        <w:t>八、参考书目及学习资料</w:t>
      </w:r>
    </w:p>
    <w:p>
      <w:pPr>
        <w:adjustRightInd w:val="0"/>
        <w:snapToGrid w:val="0"/>
        <w:spacing w:line="360" w:lineRule="auto"/>
        <w:ind w:firstLine="420" w:firstLineChars="200"/>
        <w:rPr>
          <w:rFonts w:hint="eastAsia"/>
          <w:szCs w:val="21"/>
          <w:lang w:bidi="ar"/>
        </w:rPr>
      </w:pPr>
      <w:r>
        <w:rPr>
          <w:rFonts w:hint="eastAsia"/>
          <w:szCs w:val="21"/>
          <w:lang w:bidi="ar"/>
        </w:rPr>
        <w:t>1.Python数据分析、挖掘与可视化，董付国，人民邮电出版社，2020；</w:t>
      </w:r>
    </w:p>
    <w:p>
      <w:pPr>
        <w:adjustRightInd w:val="0"/>
        <w:snapToGrid w:val="0"/>
        <w:spacing w:line="360" w:lineRule="auto"/>
        <w:ind w:firstLine="420" w:firstLineChars="200"/>
        <w:rPr>
          <w:rFonts w:hint="eastAsia"/>
          <w:szCs w:val="21"/>
          <w:lang w:bidi="ar"/>
        </w:rPr>
      </w:pPr>
      <w:r>
        <w:rPr>
          <w:rFonts w:hint="eastAsia"/>
          <w:szCs w:val="21"/>
          <w:lang w:bidi="ar"/>
        </w:rPr>
        <w:t>2.Python程序设计实验指导书，董付国，清华大学出版社，2019；</w:t>
      </w:r>
    </w:p>
    <w:p>
      <w:pPr>
        <w:adjustRightInd w:val="0"/>
        <w:snapToGrid w:val="0"/>
        <w:spacing w:line="360" w:lineRule="auto"/>
        <w:ind w:firstLine="420" w:firstLineChars="200"/>
        <w:rPr>
          <w:rFonts w:hint="eastAsia"/>
          <w:szCs w:val="21"/>
          <w:lang w:bidi="ar"/>
        </w:rPr>
      </w:pPr>
      <w:r>
        <w:rPr>
          <w:rFonts w:hint="eastAsia"/>
          <w:szCs w:val="21"/>
          <w:lang w:bidi="ar"/>
        </w:rPr>
        <w:t>3.基于python的大数据分析基础及实战，余本国，中国水利水电出版社，2018；</w:t>
      </w:r>
    </w:p>
    <w:p>
      <w:pPr>
        <w:adjustRightInd w:val="0"/>
        <w:snapToGrid w:val="0"/>
        <w:spacing w:line="360" w:lineRule="auto"/>
        <w:ind w:firstLine="420" w:firstLineChars="200"/>
        <w:rPr>
          <w:rFonts w:hint="eastAsia"/>
          <w:szCs w:val="21"/>
          <w:lang w:bidi="ar"/>
        </w:rPr>
      </w:pPr>
      <w:r>
        <w:rPr>
          <w:rFonts w:hint="eastAsia"/>
          <w:szCs w:val="21"/>
          <w:lang w:bidi="ar"/>
        </w:rPr>
        <w:t>4.Python数据分析与应用，黄红梅、张良均，人民邮电出版社，2018；</w:t>
      </w:r>
    </w:p>
    <w:p>
      <w:pPr>
        <w:adjustRightInd w:val="0"/>
        <w:snapToGrid w:val="0"/>
        <w:spacing w:line="360" w:lineRule="auto"/>
        <w:ind w:firstLine="420" w:firstLineChars="200"/>
        <w:rPr>
          <w:rFonts w:hint="eastAsia"/>
          <w:szCs w:val="21"/>
          <w:lang w:bidi="ar"/>
        </w:rPr>
      </w:pPr>
      <w:r>
        <w:rPr>
          <w:rFonts w:hint="eastAsia"/>
          <w:szCs w:val="21"/>
          <w:lang w:bidi="ar"/>
        </w:rPr>
        <w:t>5.对比Excel，轻松学习Python数据分析，张俊红，电子工业出版社，2019；</w:t>
      </w:r>
    </w:p>
    <w:p>
      <w:pPr>
        <w:adjustRightInd w:val="0"/>
        <w:snapToGrid w:val="0"/>
        <w:spacing w:line="360" w:lineRule="auto"/>
        <w:ind w:firstLine="420" w:firstLineChars="200"/>
        <w:rPr>
          <w:rFonts w:hint="eastAsia"/>
          <w:szCs w:val="21"/>
          <w:lang w:bidi="ar"/>
        </w:rPr>
      </w:pPr>
      <w:r>
        <w:rPr>
          <w:rFonts w:hint="eastAsia"/>
          <w:szCs w:val="21"/>
          <w:lang w:bidi="ar"/>
        </w:rPr>
        <w:t>6.Python与数据挖掘，张良均、杨海宏、何子健、杨征等，机械工业出版社，2016；</w:t>
      </w:r>
    </w:p>
    <w:p>
      <w:pPr>
        <w:adjustRightInd w:val="0"/>
        <w:snapToGrid w:val="0"/>
        <w:spacing w:line="360" w:lineRule="auto"/>
        <w:ind w:firstLine="420" w:firstLineChars="200"/>
        <w:rPr>
          <w:szCs w:val="21"/>
          <w:lang w:bidi="ar"/>
        </w:rPr>
      </w:pPr>
      <w:r>
        <w:rPr>
          <w:rFonts w:hint="eastAsia"/>
          <w:szCs w:val="21"/>
          <w:lang w:bidi="ar"/>
        </w:rPr>
        <w:t>7.Python数据分析与挖掘实战，张良均、王路、谭立云、苏剑林等，机械工业出版社，2015</w:t>
      </w:r>
      <w:r>
        <w:rPr>
          <w:szCs w:val="21"/>
          <w:lang w:bidi="ar"/>
        </w:rPr>
        <w:t>6</w:t>
      </w:r>
      <w:r>
        <w:rPr>
          <w:rFonts w:hint="eastAsia"/>
          <w:szCs w:val="21"/>
          <w:lang w:bidi="ar"/>
        </w:rPr>
        <w:t>、</w:t>
      </w:r>
    </w:p>
    <w:p>
      <w:pPr>
        <w:adjustRightInd w:val="0"/>
        <w:snapToGrid w:val="0"/>
        <w:spacing w:line="360" w:lineRule="auto"/>
        <w:ind w:firstLine="420" w:firstLineChars="200"/>
        <w:rPr>
          <w:rFonts w:hint="eastAsia"/>
          <w:szCs w:val="21"/>
          <w:lang w:bidi="ar"/>
        </w:rPr>
      </w:pPr>
      <w:r>
        <w:rPr>
          <w:rFonts w:hint="eastAsia"/>
          <w:szCs w:val="21"/>
          <w:lang w:bidi="ar"/>
        </w:rPr>
        <w:t>8</w:t>
      </w:r>
      <w:r>
        <w:rPr>
          <w:szCs w:val="21"/>
          <w:lang w:bidi="ar"/>
        </w:rPr>
        <w:t>.</w:t>
      </w:r>
      <w:r>
        <w:rPr>
          <w:rFonts w:hint="eastAsia"/>
          <w:szCs w:val="21"/>
          <w:lang w:bidi="ar"/>
        </w:rPr>
        <w:t>网上资源：</w:t>
      </w:r>
    </w:p>
    <w:p>
      <w:pPr>
        <w:adjustRightInd w:val="0"/>
        <w:snapToGrid w:val="0"/>
        <w:spacing w:line="360" w:lineRule="auto"/>
        <w:ind w:left="1155" w:leftChars="300" w:hanging="525" w:hangingChars="250"/>
        <w:jc w:val="left"/>
      </w:pPr>
      <w:r>
        <w:rPr>
          <w:rFonts w:hint="eastAsia" w:cs="宋体"/>
          <w:szCs w:val="21"/>
          <w:lang w:bidi="ar"/>
        </w:rPr>
        <w:t>（</w:t>
      </w:r>
      <w:r>
        <w:rPr>
          <w:szCs w:val="21"/>
          <w:lang w:bidi="ar"/>
        </w:rPr>
        <w:t>1</w:t>
      </w:r>
      <w:r>
        <w:rPr>
          <w:rFonts w:hint="eastAsia" w:cs="宋体"/>
          <w:szCs w:val="21"/>
          <w:lang w:bidi="ar"/>
        </w:rPr>
        <w:t>）北京理工大学，嵩天，</w:t>
      </w:r>
      <w:r>
        <w:rPr>
          <w:rFonts w:hint="eastAsia"/>
          <w:szCs w:val="21"/>
          <w:lang w:bidi="ar"/>
        </w:rPr>
        <w:t>Python数据分析与展示</w:t>
      </w:r>
      <w:r>
        <w:rPr>
          <w:rFonts w:hint="eastAsia" w:cs="宋体"/>
          <w:szCs w:val="21"/>
          <w:lang w:bidi="ar"/>
        </w:rPr>
        <w:t>，</w:t>
      </w:r>
      <w:r>
        <w:fldChar w:fldCharType="begin"/>
      </w:r>
      <w:r>
        <w:instrText xml:space="preserve"> HYPERLINK "https://www.icourse163.org/course/BIT-1001870002" </w:instrText>
      </w:r>
      <w:r>
        <w:fldChar w:fldCharType="separate"/>
      </w:r>
      <w:r>
        <w:rPr>
          <w:rStyle w:val="22"/>
        </w:rPr>
        <w:t>Python数据分析与展示_北京理工大学_中国大学MOOC(慕课) (icourse163.org)</w:t>
      </w:r>
      <w:r>
        <w:rPr>
          <w:rStyle w:val="22"/>
        </w:rPr>
        <w:fldChar w:fldCharType="end"/>
      </w:r>
      <w:r>
        <w:rPr>
          <w:rFonts w:hint="eastAsia" w:cs="宋体"/>
          <w:szCs w:val="21"/>
          <w:lang w:bidi="ar"/>
        </w:rPr>
        <w:t>。</w:t>
      </w:r>
    </w:p>
    <w:p>
      <w:pPr>
        <w:adjustRightInd w:val="0"/>
        <w:snapToGrid w:val="0"/>
        <w:spacing w:line="360" w:lineRule="auto"/>
        <w:ind w:left="1155" w:leftChars="300" w:hanging="525" w:hangingChars="250"/>
        <w:jc w:val="left"/>
        <w:rPr>
          <w:rFonts w:cs="宋体"/>
          <w:szCs w:val="21"/>
          <w:lang w:bidi="ar"/>
        </w:rPr>
      </w:pPr>
      <w:r>
        <w:rPr>
          <w:rFonts w:hint="eastAsia" w:cs="宋体"/>
          <w:szCs w:val="21"/>
          <w:lang w:bidi="ar"/>
        </w:rPr>
        <w:t>（</w:t>
      </w:r>
      <w:r>
        <w:rPr>
          <w:szCs w:val="21"/>
          <w:lang w:bidi="ar"/>
        </w:rPr>
        <w:t>2</w:t>
      </w:r>
      <w:r>
        <w:rPr>
          <w:rFonts w:hint="eastAsia" w:cs="宋体"/>
          <w:szCs w:val="21"/>
          <w:lang w:bidi="ar"/>
        </w:rPr>
        <w:t>）北京理工大学，嵩天，黄天羽，礼欣，Python语言程序设计，</w:t>
      </w:r>
      <w:r>
        <w:fldChar w:fldCharType="begin"/>
      </w:r>
      <w:r>
        <w:instrText xml:space="preserve"> HYPERLINK "https://www.icourse163.org/course/BIT-268001?tid=1002001005" </w:instrText>
      </w:r>
      <w:r>
        <w:fldChar w:fldCharType="separate"/>
      </w:r>
      <w:r>
        <w:rPr>
          <w:rStyle w:val="22"/>
        </w:rPr>
        <w:t>Python语言程序设计_北京理工大学_中国大学MOOC(慕课) (icourse163.org)</w:t>
      </w:r>
      <w:r>
        <w:rPr>
          <w:rStyle w:val="22"/>
        </w:rPr>
        <w:fldChar w:fldCharType="end"/>
      </w:r>
      <w:r>
        <w:rPr>
          <w:rFonts w:hint="eastAsia" w:cs="宋体"/>
          <w:szCs w:val="21"/>
          <w:lang w:bidi="ar"/>
        </w:rPr>
        <w:t>。</w:t>
      </w:r>
    </w:p>
    <w:p>
      <w:pPr>
        <w:adjustRightInd w:val="0"/>
        <w:snapToGrid w:val="0"/>
        <w:spacing w:line="360" w:lineRule="auto"/>
        <w:ind w:left="1155" w:leftChars="300" w:hanging="525" w:hangingChars="250"/>
        <w:jc w:val="left"/>
        <w:rPr>
          <w:rFonts w:hint="eastAsia"/>
          <w:szCs w:val="21"/>
          <w:u w:val="single"/>
        </w:rPr>
      </w:pPr>
      <w:r>
        <w:rPr>
          <w:rFonts w:hint="eastAsia" w:cs="宋体"/>
          <w:szCs w:val="21"/>
          <w:lang w:bidi="ar"/>
        </w:rPr>
        <w:t>（3）自建S</w:t>
      </w:r>
      <w:r>
        <w:rPr>
          <w:rFonts w:cs="宋体"/>
          <w:szCs w:val="21"/>
          <w:lang w:bidi="ar"/>
        </w:rPr>
        <w:t>POC</w:t>
      </w:r>
      <w:r>
        <w:rPr>
          <w:rFonts w:hint="eastAsia" w:cs="宋体"/>
          <w:szCs w:val="21"/>
          <w:lang w:bidi="ar"/>
        </w:rPr>
        <w:t>资源，云班课相关课程资源。</w:t>
      </w:r>
    </w:p>
    <w:p>
      <w:pPr>
        <w:spacing w:line="360" w:lineRule="auto"/>
        <w:ind w:left="210" w:leftChars="50" w:hanging="105" w:hangingChars="50"/>
        <w:rPr>
          <w:b/>
          <w:bCs/>
          <w:szCs w:val="21"/>
        </w:rPr>
      </w:pPr>
    </w:p>
    <w:p>
      <w:pPr>
        <w:spacing w:line="360" w:lineRule="auto"/>
        <w:ind w:left="210" w:leftChars="100"/>
        <w:jc w:val="center"/>
        <w:rPr>
          <w:rFonts w:hint="eastAsia"/>
          <w:color w:val="000000"/>
          <w:szCs w:val="21"/>
        </w:rPr>
      </w:pPr>
      <w:r>
        <w:rPr>
          <w:rFonts w:hint="eastAsia"/>
          <w:b/>
          <w:bCs/>
          <w:szCs w:val="21"/>
        </w:rPr>
        <w:t>制定人</w:t>
      </w:r>
      <w:r>
        <w:rPr>
          <w:rFonts w:hint="eastAsia"/>
          <w:szCs w:val="21"/>
        </w:rPr>
        <w:t xml:space="preserve">：井超             </w:t>
      </w:r>
      <w:r>
        <w:rPr>
          <w:rFonts w:hint="eastAsia"/>
          <w:b/>
          <w:bCs/>
          <w:szCs w:val="21"/>
        </w:rPr>
        <w:t>审定人</w:t>
      </w:r>
      <w:r>
        <w:rPr>
          <w:rFonts w:hint="eastAsia"/>
          <w:szCs w:val="21"/>
        </w:rPr>
        <w:t xml:space="preserve">：刘文耀            </w:t>
      </w:r>
      <w:r>
        <w:rPr>
          <w:rFonts w:hint="eastAsia"/>
          <w:b/>
          <w:bCs/>
          <w:szCs w:val="21"/>
        </w:rPr>
        <w:t>批准人</w:t>
      </w:r>
      <w:r>
        <w:rPr>
          <w:rFonts w:hint="eastAsia"/>
          <w:szCs w:val="21"/>
        </w:rPr>
        <w:t>：刘文怡</w:t>
      </w:r>
    </w:p>
    <w:p>
      <w:pPr>
        <w:spacing w:line="440" w:lineRule="exact"/>
        <w:ind w:right="480" w:firstLine="5670" w:firstLineChars="2700"/>
        <w:jc w:val="center"/>
        <w:rPr>
          <w:b/>
          <w:spacing w:val="20"/>
          <w:szCs w:val="21"/>
        </w:rPr>
      </w:pPr>
      <w:r>
        <w:rPr>
          <w:rFonts w:hint="eastAsia"/>
          <w:szCs w:val="21"/>
          <w:lang w:val="en-US" w:eastAsia="zh-CN"/>
        </w:rPr>
        <w:t xml:space="preserve">     </w:t>
      </w:r>
      <w:r>
        <w:rPr>
          <w:rFonts w:hint="eastAsia"/>
          <w:szCs w:val="21"/>
        </w:rPr>
        <w:t xml:space="preserve">2021年 12月 </w:t>
      </w:r>
      <w:r>
        <w:rPr>
          <w:rFonts w:hint="eastAsia"/>
          <w:szCs w:val="21"/>
          <w:lang w:val="en-US" w:eastAsia="zh-CN"/>
        </w:rPr>
        <w:t>1</w:t>
      </w:r>
      <w:r>
        <w:rPr>
          <w:rFonts w:hint="eastAsia"/>
          <w:szCs w:val="21"/>
        </w:rPr>
        <w:t>日</w:t>
      </w:r>
    </w:p>
    <w:p>
      <w:pPr>
        <w:rPr>
          <w:rFonts w:hint="eastAsia"/>
        </w:rPr>
      </w:pPr>
    </w:p>
    <w:p>
      <w:pPr>
        <w:rPr>
          <w:rFonts w:hint="eastAsia"/>
        </w:rPr>
      </w:pPr>
    </w:p>
    <w:p>
      <w:pPr>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18"/>
        <w:spacing w:before="312" w:after="468"/>
        <w:rPr>
          <w:rFonts w:hint="eastAsia" w:ascii="Times New Roman" w:hAnsi="Times New Roman" w:cs="Times New Roman"/>
        </w:rPr>
      </w:pPr>
      <w:bookmarkStart w:id="79" w:name="_Toc2730"/>
      <w:r>
        <w:rPr>
          <w:rFonts w:hint="eastAsia" w:ascii="Times New Roman" w:hAnsi="Times New Roman" w:cs="Times New Roman"/>
        </w:rPr>
        <w:t>《智能感知综合实践》课程教学大纲</w:t>
      </w:r>
      <w:bookmarkEnd w:id="79"/>
    </w:p>
    <w:p>
      <w:pPr>
        <w:adjustRightInd w:val="0"/>
        <w:snapToGrid w:val="0"/>
        <w:spacing w:before="156" w:beforeLines="50" w:line="360" w:lineRule="auto"/>
        <w:rPr>
          <w:rFonts w:hint="eastAsia" w:eastAsia="黑体"/>
          <w:color w:val="000000"/>
          <w:szCs w:val="21"/>
        </w:rPr>
      </w:pPr>
      <w:r>
        <w:rPr>
          <w:rFonts w:hint="eastAsia" w:eastAsia="黑体"/>
          <w:color w:val="000000"/>
          <w:szCs w:val="21"/>
        </w:rPr>
        <w:t>一、课程基本信息</w:t>
      </w:r>
    </w:p>
    <w:p>
      <w:pPr>
        <w:snapToGrid w:val="0"/>
        <w:spacing w:line="360" w:lineRule="auto"/>
        <w:ind w:firstLine="420" w:firstLineChars="200"/>
        <w:rPr>
          <w:rFonts w:hint="eastAsia" w:eastAsia="黑体"/>
          <w:bCs/>
          <w:szCs w:val="21"/>
        </w:rPr>
      </w:pPr>
      <w:r>
        <w:rPr>
          <w:rFonts w:hint="eastAsia" w:eastAsia="黑体"/>
          <w:bCs/>
          <w:szCs w:val="21"/>
        </w:rPr>
        <w:t>课程名称（中文）：智能感知综合实践</w:t>
      </w:r>
      <w:r>
        <w:rPr>
          <w:rFonts w:eastAsia="黑体"/>
          <w:bCs/>
          <w:szCs w:val="21"/>
        </w:rPr>
        <w:t xml:space="preserve"> </w:t>
      </w:r>
    </w:p>
    <w:p>
      <w:pPr>
        <w:snapToGrid w:val="0"/>
        <w:spacing w:line="360" w:lineRule="auto"/>
        <w:ind w:firstLine="420" w:firstLineChars="200"/>
        <w:rPr>
          <w:rFonts w:hint="eastAsia" w:eastAsia="黑体"/>
          <w:bCs/>
          <w:szCs w:val="21"/>
        </w:rPr>
      </w:pPr>
      <w:r>
        <w:rPr>
          <w:rFonts w:hint="eastAsia" w:eastAsia="黑体"/>
          <w:bCs/>
          <w:szCs w:val="21"/>
        </w:rPr>
        <w:t>课程名称（英文）：</w:t>
      </w:r>
      <w:r>
        <w:rPr>
          <w:rFonts w:eastAsia="黑体"/>
          <w:bCs/>
          <w:szCs w:val="21"/>
        </w:rPr>
        <w:t xml:space="preserve"> Comprehensive Practice of Intelligent Perception</w:t>
      </w:r>
    </w:p>
    <w:p>
      <w:pPr>
        <w:snapToGrid w:val="0"/>
        <w:spacing w:line="360" w:lineRule="auto"/>
        <w:ind w:firstLine="420" w:firstLineChars="200"/>
        <w:rPr>
          <w:rFonts w:eastAsia="黑体"/>
          <w:bCs/>
          <w:szCs w:val="21"/>
        </w:rPr>
      </w:pPr>
      <w:r>
        <w:rPr>
          <w:rFonts w:hint="eastAsia" w:eastAsia="黑体"/>
          <w:bCs/>
          <w:szCs w:val="21"/>
        </w:rPr>
        <w:t xml:space="preserve">课程类别：工程实践类课程               </w:t>
      </w:r>
      <w:r>
        <w:rPr>
          <w:rFonts w:hint="eastAsia" w:eastAsia="黑体"/>
          <w:bCs/>
          <w:szCs w:val="21"/>
        </w:rPr>
        <w:tab/>
      </w:r>
      <w:r>
        <w:rPr>
          <w:rFonts w:hint="eastAsia" w:eastAsia="黑体"/>
          <w:bCs/>
          <w:szCs w:val="21"/>
        </w:rPr>
        <w:t>课程性质：必修</w:t>
      </w:r>
    </w:p>
    <w:p>
      <w:pPr>
        <w:snapToGrid w:val="0"/>
        <w:spacing w:line="360" w:lineRule="auto"/>
        <w:ind w:firstLine="420" w:firstLineChars="200"/>
        <w:rPr>
          <w:rFonts w:hint="eastAsia" w:eastAsia="黑体"/>
          <w:bCs/>
          <w:szCs w:val="21"/>
        </w:rPr>
      </w:pPr>
      <w:r>
        <w:rPr>
          <w:rFonts w:hint="eastAsia" w:eastAsia="黑体"/>
          <w:bCs/>
          <w:szCs w:val="21"/>
        </w:rPr>
        <w:t xml:space="preserve">课程代码：Z03060406 </w:t>
      </w:r>
      <w:r>
        <w:rPr>
          <w:rFonts w:hint="eastAsia" w:eastAsia="黑体"/>
          <w:bCs/>
          <w:szCs w:val="21"/>
        </w:rPr>
        <w:tab/>
      </w:r>
      <w:r>
        <w:rPr>
          <w:rFonts w:hint="eastAsia" w:eastAsia="黑体"/>
          <w:bCs/>
          <w:szCs w:val="21"/>
        </w:rPr>
        <w:tab/>
      </w:r>
      <w:r>
        <w:rPr>
          <w:rFonts w:hint="eastAsia" w:eastAsia="黑体"/>
          <w:bCs/>
          <w:szCs w:val="21"/>
        </w:rPr>
        <w:tab/>
      </w:r>
      <w:r>
        <w:rPr>
          <w:rFonts w:hint="eastAsia" w:eastAsia="黑体"/>
          <w:bCs/>
          <w:szCs w:val="21"/>
        </w:rPr>
        <w:tab/>
      </w:r>
      <w:r>
        <w:rPr>
          <w:rFonts w:hint="eastAsia" w:eastAsia="黑体"/>
          <w:bCs/>
          <w:szCs w:val="21"/>
        </w:rPr>
        <w:tab/>
      </w:r>
      <w:r>
        <w:rPr>
          <w:rFonts w:hint="eastAsia" w:eastAsia="黑体"/>
          <w:bCs/>
          <w:szCs w:val="21"/>
        </w:rPr>
        <w:t>适用层次：本科</w:t>
      </w:r>
    </w:p>
    <w:p>
      <w:pPr>
        <w:snapToGrid w:val="0"/>
        <w:spacing w:line="360" w:lineRule="auto"/>
        <w:ind w:firstLine="420" w:firstLineChars="200"/>
        <w:rPr>
          <w:rFonts w:hint="eastAsia" w:eastAsia="黑体"/>
          <w:bCs/>
          <w:szCs w:val="21"/>
        </w:rPr>
      </w:pPr>
      <w:r>
        <w:rPr>
          <w:rFonts w:hint="eastAsia" w:eastAsia="黑体"/>
          <w:bCs/>
          <w:szCs w:val="21"/>
        </w:rPr>
        <w:t>适用专业：智能感知工程</w:t>
      </w:r>
      <w:r>
        <w:rPr>
          <w:rFonts w:eastAsia="黑体"/>
          <w:bCs/>
          <w:szCs w:val="21"/>
        </w:rPr>
        <w:t xml:space="preserve"> </w:t>
      </w:r>
      <w:r>
        <w:rPr>
          <w:rFonts w:hint="eastAsia" w:eastAsia="黑体"/>
          <w:bCs/>
          <w:szCs w:val="21"/>
        </w:rPr>
        <w:t xml:space="preserve">          </w:t>
      </w:r>
      <w:r>
        <w:rPr>
          <w:rFonts w:hint="eastAsia" w:eastAsia="黑体"/>
          <w:bCs/>
          <w:szCs w:val="21"/>
        </w:rPr>
        <w:tab/>
      </w:r>
      <w:r>
        <w:rPr>
          <w:rFonts w:hint="eastAsia" w:eastAsia="黑体"/>
          <w:bCs/>
          <w:szCs w:val="21"/>
        </w:rPr>
        <w:tab/>
      </w:r>
      <w:r>
        <w:rPr>
          <w:rFonts w:hint="eastAsia" w:eastAsia="黑体"/>
          <w:bCs/>
          <w:szCs w:val="21"/>
        </w:rPr>
        <w:t>计划学分：</w:t>
      </w:r>
      <w:r>
        <w:rPr>
          <w:rFonts w:eastAsia="黑体"/>
          <w:bCs/>
          <w:szCs w:val="21"/>
        </w:rPr>
        <w:t>7</w:t>
      </w:r>
    </w:p>
    <w:p>
      <w:pPr>
        <w:snapToGrid w:val="0"/>
        <w:spacing w:line="360" w:lineRule="auto"/>
        <w:ind w:firstLine="420" w:firstLineChars="200"/>
        <w:rPr>
          <w:rFonts w:eastAsia="黑体"/>
          <w:bCs/>
          <w:szCs w:val="21"/>
        </w:rPr>
      </w:pPr>
      <w:r>
        <w:rPr>
          <w:rFonts w:hint="eastAsia" w:eastAsia="黑体"/>
          <w:bCs/>
          <w:szCs w:val="21"/>
        </w:rPr>
        <w:t xml:space="preserve">计划学时（周数）： </w:t>
      </w:r>
      <w:r>
        <w:rPr>
          <w:rFonts w:eastAsia="黑体"/>
          <w:bCs/>
          <w:szCs w:val="21"/>
        </w:rPr>
        <w:t>16</w:t>
      </w:r>
      <w:r>
        <w:rPr>
          <w:rFonts w:hint="eastAsia" w:eastAsia="黑体"/>
          <w:bCs/>
          <w:szCs w:val="21"/>
        </w:rPr>
        <w:t xml:space="preserve">8         </w:t>
      </w:r>
      <w:r>
        <w:rPr>
          <w:rFonts w:hint="eastAsia" w:eastAsia="黑体"/>
          <w:bCs/>
          <w:szCs w:val="21"/>
        </w:rPr>
        <w:tab/>
      </w:r>
      <w:r>
        <w:rPr>
          <w:rFonts w:hint="eastAsia" w:eastAsia="黑体"/>
          <w:bCs/>
          <w:szCs w:val="21"/>
        </w:rPr>
        <w:tab/>
      </w:r>
      <w:r>
        <w:rPr>
          <w:rFonts w:hint="eastAsia" w:eastAsia="黑体"/>
          <w:bCs/>
          <w:szCs w:val="21"/>
        </w:rPr>
        <w:tab/>
      </w:r>
      <w:r>
        <w:rPr>
          <w:rFonts w:hint="eastAsia" w:eastAsia="黑体"/>
          <w:bCs/>
          <w:szCs w:val="21"/>
        </w:rPr>
        <w:t>讲课学时：</w:t>
      </w:r>
      <w:r>
        <w:rPr>
          <w:rFonts w:hint="eastAsia" w:eastAsia="黑体"/>
          <w:bCs/>
          <w:szCs w:val="21"/>
          <w:lang w:val="en-US" w:eastAsia="zh-CN"/>
        </w:rPr>
        <w:t>0</w:t>
      </w:r>
      <w:r>
        <w:rPr>
          <w:rFonts w:hint="eastAsia" w:eastAsia="黑体"/>
          <w:bCs/>
          <w:szCs w:val="21"/>
        </w:rPr>
        <w:t xml:space="preserve">      </w:t>
      </w:r>
      <w:r>
        <w:rPr>
          <w:rFonts w:hint="eastAsia" w:eastAsia="黑体"/>
          <w:bCs/>
          <w:szCs w:val="21"/>
          <w:lang w:val="en-US" w:eastAsia="zh-CN"/>
        </w:rPr>
        <w:t xml:space="preserve">  </w:t>
      </w:r>
      <w:r>
        <w:rPr>
          <w:rFonts w:hint="eastAsia" w:eastAsia="黑体"/>
          <w:bCs/>
          <w:szCs w:val="21"/>
        </w:rPr>
        <w:t xml:space="preserve"> 实验学时：1</w:t>
      </w:r>
      <w:r>
        <w:rPr>
          <w:rFonts w:hint="eastAsia" w:eastAsia="黑体"/>
          <w:bCs/>
          <w:szCs w:val="21"/>
          <w:lang w:val="en-US" w:eastAsia="zh-CN"/>
        </w:rPr>
        <w:t>6</w:t>
      </w:r>
      <w:r>
        <w:rPr>
          <w:rFonts w:eastAsia="黑体"/>
          <w:bCs/>
          <w:szCs w:val="21"/>
        </w:rPr>
        <w:t>8</w:t>
      </w:r>
    </w:p>
    <w:p>
      <w:pPr>
        <w:snapToGrid w:val="0"/>
        <w:spacing w:line="360" w:lineRule="auto"/>
        <w:ind w:firstLine="420" w:firstLineChars="200"/>
        <w:rPr>
          <w:rFonts w:hint="eastAsia" w:eastAsia="黑体"/>
          <w:bCs/>
          <w:szCs w:val="21"/>
        </w:rPr>
      </w:pPr>
      <w:r>
        <w:rPr>
          <w:rFonts w:hint="eastAsia" w:eastAsia="黑体"/>
          <w:bCs/>
          <w:szCs w:val="21"/>
        </w:rPr>
        <w:t>开课学期：</w:t>
      </w:r>
      <w:r>
        <w:rPr>
          <w:rFonts w:eastAsia="黑体"/>
          <w:bCs/>
          <w:szCs w:val="21"/>
        </w:rPr>
        <w:t>6</w:t>
      </w:r>
      <w:r>
        <w:rPr>
          <w:rFonts w:hint="eastAsia" w:eastAsia="黑体"/>
          <w:bCs/>
          <w:szCs w:val="21"/>
        </w:rPr>
        <w:t xml:space="preserve">                       </w:t>
      </w:r>
      <w:r>
        <w:rPr>
          <w:rFonts w:hint="eastAsia" w:eastAsia="黑体"/>
          <w:bCs/>
          <w:szCs w:val="21"/>
        </w:rPr>
        <w:tab/>
      </w:r>
      <w:r>
        <w:rPr>
          <w:rFonts w:hint="eastAsia" w:eastAsia="黑体"/>
          <w:bCs/>
          <w:szCs w:val="21"/>
        </w:rPr>
        <w:tab/>
      </w:r>
      <w:r>
        <w:rPr>
          <w:rFonts w:hint="eastAsia" w:eastAsia="黑体"/>
          <w:bCs/>
          <w:szCs w:val="21"/>
        </w:rPr>
        <w:t xml:space="preserve">考核方式：考查 </w:t>
      </w:r>
    </w:p>
    <w:p>
      <w:pPr>
        <w:snapToGrid w:val="0"/>
        <w:spacing w:line="360" w:lineRule="auto"/>
        <w:ind w:firstLine="420" w:firstLineChars="200"/>
        <w:rPr>
          <w:rFonts w:hint="eastAsia" w:eastAsia="黑体"/>
          <w:bCs/>
          <w:szCs w:val="21"/>
        </w:rPr>
      </w:pPr>
      <w:r>
        <w:rPr>
          <w:rFonts w:hint="eastAsia" w:eastAsia="黑体"/>
          <w:bCs/>
          <w:szCs w:val="21"/>
        </w:rPr>
        <w:t>先修课程：C语言程序设计</w:t>
      </w:r>
      <w:r>
        <w:rPr>
          <w:rFonts w:hint="eastAsia" w:eastAsia="黑体"/>
          <w:bCs/>
          <w:szCs w:val="21"/>
          <w:lang w:eastAsia="zh-CN"/>
        </w:rPr>
        <w:t>、</w:t>
      </w:r>
      <w:r>
        <w:rPr>
          <w:rFonts w:hint="eastAsia" w:eastAsia="黑体"/>
          <w:bCs/>
          <w:szCs w:val="21"/>
        </w:rPr>
        <w:t>数据结构与算法分析</w:t>
      </w:r>
      <w:r>
        <w:rPr>
          <w:rFonts w:hint="eastAsia" w:eastAsia="黑体"/>
          <w:bCs/>
          <w:szCs w:val="21"/>
          <w:lang w:eastAsia="zh-CN"/>
        </w:rPr>
        <w:t>、</w:t>
      </w:r>
      <w:r>
        <w:rPr>
          <w:rFonts w:hint="eastAsia" w:eastAsia="黑体"/>
          <w:bCs/>
          <w:szCs w:val="21"/>
        </w:rPr>
        <w:t>微机原理及接口技术</w:t>
      </w:r>
      <w:r>
        <w:rPr>
          <w:rFonts w:hint="eastAsia" w:eastAsia="黑体"/>
          <w:bCs/>
          <w:szCs w:val="21"/>
          <w:lang w:eastAsia="zh-CN"/>
        </w:rPr>
        <w:t>、</w:t>
      </w:r>
      <w:r>
        <w:rPr>
          <w:rFonts w:hint="eastAsia" w:eastAsia="黑体"/>
          <w:bCs/>
          <w:szCs w:val="21"/>
        </w:rPr>
        <w:t>人工智能基础</w:t>
      </w:r>
      <w:r>
        <w:rPr>
          <w:rFonts w:eastAsia="黑体"/>
          <w:bCs/>
          <w:szCs w:val="21"/>
        </w:rPr>
        <w:t xml:space="preserve"> </w:t>
      </w:r>
    </w:p>
    <w:p>
      <w:pPr>
        <w:snapToGrid w:val="0"/>
        <w:spacing w:line="360" w:lineRule="auto"/>
        <w:ind w:firstLine="420" w:firstLineChars="200"/>
        <w:rPr>
          <w:rFonts w:hint="eastAsia" w:eastAsia="黑体"/>
          <w:bCs/>
          <w:szCs w:val="21"/>
          <w:lang w:eastAsia="zh-CN"/>
        </w:rPr>
      </w:pPr>
      <w:r>
        <w:rPr>
          <w:rFonts w:hint="eastAsia" w:eastAsia="黑体"/>
          <w:bCs/>
          <w:szCs w:val="21"/>
        </w:rPr>
        <w:t>后续课程：</w:t>
      </w:r>
      <w:r>
        <w:rPr>
          <w:rFonts w:hint="eastAsia" w:eastAsia="黑体"/>
          <w:bCs/>
          <w:szCs w:val="21"/>
          <w:lang w:eastAsia="zh-CN"/>
        </w:rPr>
        <w:t>毕业设计</w:t>
      </w:r>
    </w:p>
    <w:p>
      <w:pPr>
        <w:snapToGrid w:val="0"/>
        <w:spacing w:line="360" w:lineRule="auto"/>
        <w:ind w:firstLine="420" w:firstLineChars="200"/>
        <w:rPr>
          <w:rFonts w:hint="eastAsia" w:eastAsia="黑体"/>
          <w:bCs/>
          <w:color w:val="000000"/>
          <w:szCs w:val="21"/>
          <w:lang w:eastAsia="zh-CN"/>
        </w:rPr>
      </w:pPr>
      <w:r>
        <w:rPr>
          <w:rFonts w:hint="eastAsia" w:eastAsia="黑体"/>
          <w:bCs/>
          <w:color w:val="000000"/>
          <w:szCs w:val="21"/>
        </w:rPr>
        <w:t xml:space="preserve">制定人： 李秀源                 </w:t>
      </w:r>
      <w:r>
        <w:rPr>
          <w:rFonts w:hint="eastAsia" w:eastAsia="黑体"/>
          <w:bCs/>
          <w:color w:val="000000"/>
          <w:szCs w:val="21"/>
        </w:rPr>
        <w:tab/>
      </w:r>
      <w:r>
        <w:rPr>
          <w:rFonts w:hint="eastAsia" w:eastAsia="黑体"/>
          <w:bCs/>
          <w:color w:val="000000"/>
          <w:szCs w:val="21"/>
        </w:rPr>
        <w:tab/>
      </w:r>
      <w:r>
        <w:rPr>
          <w:rFonts w:hint="eastAsia" w:eastAsia="黑体"/>
          <w:bCs/>
          <w:color w:val="000000"/>
          <w:szCs w:val="21"/>
        </w:rPr>
        <w:t>教学基层组织审核人：</w:t>
      </w:r>
      <w:r>
        <w:rPr>
          <w:rFonts w:hint="eastAsia" w:eastAsia="黑体"/>
          <w:bCs/>
          <w:color w:val="000000"/>
          <w:szCs w:val="21"/>
          <w:lang w:eastAsia="zh-CN"/>
        </w:rPr>
        <w:t>刘文耀</w:t>
      </w:r>
    </w:p>
    <w:p>
      <w:pPr>
        <w:snapToGrid w:val="0"/>
        <w:spacing w:line="360" w:lineRule="auto"/>
        <w:ind w:firstLine="420" w:firstLineChars="200"/>
        <w:rPr>
          <w:rFonts w:hint="eastAsia" w:eastAsia="黑体"/>
          <w:bCs/>
          <w:szCs w:val="21"/>
          <w:lang w:eastAsia="zh-CN"/>
        </w:rPr>
      </w:pPr>
      <w:r>
        <w:rPr>
          <w:rFonts w:hint="eastAsia" w:eastAsia="黑体"/>
          <w:bCs/>
          <w:szCs w:val="21"/>
        </w:rPr>
        <w:t>开课学院：仪器与电子学院</w:t>
      </w:r>
      <w:r>
        <w:rPr>
          <w:rFonts w:eastAsia="黑体"/>
          <w:bCs/>
          <w:szCs w:val="21"/>
        </w:rPr>
        <w:t xml:space="preserve"> </w:t>
      </w:r>
      <w:r>
        <w:rPr>
          <w:rFonts w:hint="eastAsia" w:eastAsia="黑体"/>
          <w:bCs/>
          <w:szCs w:val="21"/>
        </w:rPr>
        <w:t xml:space="preserve">         </w:t>
      </w:r>
      <w:r>
        <w:rPr>
          <w:rFonts w:hint="eastAsia" w:eastAsia="黑体"/>
          <w:bCs/>
          <w:szCs w:val="21"/>
        </w:rPr>
        <w:tab/>
      </w:r>
      <w:r>
        <w:rPr>
          <w:rFonts w:hint="eastAsia" w:eastAsia="黑体"/>
          <w:bCs/>
          <w:szCs w:val="21"/>
        </w:rPr>
        <w:tab/>
      </w:r>
      <w:r>
        <w:rPr>
          <w:rFonts w:hint="eastAsia" w:eastAsia="黑体"/>
          <w:bCs/>
          <w:szCs w:val="21"/>
        </w:rPr>
        <w:t>开课学院审核人：</w:t>
      </w:r>
      <w:r>
        <w:rPr>
          <w:rFonts w:hint="eastAsia" w:eastAsia="黑体"/>
          <w:bCs/>
          <w:szCs w:val="21"/>
          <w:lang w:eastAsia="zh-CN"/>
        </w:rPr>
        <w:t>刘文怡</w:t>
      </w:r>
    </w:p>
    <w:p>
      <w:pPr>
        <w:pStyle w:val="9"/>
        <w:rPr>
          <w:rFonts w:hint="eastAsia" w:eastAsia="黑体"/>
          <w:bCs/>
          <w:szCs w:val="21"/>
          <w:lang w:eastAsia="zh-CN"/>
        </w:rPr>
      </w:pPr>
    </w:p>
    <w:p>
      <w:pPr>
        <w:adjustRightInd w:val="0"/>
        <w:snapToGrid w:val="0"/>
        <w:spacing w:before="156" w:beforeLines="50" w:line="360" w:lineRule="auto"/>
        <w:rPr>
          <w:rFonts w:hint="eastAsia" w:eastAsia="黑体"/>
          <w:color w:val="000000"/>
          <w:szCs w:val="21"/>
        </w:rPr>
      </w:pPr>
      <w:r>
        <w:rPr>
          <w:rFonts w:hint="eastAsia" w:eastAsia="黑体"/>
          <w:color w:val="000000"/>
          <w:szCs w:val="21"/>
        </w:rPr>
        <w:t>二、课程性质与教学目标</w:t>
      </w:r>
    </w:p>
    <w:p>
      <w:pPr>
        <w:snapToGrid w:val="0"/>
        <w:spacing w:line="360" w:lineRule="auto"/>
        <w:ind w:firstLine="422" w:firstLineChars="200"/>
        <w:rPr>
          <w:rFonts w:hint="eastAsia" w:ascii="宋体" w:hAnsi="宋体"/>
          <w:b/>
          <w:color w:val="000000"/>
          <w:szCs w:val="21"/>
        </w:rPr>
      </w:pPr>
      <w:r>
        <w:rPr>
          <w:rFonts w:hint="eastAsia" w:ascii="宋体" w:hAnsi="宋体"/>
          <w:b/>
          <w:color w:val="000000"/>
          <w:szCs w:val="21"/>
        </w:rPr>
        <w:t>1、课程性质与任务</w:t>
      </w:r>
    </w:p>
    <w:p>
      <w:pPr>
        <w:snapToGrid w:val="0"/>
        <w:spacing w:line="360" w:lineRule="auto"/>
        <w:ind w:firstLine="420" w:firstLineChars="200"/>
        <w:rPr>
          <w:rFonts w:hint="eastAsia" w:ascii="宋体" w:hAnsi="宋体"/>
          <w:bCs/>
          <w:color w:val="000000"/>
          <w:szCs w:val="21"/>
        </w:rPr>
      </w:pPr>
      <w:r>
        <w:rPr>
          <w:rFonts w:hint="eastAsia" w:ascii="宋体" w:hAnsi="宋体"/>
          <w:bCs/>
          <w:color w:val="000000"/>
          <w:szCs w:val="21"/>
        </w:rPr>
        <w:t>本课程是一门属于智能感知工程专业的综合实践课程，是本专业培养学生的重要实践环节。智能感知工程专业涵盖智能感知算法涉及的众多专业理论知识和技能，本课程的任务是通过实际项目训练学生综合运用这些知识的能力，让学生熟悉智能感知算法设计的基本流程和方法，提高学生专业技能和专业素质，使学生具备一定的智能感知算法设计能力，为学生后续就业或深造奠定工程实践基础。</w:t>
      </w:r>
    </w:p>
    <w:p>
      <w:pPr>
        <w:snapToGrid w:val="0"/>
        <w:spacing w:line="360" w:lineRule="auto"/>
        <w:ind w:firstLine="422" w:firstLineChars="200"/>
        <w:rPr>
          <w:rFonts w:hint="eastAsia" w:ascii="宋体" w:hAnsi="宋体"/>
          <w:b/>
          <w:color w:val="000000"/>
          <w:szCs w:val="21"/>
        </w:rPr>
      </w:pPr>
      <w:r>
        <w:rPr>
          <w:rFonts w:hint="eastAsia" w:ascii="宋体" w:hAnsi="宋体"/>
          <w:b/>
          <w:color w:val="000000"/>
          <w:szCs w:val="21"/>
        </w:rPr>
        <w:t>2、课程</w:t>
      </w:r>
      <w:r>
        <w:rPr>
          <w:rFonts w:ascii="宋体" w:hAnsi="宋体"/>
          <w:b/>
          <w:color w:val="000000"/>
          <w:szCs w:val="21"/>
        </w:rPr>
        <w:t>目标</w:t>
      </w:r>
    </w:p>
    <w:p>
      <w:pPr>
        <w:adjustRightInd w:val="0"/>
        <w:snapToGrid w:val="0"/>
        <w:spacing w:line="360" w:lineRule="auto"/>
        <w:ind w:firstLine="420" w:firstLineChars="200"/>
        <w:rPr>
          <w:rFonts w:hint="eastAsia" w:hAnsi="宋体"/>
          <w:bCs/>
          <w:color w:val="000000"/>
          <w:szCs w:val="21"/>
        </w:rPr>
      </w:pPr>
      <w:r>
        <w:rPr>
          <w:rFonts w:hint="eastAsia" w:hAnsi="宋体"/>
          <w:bCs/>
          <w:color w:val="000000"/>
          <w:szCs w:val="21"/>
        </w:rPr>
        <w:t>课程目标</w:t>
      </w:r>
      <w:r>
        <w:rPr>
          <w:rFonts w:hint="eastAsia"/>
          <w:bCs/>
          <w:color w:val="000000"/>
          <w:szCs w:val="21"/>
        </w:rPr>
        <w:t>1</w:t>
      </w:r>
      <w:r>
        <w:rPr>
          <w:rFonts w:hint="eastAsia" w:hAnsi="宋体"/>
          <w:bCs/>
          <w:color w:val="000000"/>
          <w:szCs w:val="21"/>
        </w:rPr>
        <w:t>：能够根据用户特定需求设计智能感知算法方案，可以实现相关的智能感知算法，并能够针对方案进行优化改进</w:t>
      </w:r>
      <w:r>
        <w:rPr>
          <w:rFonts w:hAnsi="宋体"/>
          <w:bCs/>
          <w:color w:val="000000"/>
          <w:szCs w:val="21"/>
        </w:rPr>
        <w:t>（支撑毕业要求</w:t>
      </w:r>
      <w:r>
        <w:rPr>
          <w:rFonts w:hint="eastAsia" w:hAnsi="宋体"/>
          <w:bCs/>
          <w:color w:val="000000"/>
          <w:szCs w:val="21"/>
        </w:rPr>
        <w:t>指标点</w:t>
      </w:r>
      <w:r>
        <w:rPr>
          <w:bCs/>
          <w:color w:val="000000"/>
          <w:szCs w:val="21"/>
        </w:rPr>
        <w:t>3</w:t>
      </w:r>
      <w:r>
        <w:rPr>
          <w:rFonts w:hint="eastAsia"/>
          <w:bCs/>
          <w:color w:val="000000"/>
          <w:szCs w:val="21"/>
        </w:rPr>
        <w:t>-1</w:t>
      </w:r>
      <w:r>
        <w:rPr>
          <w:rFonts w:hAnsi="宋体"/>
          <w:bCs/>
          <w:color w:val="000000"/>
          <w:szCs w:val="21"/>
        </w:rPr>
        <w:t>）</w:t>
      </w:r>
      <w:r>
        <w:rPr>
          <w:rFonts w:hint="eastAsia" w:hAnsi="宋体"/>
          <w:bCs/>
          <w:color w:val="000000"/>
          <w:szCs w:val="21"/>
        </w:rPr>
        <w:t>。</w:t>
      </w:r>
    </w:p>
    <w:p>
      <w:pPr>
        <w:adjustRightInd w:val="0"/>
        <w:snapToGrid w:val="0"/>
        <w:spacing w:line="360" w:lineRule="auto"/>
        <w:ind w:firstLine="420" w:firstLineChars="200"/>
        <w:rPr>
          <w:rFonts w:hint="eastAsia" w:hAnsi="宋体"/>
          <w:bCs/>
          <w:color w:val="000000"/>
          <w:szCs w:val="21"/>
        </w:rPr>
      </w:pPr>
      <w:r>
        <w:rPr>
          <w:rFonts w:hint="eastAsia" w:hAnsi="宋体"/>
          <w:bCs/>
          <w:color w:val="000000"/>
          <w:szCs w:val="21"/>
        </w:rPr>
        <w:t>课程目标</w:t>
      </w:r>
      <w:r>
        <w:rPr>
          <w:bCs/>
          <w:color w:val="000000"/>
          <w:szCs w:val="21"/>
        </w:rPr>
        <w:t>2</w:t>
      </w:r>
      <w:r>
        <w:rPr>
          <w:rFonts w:hint="eastAsia" w:hAnsi="宋体"/>
          <w:bCs/>
          <w:color w:val="000000"/>
          <w:szCs w:val="21"/>
        </w:rPr>
        <w:t>：能够积极参与智能感知领域的各类创新活动，能够带着创新意识进行智能感知算法的设计</w:t>
      </w:r>
      <w:r>
        <w:rPr>
          <w:rFonts w:hAnsi="宋体"/>
          <w:bCs/>
          <w:color w:val="000000"/>
          <w:szCs w:val="21"/>
        </w:rPr>
        <w:t>（支撑毕业要求</w:t>
      </w:r>
      <w:r>
        <w:rPr>
          <w:rFonts w:hint="eastAsia" w:hAnsi="宋体"/>
          <w:bCs/>
          <w:color w:val="000000"/>
          <w:szCs w:val="21"/>
        </w:rPr>
        <w:t>指标点</w:t>
      </w:r>
      <w:r>
        <w:rPr>
          <w:bCs/>
          <w:color w:val="000000"/>
          <w:szCs w:val="21"/>
        </w:rPr>
        <w:t>3</w:t>
      </w:r>
      <w:r>
        <w:rPr>
          <w:rFonts w:hint="eastAsia"/>
          <w:bCs/>
          <w:color w:val="000000"/>
          <w:szCs w:val="21"/>
        </w:rPr>
        <w:t>-</w:t>
      </w:r>
      <w:r>
        <w:rPr>
          <w:bCs/>
          <w:color w:val="000000"/>
          <w:szCs w:val="21"/>
        </w:rPr>
        <w:t>3</w:t>
      </w:r>
      <w:r>
        <w:rPr>
          <w:rFonts w:hAnsi="宋体"/>
          <w:bCs/>
          <w:color w:val="000000"/>
          <w:szCs w:val="21"/>
        </w:rPr>
        <w:t>）</w:t>
      </w:r>
      <w:r>
        <w:rPr>
          <w:rFonts w:hint="eastAsia" w:hAnsi="宋体"/>
          <w:bCs/>
          <w:color w:val="000000"/>
          <w:szCs w:val="21"/>
        </w:rPr>
        <w:t>。</w:t>
      </w:r>
    </w:p>
    <w:p>
      <w:pPr>
        <w:adjustRightInd w:val="0"/>
        <w:snapToGrid w:val="0"/>
        <w:spacing w:line="360" w:lineRule="auto"/>
        <w:ind w:firstLine="420" w:firstLineChars="200"/>
        <w:rPr>
          <w:rFonts w:hint="eastAsia" w:hAnsi="宋体"/>
          <w:bCs/>
          <w:color w:val="000000"/>
          <w:szCs w:val="21"/>
        </w:rPr>
      </w:pPr>
      <w:r>
        <w:rPr>
          <w:rFonts w:hint="eastAsia" w:hAnsi="宋体"/>
          <w:bCs/>
          <w:color w:val="000000"/>
          <w:szCs w:val="21"/>
        </w:rPr>
        <w:t>课程目标</w:t>
      </w:r>
      <w:r>
        <w:rPr>
          <w:bCs/>
          <w:color w:val="000000"/>
          <w:szCs w:val="21"/>
        </w:rPr>
        <w:t>3</w:t>
      </w:r>
      <w:r>
        <w:rPr>
          <w:rFonts w:hint="eastAsia" w:hAnsi="宋体"/>
          <w:bCs/>
          <w:color w:val="000000"/>
          <w:szCs w:val="21"/>
        </w:rPr>
        <w:t>：能够针对复杂智能感知需求对当前主流工具做出对比选择，并能够开发一定的辅助工具用于智能感知算法设计开发</w:t>
      </w:r>
      <w:r>
        <w:rPr>
          <w:rFonts w:hAnsi="宋体"/>
          <w:bCs/>
          <w:color w:val="000000"/>
          <w:szCs w:val="21"/>
        </w:rPr>
        <w:t>（支撑毕业要求</w:t>
      </w:r>
      <w:r>
        <w:rPr>
          <w:rFonts w:hint="eastAsia" w:hAnsi="宋体"/>
          <w:bCs/>
          <w:color w:val="000000"/>
          <w:szCs w:val="21"/>
        </w:rPr>
        <w:t>指标点</w:t>
      </w:r>
      <w:r>
        <w:rPr>
          <w:bCs/>
          <w:color w:val="000000"/>
          <w:szCs w:val="21"/>
        </w:rPr>
        <w:t>5</w:t>
      </w:r>
      <w:r>
        <w:rPr>
          <w:rFonts w:hint="eastAsia"/>
          <w:bCs/>
          <w:color w:val="000000"/>
          <w:szCs w:val="21"/>
        </w:rPr>
        <w:t>-</w:t>
      </w:r>
      <w:r>
        <w:rPr>
          <w:bCs/>
          <w:color w:val="000000"/>
          <w:szCs w:val="21"/>
        </w:rPr>
        <w:t>1</w:t>
      </w:r>
      <w:r>
        <w:rPr>
          <w:rFonts w:hAnsi="宋体"/>
          <w:bCs/>
          <w:color w:val="000000"/>
          <w:szCs w:val="21"/>
        </w:rPr>
        <w:t>）</w:t>
      </w:r>
      <w:r>
        <w:rPr>
          <w:rFonts w:hint="eastAsia" w:hAnsi="宋体"/>
          <w:bCs/>
          <w:color w:val="000000"/>
          <w:szCs w:val="21"/>
        </w:rPr>
        <w:t>。</w:t>
      </w:r>
    </w:p>
    <w:p>
      <w:pPr>
        <w:adjustRightInd w:val="0"/>
        <w:snapToGrid w:val="0"/>
        <w:spacing w:line="360" w:lineRule="auto"/>
        <w:ind w:firstLine="420" w:firstLineChars="200"/>
        <w:rPr>
          <w:rFonts w:hint="eastAsia" w:hAnsi="宋体"/>
          <w:bCs/>
          <w:color w:val="000000"/>
          <w:szCs w:val="21"/>
        </w:rPr>
      </w:pPr>
      <w:r>
        <w:rPr>
          <w:rFonts w:hint="eastAsia" w:hAnsi="宋体"/>
          <w:bCs/>
          <w:color w:val="000000"/>
          <w:szCs w:val="21"/>
        </w:rPr>
        <w:t>课程目标</w:t>
      </w:r>
      <w:r>
        <w:rPr>
          <w:bCs/>
          <w:color w:val="000000"/>
          <w:szCs w:val="21"/>
        </w:rPr>
        <w:t>4</w:t>
      </w:r>
      <w:r>
        <w:rPr>
          <w:rFonts w:hint="eastAsia" w:hAnsi="宋体"/>
          <w:bCs/>
          <w:color w:val="000000"/>
          <w:szCs w:val="21"/>
        </w:rPr>
        <w:t>：能够使用工具对智能感知算法进行设计和仿真，并能够确定算法功能和相关设计参数</w:t>
      </w:r>
      <w:r>
        <w:rPr>
          <w:rFonts w:hAnsi="宋体"/>
          <w:bCs/>
          <w:color w:val="000000"/>
          <w:szCs w:val="21"/>
        </w:rPr>
        <w:t>（支撑毕业要求</w:t>
      </w:r>
      <w:r>
        <w:rPr>
          <w:rFonts w:hint="eastAsia" w:hAnsi="宋体"/>
          <w:bCs/>
          <w:color w:val="000000"/>
          <w:szCs w:val="21"/>
        </w:rPr>
        <w:t>指标点</w:t>
      </w:r>
      <w:r>
        <w:rPr>
          <w:bCs/>
          <w:color w:val="000000"/>
          <w:szCs w:val="21"/>
        </w:rPr>
        <w:t>5</w:t>
      </w:r>
      <w:r>
        <w:rPr>
          <w:rFonts w:hint="eastAsia"/>
          <w:bCs/>
          <w:color w:val="000000"/>
          <w:szCs w:val="21"/>
        </w:rPr>
        <w:t>-</w:t>
      </w:r>
      <w:r>
        <w:rPr>
          <w:bCs/>
          <w:color w:val="000000"/>
          <w:szCs w:val="21"/>
        </w:rPr>
        <w:t>2</w:t>
      </w:r>
      <w:r>
        <w:rPr>
          <w:rFonts w:hAnsi="宋体"/>
          <w:bCs/>
          <w:color w:val="000000"/>
          <w:szCs w:val="21"/>
        </w:rPr>
        <w:t>）</w:t>
      </w:r>
      <w:r>
        <w:rPr>
          <w:rFonts w:hint="eastAsia" w:hAnsi="宋体"/>
          <w:bCs/>
          <w:color w:val="000000"/>
          <w:szCs w:val="21"/>
        </w:rPr>
        <w:t>。</w:t>
      </w:r>
    </w:p>
    <w:p>
      <w:pPr>
        <w:adjustRightInd w:val="0"/>
        <w:snapToGrid w:val="0"/>
        <w:spacing w:line="360" w:lineRule="auto"/>
        <w:ind w:firstLine="420" w:firstLineChars="200"/>
        <w:rPr>
          <w:rFonts w:hint="eastAsia" w:hAnsi="宋体"/>
          <w:bCs/>
          <w:color w:val="000000"/>
          <w:szCs w:val="21"/>
        </w:rPr>
      </w:pPr>
      <w:r>
        <w:rPr>
          <w:rFonts w:hint="eastAsia" w:hAnsi="宋体"/>
          <w:bCs/>
          <w:color w:val="000000"/>
          <w:szCs w:val="21"/>
        </w:rPr>
        <w:t>课程目标</w:t>
      </w:r>
      <w:r>
        <w:rPr>
          <w:bCs/>
          <w:color w:val="000000"/>
          <w:szCs w:val="21"/>
        </w:rPr>
        <w:t>5</w:t>
      </w:r>
      <w:r>
        <w:rPr>
          <w:rFonts w:hint="eastAsia" w:hAnsi="宋体"/>
          <w:bCs/>
          <w:color w:val="000000"/>
          <w:szCs w:val="21"/>
        </w:rPr>
        <w:t>：能够充分利用高级语言和通用数据处理软件等其它信息技术工具与资源，并能够提高智能感知算法设计开发的效率</w:t>
      </w:r>
      <w:r>
        <w:rPr>
          <w:rFonts w:hAnsi="宋体"/>
          <w:bCs/>
          <w:color w:val="000000"/>
          <w:szCs w:val="21"/>
        </w:rPr>
        <w:t>（支撑毕业要求</w:t>
      </w:r>
      <w:r>
        <w:rPr>
          <w:rFonts w:hint="eastAsia" w:hAnsi="宋体"/>
          <w:bCs/>
          <w:color w:val="000000"/>
          <w:szCs w:val="21"/>
        </w:rPr>
        <w:t>指标点</w:t>
      </w:r>
      <w:r>
        <w:rPr>
          <w:bCs/>
          <w:color w:val="000000"/>
          <w:szCs w:val="21"/>
        </w:rPr>
        <w:t>5</w:t>
      </w:r>
      <w:r>
        <w:rPr>
          <w:rFonts w:hint="eastAsia"/>
          <w:bCs/>
          <w:color w:val="000000"/>
          <w:szCs w:val="21"/>
        </w:rPr>
        <w:t>-</w:t>
      </w:r>
      <w:r>
        <w:rPr>
          <w:bCs/>
          <w:color w:val="000000"/>
          <w:szCs w:val="21"/>
        </w:rPr>
        <w:t>3</w:t>
      </w:r>
      <w:r>
        <w:rPr>
          <w:rFonts w:hAnsi="宋体"/>
          <w:bCs/>
          <w:color w:val="000000"/>
          <w:szCs w:val="21"/>
        </w:rPr>
        <w:t>）</w:t>
      </w:r>
      <w:r>
        <w:rPr>
          <w:rFonts w:hint="eastAsia" w:hAnsi="宋体"/>
          <w:bCs/>
          <w:color w:val="000000"/>
          <w:szCs w:val="21"/>
        </w:rPr>
        <w:t>。</w:t>
      </w:r>
    </w:p>
    <w:p>
      <w:pPr>
        <w:adjustRightInd w:val="0"/>
        <w:snapToGrid w:val="0"/>
        <w:spacing w:line="360" w:lineRule="auto"/>
        <w:ind w:firstLine="420" w:firstLineChars="200"/>
        <w:rPr>
          <w:rFonts w:hAnsi="宋体"/>
          <w:bCs/>
          <w:color w:val="000000"/>
          <w:szCs w:val="21"/>
        </w:rPr>
      </w:pPr>
      <w:r>
        <w:rPr>
          <w:rFonts w:hint="eastAsia" w:hAnsi="宋体"/>
          <w:bCs/>
          <w:color w:val="000000"/>
          <w:szCs w:val="21"/>
        </w:rPr>
        <w:t>课程目标</w:t>
      </w:r>
      <w:r>
        <w:rPr>
          <w:bCs/>
          <w:color w:val="000000"/>
          <w:szCs w:val="21"/>
        </w:rPr>
        <w:t>6</w:t>
      </w:r>
      <w:r>
        <w:rPr>
          <w:rFonts w:hint="eastAsia" w:hAnsi="宋体"/>
          <w:bCs/>
          <w:color w:val="000000"/>
          <w:szCs w:val="21"/>
        </w:rPr>
        <w:t>：能够在智能感知算法设计中体现保护环境、维持社会可持续发展的意识，能够把国家可持续发展的理念贯穿到智能感知算法的设计开发流程中</w:t>
      </w:r>
      <w:r>
        <w:rPr>
          <w:rFonts w:hAnsi="宋体"/>
          <w:bCs/>
          <w:color w:val="000000"/>
          <w:szCs w:val="21"/>
        </w:rPr>
        <w:t>（支撑毕业要求</w:t>
      </w:r>
      <w:r>
        <w:rPr>
          <w:rFonts w:hint="eastAsia" w:hAnsi="宋体"/>
          <w:bCs/>
          <w:color w:val="000000"/>
          <w:szCs w:val="21"/>
        </w:rPr>
        <w:t>指标点</w:t>
      </w:r>
      <w:r>
        <w:rPr>
          <w:bCs/>
          <w:color w:val="000000"/>
          <w:szCs w:val="21"/>
        </w:rPr>
        <w:t>7</w:t>
      </w:r>
      <w:r>
        <w:rPr>
          <w:rFonts w:hint="eastAsia"/>
          <w:bCs/>
          <w:color w:val="000000"/>
          <w:szCs w:val="21"/>
        </w:rPr>
        <w:t>-</w:t>
      </w:r>
      <w:r>
        <w:rPr>
          <w:bCs/>
          <w:color w:val="000000"/>
          <w:szCs w:val="21"/>
        </w:rPr>
        <w:t>2</w:t>
      </w:r>
      <w:r>
        <w:rPr>
          <w:rFonts w:hAnsi="宋体"/>
          <w:bCs/>
          <w:color w:val="000000"/>
          <w:szCs w:val="21"/>
        </w:rPr>
        <w:t>）</w:t>
      </w:r>
      <w:r>
        <w:rPr>
          <w:rFonts w:hint="eastAsia" w:hAnsi="宋体"/>
          <w:bCs/>
          <w:color w:val="000000"/>
          <w:szCs w:val="21"/>
        </w:rPr>
        <w:t>。</w:t>
      </w:r>
    </w:p>
    <w:p>
      <w:pPr>
        <w:adjustRightInd w:val="0"/>
        <w:snapToGrid w:val="0"/>
        <w:spacing w:line="360" w:lineRule="auto"/>
        <w:ind w:firstLine="420" w:firstLineChars="200"/>
        <w:rPr>
          <w:rFonts w:hAnsi="宋体"/>
          <w:bCs/>
          <w:color w:val="000000"/>
          <w:szCs w:val="21"/>
        </w:rPr>
      </w:pPr>
      <w:r>
        <w:rPr>
          <w:rFonts w:hint="eastAsia" w:hAnsi="宋体"/>
          <w:bCs/>
          <w:color w:val="000000"/>
          <w:szCs w:val="21"/>
        </w:rPr>
        <w:t>课程目标</w:t>
      </w:r>
      <w:r>
        <w:rPr>
          <w:bCs/>
          <w:color w:val="000000"/>
          <w:szCs w:val="21"/>
        </w:rPr>
        <w:t>7</w:t>
      </w:r>
      <w:r>
        <w:rPr>
          <w:rFonts w:hint="eastAsia" w:hAnsi="宋体"/>
          <w:bCs/>
          <w:color w:val="000000"/>
          <w:szCs w:val="21"/>
        </w:rPr>
        <w:t>：能够与团队其他成员共享智能感知算法设计开发信息，并能够并给予团队其它成员帮助</w:t>
      </w:r>
      <w:r>
        <w:rPr>
          <w:rFonts w:hAnsi="宋体"/>
          <w:bCs/>
          <w:color w:val="000000"/>
          <w:szCs w:val="21"/>
        </w:rPr>
        <w:t>（支撑毕业要求</w:t>
      </w:r>
      <w:r>
        <w:rPr>
          <w:rFonts w:hint="eastAsia" w:hAnsi="宋体"/>
          <w:bCs/>
          <w:color w:val="000000"/>
          <w:szCs w:val="21"/>
        </w:rPr>
        <w:t>指标点</w:t>
      </w:r>
      <w:r>
        <w:rPr>
          <w:bCs/>
          <w:color w:val="000000"/>
          <w:szCs w:val="21"/>
        </w:rPr>
        <w:t>9</w:t>
      </w:r>
      <w:r>
        <w:rPr>
          <w:rFonts w:hint="eastAsia"/>
          <w:bCs/>
          <w:color w:val="000000"/>
          <w:szCs w:val="21"/>
        </w:rPr>
        <w:t>-</w:t>
      </w:r>
      <w:r>
        <w:rPr>
          <w:bCs/>
          <w:color w:val="000000"/>
          <w:szCs w:val="21"/>
        </w:rPr>
        <w:t>1</w:t>
      </w:r>
      <w:r>
        <w:rPr>
          <w:rFonts w:hAnsi="宋体"/>
          <w:bCs/>
          <w:color w:val="000000"/>
          <w:szCs w:val="21"/>
        </w:rPr>
        <w:t>）</w:t>
      </w:r>
      <w:r>
        <w:rPr>
          <w:rFonts w:hint="eastAsia" w:hAnsi="宋体"/>
          <w:bCs/>
          <w:color w:val="000000"/>
          <w:szCs w:val="21"/>
        </w:rPr>
        <w:t>。</w:t>
      </w:r>
    </w:p>
    <w:p>
      <w:pPr>
        <w:adjustRightInd w:val="0"/>
        <w:snapToGrid w:val="0"/>
        <w:spacing w:line="360" w:lineRule="auto"/>
        <w:ind w:firstLine="420" w:firstLineChars="200"/>
        <w:rPr>
          <w:rFonts w:hAnsi="宋体"/>
          <w:bCs/>
          <w:color w:val="000000"/>
          <w:szCs w:val="21"/>
        </w:rPr>
      </w:pPr>
      <w:r>
        <w:rPr>
          <w:rFonts w:hint="eastAsia" w:hAnsi="宋体"/>
          <w:bCs/>
          <w:color w:val="000000"/>
          <w:szCs w:val="21"/>
        </w:rPr>
        <w:t>课程目标</w:t>
      </w:r>
      <w:r>
        <w:rPr>
          <w:bCs/>
          <w:color w:val="000000"/>
          <w:szCs w:val="21"/>
        </w:rPr>
        <w:t>8</w:t>
      </w:r>
      <w:r>
        <w:rPr>
          <w:rFonts w:hint="eastAsia" w:hAnsi="宋体"/>
          <w:bCs/>
          <w:color w:val="000000"/>
          <w:szCs w:val="21"/>
        </w:rPr>
        <w:t>：能够在智能感知算法涉及的多学科背景下的团队中承担个体、团队成员以及负责人的角色并理解该角色在智能感知算法设计开发中应当承担的责任、权利和义务</w:t>
      </w:r>
      <w:r>
        <w:rPr>
          <w:rFonts w:hAnsi="宋体"/>
          <w:bCs/>
          <w:color w:val="000000"/>
          <w:szCs w:val="21"/>
        </w:rPr>
        <w:t>（支撑毕业要求</w:t>
      </w:r>
      <w:r>
        <w:rPr>
          <w:rFonts w:hint="eastAsia" w:hAnsi="宋体"/>
          <w:bCs/>
          <w:color w:val="000000"/>
          <w:szCs w:val="21"/>
        </w:rPr>
        <w:t>指标点</w:t>
      </w:r>
      <w:r>
        <w:rPr>
          <w:bCs/>
          <w:color w:val="000000"/>
          <w:szCs w:val="21"/>
        </w:rPr>
        <w:t>9</w:t>
      </w:r>
      <w:r>
        <w:rPr>
          <w:rFonts w:hint="eastAsia"/>
          <w:bCs/>
          <w:color w:val="000000"/>
          <w:szCs w:val="21"/>
        </w:rPr>
        <w:t>-</w:t>
      </w:r>
      <w:r>
        <w:rPr>
          <w:bCs/>
          <w:color w:val="000000"/>
          <w:szCs w:val="21"/>
        </w:rPr>
        <w:t>2</w:t>
      </w:r>
      <w:r>
        <w:rPr>
          <w:rFonts w:hAnsi="宋体"/>
          <w:bCs/>
          <w:color w:val="000000"/>
          <w:szCs w:val="21"/>
        </w:rPr>
        <w:t>）</w:t>
      </w:r>
      <w:r>
        <w:rPr>
          <w:rFonts w:hint="eastAsia" w:hAnsi="宋体"/>
          <w:bCs/>
          <w:color w:val="000000"/>
          <w:szCs w:val="21"/>
        </w:rPr>
        <w:t>。</w:t>
      </w:r>
    </w:p>
    <w:p>
      <w:pPr>
        <w:adjustRightInd w:val="0"/>
        <w:snapToGrid w:val="0"/>
        <w:spacing w:line="360" w:lineRule="auto"/>
        <w:ind w:firstLine="420" w:firstLineChars="200"/>
        <w:rPr>
          <w:rFonts w:hint="eastAsia" w:hAnsi="宋体"/>
          <w:bCs/>
          <w:color w:val="000000"/>
          <w:szCs w:val="21"/>
        </w:rPr>
      </w:pPr>
      <w:r>
        <w:rPr>
          <w:rFonts w:hint="eastAsia" w:hAnsi="宋体"/>
          <w:bCs/>
          <w:color w:val="000000"/>
          <w:szCs w:val="21"/>
        </w:rPr>
        <w:t>课程目标</w:t>
      </w:r>
      <w:r>
        <w:rPr>
          <w:bCs/>
          <w:color w:val="000000"/>
          <w:szCs w:val="21"/>
        </w:rPr>
        <w:t>9</w:t>
      </w:r>
      <w:r>
        <w:rPr>
          <w:rFonts w:hint="eastAsia" w:hAnsi="宋体"/>
          <w:bCs/>
          <w:color w:val="000000"/>
          <w:szCs w:val="21"/>
        </w:rPr>
        <w:t>：能够在智能感知算法涉及的多学科背景下和不同层次间正确理解和处理团队内部和团队之间在智能感知算法设计开发中的竞争与合作关系</w:t>
      </w:r>
      <w:r>
        <w:rPr>
          <w:rFonts w:hAnsi="宋体"/>
          <w:bCs/>
          <w:color w:val="000000"/>
          <w:szCs w:val="21"/>
        </w:rPr>
        <w:t>（支撑毕业要求</w:t>
      </w:r>
      <w:r>
        <w:rPr>
          <w:rFonts w:hint="eastAsia" w:hAnsi="宋体"/>
          <w:bCs/>
          <w:color w:val="000000"/>
          <w:szCs w:val="21"/>
        </w:rPr>
        <w:t>指标点</w:t>
      </w:r>
      <w:r>
        <w:rPr>
          <w:bCs/>
          <w:color w:val="000000"/>
          <w:szCs w:val="21"/>
        </w:rPr>
        <w:t>9</w:t>
      </w:r>
      <w:r>
        <w:rPr>
          <w:rFonts w:hint="eastAsia"/>
          <w:bCs/>
          <w:color w:val="000000"/>
          <w:szCs w:val="21"/>
        </w:rPr>
        <w:t>-</w:t>
      </w:r>
      <w:r>
        <w:rPr>
          <w:bCs/>
          <w:color w:val="000000"/>
          <w:szCs w:val="21"/>
        </w:rPr>
        <w:t>3</w:t>
      </w:r>
      <w:r>
        <w:rPr>
          <w:rFonts w:hAnsi="宋体"/>
          <w:bCs/>
          <w:color w:val="000000"/>
          <w:szCs w:val="21"/>
        </w:rPr>
        <w:t>）</w:t>
      </w:r>
      <w:r>
        <w:rPr>
          <w:rFonts w:hint="eastAsia" w:hAnsi="宋体"/>
          <w:bCs/>
          <w:color w:val="000000"/>
          <w:szCs w:val="21"/>
        </w:rPr>
        <w:t>。</w:t>
      </w:r>
    </w:p>
    <w:p>
      <w:pPr>
        <w:adjustRightInd w:val="0"/>
        <w:snapToGrid w:val="0"/>
        <w:spacing w:line="360" w:lineRule="auto"/>
        <w:ind w:firstLine="420" w:firstLineChars="200"/>
        <w:rPr>
          <w:rFonts w:hint="eastAsia" w:hAnsi="宋体"/>
          <w:bCs/>
          <w:color w:val="000000"/>
          <w:szCs w:val="21"/>
        </w:rPr>
      </w:pPr>
      <w:r>
        <w:rPr>
          <w:rFonts w:hint="eastAsia" w:hAnsi="宋体"/>
          <w:bCs/>
          <w:color w:val="000000"/>
          <w:szCs w:val="21"/>
        </w:rPr>
        <w:t>课程目标</w:t>
      </w:r>
      <w:r>
        <w:rPr>
          <w:bCs/>
          <w:color w:val="000000"/>
          <w:szCs w:val="21"/>
        </w:rPr>
        <w:t>10</w:t>
      </w:r>
      <w:r>
        <w:rPr>
          <w:rFonts w:hint="eastAsia" w:hAnsi="宋体"/>
          <w:bCs/>
          <w:color w:val="000000"/>
          <w:szCs w:val="21"/>
        </w:rPr>
        <w:t>：能够在智能感知算法涉及的多学科环境中将工程项目管理与经济决策的知识和方法应用到智能感知算法设计开发实践中，协调平衡多种资源，使设计开发经济效益得到优化</w:t>
      </w:r>
      <w:r>
        <w:rPr>
          <w:rFonts w:hAnsi="宋体"/>
          <w:bCs/>
          <w:color w:val="000000"/>
          <w:szCs w:val="21"/>
        </w:rPr>
        <w:t>（支撑毕业要求</w:t>
      </w:r>
      <w:r>
        <w:rPr>
          <w:rFonts w:hint="eastAsia" w:hAnsi="宋体"/>
          <w:bCs/>
          <w:color w:val="000000"/>
          <w:szCs w:val="21"/>
        </w:rPr>
        <w:t>指标点</w:t>
      </w:r>
      <w:r>
        <w:rPr>
          <w:bCs/>
          <w:color w:val="000000"/>
          <w:szCs w:val="21"/>
        </w:rPr>
        <w:t>11</w:t>
      </w:r>
      <w:r>
        <w:rPr>
          <w:rFonts w:hint="eastAsia"/>
          <w:bCs/>
          <w:color w:val="000000"/>
          <w:szCs w:val="21"/>
        </w:rPr>
        <w:t>-</w:t>
      </w:r>
      <w:r>
        <w:rPr>
          <w:bCs/>
          <w:color w:val="000000"/>
          <w:szCs w:val="21"/>
        </w:rPr>
        <w:t>2</w:t>
      </w:r>
      <w:r>
        <w:rPr>
          <w:rFonts w:hAnsi="宋体"/>
          <w:bCs/>
          <w:color w:val="000000"/>
          <w:szCs w:val="21"/>
        </w:rPr>
        <w:t>）</w:t>
      </w:r>
      <w:r>
        <w:rPr>
          <w:rFonts w:hint="eastAsia" w:hAnsi="宋体"/>
          <w:bCs/>
          <w:color w:val="000000"/>
          <w:szCs w:val="21"/>
        </w:rPr>
        <w:t>。</w:t>
      </w:r>
    </w:p>
    <w:p>
      <w:pPr>
        <w:adjustRightInd w:val="0"/>
        <w:snapToGrid w:val="0"/>
        <w:spacing w:line="360" w:lineRule="auto"/>
        <w:ind w:firstLine="420" w:firstLineChars="200"/>
        <w:rPr>
          <w:rFonts w:hint="eastAsia" w:hAnsi="宋体"/>
          <w:bCs/>
          <w:color w:val="000000"/>
          <w:szCs w:val="21"/>
        </w:rPr>
      </w:pPr>
      <w:r>
        <w:rPr>
          <w:rFonts w:hint="eastAsia" w:hAnsi="宋体"/>
          <w:bCs/>
          <w:color w:val="000000"/>
          <w:szCs w:val="21"/>
        </w:rPr>
        <w:t>思政目标：智能感知算法是未来可以改变人类生活生产的人工智能系统的重要组成部分。通过了解国内外在智能感知算法方面的发展现状和差距，激发学生重视技术进步与创新，为国民经济发展和国家进步贡献力量的意识。</w:t>
      </w:r>
    </w:p>
    <w:p>
      <w:pPr>
        <w:adjustRightInd w:val="0"/>
        <w:snapToGrid w:val="0"/>
        <w:spacing w:before="156" w:beforeLines="50" w:line="360" w:lineRule="auto"/>
        <w:rPr>
          <w:rFonts w:hint="eastAsia" w:eastAsia="黑体"/>
          <w:color w:val="000000"/>
          <w:szCs w:val="21"/>
        </w:rPr>
      </w:pPr>
      <w:r>
        <w:rPr>
          <w:rFonts w:hint="eastAsia" w:eastAsia="黑体"/>
          <w:color w:val="000000"/>
          <w:szCs w:val="21"/>
        </w:rPr>
        <w:t>三、课程内容、思政融入点、学时分配及对毕业要求指标点的支撑</w:t>
      </w:r>
    </w:p>
    <w:p>
      <w:pPr>
        <w:spacing w:line="360" w:lineRule="auto"/>
        <w:ind w:firstLine="420" w:firstLineChars="200"/>
        <w:rPr>
          <w:color w:val="000000"/>
          <w:szCs w:val="21"/>
        </w:rPr>
      </w:pPr>
      <w:r>
        <w:rPr>
          <w:rFonts w:hint="eastAsia"/>
          <w:color w:val="000000"/>
          <w:szCs w:val="21"/>
        </w:rPr>
        <w:t>1、本课程为专业类教育课程，</w:t>
      </w:r>
      <w:r>
        <w:rPr>
          <w:rFonts w:hint="eastAsia" w:ascii="宋体" w:hAnsi="宋体"/>
          <w:bCs/>
          <w:color w:val="000000"/>
          <w:szCs w:val="21"/>
        </w:rPr>
        <w:t>是本专业培养学生的重要实践环节,</w:t>
      </w:r>
      <w:r>
        <w:rPr>
          <w:rFonts w:hint="eastAsia"/>
          <w:color w:val="000000"/>
          <w:szCs w:val="21"/>
        </w:rPr>
        <w:t>要求先修C语言程序设计、数据结构与算法分析、微机原理及接口技术和人工智能基础等课程。本课程重在实践训练，通过具体智能感知算法的开发设计，培养学生运用智能感知算法知识根据特定场景要求进行智能感知系统开发设计的能力。</w:t>
      </w:r>
    </w:p>
    <w:p>
      <w:pPr>
        <w:spacing w:line="360" w:lineRule="auto"/>
        <w:ind w:firstLine="420" w:firstLineChars="200"/>
        <w:rPr>
          <w:color w:val="000000"/>
          <w:szCs w:val="21"/>
        </w:rPr>
      </w:pPr>
      <w:r>
        <w:rPr>
          <w:rFonts w:hint="eastAsia"/>
          <w:color w:val="000000"/>
          <w:szCs w:val="21"/>
        </w:rPr>
        <w:t>2、教师通过验证性和开放性智能感知算法开发设计的实例，提高学生对智能感知算法的实际分析与设计能力。</w:t>
      </w:r>
    </w:p>
    <w:p>
      <w:pPr>
        <w:spacing w:line="360" w:lineRule="auto"/>
        <w:ind w:firstLine="420" w:firstLineChars="200"/>
        <w:rPr>
          <w:color w:val="000000"/>
          <w:szCs w:val="21"/>
        </w:rPr>
      </w:pPr>
      <w:r>
        <w:rPr>
          <w:color w:val="000000"/>
          <w:szCs w:val="21"/>
        </w:rPr>
        <w:t>3</w:t>
      </w:r>
      <w:r>
        <w:rPr>
          <w:rFonts w:hint="eastAsia"/>
          <w:color w:val="000000"/>
          <w:szCs w:val="21"/>
        </w:rPr>
        <w:t>、智能感知系统在生活生产中具有广泛的应用，本课程的开放性实践训练环节应引导学生思考智能感知系统新的应用场景和需求，并通过新场景和需求的驱动，培养学生运用理论知识对实际智能感知算法开发设计的能力，使学生能够将理论知识运用到实际算法开发设计中的技能。</w:t>
      </w:r>
    </w:p>
    <w:p>
      <w:pPr>
        <w:spacing w:line="360" w:lineRule="auto"/>
        <w:ind w:firstLine="420" w:firstLineChars="200"/>
        <w:rPr>
          <w:color w:val="000000"/>
          <w:szCs w:val="21"/>
        </w:rPr>
      </w:pPr>
      <w:r>
        <w:rPr>
          <w:color w:val="000000"/>
          <w:szCs w:val="21"/>
        </w:rPr>
        <w:t>4</w:t>
      </w:r>
      <w:r>
        <w:rPr>
          <w:rFonts w:hint="eastAsia"/>
          <w:color w:val="000000"/>
          <w:szCs w:val="21"/>
        </w:rPr>
        <w:t>、深度和广度说明：对智能感知基础实践模块、R</w:t>
      </w:r>
      <w:r>
        <w:rPr>
          <w:color w:val="000000"/>
          <w:szCs w:val="21"/>
        </w:rPr>
        <w:t>OS</w:t>
      </w:r>
      <w:r>
        <w:rPr>
          <w:rFonts w:hint="eastAsia"/>
          <w:color w:val="000000"/>
          <w:szCs w:val="21"/>
        </w:rPr>
        <w:t>机器人感知实践模块和边缘A</w:t>
      </w:r>
      <w:r>
        <w:rPr>
          <w:color w:val="000000"/>
          <w:szCs w:val="21"/>
        </w:rPr>
        <w:t>I</w:t>
      </w:r>
      <w:r>
        <w:rPr>
          <w:rFonts w:hint="eastAsia"/>
          <w:color w:val="000000"/>
          <w:szCs w:val="21"/>
        </w:rPr>
        <w:t>视觉行为感知实践模块等内容要让学生深入分析理解与实际设计，对大模型架构多模态感知实践模块和智能感知平台开发实践模块等内容要引导学生设计各种新的应用，实现智能感知系统应用场景和需求的涵盖广度。</w:t>
      </w:r>
    </w:p>
    <w:p>
      <w:pPr>
        <w:spacing w:line="360" w:lineRule="auto"/>
        <w:ind w:firstLine="420" w:firstLineChars="200"/>
        <w:rPr>
          <w:color w:val="000000"/>
          <w:szCs w:val="21"/>
        </w:rPr>
      </w:pPr>
      <w:r>
        <w:rPr>
          <w:color w:val="000000"/>
          <w:szCs w:val="21"/>
        </w:rPr>
        <w:t>5</w:t>
      </w:r>
      <w:r>
        <w:rPr>
          <w:rFonts w:hint="eastAsia"/>
          <w:color w:val="000000"/>
          <w:szCs w:val="21"/>
        </w:rPr>
        <w:t>、偏差说明：为了鼓励教师引入个人授课风格或者适应技术发展的紧迫性，本课程允许教师授课内容做适当调整，最大正偏差为10%，不允许负偏差。正偏差通过压缩同等内容的学时数来完成。特殊情况，最大正偏差和置换偏差累计可达到20%，但在开课前要申请专业责任人批准。（正偏差指大纲知识点不变，新增知识点；负偏差是大纲知识点减少；置换偏差是指大纲中部分知识点被其它类似知识点替换）。</w:t>
      </w:r>
    </w:p>
    <w:p>
      <w:pPr>
        <w:jc w:val="center"/>
        <w:rPr>
          <w:rFonts w:hint="eastAsia"/>
          <w:b/>
          <w:bCs/>
          <w:color w:val="000000"/>
          <w:sz w:val="18"/>
          <w:szCs w:val="18"/>
        </w:rPr>
      </w:pPr>
      <w:r>
        <w:rPr>
          <w:rFonts w:hint="eastAsia"/>
          <w:b/>
          <w:bCs/>
          <w:color w:val="000000"/>
          <w:sz w:val="18"/>
          <w:szCs w:val="18"/>
        </w:rPr>
        <w:t>表3.1课程内容、学时分配及对毕业要求指标点的支撑</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0"/>
        <w:gridCol w:w="5773"/>
        <w:gridCol w:w="527"/>
        <w:gridCol w:w="583"/>
        <w:gridCol w:w="562"/>
        <w:gridCol w:w="617"/>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318" w:type="pct"/>
            <w:shd w:val="clear" w:color="auto" w:fill="D9D9D9"/>
            <w:noWrap w:val="0"/>
            <w:vAlign w:val="center"/>
          </w:tcPr>
          <w:p>
            <w:pPr>
              <w:snapToGrid w:val="0"/>
              <w:jc w:val="center"/>
              <w:rPr>
                <w:rFonts w:hint="eastAsia"/>
                <w:b/>
                <w:color w:val="000000"/>
                <w:sz w:val="18"/>
                <w:szCs w:val="18"/>
              </w:rPr>
            </w:pPr>
            <w:r>
              <w:rPr>
                <w:rFonts w:hint="eastAsia"/>
                <w:b/>
                <w:color w:val="000000"/>
                <w:sz w:val="18"/>
                <w:szCs w:val="18"/>
              </w:rPr>
              <w:t>序号</w:t>
            </w:r>
          </w:p>
        </w:tc>
        <w:tc>
          <w:tcPr>
            <w:tcW w:w="3110" w:type="pct"/>
            <w:shd w:val="clear" w:color="auto" w:fill="D9D9D9"/>
            <w:noWrap w:val="0"/>
            <w:vAlign w:val="center"/>
          </w:tcPr>
          <w:p>
            <w:pPr>
              <w:snapToGrid w:val="0"/>
              <w:jc w:val="center"/>
              <w:rPr>
                <w:b/>
                <w:color w:val="000000"/>
                <w:sz w:val="18"/>
                <w:szCs w:val="18"/>
              </w:rPr>
            </w:pPr>
            <w:r>
              <w:rPr>
                <w:rFonts w:hint="eastAsia"/>
                <w:b/>
                <w:color w:val="000000"/>
                <w:sz w:val="18"/>
                <w:szCs w:val="18"/>
              </w:rPr>
              <w:t>内            容</w:t>
            </w:r>
          </w:p>
        </w:tc>
        <w:tc>
          <w:tcPr>
            <w:tcW w:w="284" w:type="pct"/>
            <w:shd w:val="clear" w:color="auto" w:fill="D9D9D9"/>
            <w:noWrap w:val="0"/>
            <w:vAlign w:val="center"/>
          </w:tcPr>
          <w:p>
            <w:pPr>
              <w:snapToGrid w:val="0"/>
              <w:jc w:val="center"/>
              <w:rPr>
                <w:b/>
                <w:color w:val="000000"/>
                <w:sz w:val="18"/>
                <w:szCs w:val="18"/>
              </w:rPr>
            </w:pPr>
            <w:r>
              <w:rPr>
                <w:b/>
                <w:color w:val="000000"/>
                <w:sz w:val="18"/>
                <w:szCs w:val="18"/>
              </w:rPr>
              <w:t>讲课</w:t>
            </w:r>
          </w:p>
        </w:tc>
        <w:tc>
          <w:tcPr>
            <w:tcW w:w="314" w:type="pct"/>
            <w:shd w:val="clear" w:color="auto" w:fill="D9D9D9"/>
            <w:noWrap w:val="0"/>
            <w:vAlign w:val="center"/>
          </w:tcPr>
          <w:p>
            <w:pPr>
              <w:snapToGrid w:val="0"/>
              <w:jc w:val="center"/>
              <w:rPr>
                <w:b/>
                <w:color w:val="000000"/>
                <w:sz w:val="18"/>
                <w:szCs w:val="18"/>
              </w:rPr>
            </w:pPr>
            <w:r>
              <w:rPr>
                <w:b/>
                <w:color w:val="000000"/>
                <w:sz w:val="18"/>
                <w:szCs w:val="18"/>
              </w:rPr>
              <w:t>实验</w:t>
            </w:r>
          </w:p>
        </w:tc>
        <w:tc>
          <w:tcPr>
            <w:tcW w:w="303" w:type="pct"/>
            <w:shd w:val="clear" w:color="auto" w:fill="D9D9D9"/>
            <w:noWrap w:val="0"/>
            <w:vAlign w:val="center"/>
          </w:tcPr>
          <w:p>
            <w:pPr>
              <w:snapToGrid w:val="0"/>
              <w:jc w:val="center"/>
              <w:rPr>
                <w:b/>
                <w:color w:val="000000"/>
                <w:sz w:val="18"/>
                <w:szCs w:val="18"/>
              </w:rPr>
            </w:pPr>
            <w:r>
              <w:rPr>
                <w:rFonts w:hint="eastAsia"/>
                <w:b/>
                <w:color w:val="000000"/>
                <w:sz w:val="18"/>
                <w:szCs w:val="18"/>
              </w:rPr>
              <w:t>小计</w:t>
            </w:r>
          </w:p>
        </w:tc>
        <w:tc>
          <w:tcPr>
            <w:tcW w:w="332" w:type="pct"/>
            <w:shd w:val="clear" w:color="auto" w:fill="D9D9D9"/>
            <w:noWrap w:val="0"/>
            <w:vAlign w:val="center"/>
          </w:tcPr>
          <w:p>
            <w:pPr>
              <w:snapToGrid w:val="0"/>
              <w:jc w:val="center"/>
              <w:rPr>
                <w:b/>
                <w:color w:val="000000"/>
                <w:sz w:val="18"/>
                <w:szCs w:val="18"/>
              </w:rPr>
            </w:pPr>
            <w:r>
              <w:rPr>
                <w:b/>
                <w:color w:val="000000"/>
                <w:sz w:val="18"/>
                <w:szCs w:val="18"/>
              </w:rPr>
              <w:t>支撑课程目标</w:t>
            </w:r>
          </w:p>
        </w:tc>
        <w:tc>
          <w:tcPr>
            <w:tcW w:w="339" w:type="pct"/>
            <w:shd w:val="clear" w:color="auto" w:fill="D9D9D9"/>
            <w:noWrap w:val="0"/>
            <w:vAlign w:val="center"/>
          </w:tcPr>
          <w:p>
            <w:pPr>
              <w:snapToGrid w:val="0"/>
              <w:jc w:val="center"/>
              <w:rPr>
                <w:b/>
                <w:color w:val="000000"/>
                <w:sz w:val="18"/>
                <w:szCs w:val="18"/>
              </w:rPr>
            </w:pPr>
            <w:r>
              <w:rPr>
                <w:b/>
                <w:color w:val="000000"/>
                <w:sz w:val="18"/>
                <w:szCs w:val="18"/>
              </w:rPr>
              <w:t>支撑指标点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 w:type="pct"/>
            <w:noWrap w:val="0"/>
            <w:vAlign w:val="center"/>
          </w:tcPr>
          <w:p>
            <w:pPr>
              <w:spacing w:line="280" w:lineRule="exact"/>
              <w:jc w:val="center"/>
              <w:rPr>
                <w:rFonts w:hint="eastAsia"/>
                <w:color w:val="000000"/>
                <w:sz w:val="18"/>
                <w:szCs w:val="18"/>
              </w:rPr>
            </w:pPr>
            <w:r>
              <w:rPr>
                <w:rFonts w:hint="eastAsia"/>
                <w:color w:val="000000"/>
                <w:sz w:val="18"/>
                <w:szCs w:val="18"/>
              </w:rPr>
              <w:t>1</w:t>
            </w:r>
          </w:p>
        </w:tc>
        <w:tc>
          <w:tcPr>
            <w:tcW w:w="3110" w:type="pct"/>
            <w:noWrap w:val="0"/>
            <w:vAlign w:val="top"/>
          </w:tcPr>
          <w:p>
            <w:pPr>
              <w:spacing w:line="280" w:lineRule="exact"/>
              <w:rPr>
                <w:rFonts w:hint="eastAsia"/>
                <w:b/>
                <w:bCs/>
                <w:color w:val="000000"/>
                <w:sz w:val="18"/>
                <w:szCs w:val="18"/>
              </w:rPr>
            </w:pPr>
            <w:r>
              <w:rPr>
                <w:rFonts w:hint="eastAsia"/>
                <w:b/>
                <w:bCs/>
                <w:color w:val="000000"/>
                <w:sz w:val="18"/>
                <w:szCs w:val="18"/>
              </w:rPr>
              <w:t>1智能感知基础实践模块</w:t>
            </w:r>
          </w:p>
          <w:p>
            <w:pPr>
              <w:spacing w:line="280" w:lineRule="exact"/>
              <w:ind w:firstLine="180" w:firstLineChars="100"/>
              <w:rPr>
                <w:rFonts w:hint="eastAsia"/>
                <w:color w:val="000000"/>
                <w:sz w:val="18"/>
                <w:szCs w:val="18"/>
              </w:rPr>
            </w:pPr>
            <w:r>
              <w:rPr>
                <w:rFonts w:hint="eastAsia"/>
                <w:color w:val="000000"/>
                <w:sz w:val="18"/>
                <w:szCs w:val="18"/>
              </w:rPr>
              <w:t>1.1、Python基础程序设计；</w:t>
            </w:r>
          </w:p>
          <w:p>
            <w:pPr>
              <w:spacing w:line="280" w:lineRule="exact"/>
              <w:ind w:firstLine="180" w:firstLineChars="100"/>
              <w:rPr>
                <w:rFonts w:hint="eastAsia"/>
                <w:color w:val="000000"/>
                <w:sz w:val="18"/>
                <w:szCs w:val="18"/>
              </w:rPr>
            </w:pPr>
            <w:r>
              <w:rPr>
                <w:rFonts w:hint="eastAsia"/>
                <w:color w:val="000000"/>
                <w:sz w:val="18"/>
                <w:szCs w:val="18"/>
              </w:rPr>
              <w:t xml:space="preserve">1.2、感知数据预处理程序设计； </w:t>
            </w:r>
          </w:p>
          <w:p>
            <w:pPr>
              <w:spacing w:line="280" w:lineRule="exact"/>
              <w:ind w:firstLine="180" w:firstLineChars="100"/>
              <w:rPr>
                <w:rFonts w:hint="eastAsia"/>
                <w:color w:val="000000"/>
                <w:sz w:val="18"/>
                <w:szCs w:val="18"/>
              </w:rPr>
            </w:pPr>
            <w:r>
              <w:rPr>
                <w:rFonts w:hint="eastAsia"/>
                <w:color w:val="000000"/>
                <w:sz w:val="18"/>
                <w:szCs w:val="18"/>
              </w:rPr>
              <w:t xml:space="preserve">1.3、基于传统机器学习的感知程序设计； </w:t>
            </w:r>
          </w:p>
          <w:p>
            <w:pPr>
              <w:spacing w:line="280" w:lineRule="exact"/>
              <w:ind w:firstLine="180" w:firstLineChars="100"/>
              <w:rPr>
                <w:rFonts w:hint="eastAsia"/>
                <w:b/>
                <w:bCs/>
                <w:color w:val="000000"/>
                <w:sz w:val="18"/>
                <w:szCs w:val="18"/>
              </w:rPr>
            </w:pPr>
            <w:r>
              <w:rPr>
                <w:rFonts w:hint="eastAsia"/>
                <w:color w:val="000000"/>
                <w:sz w:val="18"/>
                <w:szCs w:val="18"/>
              </w:rPr>
              <w:t>1.4、基于深度学习的感知程序设计。（重点）</w:t>
            </w:r>
          </w:p>
        </w:tc>
        <w:tc>
          <w:tcPr>
            <w:tcW w:w="284" w:type="pct"/>
            <w:noWrap w:val="0"/>
            <w:vAlign w:val="center"/>
          </w:tcPr>
          <w:p>
            <w:pPr>
              <w:spacing w:line="280" w:lineRule="exact"/>
              <w:jc w:val="center"/>
              <w:rPr>
                <w:rFonts w:hint="eastAsia" w:cs="Calibri"/>
                <w:b/>
                <w:color w:val="000000"/>
                <w:sz w:val="18"/>
                <w:szCs w:val="18"/>
              </w:rPr>
            </w:pPr>
            <w:r>
              <w:rPr>
                <w:rFonts w:cs="Calibri"/>
                <w:b/>
                <w:color w:val="000000"/>
                <w:sz w:val="18"/>
                <w:szCs w:val="18"/>
              </w:rPr>
              <w:t>4</w:t>
            </w:r>
          </w:p>
        </w:tc>
        <w:tc>
          <w:tcPr>
            <w:tcW w:w="314" w:type="pct"/>
            <w:noWrap w:val="0"/>
            <w:vAlign w:val="center"/>
          </w:tcPr>
          <w:p>
            <w:pPr>
              <w:spacing w:line="280" w:lineRule="exact"/>
              <w:jc w:val="center"/>
              <w:rPr>
                <w:rFonts w:cs="Calibri"/>
                <w:b/>
                <w:color w:val="000000"/>
                <w:sz w:val="18"/>
                <w:szCs w:val="18"/>
              </w:rPr>
            </w:pPr>
            <w:r>
              <w:rPr>
                <w:rFonts w:cs="Calibri"/>
                <w:b/>
                <w:color w:val="000000"/>
                <w:sz w:val="18"/>
                <w:szCs w:val="18"/>
              </w:rPr>
              <w:t>6</w:t>
            </w:r>
          </w:p>
        </w:tc>
        <w:tc>
          <w:tcPr>
            <w:tcW w:w="303" w:type="pct"/>
            <w:noWrap w:val="0"/>
            <w:vAlign w:val="center"/>
          </w:tcPr>
          <w:p>
            <w:pPr>
              <w:spacing w:line="280" w:lineRule="exact"/>
              <w:jc w:val="center"/>
              <w:rPr>
                <w:rFonts w:hint="eastAsia" w:cs="Calibri"/>
                <w:b/>
                <w:color w:val="000000"/>
                <w:sz w:val="18"/>
                <w:szCs w:val="18"/>
              </w:rPr>
            </w:pPr>
            <w:r>
              <w:rPr>
                <w:rFonts w:cs="Calibri"/>
                <w:b/>
                <w:color w:val="000000"/>
                <w:sz w:val="18"/>
                <w:szCs w:val="18"/>
              </w:rPr>
              <w:t>10</w:t>
            </w:r>
          </w:p>
        </w:tc>
        <w:tc>
          <w:tcPr>
            <w:tcW w:w="332" w:type="pct"/>
            <w:noWrap w:val="0"/>
            <w:vAlign w:val="center"/>
          </w:tcPr>
          <w:p>
            <w:pPr>
              <w:spacing w:line="280" w:lineRule="exact"/>
              <w:jc w:val="center"/>
              <w:rPr>
                <w:rFonts w:hint="eastAsia" w:cs="Calibri"/>
                <w:b/>
                <w:color w:val="000000"/>
                <w:sz w:val="18"/>
                <w:szCs w:val="18"/>
              </w:rPr>
            </w:pPr>
            <w:r>
              <w:rPr>
                <w:rFonts w:cs="Calibri"/>
                <w:b/>
                <w:color w:val="000000"/>
                <w:sz w:val="18"/>
                <w:szCs w:val="18"/>
              </w:rPr>
              <w:t>3</w:t>
            </w:r>
            <w:r>
              <w:rPr>
                <w:rFonts w:hint="eastAsia" w:cs="Calibri"/>
                <w:b/>
                <w:color w:val="000000"/>
                <w:sz w:val="18"/>
                <w:szCs w:val="18"/>
              </w:rPr>
              <w:t>、</w:t>
            </w:r>
            <w:r>
              <w:rPr>
                <w:rFonts w:cs="Calibri"/>
                <w:b/>
                <w:color w:val="000000"/>
                <w:sz w:val="18"/>
                <w:szCs w:val="18"/>
              </w:rPr>
              <w:t>4</w:t>
            </w:r>
            <w:r>
              <w:rPr>
                <w:rFonts w:hint="eastAsia" w:cs="Calibri"/>
                <w:b/>
                <w:color w:val="000000"/>
                <w:sz w:val="18"/>
                <w:szCs w:val="18"/>
              </w:rPr>
              <w:t>、5</w:t>
            </w:r>
          </w:p>
        </w:tc>
        <w:tc>
          <w:tcPr>
            <w:tcW w:w="339" w:type="pct"/>
            <w:noWrap w:val="0"/>
            <w:vAlign w:val="center"/>
          </w:tcPr>
          <w:p>
            <w:pPr>
              <w:spacing w:line="280" w:lineRule="exact"/>
              <w:jc w:val="center"/>
              <w:rPr>
                <w:rFonts w:cs="Calibri"/>
                <w:b/>
                <w:color w:val="000000"/>
                <w:sz w:val="18"/>
                <w:szCs w:val="18"/>
              </w:rPr>
            </w:pPr>
            <w:r>
              <w:rPr>
                <w:rFonts w:cs="Calibri"/>
                <w:b/>
                <w:color w:val="000000"/>
                <w:sz w:val="18"/>
                <w:szCs w:val="18"/>
              </w:rPr>
              <w:t>5-1</w:t>
            </w:r>
          </w:p>
          <w:p>
            <w:pPr>
              <w:spacing w:line="280" w:lineRule="exact"/>
              <w:jc w:val="center"/>
              <w:rPr>
                <w:rFonts w:cs="Calibri"/>
                <w:b/>
                <w:color w:val="000000"/>
                <w:sz w:val="18"/>
                <w:szCs w:val="18"/>
              </w:rPr>
            </w:pPr>
            <w:r>
              <w:rPr>
                <w:rFonts w:cs="Calibri"/>
                <w:b/>
                <w:color w:val="000000"/>
                <w:sz w:val="18"/>
                <w:szCs w:val="18"/>
              </w:rPr>
              <w:t>5-2</w:t>
            </w:r>
          </w:p>
          <w:p>
            <w:pPr>
              <w:spacing w:line="280" w:lineRule="exact"/>
              <w:jc w:val="center"/>
              <w:rPr>
                <w:rFonts w:cs="Calibri"/>
                <w:b/>
                <w:color w:val="000000"/>
                <w:sz w:val="18"/>
                <w:szCs w:val="18"/>
              </w:rPr>
            </w:pPr>
            <w:r>
              <w:rPr>
                <w:rFonts w:cs="Calibri"/>
                <w:b/>
                <w:color w:val="000000"/>
                <w:sz w:val="18"/>
                <w:szCs w:val="18"/>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 w:type="pct"/>
            <w:noWrap w:val="0"/>
            <w:vAlign w:val="center"/>
          </w:tcPr>
          <w:p>
            <w:pPr>
              <w:spacing w:line="280" w:lineRule="exact"/>
              <w:jc w:val="center"/>
              <w:rPr>
                <w:rFonts w:hint="eastAsia"/>
                <w:color w:val="000000"/>
                <w:sz w:val="18"/>
                <w:szCs w:val="18"/>
              </w:rPr>
            </w:pPr>
            <w:r>
              <w:rPr>
                <w:rFonts w:hint="eastAsia"/>
                <w:color w:val="000000"/>
                <w:sz w:val="18"/>
                <w:szCs w:val="18"/>
              </w:rPr>
              <w:t>2</w:t>
            </w:r>
          </w:p>
        </w:tc>
        <w:tc>
          <w:tcPr>
            <w:tcW w:w="3110" w:type="pct"/>
            <w:noWrap w:val="0"/>
            <w:vAlign w:val="top"/>
          </w:tcPr>
          <w:p>
            <w:pPr>
              <w:spacing w:line="280" w:lineRule="exact"/>
              <w:rPr>
                <w:rFonts w:hint="eastAsia"/>
                <w:b/>
                <w:bCs/>
                <w:color w:val="000000"/>
                <w:sz w:val="18"/>
                <w:szCs w:val="18"/>
              </w:rPr>
            </w:pPr>
            <w:r>
              <w:rPr>
                <w:rFonts w:hint="eastAsia"/>
                <w:b/>
                <w:bCs/>
                <w:color w:val="000000"/>
                <w:sz w:val="18"/>
                <w:szCs w:val="18"/>
              </w:rPr>
              <w:t>2</w:t>
            </w:r>
            <w:r>
              <w:rPr>
                <w:b/>
                <w:bCs/>
                <w:color w:val="000000"/>
                <w:sz w:val="18"/>
                <w:szCs w:val="18"/>
              </w:rPr>
              <w:t xml:space="preserve"> </w:t>
            </w:r>
            <w:r>
              <w:rPr>
                <w:rFonts w:hint="eastAsia"/>
                <w:b/>
                <w:bCs/>
                <w:color w:val="000000"/>
                <w:sz w:val="18"/>
                <w:szCs w:val="18"/>
              </w:rPr>
              <w:t>ROS机器人感知实践模块</w:t>
            </w:r>
          </w:p>
          <w:p>
            <w:pPr>
              <w:spacing w:line="280" w:lineRule="exact"/>
              <w:ind w:firstLine="180" w:firstLineChars="100"/>
              <w:rPr>
                <w:rFonts w:hint="eastAsia"/>
                <w:color w:val="000000"/>
                <w:sz w:val="18"/>
                <w:szCs w:val="18"/>
              </w:rPr>
            </w:pPr>
            <w:r>
              <w:rPr>
                <w:rFonts w:hint="eastAsia"/>
                <w:color w:val="000000"/>
                <w:sz w:val="18"/>
                <w:szCs w:val="18"/>
              </w:rPr>
              <w:t>2.1、R</w:t>
            </w:r>
            <w:r>
              <w:rPr>
                <w:color w:val="000000"/>
                <w:sz w:val="18"/>
                <w:szCs w:val="18"/>
              </w:rPr>
              <w:t>OS</w:t>
            </w:r>
            <w:r>
              <w:rPr>
                <w:rFonts w:hint="eastAsia"/>
                <w:color w:val="000000"/>
                <w:sz w:val="18"/>
                <w:szCs w:val="18"/>
              </w:rPr>
              <w:t>架构基础程序设计；</w:t>
            </w:r>
          </w:p>
          <w:p>
            <w:pPr>
              <w:spacing w:line="280" w:lineRule="exact"/>
              <w:ind w:firstLine="180" w:firstLineChars="100"/>
              <w:rPr>
                <w:rFonts w:hint="eastAsia"/>
                <w:color w:val="000000"/>
                <w:sz w:val="18"/>
                <w:szCs w:val="18"/>
              </w:rPr>
            </w:pPr>
            <w:r>
              <w:rPr>
                <w:rFonts w:hint="eastAsia"/>
                <w:color w:val="000000"/>
                <w:sz w:val="18"/>
                <w:szCs w:val="18"/>
              </w:rPr>
              <w:t>2.2、R</w:t>
            </w:r>
            <w:r>
              <w:rPr>
                <w:color w:val="000000"/>
                <w:sz w:val="18"/>
                <w:szCs w:val="18"/>
              </w:rPr>
              <w:t>OS</w:t>
            </w:r>
            <w:r>
              <w:rPr>
                <w:rFonts w:hint="eastAsia"/>
                <w:color w:val="000000"/>
                <w:sz w:val="18"/>
                <w:szCs w:val="18"/>
              </w:rPr>
              <w:t>摄像头基础程序设计；</w:t>
            </w:r>
          </w:p>
          <w:p>
            <w:pPr>
              <w:spacing w:line="280" w:lineRule="exact"/>
              <w:ind w:firstLine="180" w:firstLineChars="100"/>
              <w:rPr>
                <w:rFonts w:hint="eastAsia"/>
                <w:color w:val="000000"/>
                <w:sz w:val="18"/>
                <w:szCs w:val="18"/>
              </w:rPr>
            </w:pPr>
            <w:r>
              <w:rPr>
                <w:rFonts w:hint="eastAsia"/>
                <w:color w:val="000000"/>
                <w:sz w:val="18"/>
                <w:szCs w:val="18"/>
              </w:rPr>
              <w:t>2.3、ROS视觉跟踪程序设计。（重点）</w:t>
            </w:r>
          </w:p>
        </w:tc>
        <w:tc>
          <w:tcPr>
            <w:tcW w:w="284" w:type="pct"/>
            <w:noWrap w:val="0"/>
            <w:vAlign w:val="center"/>
          </w:tcPr>
          <w:p>
            <w:pPr>
              <w:spacing w:line="280" w:lineRule="exact"/>
              <w:jc w:val="center"/>
              <w:rPr>
                <w:rFonts w:hint="eastAsia" w:cs="Calibri"/>
                <w:b/>
                <w:color w:val="000000"/>
                <w:sz w:val="18"/>
                <w:szCs w:val="18"/>
              </w:rPr>
            </w:pPr>
            <w:r>
              <w:rPr>
                <w:rFonts w:cs="Calibri"/>
                <w:b/>
                <w:color w:val="000000"/>
                <w:sz w:val="18"/>
                <w:szCs w:val="18"/>
              </w:rPr>
              <w:t>6</w:t>
            </w:r>
          </w:p>
        </w:tc>
        <w:tc>
          <w:tcPr>
            <w:tcW w:w="314" w:type="pct"/>
            <w:noWrap w:val="0"/>
            <w:vAlign w:val="center"/>
          </w:tcPr>
          <w:p>
            <w:pPr>
              <w:spacing w:line="280" w:lineRule="exact"/>
              <w:jc w:val="center"/>
              <w:rPr>
                <w:rFonts w:cs="Calibri"/>
                <w:b/>
                <w:color w:val="000000"/>
                <w:sz w:val="18"/>
                <w:szCs w:val="18"/>
              </w:rPr>
            </w:pPr>
            <w:r>
              <w:rPr>
                <w:rFonts w:hint="eastAsia" w:cs="Calibri"/>
                <w:b/>
                <w:color w:val="000000"/>
                <w:sz w:val="18"/>
                <w:szCs w:val="18"/>
              </w:rPr>
              <w:t>1</w:t>
            </w:r>
            <w:r>
              <w:rPr>
                <w:rFonts w:cs="Calibri"/>
                <w:b/>
                <w:color w:val="000000"/>
                <w:sz w:val="18"/>
                <w:szCs w:val="18"/>
              </w:rPr>
              <w:t>2</w:t>
            </w:r>
          </w:p>
        </w:tc>
        <w:tc>
          <w:tcPr>
            <w:tcW w:w="303" w:type="pct"/>
            <w:noWrap w:val="0"/>
            <w:vAlign w:val="center"/>
          </w:tcPr>
          <w:p>
            <w:pPr>
              <w:spacing w:line="280" w:lineRule="exact"/>
              <w:jc w:val="center"/>
              <w:rPr>
                <w:rFonts w:hint="eastAsia" w:cs="Calibri"/>
                <w:b/>
                <w:color w:val="000000"/>
                <w:sz w:val="18"/>
                <w:szCs w:val="18"/>
              </w:rPr>
            </w:pPr>
            <w:r>
              <w:rPr>
                <w:rFonts w:cs="Calibri"/>
                <w:b/>
                <w:color w:val="000000"/>
                <w:sz w:val="18"/>
                <w:szCs w:val="18"/>
              </w:rPr>
              <w:t>18</w:t>
            </w:r>
          </w:p>
        </w:tc>
        <w:tc>
          <w:tcPr>
            <w:tcW w:w="332" w:type="pct"/>
            <w:noWrap w:val="0"/>
            <w:vAlign w:val="center"/>
          </w:tcPr>
          <w:p>
            <w:pPr>
              <w:spacing w:line="280" w:lineRule="exact"/>
              <w:jc w:val="center"/>
              <w:rPr>
                <w:rFonts w:hint="eastAsia" w:cs="Calibri"/>
                <w:b/>
                <w:color w:val="000000"/>
                <w:sz w:val="18"/>
                <w:szCs w:val="18"/>
              </w:rPr>
            </w:pPr>
            <w:r>
              <w:rPr>
                <w:rFonts w:cs="Calibri"/>
                <w:b/>
                <w:color w:val="000000"/>
                <w:sz w:val="18"/>
                <w:szCs w:val="18"/>
              </w:rPr>
              <w:t xml:space="preserve"> 1</w:t>
            </w:r>
            <w:r>
              <w:rPr>
                <w:rFonts w:hint="eastAsia" w:cs="Calibri"/>
                <w:b/>
                <w:color w:val="000000"/>
                <w:sz w:val="18"/>
                <w:szCs w:val="18"/>
              </w:rPr>
              <w:t>、</w:t>
            </w:r>
            <w:r>
              <w:rPr>
                <w:rFonts w:cs="Calibri"/>
                <w:b/>
                <w:color w:val="000000"/>
                <w:sz w:val="18"/>
                <w:szCs w:val="18"/>
              </w:rPr>
              <w:t>3</w:t>
            </w:r>
            <w:r>
              <w:rPr>
                <w:rFonts w:hint="eastAsia" w:cs="Calibri"/>
                <w:b/>
                <w:color w:val="000000"/>
                <w:sz w:val="18"/>
                <w:szCs w:val="18"/>
              </w:rPr>
              <w:t>、</w:t>
            </w:r>
            <w:r>
              <w:rPr>
                <w:rFonts w:cs="Calibri"/>
                <w:b/>
                <w:color w:val="000000"/>
                <w:sz w:val="18"/>
                <w:szCs w:val="18"/>
              </w:rPr>
              <w:t>4</w:t>
            </w:r>
            <w:r>
              <w:rPr>
                <w:rFonts w:hint="eastAsia" w:cs="Calibri"/>
                <w:b/>
                <w:color w:val="000000"/>
                <w:sz w:val="18"/>
                <w:szCs w:val="18"/>
              </w:rPr>
              <w:t>、5</w:t>
            </w:r>
          </w:p>
        </w:tc>
        <w:tc>
          <w:tcPr>
            <w:tcW w:w="339" w:type="pct"/>
            <w:noWrap w:val="0"/>
            <w:vAlign w:val="center"/>
          </w:tcPr>
          <w:p>
            <w:pPr>
              <w:spacing w:line="280" w:lineRule="exact"/>
              <w:jc w:val="center"/>
              <w:rPr>
                <w:rFonts w:cs="Calibri"/>
                <w:b/>
                <w:color w:val="000000"/>
                <w:sz w:val="18"/>
                <w:szCs w:val="18"/>
              </w:rPr>
            </w:pPr>
            <w:r>
              <w:rPr>
                <w:rFonts w:hint="eastAsia" w:cs="Calibri"/>
                <w:b/>
                <w:color w:val="000000"/>
                <w:sz w:val="18"/>
                <w:szCs w:val="18"/>
              </w:rPr>
              <w:t>3-</w:t>
            </w:r>
            <w:r>
              <w:rPr>
                <w:rFonts w:cs="Calibri"/>
                <w:b/>
                <w:color w:val="000000"/>
                <w:sz w:val="18"/>
                <w:szCs w:val="18"/>
              </w:rPr>
              <w:t>1</w:t>
            </w:r>
          </w:p>
          <w:p>
            <w:pPr>
              <w:spacing w:line="280" w:lineRule="exact"/>
              <w:jc w:val="center"/>
              <w:rPr>
                <w:rFonts w:cs="Calibri"/>
                <w:b/>
                <w:color w:val="000000"/>
                <w:sz w:val="18"/>
                <w:szCs w:val="18"/>
              </w:rPr>
            </w:pPr>
            <w:r>
              <w:rPr>
                <w:rFonts w:cs="Calibri"/>
                <w:b/>
                <w:color w:val="000000"/>
                <w:sz w:val="18"/>
                <w:szCs w:val="18"/>
              </w:rPr>
              <w:t>5-1</w:t>
            </w:r>
          </w:p>
          <w:p>
            <w:pPr>
              <w:spacing w:line="280" w:lineRule="exact"/>
              <w:jc w:val="center"/>
              <w:rPr>
                <w:rFonts w:cs="Calibri"/>
                <w:b/>
                <w:color w:val="000000"/>
                <w:sz w:val="18"/>
                <w:szCs w:val="18"/>
              </w:rPr>
            </w:pPr>
            <w:r>
              <w:rPr>
                <w:rFonts w:cs="Calibri"/>
                <w:b/>
                <w:color w:val="000000"/>
                <w:sz w:val="18"/>
                <w:szCs w:val="18"/>
              </w:rPr>
              <w:t>5-2</w:t>
            </w:r>
          </w:p>
          <w:p>
            <w:pPr>
              <w:spacing w:line="280" w:lineRule="exact"/>
              <w:jc w:val="center"/>
              <w:rPr>
                <w:rFonts w:cs="Calibri"/>
                <w:b/>
                <w:color w:val="000000"/>
                <w:sz w:val="18"/>
                <w:szCs w:val="18"/>
              </w:rPr>
            </w:pPr>
            <w:r>
              <w:rPr>
                <w:rFonts w:cs="Calibri"/>
                <w:b/>
                <w:color w:val="000000"/>
                <w:sz w:val="18"/>
                <w:szCs w:val="18"/>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 w:type="pct"/>
            <w:noWrap w:val="0"/>
            <w:vAlign w:val="center"/>
          </w:tcPr>
          <w:p>
            <w:pPr>
              <w:spacing w:line="280" w:lineRule="exact"/>
              <w:jc w:val="center"/>
              <w:rPr>
                <w:rFonts w:hint="eastAsia"/>
                <w:color w:val="000000"/>
                <w:sz w:val="18"/>
                <w:szCs w:val="18"/>
              </w:rPr>
            </w:pPr>
            <w:r>
              <w:rPr>
                <w:rFonts w:hint="eastAsia"/>
                <w:color w:val="000000"/>
                <w:sz w:val="18"/>
                <w:szCs w:val="18"/>
              </w:rPr>
              <w:t>3</w:t>
            </w:r>
          </w:p>
        </w:tc>
        <w:tc>
          <w:tcPr>
            <w:tcW w:w="3110" w:type="pct"/>
            <w:noWrap w:val="0"/>
            <w:vAlign w:val="top"/>
          </w:tcPr>
          <w:p>
            <w:pPr>
              <w:spacing w:line="280" w:lineRule="exact"/>
              <w:rPr>
                <w:rFonts w:hint="eastAsia"/>
                <w:b/>
                <w:bCs/>
                <w:color w:val="000000"/>
                <w:sz w:val="18"/>
                <w:szCs w:val="18"/>
              </w:rPr>
            </w:pPr>
            <w:r>
              <w:rPr>
                <w:rFonts w:hint="eastAsia"/>
                <w:b/>
                <w:bCs/>
                <w:color w:val="000000"/>
                <w:sz w:val="18"/>
                <w:szCs w:val="18"/>
              </w:rPr>
              <w:t>3边缘AI视觉行为感知实践模块</w:t>
            </w:r>
          </w:p>
          <w:p>
            <w:pPr>
              <w:spacing w:line="280" w:lineRule="exact"/>
              <w:ind w:firstLine="180" w:firstLineChars="100"/>
              <w:rPr>
                <w:rFonts w:hint="eastAsia"/>
                <w:color w:val="000000"/>
                <w:sz w:val="18"/>
                <w:szCs w:val="18"/>
              </w:rPr>
            </w:pPr>
            <w:r>
              <w:rPr>
                <w:rFonts w:hint="eastAsia"/>
                <w:color w:val="000000"/>
                <w:sz w:val="18"/>
                <w:szCs w:val="18"/>
              </w:rPr>
              <w:t>3.</w:t>
            </w:r>
            <w:r>
              <w:rPr>
                <w:color w:val="000000"/>
                <w:sz w:val="18"/>
                <w:szCs w:val="18"/>
              </w:rPr>
              <w:t>1</w:t>
            </w:r>
            <w:r>
              <w:rPr>
                <w:rFonts w:hint="eastAsia"/>
                <w:color w:val="000000"/>
                <w:sz w:val="18"/>
                <w:szCs w:val="18"/>
              </w:rPr>
              <w:t>、视觉行为感知数据收集与标注；</w:t>
            </w:r>
          </w:p>
          <w:p>
            <w:pPr>
              <w:spacing w:line="280" w:lineRule="exact"/>
              <w:ind w:firstLine="180" w:firstLineChars="100"/>
              <w:rPr>
                <w:rFonts w:hint="eastAsia"/>
                <w:color w:val="000000"/>
                <w:sz w:val="18"/>
                <w:szCs w:val="18"/>
              </w:rPr>
            </w:pPr>
            <w:r>
              <w:rPr>
                <w:rFonts w:hint="eastAsia"/>
                <w:color w:val="000000"/>
                <w:sz w:val="18"/>
                <w:szCs w:val="18"/>
              </w:rPr>
              <w:t>3.</w:t>
            </w:r>
            <w:r>
              <w:rPr>
                <w:color w:val="000000"/>
                <w:sz w:val="18"/>
                <w:szCs w:val="18"/>
              </w:rPr>
              <w:t>2</w:t>
            </w:r>
            <w:r>
              <w:rPr>
                <w:rFonts w:hint="eastAsia"/>
                <w:color w:val="000000"/>
                <w:sz w:val="18"/>
                <w:szCs w:val="18"/>
              </w:rPr>
              <w:t>、边缘AI目标检测算法实现；</w:t>
            </w:r>
          </w:p>
          <w:p>
            <w:pPr>
              <w:spacing w:line="280" w:lineRule="exact"/>
              <w:ind w:firstLine="180" w:firstLineChars="100"/>
              <w:rPr>
                <w:color w:val="000000"/>
                <w:sz w:val="18"/>
                <w:szCs w:val="18"/>
              </w:rPr>
            </w:pPr>
            <w:r>
              <w:rPr>
                <w:rFonts w:hint="eastAsia"/>
                <w:color w:val="000000"/>
                <w:sz w:val="18"/>
                <w:szCs w:val="18"/>
              </w:rPr>
              <w:t>3.</w:t>
            </w:r>
            <w:r>
              <w:rPr>
                <w:color w:val="000000"/>
                <w:sz w:val="18"/>
                <w:szCs w:val="18"/>
              </w:rPr>
              <w:t>3</w:t>
            </w:r>
            <w:r>
              <w:rPr>
                <w:rFonts w:hint="eastAsia"/>
                <w:color w:val="000000"/>
                <w:sz w:val="18"/>
                <w:szCs w:val="18"/>
              </w:rPr>
              <w:t>、边缘AI行为识别算法实现；（难点）</w:t>
            </w:r>
          </w:p>
          <w:p>
            <w:pPr>
              <w:spacing w:line="280" w:lineRule="exact"/>
              <w:ind w:firstLine="180" w:firstLineChars="100"/>
              <w:rPr>
                <w:rFonts w:hint="eastAsia"/>
                <w:color w:val="000000"/>
                <w:sz w:val="18"/>
                <w:szCs w:val="18"/>
              </w:rPr>
            </w:pPr>
            <w:r>
              <w:rPr>
                <w:rFonts w:hint="eastAsia"/>
                <w:color w:val="000000"/>
                <w:sz w:val="18"/>
                <w:szCs w:val="18"/>
              </w:rPr>
              <w:t>3.</w:t>
            </w:r>
            <w:r>
              <w:rPr>
                <w:color w:val="000000"/>
                <w:sz w:val="18"/>
                <w:szCs w:val="18"/>
              </w:rPr>
              <w:t>4</w:t>
            </w:r>
            <w:r>
              <w:rPr>
                <w:rFonts w:hint="eastAsia"/>
                <w:color w:val="000000"/>
                <w:sz w:val="18"/>
                <w:szCs w:val="18"/>
              </w:rPr>
              <w:t>、边缘AI神经网络轻量化与硬件部署。（重点）</w:t>
            </w:r>
          </w:p>
        </w:tc>
        <w:tc>
          <w:tcPr>
            <w:tcW w:w="284" w:type="pct"/>
            <w:noWrap w:val="0"/>
            <w:vAlign w:val="center"/>
          </w:tcPr>
          <w:p>
            <w:pPr>
              <w:spacing w:line="280" w:lineRule="exact"/>
              <w:jc w:val="center"/>
              <w:rPr>
                <w:rFonts w:hint="eastAsia" w:cs="Calibri"/>
                <w:b/>
                <w:color w:val="000000"/>
                <w:sz w:val="18"/>
                <w:szCs w:val="18"/>
              </w:rPr>
            </w:pPr>
            <w:r>
              <w:rPr>
                <w:rFonts w:cs="Calibri"/>
                <w:b/>
                <w:color w:val="000000"/>
                <w:sz w:val="18"/>
                <w:szCs w:val="18"/>
              </w:rPr>
              <w:t>10</w:t>
            </w:r>
          </w:p>
        </w:tc>
        <w:tc>
          <w:tcPr>
            <w:tcW w:w="314" w:type="pct"/>
            <w:noWrap w:val="0"/>
            <w:vAlign w:val="center"/>
          </w:tcPr>
          <w:p>
            <w:pPr>
              <w:spacing w:line="280" w:lineRule="exact"/>
              <w:jc w:val="center"/>
              <w:rPr>
                <w:rFonts w:cs="Calibri"/>
                <w:b/>
                <w:color w:val="000000"/>
                <w:sz w:val="18"/>
                <w:szCs w:val="18"/>
              </w:rPr>
            </w:pPr>
            <w:r>
              <w:rPr>
                <w:rFonts w:cs="Calibri"/>
                <w:b/>
                <w:color w:val="000000"/>
                <w:sz w:val="18"/>
                <w:szCs w:val="18"/>
              </w:rPr>
              <w:t>40</w:t>
            </w:r>
          </w:p>
        </w:tc>
        <w:tc>
          <w:tcPr>
            <w:tcW w:w="303" w:type="pct"/>
            <w:noWrap w:val="0"/>
            <w:vAlign w:val="center"/>
          </w:tcPr>
          <w:p>
            <w:pPr>
              <w:spacing w:line="280" w:lineRule="exact"/>
              <w:jc w:val="center"/>
              <w:rPr>
                <w:rFonts w:hint="eastAsia" w:cs="Calibri"/>
                <w:b/>
                <w:color w:val="000000"/>
                <w:sz w:val="18"/>
                <w:szCs w:val="18"/>
              </w:rPr>
            </w:pPr>
            <w:r>
              <w:rPr>
                <w:rFonts w:cs="Calibri"/>
                <w:b/>
                <w:color w:val="000000"/>
                <w:sz w:val="18"/>
                <w:szCs w:val="18"/>
              </w:rPr>
              <w:t>50</w:t>
            </w:r>
          </w:p>
        </w:tc>
        <w:tc>
          <w:tcPr>
            <w:tcW w:w="332" w:type="pct"/>
            <w:noWrap w:val="0"/>
            <w:vAlign w:val="center"/>
          </w:tcPr>
          <w:p>
            <w:pPr>
              <w:spacing w:line="280" w:lineRule="exact"/>
              <w:jc w:val="center"/>
              <w:rPr>
                <w:rFonts w:hint="eastAsia" w:cs="Calibri"/>
                <w:b/>
                <w:color w:val="000000"/>
                <w:sz w:val="18"/>
                <w:szCs w:val="18"/>
              </w:rPr>
            </w:pPr>
            <w:r>
              <w:rPr>
                <w:rFonts w:cs="Calibri"/>
                <w:b/>
                <w:color w:val="000000"/>
                <w:sz w:val="18"/>
                <w:szCs w:val="18"/>
              </w:rPr>
              <w:t>1</w:t>
            </w:r>
            <w:r>
              <w:rPr>
                <w:rFonts w:hint="eastAsia" w:cs="Calibri"/>
                <w:b/>
                <w:color w:val="000000"/>
                <w:sz w:val="18"/>
                <w:szCs w:val="18"/>
              </w:rPr>
              <w:t>、</w:t>
            </w:r>
            <w:r>
              <w:rPr>
                <w:rFonts w:cs="Calibri"/>
                <w:b/>
                <w:color w:val="000000"/>
                <w:sz w:val="18"/>
                <w:szCs w:val="18"/>
              </w:rPr>
              <w:t>6</w:t>
            </w:r>
            <w:r>
              <w:rPr>
                <w:rFonts w:hint="eastAsia" w:cs="Calibri"/>
                <w:b/>
                <w:color w:val="000000"/>
                <w:sz w:val="18"/>
                <w:szCs w:val="18"/>
              </w:rPr>
              <w:t>、7、8、9、1</w:t>
            </w:r>
            <w:r>
              <w:rPr>
                <w:rFonts w:cs="Calibri"/>
                <w:b/>
                <w:color w:val="000000"/>
                <w:sz w:val="18"/>
                <w:szCs w:val="18"/>
              </w:rPr>
              <w:t>0</w:t>
            </w:r>
          </w:p>
        </w:tc>
        <w:tc>
          <w:tcPr>
            <w:tcW w:w="339" w:type="pct"/>
            <w:noWrap w:val="0"/>
            <w:vAlign w:val="center"/>
          </w:tcPr>
          <w:p>
            <w:pPr>
              <w:spacing w:line="280" w:lineRule="exact"/>
              <w:jc w:val="center"/>
              <w:rPr>
                <w:rFonts w:cs="Calibri"/>
                <w:b/>
                <w:color w:val="000000"/>
                <w:sz w:val="18"/>
                <w:szCs w:val="18"/>
              </w:rPr>
            </w:pPr>
            <w:r>
              <w:rPr>
                <w:rFonts w:cs="Calibri"/>
                <w:b/>
                <w:color w:val="000000"/>
                <w:sz w:val="18"/>
                <w:szCs w:val="18"/>
              </w:rPr>
              <w:t>3-1</w:t>
            </w:r>
          </w:p>
          <w:p>
            <w:pPr>
              <w:spacing w:line="280" w:lineRule="exact"/>
              <w:jc w:val="center"/>
              <w:rPr>
                <w:rFonts w:cs="Calibri"/>
                <w:b/>
                <w:color w:val="000000"/>
                <w:sz w:val="18"/>
                <w:szCs w:val="18"/>
              </w:rPr>
            </w:pPr>
            <w:r>
              <w:rPr>
                <w:rFonts w:cs="Calibri"/>
                <w:b/>
                <w:color w:val="000000"/>
                <w:sz w:val="18"/>
                <w:szCs w:val="18"/>
              </w:rPr>
              <w:t>7</w:t>
            </w:r>
            <w:r>
              <w:rPr>
                <w:rFonts w:hint="eastAsia" w:cs="Calibri"/>
                <w:b/>
                <w:color w:val="000000"/>
                <w:sz w:val="18"/>
                <w:szCs w:val="18"/>
              </w:rPr>
              <w:t>-</w:t>
            </w:r>
            <w:r>
              <w:rPr>
                <w:rFonts w:cs="Calibri"/>
                <w:b/>
                <w:color w:val="000000"/>
                <w:sz w:val="18"/>
                <w:szCs w:val="18"/>
              </w:rPr>
              <w:t>2</w:t>
            </w:r>
          </w:p>
          <w:p>
            <w:pPr>
              <w:spacing w:line="280" w:lineRule="exact"/>
              <w:jc w:val="center"/>
              <w:rPr>
                <w:rFonts w:cs="Calibri"/>
                <w:b/>
                <w:color w:val="000000"/>
                <w:sz w:val="18"/>
                <w:szCs w:val="18"/>
              </w:rPr>
            </w:pPr>
            <w:r>
              <w:rPr>
                <w:rFonts w:cs="Calibri"/>
                <w:b/>
                <w:color w:val="000000"/>
                <w:sz w:val="18"/>
                <w:szCs w:val="18"/>
              </w:rPr>
              <w:t>9</w:t>
            </w:r>
            <w:r>
              <w:rPr>
                <w:rFonts w:hint="eastAsia" w:cs="Calibri"/>
                <w:b/>
                <w:color w:val="000000"/>
                <w:sz w:val="18"/>
                <w:szCs w:val="18"/>
              </w:rPr>
              <w:t>-</w:t>
            </w:r>
            <w:r>
              <w:rPr>
                <w:rFonts w:cs="Calibri"/>
                <w:b/>
                <w:color w:val="000000"/>
                <w:sz w:val="18"/>
                <w:szCs w:val="18"/>
              </w:rPr>
              <w:t>1</w:t>
            </w:r>
          </w:p>
          <w:p>
            <w:pPr>
              <w:spacing w:line="280" w:lineRule="exact"/>
              <w:jc w:val="center"/>
              <w:rPr>
                <w:rFonts w:cs="Calibri"/>
                <w:b/>
                <w:color w:val="000000"/>
                <w:sz w:val="18"/>
                <w:szCs w:val="18"/>
              </w:rPr>
            </w:pPr>
            <w:r>
              <w:rPr>
                <w:rFonts w:cs="Calibri"/>
                <w:b/>
                <w:color w:val="000000"/>
                <w:sz w:val="18"/>
                <w:szCs w:val="18"/>
              </w:rPr>
              <w:t>9</w:t>
            </w:r>
            <w:r>
              <w:rPr>
                <w:rFonts w:hint="eastAsia" w:cs="Calibri"/>
                <w:b/>
                <w:color w:val="000000"/>
                <w:sz w:val="18"/>
                <w:szCs w:val="18"/>
              </w:rPr>
              <w:t>-</w:t>
            </w:r>
            <w:r>
              <w:rPr>
                <w:rFonts w:cs="Calibri"/>
                <w:b/>
                <w:color w:val="000000"/>
                <w:sz w:val="18"/>
                <w:szCs w:val="18"/>
              </w:rPr>
              <w:t>2</w:t>
            </w:r>
          </w:p>
          <w:p>
            <w:pPr>
              <w:spacing w:line="280" w:lineRule="exact"/>
              <w:jc w:val="center"/>
              <w:rPr>
                <w:rFonts w:cs="Calibri"/>
                <w:b/>
                <w:color w:val="000000"/>
                <w:sz w:val="18"/>
                <w:szCs w:val="18"/>
              </w:rPr>
            </w:pPr>
            <w:r>
              <w:rPr>
                <w:rFonts w:cs="Calibri"/>
                <w:b/>
                <w:color w:val="000000"/>
                <w:sz w:val="18"/>
                <w:szCs w:val="18"/>
              </w:rPr>
              <w:t>9</w:t>
            </w:r>
            <w:r>
              <w:rPr>
                <w:rFonts w:hint="eastAsia" w:cs="Calibri"/>
                <w:b/>
                <w:color w:val="000000"/>
                <w:sz w:val="18"/>
                <w:szCs w:val="18"/>
              </w:rPr>
              <w:t>-</w:t>
            </w:r>
            <w:r>
              <w:rPr>
                <w:rFonts w:cs="Calibri"/>
                <w:b/>
                <w:color w:val="000000"/>
                <w:sz w:val="18"/>
                <w:szCs w:val="18"/>
              </w:rPr>
              <w:t>3</w:t>
            </w:r>
          </w:p>
          <w:p>
            <w:pPr>
              <w:spacing w:line="280" w:lineRule="exact"/>
              <w:jc w:val="center"/>
              <w:rPr>
                <w:rFonts w:cs="Calibri"/>
                <w:b/>
                <w:color w:val="000000"/>
                <w:sz w:val="18"/>
                <w:szCs w:val="18"/>
              </w:rPr>
            </w:pPr>
            <w:r>
              <w:rPr>
                <w:rFonts w:cs="Calibri"/>
                <w:b/>
                <w:color w:val="000000"/>
                <w:sz w:val="18"/>
                <w:szCs w:val="18"/>
              </w:rPr>
              <w:t>11</w:t>
            </w:r>
            <w:r>
              <w:rPr>
                <w:rFonts w:hint="eastAsia" w:cs="Calibri"/>
                <w:b/>
                <w:color w:val="000000"/>
                <w:sz w:val="18"/>
                <w:szCs w:val="18"/>
              </w:rPr>
              <w:t>-</w:t>
            </w:r>
            <w:r>
              <w:rPr>
                <w:rFonts w:cs="Calibri"/>
                <w:b/>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 w:type="pct"/>
            <w:noWrap w:val="0"/>
            <w:vAlign w:val="center"/>
          </w:tcPr>
          <w:p>
            <w:pPr>
              <w:spacing w:line="280" w:lineRule="exact"/>
              <w:jc w:val="center"/>
              <w:rPr>
                <w:rFonts w:hint="eastAsia"/>
                <w:color w:val="000000"/>
                <w:sz w:val="18"/>
                <w:szCs w:val="18"/>
              </w:rPr>
            </w:pPr>
            <w:r>
              <w:rPr>
                <w:rFonts w:hint="eastAsia"/>
                <w:color w:val="000000"/>
                <w:sz w:val="18"/>
                <w:szCs w:val="18"/>
              </w:rPr>
              <w:t>4</w:t>
            </w:r>
          </w:p>
        </w:tc>
        <w:tc>
          <w:tcPr>
            <w:tcW w:w="3110" w:type="pct"/>
            <w:noWrap w:val="0"/>
            <w:vAlign w:val="top"/>
          </w:tcPr>
          <w:p>
            <w:pPr>
              <w:spacing w:line="280" w:lineRule="exact"/>
              <w:rPr>
                <w:rFonts w:hint="eastAsia"/>
                <w:b/>
                <w:bCs/>
                <w:color w:val="000000"/>
                <w:sz w:val="18"/>
                <w:szCs w:val="18"/>
              </w:rPr>
            </w:pPr>
            <w:r>
              <w:rPr>
                <w:rFonts w:hint="eastAsia"/>
                <w:b/>
                <w:bCs/>
                <w:color w:val="000000"/>
                <w:sz w:val="18"/>
                <w:szCs w:val="18"/>
              </w:rPr>
              <w:t>4大模型架构多模态感知实践模块</w:t>
            </w:r>
          </w:p>
          <w:p>
            <w:pPr>
              <w:spacing w:line="280" w:lineRule="exact"/>
              <w:ind w:firstLine="180" w:firstLineChars="100"/>
              <w:rPr>
                <w:color w:val="000000"/>
                <w:sz w:val="18"/>
                <w:szCs w:val="18"/>
              </w:rPr>
            </w:pPr>
            <w:r>
              <w:rPr>
                <w:rFonts w:hint="eastAsia"/>
                <w:color w:val="000000"/>
                <w:sz w:val="18"/>
                <w:szCs w:val="18"/>
              </w:rPr>
              <w:t>4.1、大模型架构多模态感知未来应用模式设计；</w:t>
            </w:r>
          </w:p>
          <w:p>
            <w:pPr>
              <w:spacing w:line="280" w:lineRule="exact"/>
              <w:ind w:firstLine="180" w:firstLineChars="100"/>
              <w:rPr>
                <w:color w:val="000000"/>
                <w:sz w:val="18"/>
                <w:szCs w:val="18"/>
              </w:rPr>
            </w:pPr>
            <w:r>
              <w:rPr>
                <w:rFonts w:hint="eastAsia"/>
                <w:color w:val="000000"/>
                <w:sz w:val="18"/>
                <w:szCs w:val="18"/>
              </w:rPr>
              <w:t>4.</w:t>
            </w:r>
            <w:r>
              <w:rPr>
                <w:color w:val="000000"/>
                <w:sz w:val="18"/>
                <w:szCs w:val="18"/>
              </w:rPr>
              <w:t>2</w:t>
            </w:r>
            <w:r>
              <w:rPr>
                <w:rFonts w:hint="eastAsia"/>
                <w:color w:val="000000"/>
                <w:sz w:val="18"/>
                <w:szCs w:val="18"/>
              </w:rPr>
              <w:t>、大模型架构多模态感知场景理解与业务需求抽象；（难点）</w:t>
            </w:r>
          </w:p>
          <w:p>
            <w:pPr>
              <w:spacing w:line="280" w:lineRule="exact"/>
              <w:ind w:firstLine="180" w:firstLineChars="100"/>
              <w:rPr>
                <w:rFonts w:hint="eastAsia"/>
                <w:color w:val="000000"/>
                <w:sz w:val="18"/>
                <w:szCs w:val="18"/>
              </w:rPr>
            </w:pPr>
            <w:r>
              <w:rPr>
                <w:rFonts w:hint="eastAsia"/>
                <w:color w:val="000000"/>
                <w:sz w:val="18"/>
                <w:szCs w:val="18"/>
              </w:rPr>
              <w:t>4</w:t>
            </w:r>
            <w:r>
              <w:rPr>
                <w:color w:val="000000"/>
                <w:sz w:val="18"/>
                <w:szCs w:val="18"/>
              </w:rPr>
              <w:t>.3</w:t>
            </w:r>
            <w:r>
              <w:rPr>
                <w:rFonts w:hint="eastAsia"/>
                <w:color w:val="000000"/>
                <w:sz w:val="18"/>
                <w:szCs w:val="18"/>
              </w:rPr>
              <w:t>、多模态大模型架构分析与理解；</w:t>
            </w:r>
          </w:p>
          <w:p>
            <w:pPr>
              <w:spacing w:line="280" w:lineRule="exact"/>
              <w:ind w:firstLine="180" w:firstLineChars="100"/>
              <w:rPr>
                <w:rFonts w:hint="eastAsia"/>
                <w:color w:val="000000"/>
                <w:sz w:val="18"/>
                <w:szCs w:val="18"/>
              </w:rPr>
            </w:pPr>
            <w:r>
              <w:rPr>
                <w:rFonts w:hint="eastAsia"/>
                <w:color w:val="000000"/>
                <w:sz w:val="18"/>
                <w:szCs w:val="18"/>
              </w:rPr>
              <w:t>4</w:t>
            </w:r>
            <w:r>
              <w:rPr>
                <w:color w:val="000000"/>
                <w:sz w:val="18"/>
                <w:szCs w:val="18"/>
              </w:rPr>
              <w:t>.3</w:t>
            </w:r>
            <w:r>
              <w:rPr>
                <w:rFonts w:hint="eastAsia"/>
                <w:color w:val="000000"/>
                <w:sz w:val="18"/>
                <w:szCs w:val="18"/>
              </w:rPr>
              <w:t>、大模型多模态算法接口设计与应用部署；（重点）</w:t>
            </w:r>
          </w:p>
        </w:tc>
        <w:tc>
          <w:tcPr>
            <w:tcW w:w="284" w:type="pct"/>
            <w:noWrap w:val="0"/>
            <w:vAlign w:val="center"/>
          </w:tcPr>
          <w:p>
            <w:pPr>
              <w:spacing w:line="280" w:lineRule="exact"/>
              <w:jc w:val="center"/>
              <w:rPr>
                <w:rFonts w:hint="eastAsia" w:cs="Calibri"/>
                <w:b/>
                <w:color w:val="000000"/>
                <w:sz w:val="18"/>
                <w:szCs w:val="18"/>
              </w:rPr>
            </w:pPr>
            <w:r>
              <w:rPr>
                <w:rFonts w:cs="Calibri"/>
                <w:b/>
                <w:color w:val="000000"/>
                <w:sz w:val="18"/>
                <w:szCs w:val="18"/>
              </w:rPr>
              <w:t>6</w:t>
            </w:r>
          </w:p>
        </w:tc>
        <w:tc>
          <w:tcPr>
            <w:tcW w:w="314" w:type="pct"/>
            <w:noWrap w:val="0"/>
            <w:vAlign w:val="center"/>
          </w:tcPr>
          <w:p>
            <w:pPr>
              <w:spacing w:line="280" w:lineRule="exact"/>
              <w:jc w:val="center"/>
              <w:rPr>
                <w:rFonts w:cs="Calibri"/>
                <w:b/>
                <w:color w:val="000000"/>
                <w:sz w:val="18"/>
                <w:szCs w:val="18"/>
              </w:rPr>
            </w:pPr>
            <w:r>
              <w:rPr>
                <w:rFonts w:cs="Calibri"/>
                <w:b/>
                <w:color w:val="000000"/>
                <w:sz w:val="18"/>
                <w:szCs w:val="18"/>
              </w:rPr>
              <w:t>44</w:t>
            </w:r>
          </w:p>
        </w:tc>
        <w:tc>
          <w:tcPr>
            <w:tcW w:w="303" w:type="pct"/>
            <w:noWrap w:val="0"/>
            <w:vAlign w:val="center"/>
          </w:tcPr>
          <w:p>
            <w:pPr>
              <w:spacing w:line="280" w:lineRule="exact"/>
              <w:jc w:val="center"/>
              <w:rPr>
                <w:rFonts w:hint="eastAsia" w:cs="Calibri"/>
                <w:b/>
                <w:color w:val="000000"/>
                <w:sz w:val="18"/>
                <w:szCs w:val="18"/>
              </w:rPr>
            </w:pPr>
            <w:r>
              <w:rPr>
                <w:rFonts w:cs="Calibri"/>
                <w:b/>
                <w:color w:val="000000"/>
                <w:sz w:val="18"/>
                <w:szCs w:val="18"/>
              </w:rPr>
              <w:t>50</w:t>
            </w:r>
          </w:p>
        </w:tc>
        <w:tc>
          <w:tcPr>
            <w:tcW w:w="332" w:type="pct"/>
            <w:noWrap w:val="0"/>
            <w:vAlign w:val="center"/>
          </w:tcPr>
          <w:p>
            <w:pPr>
              <w:spacing w:line="280" w:lineRule="exact"/>
              <w:jc w:val="center"/>
              <w:rPr>
                <w:rFonts w:hint="eastAsia" w:cs="Calibri"/>
                <w:b/>
                <w:color w:val="000000"/>
                <w:sz w:val="18"/>
                <w:szCs w:val="18"/>
              </w:rPr>
            </w:pPr>
            <w:r>
              <w:rPr>
                <w:rFonts w:cs="Calibri"/>
                <w:b/>
                <w:color w:val="000000"/>
                <w:sz w:val="18"/>
                <w:szCs w:val="18"/>
              </w:rPr>
              <w:t>1</w:t>
            </w:r>
            <w:r>
              <w:rPr>
                <w:rFonts w:hint="eastAsia" w:cs="Calibri"/>
                <w:b/>
                <w:color w:val="000000"/>
                <w:sz w:val="18"/>
                <w:szCs w:val="18"/>
              </w:rPr>
              <w:t>、2、</w:t>
            </w:r>
            <w:r>
              <w:rPr>
                <w:rFonts w:cs="Calibri"/>
                <w:b/>
                <w:color w:val="000000"/>
                <w:sz w:val="18"/>
                <w:szCs w:val="18"/>
              </w:rPr>
              <w:t>6</w:t>
            </w:r>
            <w:r>
              <w:rPr>
                <w:rFonts w:hint="eastAsia" w:cs="Calibri"/>
                <w:b/>
                <w:color w:val="000000"/>
                <w:sz w:val="18"/>
                <w:szCs w:val="18"/>
              </w:rPr>
              <w:t>、7、8、9、1</w:t>
            </w:r>
            <w:r>
              <w:rPr>
                <w:rFonts w:cs="Calibri"/>
                <w:b/>
                <w:color w:val="000000"/>
                <w:sz w:val="18"/>
                <w:szCs w:val="18"/>
              </w:rPr>
              <w:t>0</w:t>
            </w:r>
          </w:p>
        </w:tc>
        <w:tc>
          <w:tcPr>
            <w:tcW w:w="339" w:type="pct"/>
            <w:noWrap w:val="0"/>
            <w:vAlign w:val="center"/>
          </w:tcPr>
          <w:p>
            <w:pPr>
              <w:spacing w:line="280" w:lineRule="exact"/>
              <w:jc w:val="center"/>
              <w:rPr>
                <w:rFonts w:cs="Calibri"/>
                <w:b/>
                <w:color w:val="000000"/>
                <w:sz w:val="18"/>
                <w:szCs w:val="18"/>
              </w:rPr>
            </w:pPr>
            <w:r>
              <w:rPr>
                <w:rFonts w:cs="Calibri"/>
                <w:b/>
                <w:color w:val="000000"/>
                <w:sz w:val="18"/>
                <w:szCs w:val="18"/>
              </w:rPr>
              <w:t>3-1</w:t>
            </w:r>
          </w:p>
          <w:p>
            <w:pPr>
              <w:spacing w:line="280" w:lineRule="exact"/>
              <w:jc w:val="center"/>
              <w:rPr>
                <w:rFonts w:cs="Calibri"/>
                <w:b/>
                <w:color w:val="000000"/>
                <w:sz w:val="18"/>
                <w:szCs w:val="18"/>
              </w:rPr>
            </w:pPr>
            <w:r>
              <w:rPr>
                <w:rFonts w:cs="Calibri"/>
                <w:b/>
                <w:color w:val="000000"/>
                <w:sz w:val="18"/>
                <w:szCs w:val="18"/>
              </w:rPr>
              <w:t>3</w:t>
            </w:r>
            <w:r>
              <w:rPr>
                <w:rFonts w:hint="eastAsia" w:cs="Calibri"/>
                <w:b/>
                <w:color w:val="000000"/>
                <w:sz w:val="18"/>
                <w:szCs w:val="18"/>
              </w:rPr>
              <w:t>-</w:t>
            </w:r>
            <w:r>
              <w:rPr>
                <w:rFonts w:cs="Calibri"/>
                <w:b/>
                <w:color w:val="000000"/>
                <w:sz w:val="18"/>
                <w:szCs w:val="18"/>
              </w:rPr>
              <w:t>3</w:t>
            </w:r>
          </w:p>
          <w:p>
            <w:pPr>
              <w:spacing w:line="280" w:lineRule="exact"/>
              <w:jc w:val="center"/>
              <w:rPr>
                <w:rFonts w:cs="Calibri"/>
                <w:b/>
                <w:color w:val="000000"/>
                <w:sz w:val="18"/>
                <w:szCs w:val="18"/>
              </w:rPr>
            </w:pPr>
            <w:r>
              <w:rPr>
                <w:rFonts w:cs="Calibri"/>
                <w:b/>
                <w:color w:val="000000"/>
                <w:sz w:val="18"/>
                <w:szCs w:val="18"/>
              </w:rPr>
              <w:t>7</w:t>
            </w:r>
            <w:r>
              <w:rPr>
                <w:rFonts w:hint="eastAsia" w:cs="Calibri"/>
                <w:b/>
                <w:color w:val="000000"/>
                <w:sz w:val="18"/>
                <w:szCs w:val="18"/>
              </w:rPr>
              <w:t>-</w:t>
            </w:r>
            <w:r>
              <w:rPr>
                <w:rFonts w:cs="Calibri"/>
                <w:b/>
                <w:color w:val="000000"/>
                <w:sz w:val="18"/>
                <w:szCs w:val="18"/>
              </w:rPr>
              <w:t>2</w:t>
            </w:r>
          </w:p>
          <w:p>
            <w:pPr>
              <w:spacing w:line="280" w:lineRule="exact"/>
              <w:jc w:val="center"/>
              <w:rPr>
                <w:rFonts w:cs="Calibri"/>
                <w:b/>
                <w:color w:val="000000"/>
                <w:sz w:val="18"/>
                <w:szCs w:val="18"/>
              </w:rPr>
            </w:pPr>
            <w:r>
              <w:rPr>
                <w:rFonts w:cs="Calibri"/>
                <w:b/>
                <w:color w:val="000000"/>
                <w:sz w:val="18"/>
                <w:szCs w:val="18"/>
              </w:rPr>
              <w:t>9</w:t>
            </w:r>
            <w:r>
              <w:rPr>
                <w:rFonts w:hint="eastAsia" w:cs="Calibri"/>
                <w:b/>
                <w:color w:val="000000"/>
                <w:sz w:val="18"/>
                <w:szCs w:val="18"/>
              </w:rPr>
              <w:t>-</w:t>
            </w:r>
            <w:r>
              <w:rPr>
                <w:rFonts w:cs="Calibri"/>
                <w:b/>
                <w:color w:val="000000"/>
                <w:sz w:val="18"/>
                <w:szCs w:val="18"/>
              </w:rPr>
              <w:t>1</w:t>
            </w:r>
          </w:p>
          <w:p>
            <w:pPr>
              <w:spacing w:line="280" w:lineRule="exact"/>
              <w:jc w:val="center"/>
              <w:rPr>
                <w:rFonts w:cs="Calibri"/>
                <w:b/>
                <w:color w:val="000000"/>
                <w:sz w:val="18"/>
                <w:szCs w:val="18"/>
              </w:rPr>
            </w:pPr>
            <w:r>
              <w:rPr>
                <w:rFonts w:cs="Calibri"/>
                <w:b/>
                <w:color w:val="000000"/>
                <w:sz w:val="18"/>
                <w:szCs w:val="18"/>
              </w:rPr>
              <w:t>9</w:t>
            </w:r>
            <w:r>
              <w:rPr>
                <w:rFonts w:hint="eastAsia" w:cs="Calibri"/>
                <w:b/>
                <w:color w:val="000000"/>
                <w:sz w:val="18"/>
                <w:szCs w:val="18"/>
              </w:rPr>
              <w:t>-</w:t>
            </w:r>
            <w:r>
              <w:rPr>
                <w:rFonts w:cs="Calibri"/>
                <w:b/>
                <w:color w:val="000000"/>
                <w:sz w:val="18"/>
                <w:szCs w:val="18"/>
              </w:rPr>
              <w:t>2</w:t>
            </w:r>
          </w:p>
          <w:p>
            <w:pPr>
              <w:spacing w:line="280" w:lineRule="exact"/>
              <w:jc w:val="center"/>
              <w:rPr>
                <w:rFonts w:cs="Calibri"/>
                <w:b/>
                <w:color w:val="000000"/>
                <w:sz w:val="18"/>
                <w:szCs w:val="18"/>
              </w:rPr>
            </w:pPr>
            <w:r>
              <w:rPr>
                <w:rFonts w:cs="Calibri"/>
                <w:b/>
                <w:color w:val="000000"/>
                <w:sz w:val="18"/>
                <w:szCs w:val="18"/>
              </w:rPr>
              <w:t>9</w:t>
            </w:r>
            <w:r>
              <w:rPr>
                <w:rFonts w:hint="eastAsia" w:cs="Calibri"/>
                <w:b/>
                <w:color w:val="000000"/>
                <w:sz w:val="18"/>
                <w:szCs w:val="18"/>
              </w:rPr>
              <w:t>-</w:t>
            </w:r>
            <w:r>
              <w:rPr>
                <w:rFonts w:cs="Calibri"/>
                <w:b/>
                <w:color w:val="000000"/>
                <w:sz w:val="18"/>
                <w:szCs w:val="18"/>
              </w:rPr>
              <w:t>3</w:t>
            </w:r>
          </w:p>
          <w:p>
            <w:pPr>
              <w:spacing w:line="280" w:lineRule="exact"/>
              <w:jc w:val="center"/>
              <w:rPr>
                <w:rFonts w:cs="Calibri"/>
                <w:b/>
                <w:color w:val="000000"/>
                <w:sz w:val="18"/>
                <w:szCs w:val="18"/>
              </w:rPr>
            </w:pPr>
            <w:r>
              <w:rPr>
                <w:rFonts w:cs="Calibri"/>
                <w:b/>
                <w:color w:val="000000"/>
                <w:sz w:val="18"/>
                <w:szCs w:val="18"/>
              </w:rPr>
              <w:t>11</w:t>
            </w:r>
            <w:r>
              <w:rPr>
                <w:rFonts w:hint="eastAsia" w:cs="Calibri"/>
                <w:b/>
                <w:color w:val="000000"/>
                <w:sz w:val="18"/>
                <w:szCs w:val="18"/>
              </w:rPr>
              <w:t>-</w:t>
            </w:r>
            <w:r>
              <w:rPr>
                <w:rFonts w:cs="Calibri"/>
                <w:b/>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 w:type="pct"/>
            <w:noWrap w:val="0"/>
            <w:vAlign w:val="center"/>
          </w:tcPr>
          <w:p>
            <w:pPr>
              <w:spacing w:line="280" w:lineRule="exact"/>
              <w:rPr>
                <w:rFonts w:hint="eastAsia"/>
                <w:color w:val="000000"/>
                <w:sz w:val="18"/>
                <w:szCs w:val="18"/>
              </w:rPr>
            </w:pPr>
          </w:p>
          <w:p>
            <w:pPr>
              <w:spacing w:line="280" w:lineRule="exact"/>
              <w:jc w:val="center"/>
              <w:rPr>
                <w:rFonts w:hint="eastAsia"/>
                <w:color w:val="000000"/>
                <w:sz w:val="18"/>
                <w:szCs w:val="18"/>
              </w:rPr>
            </w:pPr>
            <w:r>
              <w:rPr>
                <w:rFonts w:hint="eastAsia"/>
                <w:color w:val="000000"/>
                <w:sz w:val="18"/>
                <w:szCs w:val="18"/>
              </w:rPr>
              <w:t>5</w:t>
            </w:r>
          </w:p>
        </w:tc>
        <w:tc>
          <w:tcPr>
            <w:tcW w:w="3110" w:type="pct"/>
            <w:noWrap w:val="0"/>
            <w:vAlign w:val="top"/>
          </w:tcPr>
          <w:p>
            <w:pPr>
              <w:spacing w:line="280" w:lineRule="exact"/>
              <w:rPr>
                <w:rFonts w:hint="eastAsia"/>
                <w:b/>
                <w:bCs/>
                <w:color w:val="000000"/>
                <w:sz w:val="18"/>
                <w:szCs w:val="18"/>
              </w:rPr>
            </w:pPr>
            <w:r>
              <w:rPr>
                <w:b/>
                <w:bCs/>
                <w:color w:val="000000"/>
                <w:sz w:val="18"/>
                <w:szCs w:val="18"/>
              </w:rPr>
              <w:t>5</w:t>
            </w:r>
            <w:r>
              <w:rPr>
                <w:rFonts w:hint="eastAsia"/>
                <w:b/>
                <w:bCs/>
                <w:color w:val="000000"/>
                <w:sz w:val="18"/>
                <w:szCs w:val="18"/>
              </w:rPr>
              <w:t>智能感知平台开发实践模块</w:t>
            </w:r>
          </w:p>
          <w:p>
            <w:pPr>
              <w:spacing w:line="280" w:lineRule="exact"/>
              <w:ind w:firstLine="180" w:firstLineChars="100"/>
              <w:rPr>
                <w:rFonts w:hint="eastAsia"/>
                <w:color w:val="000000"/>
                <w:sz w:val="18"/>
                <w:szCs w:val="18"/>
              </w:rPr>
            </w:pPr>
            <w:r>
              <w:rPr>
                <w:color w:val="000000"/>
                <w:sz w:val="18"/>
                <w:szCs w:val="18"/>
              </w:rPr>
              <w:t>5</w:t>
            </w:r>
            <w:r>
              <w:rPr>
                <w:rFonts w:hint="eastAsia"/>
                <w:color w:val="000000"/>
                <w:sz w:val="18"/>
                <w:szCs w:val="18"/>
              </w:rPr>
              <w:t>.1、智能感知平台前后端分离架构分析与理解；</w:t>
            </w:r>
          </w:p>
          <w:p>
            <w:pPr>
              <w:spacing w:line="280" w:lineRule="exact"/>
              <w:ind w:firstLine="180" w:firstLineChars="100"/>
              <w:rPr>
                <w:color w:val="000000"/>
                <w:sz w:val="18"/>
                <w:szCs w:val="18"/>
              </w:rPr>
            </w:pPr>
            <w:r>
              <w:rPr>
                <w:color w:val="000000"/>
                <w:sz w:val="18"/>
                <w:szCs w:val="18"/>
              </w:rPr>
              <w:t>5</w:t>
            </w:r>
            <w:r>
              <w:rPr>
                <w:rFonts w:hint="eastAsia"/>
                <w:color w:val="000000"/>
                <w:sz w:val="18"/>
                <w:szCs w:val="18"/>
              </w:rPr>
              <w:t>.2、智能感知平台前端应用场景渲染设计；（重点）</w:t>
            </w:r>
          </w:p>
          <w:p>
            <w:pPr>
              <w:spacing w:line="280" w:lineRule="exact"/>
              <w:ind w:firstLine="180" w:firstLineChars="100"/>
              <w:rPr>
                <w:color w:val="000000"/>
                <w:sz w:val="18"/>
                <w:szCs w:val="18"/>
              </w:rPr>
            </w:pPr>
            <w:r>
              <w:rPr>
                <w:rFonts w:hint="eastAsia"/>
                <w:color w:val="000000"/>
                <w:sz w:val="18"/>
                <w:szCs w:val="18"/>
              </w:rPr>
              <w:t>5</w:t>
            </w:r>
            <w:r>
              <w:rPr>
                <w:color w:val="000000"/>
                <w:sz w:val="18"/>
                <w:szCs w:val="18"/>
              </w:rPr>
              <w:t>.3</w:t>
            </w:r>
            <w:r>
              <w:rPr>
                <w:rFonts w:hint="eastAsia"/>
                <w:color w:val="000000"/>
                <w:sz w:val="18"/>
                <w:szCs w:val="18"/>
              </w:rPr>
              <w:t>、智能感知平台前端人机界面设计；</w:t>
            </w:r>
          </w:p>
          <w:p>
            <w:pPr>
              <w:spacing w:line="280" w:lineRule="exact"/>
              <w:ind w:firstLine="180" w:firstLineChars="100"/>
              <w:rPr>
                <w:rFonts w:hint="eastAsia"/>
                <w:color w:val="000000"/>
                <w:sz w:val="18"/>
                <w:szCs w:val="18"/>
              </w:rPr>
            </w:pPr>
            <w:r>
              <w:rPr>
                <w:rFonts w:hint="eastAsia"/>
                <w:color w:val="000000"/>
                <w:sz w:val="18"/>
                <w:szCs w:val="18"/>
              </w:rPr>
              <w:t>5</w:t>
            </w:r>
            <w:r>
              <w:rPr>
                <w:color w:val="000000"/>
                <w:sz w:val="18"/>
                <w:szCs w:val="18"/>
              </w:rPr>
              <w:t xml:space="preserve">.4  </w:t>
            </w:r>
            <w:r>
              <w:rPr>
                <w:rFonts w:hint="eastAsia"/>
                <w:color w:val="000000"/>
                <w:sz w:val="18"/>
                <w:szCs w:val="18"/>
              </w:rPr>
              <w:t>智能感知平台前后端信息交互设计。</w:t>
            </w:r>
          </w:p>
        </w:tc>
        <w:tc>
          <w:tcPr>
            <w:tcW w:w="284" w:type="pct"/>
            <w:noWrap w:val="0"/>
            <w:vAlign w:val="center"/>
          </w:tcPr>
          <w:p>
            <w:pPr>
              <w:spacing w:line="280" w:lineRule="exact"/>
              <w:jc w:val="center"/>
              <w:rPr>
                <w:rFonts w:cs="Calibri"/>
                <w:b/>
                <w:color w:val="000000"/>
                <w:sz w:val="18"/>
                <w:szCs w:val="18"/>
              </w:rPr>
            </w:pPr>
            <w:r>
              <w:rPr>
                <w:rFonts w:cs="Calibri"/>
                <w:b/>
                <w:color w:val="000000"/>
                <w:sz w:val="18"/>
                <w:szCs w:val="18"/>
              </w:rPr>
              <w:t>4</w:t>
            </w:r>
          </w:p>
        </w:tc>
        <w:tc>
          <w:tcPr>
            <w:tcW w:w="314" w:type="pct"/>
            <w:noWrap w:val="0"/>
            <w:vAlign w:val="center"/>
          </w:tcPr>
          <w:p>
            <w:pPr>
              <w:spacing w:line="280" w:lineRule="exact"/>
              <w:jc w:val="center"/>
              <w:rPr>
                <w:rFonts w:cs="Calibri"/>
                <w:b/>
                <w:color w:val="000000"/>
                <w:sz w:val="18"/>
                <w:szCs w:val="18"/>
              </w:rPr>
            </w:pPr>
            <w:r>
              <w:rPr>
                <w:rFonts w:cs="Calibri"/>
                <w:b/>
                <w:color w:val="000000"/>
                <w:sz w:val="18"/>
                <w:szCs w:val="18"/>
              </w:rPr>
              <w:t>36</w:t>
            </w:r>
          </w:p>
        </w:tc>
        <w:tc>
          <w:tcPr>
            <w:tcW w:w="303" w:type="pct"/>
            <w:noWrap w:val="0"/>
            <w:vAlign w:val="center"/>
          </w:tcPr>
          <w:p>
            <w:pPr>
              <w:spacing w:line="280" w:lineRule="exact"/>
              <w:jc w:val="center"/>
              <w:rPr>
                <w:rFonts w:cs="Calibri"/>
                <w:b/>
                <w:color w:val="000000"/>
                <w:sz w:val="18"/>
                <w:szCs w:val="18"/>
              </w:rPr>
            </w:pPr>
            <w:r>
              <w:rPr>
                <w:rFonts w:hint="eastAsia" w:cs="Calibri"/>
                <w:b/>
                <w:color w:val="000000"/>
                <w:sz w:val="18"/>
                <w:szCs w:val="18"/>
              </w:rPr>
              <w:t>4</w:t>
            </w:r>
            <w:r>
              <w:rPr>
                <w:rFonts w:cs="Calibri"/>
                <w:b/>
                <w:color w:val="000000"/>
                <w:sz w:val="18"/>
                <w:szCs w:val="18"/>
              </w:rPr>
              <w:t>0</w:t>
            </w:r>
          </w:p>
        </w:tc>
        <w:tc>
          <w:tcPr>
            <w:tcW w:w="332" w:type="pct"/>
            <w:noWrap w:val="0"/>
            <w:vAlign w:val="center"/>
          </w:tcPr>
          <w:p>
            <w:pPr>
              <w:spacing w:line="280" w:lineRule="exact"/>
              <w:jc w:val="center"/>
              <w:rPr>
                <w:rFonts w:hint="eastAsia" w:cs="Calibri"/>
                <w:b/>
                <w:color w:val="000000"/>
                <w:sz w:val="18"/>
                <w:szCs w:val="18"/>
              </w:rPr>
            </w:pPr>
            <w:r>
              <w:rPr>
                <w:rFonts w:cs="Calibri"/>
                <w:b/>
                <w:color w:val="000000"/>
                <w:sz w:val="18"/>
                <w:szCs w:val="18"/>
              </w:rPr>
              <w:t>1</w:t>
            </w:r>
            <w:r>
              <w:rPr>
                <w:rFonts w:hint="eastAsia" w:cs="Calibri"/>
                <w:b/>
                <w:color w:val="000000"/>
                <w:sz w:val="18"/>
                <w:szCs w:val="18"/>
              </w:rPr>
              <w:t>、2、7、8、9、1</w:t>
            </w:r>
            <w:r>
              <w:rPr>
                <w:rFonts w:cs="Calibri"/>
                <w:b/>
                <w:color w:val="000000"/>
                <w:sz w:val="18"/>
                <w:szCs w:val="18"/>
              </w:rPr>
              <w:t>0</w:t>
            </w:r>
          </w:p>
        </w:tc>
        <w:tc>
          <w:tcPr>
            <w:tcW w:w="339" w:type="pct"/>
            <w:noWrap w:val="0"/>
            <w:vAlign w:val="center"/>
          </w:tcPr>
          <w:p>
            <w:pPr>
              <w:spacing w:line="280" w:lineRule="exact"/>
              <w:jc w:val="center"/>
              <w:rPr>
                <w:rFonts w:cs="Calibri"/>
                <w:b/>
                <w:color w:val="000000"/>
                <w:sz w:val="18"/>
                <w:szCs w:val="18"/>
              </w:rPr>
            </w:pPr>
            <w:r>
              <w:rPr>
                <w:rFonts w:cs="Calibri"/>
                <w:b/>
                <w:color w:val="000000"/>
                <w:sz w:val="18"/>
                <w:szCs w:val="18"/>
              </w:rPr>
              <w:t>3-1</w:t>
            </w:r>
          </w:p>
          <w:p>
            <w:pPr>
              <w:spacing w:line="280" w:lineRule="exact"/>
              <w:jc w:val="center"/>
              <w:rPr>
                <w:rFonts w:hint="eastAsia" w:cs="Calibri"/>
                <w:b/>
                <w:color w:val="000000"/>
                <w:sz w:val="18"/>
                <w:szCs w:val="18"/>
              </w:rPr>
            </w:pPr>
            <w:r>
              <w:rPr>
                <w:rFonts w:cs="Calibri"/>
                <w:b/>
                <w:color w:val="000000"/>
                <w:sz w:val="18"/>
                <w:szCs w:val="18"/>
              </w:rPr>
              <w:t>3</w:t>
            </w:r>
            <w:r>
              <w:rPr>
                <w:rFonts w:hint="eastAsia" w:cs="Calibri"/>
                <w:b/>
                <w:color w:val="000000"/>
                <w:sz w:val="18"/>
                <w:szCs w:val="18"/>
              </w:rPr>
              <w:t>-</w:t>
            </w:r>
            <w:r>
              <w:rPr>
                <w:rFonts w:cs="Calibri"/>
                <w:b/>
                <w:color w:val="000000"/>
                <w:sz w:val="18"/>
                <w:szCs w:val="18"/>
              </w:rPr>
              <w:t>3</w:t>
            </w:r>
          </w:p>
          <w:p>
            <w:pPr>
              <w:spacing w:line="280" w:lineRule="exact"/>
              <w:jc w:val="center"/>
              <w:rPr>
                <w:rFonts w:cs="Calibri"/>
                <w:b/>
                <w:color w:val="000000"/>
                <w:sz w:val="18"/>
                <w:szCs w:val="18"/>
              </w:rPr>
            </w:pPr>
            <w:r>
              <w:rPr>
                <w:rFonts w:cs="Calibri"/>
                <w:b/>
                <w:color w:val="000000"/>
                <w:sz w:val="18"/>
                <w:szCs w:val="18"/>
              </w:rPr>
              <w:t>9</w:t>
            </w:r>
            <w:r>
              <w:rPr>
                <w:rFonts w:hint="eastAsia" w:cs="Calibri"/>
                <w:b/>
                <w:color w:val="000000"/>
                <w:sz w:val="18"/>
                <w:szCs w:val="18"/>
              </w:rPr>
              <w:t>-</w:t>
            </w:r>
            <w:r>
              <w:rPr>
                <w:rFonts w:cs="Calibri"/>
                <w:b/>
                <w:color w:val="000000"/>
                <w:sz w:val="18"/>
                <w:szCs w:val="18"/>
              </w:rPr>
              <w:t>1</w:t>
            </w:r>
          </w:p>
          <w:p>
            <w:pPr>
              <w:spacing w:line="280" w:lineRule="exact"/>
              <w:jc w:val="center"/>
              <w:rPr>
                <w:rFonts w:cs="Calibri"/>
                <w:b/>
                <w:color w:val="000000"/>
                <w:sz w:val="18"/>
                <w:szCs w:val="18"/>
              </w:rPr>
            </w:pPr>
            <w:r>
              <w:rPr>
                <w:rFonts w:cs="Calibri"/>
                <w:b/>
                <w:color w:val="000000"/>
                <w:sz w:val="18"/>
                <w:szCs w:val="18"/>
              </w:rPr>
              <w:t>9</w:t>
            </w:r>
            <w:r>
              <w:rPr>
                <w:rFonts w:hint="eastAsia" w:cs="Calibri"/>
                <w:b/>
                <w:color w:val="000000"/>
                <w:sz w:val="18"/>
                <w:szCs w:val="18"/>
              </w:rPr>
              <w:t>-</w:t>
            </w:r>
            <w:r>
              <w:rPr>
                <w:rFonts w:cs="Calibri"/>
                <w:b/>
                <w:color w:val="000000"/>
                <w:sz w:val="18"/>
                <w:szCs w:val="18"/>
              </w:rPr>
              <w:t>2</w:t>
            </w:r>
          </w:p>
          <w:p>
            <w:pPr>
              <w:spacing w:line="280" w:lineRule="exact"/>
              <w:jc w:val="center"/>
              <w:rPr>
                <w:rFonts w:cs="Calibri"/>
                <w:b/>
                <w:color w:val="000000"/>
                <w:sz w:val="18"/>
                <w:szCs w:val="18"/>
              </w:rPr>
            </w:pPr>
            <w:r>
              <w:rPr>
                <w:rFonts w:cs="Calibri"/>
                <w:b/>
                <w:color w:val="000000"/>
                <w:sz w:val="18"/>
                <w:szCs w:val="18"/>
              </w:rPr>
              <w:t>9</w:t>
            </w:r>
            <w:r>
              <w:rPr>
                <w:rFonts w:hint="eastAsia" w:cs="Calibri"/>
                <w:b/>
                <w:color w:val="000000"/>
                <w:sz w:val="18"/>
                <w:szCs w:val="18"/>
              </w:rPr>
              <w:t>-</w:t>
            </w:r>
            <w:r>
              <w:rPr>
                <w:rFonts w:cs="Calibri"/>
                <w:b/>
                <w:color w:val="000000"/>
                <w:sz w:val="18"/>
                <w:szCs w:val="18"/>
              </w:rPr>
              <w:t>3</w:t>
            </w:r>
          </w:p>
          <w:p>
            <w:pPr>
              <w:spacing w:line="280" w:lineRule="exact"/>
              <w:jc w:val="center"/>
              <w:rPr>
                <w:rFonts w:cs="Calibri"/>
                <w:b/>
                <w:color w:val="000000"/>
                <w:sz w:val="18"/>
                <w:szCs w:val="18"/>
              </w:rPr>
            </w:pPr>
            <w:r>
              <w:rPr>
                <w:rFonts w:cs="Calibri"/>
                <w:b/>
                <w:color w:val="000000"/>
                <w:sz w:val="18"/>
                <w:szCs w:val="18"/>
              </w:rPr>
              <w:t>11</w:t>
            </w:r>
            <w:r>
              <w:rPr>
                <w:rFonts w:hint="eastAsia" w:cs="Calibri"/>
                <w:b/>
                <w:color w:val="000000"/>
                <w:sz w:val="18"/>
                <w:szCs w:val="18"/>
              </w:rPr>
              <w:t>-</w:t>
            </w:r>
            <w:r>
              <w:rPr>
                <w:rFonts w:cs="Calibri"/>
                <w:b/>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318" w:type="pct"/>
            <w:noWrap w:val="0"/>
            <w:vAlign w:val="center"/>
          </w:tcPr>
          <w:p>
            <w:pPr>
              <w:spacing w:line="280" w:lineRule="exact"/>
              <w:jc w:val="center"/>
              <w:rPr>
                <w:b/>
                <w:color w:val="000000"/>
                <w:sz w:val="18"/>
                <w:szCs w:val="18"/>
              </w:rPr>
            </w:pPr>
            <w:r>
              <w:rPr>
                <w:b/>
                <w:color w:val="000000"/>
                <w:sz w:val="18"/>
                <w:szCs w:val="18"/>
              </w:rPr>
              <w:t>合 计</w:t>
            </w:r>
          </w:p>
        </w:tc>
        <w:tc>
          <w:tcPr>
            <w:tcW w:w="3110" w:type="pct"/>
            <w:noWrap w:val="0"/>
            <w:vAlign w:val="center"/>
          </w:tcPr>
          <w:p>
            <w:pPr>
              <w:spacing w:line="280" w:lineRule="exact"/>
              <w:jc w:val="center"/>
              <w:rPr>
                <w:rFonts w:cs="Calibri"/>
                <w:b/>
                <w:color w:val="000000"/>
                <w:sz w:val="18"/>
                <w:szCs w:val="18"/>
              </w:rPr>
            </w:pPr>
            <w:r>
              <w:rPr>
                <w:rFonts w:hint="eastAsia" w:cs="Calibri"/>
                <w:b/>
                <w:color w:val="000000"/>
                <w:sz w:val="18"/>
                <w:szCs w:val="18"/>
              </w:rPr>
              <w:t>/</w:t>
            </w:r>
          </w:p>
        </w:tc>
        <w:tc>
          <w:tcPr>
            <w:tcW w:w="284" w:type="pct"/>
            <w:noWrap w:val="0"/>
            <w:vAlign w:val="center"/>
          </w:tcPr>
          <w:p>
            <w:pPr>
              <w:spacing w:line="280" w:lineRule="exact"/>
              <w:jc w:val="center"/>
              <w:rPr>
                <w:rFonts w:cs="Calibri"/>
                <w:b/>
                <w:color w:val="000000"/>
                <w:sz w:val="18"/>
                <w:szCs w:val="18"/>
              </w:rPr>
            </w:pPr>
            <w:r>
              <w:rPr>
                <w:rFonts w:cs="Calibri"/>
                <w:b/>
                <w:color w:val="000000"/>
                <w:sz w:val="18"/>
                <w:szCs w:val="18"/>
              </w:rPr>
              <w:t>30</w:t>
            </w:r>
          </w:p>
        </w:tc>
        <w:tc>
          <w:tcPr>
            <w:tcW w:w="314" w:type="pct"/>
            <w:noWrap w:val="0"/>
            <w:vAlign w:val="center"/>
          </w:tcPr>
          <w:p>
            <w:pPr>
              <w:spacing w:line="280" w:lineRule="exact"/>
              <w:jc w:val="center"/>
              <w:rPr>
                <w:rFonts w:cs="Calibri"/>
                <w:b/>
                <w:color w:val="000000"/>
                <w:sz w:val="18"/>
                <w:szCs w:val="18"/>
              </w:rPr>
            </w:pPr>
            <w:r>
              <w:rPr>
                <w:rFonts w:cs="Calibri"/>
                <w:b/>
                <w:color w:val="000000"/>
                <w:sz w:val="18"/>
                <w:szCs w:val="18"/>
              </w:rPr>
              <w:t>138</w:t>
            </w:r>
          </w:p>
        </w:tc>
        <w:tc>
          <w:tcPr>
            <w:tcW w:w="303" w:type="pct"/>
            <w:noWrap w:val="0"/>
            <w:vAlign w:val="center"/>
          </w:tcPr>
          <w:p>
            <w:pPr>
              <w:spacing w:line="280" w:lineRule="exact"/>
              <w:jc w:val="center"/>
              <w:rPr>
                <w:rFonts w:cs="Calibri"/>
                <w:b/>
                <w:color w:val="000000"/>
                <w:sz w:val="18"/>
                <w:szCs w:val="18"/>
              </w:rPr>
            </w:pPr>
            <w:r>
              <w:rPr>
                <w:rFonts w:cs="Calibri"/>
                <w:b/>
                <w:color w:val="000000"/>
                <w:sz w:val="18"/>
                <w:szCs w:val="18"/>
              </w:rPr>
              <w:t>168</w:t>
            </w:r>
          </w:p>
        </w:tc>
        <w:tc>
          <w:tcPr>
            <w:tcW w:w="332" w:type="pct"/>
            <w:noWrap w:val="0"/>
            <w:vAlign w:val="center"/>
          </w:tcPr>
          <w:p>
            <w:pPr>
              <w:spacing w:line="280" w:lineRule="exact"/>
              <w:jc w:val="center"/>
              <w:rPr>
                <w:rFonts w:cs="Calibri"/>
                <w:b/>
                <w:color w:val="000000"/>
                <w:sz w:val="18"/>
                <w:szCs w:val="18"/>
              </w:rPr>
            </w:pPr>
            <w:r>
              <w:rPr>
                <w:rFonts w:hint="eastAsia" w:cs="Calibri"/>
                <w:b/>
                <w:color w:val="000000"/>
                <w:sz w:val="18"/>
                <w:szCs w:val="18"/>
              </w:rPr>
              <w:t>/</w:t>
            </w:r>
          </w:p>
        </w:tc>
        <w:tc>
          <w:tcPr>
            <w:tcW w:w="339" w:type="pct"/>
            <w:noWrap w:val="0"/>
            <w:vAlign w:val="center"/>
          </w:tcPr>
          <w:p>
            <w:pPr>
              <w:spacing w:line="280" w:lineRule="exact"/>
              <w:jc w:val="center"/>
              <w:rPr>
                <w:rFonts w:cs="Calibri"/>
                <w:b/>
                <w:color w:val="000000"/>
                <w:sz w:val="18"/>
                <w:szCs w:val="18"/>
              </w:rPr>
            </w:pPr>
            <w:r>
              <w:rPr>
                <w:rFonts w:hint="eastAsia" w:cs="Calibri"/>
                <w:b/>
                <w:color w:val="000000"/>
                <w:sz w:val="18"/>
                <w:szCs w:val="18"/>
              </w:rPr>
              <w:t>/</w:t>
            </w:r>
          </w:p>
        </w:tc>
      </w:tr>
    </w:tbl>
    <w:p>
      <w:pPr>
        <w:jc w:val="center"/>
        <w:rPr>
          <w:b/>
          <w:bCs/>
          <w:color w:val="000000"/>
          <w:sz w:val="18"/>
          <w:szCs w:val="18"/>
        </w:rPr>
      </w:pPr>
    </w:p>
    <w:p>
      <w:pPr>
        <w:jc w:val="center"/>
        <w:rPr>
          <w:b/>
          <w:bCs/>
          <w:color w:val="000000"/>
          <w:sz w:val="18"/>
          <w:szCs w:val="18"/>
        </w:rPr>
      </w:pPr>
      <w:r>
        <w:rPr>
          <w:rFonts w:hint="eastAsia"/>
          <w:b/>
          <w:bCs/>
          <w:color w:val="000000"/>
          <w:sz w:val="18"/>
          <w:szCs w:val="18"/>
        </w:rPr>
        <w:t>表</w:t>
      </w:r>
      <w:r>
        <w:rPr>
          <w:b/>
          <w:bCs/>
          <w:color w:val="000000"/>
          <w:sz w:val="18"/>
          <w:szCs w:val="18"/>
        </w:rPr>
        <w:t>3</w:t>
      </w:r>
      <w:r>
        <w:rPr>
          <w:rFonts w:hint="eastAsia"/>
          <w:b/>
          <w:bCs/>
          <w:color w:val="000000"/>
          <w:sz w:val="18"/>
          <w:szCs w:val="18"/>
        </w:rPr>
        <w:t>.2</w:t>
      </w:r>
      <w:r>
        <w:rPr>
          <w:b/>
          <w:bCs/>
          <w:color w:val="000000"/>
          <w:sz w:val="18"/>
          <w:szCs w:val="18"/>
        </w:rPr>
        <w:t xml:space="preserve"> </w:t>
      </w:r>
      <w:r>
        <w:rPr>
          <w:rFonts w:hint="eastAsia"/>
          <w:b/>
          <w:bCs/>
          <w:color w:val="000000"/>
          <w:sz w:val="18"/>
          <w:szCs w:val="18"/>
        </w:rPr>
        <w:t>各知识点对课程目标达成评价的权重占比分配</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6"/>
        <w:gridCol w:w="1666"/>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6" w:type="pct"/>
            <w:tcBorders>
              <w:bottom w:val="single" w:color="auto" w:sz="4" w:space="0"/>
              <w:right w:val="single" w:color="auto" w:sz="4" w:space="0"/>
            </w:tcBorders>
            <w:noWrap w:val="0"/>
            <w:vAlign w:val="center"/>
          </w:tcPr>
          <w:p>
            <w:pPr>
              <w:jc w:val="center"/>
              <w:rPr>
                <w:sz w:val="18"/>
                <w:szCs w:val="18"/>
                <w:highlight w:val="yellow"/>
              </w:rPr>
            </w:pPr>
            <w:r>
              <w:rPr>
                <w:rFonts w:hint="eastAsia" w:cs="宋体"/>
                <w:sz w:val="18"/>
                <w:szCs w:val="18"/>
                <w:lang w:bidi="ar"/>
              </w:rPr>
              <w:t>知识点</w:t>
            </w:r>
          </w:p>
        </w:tc>
        <w:tc>
          <w:tcPr>
            <w:tcW w:w="897" w:type="pct"/>
            <w:tcBorders>
              <w:left w:val="single" w:color="auto" w:sz="4" w:space="0"/>
              <w:bottom w:val="single" w:color="auto" w:sz="4" w:space="0"/>
              <w:right w:val="single" w:color="auto" w:sz="4" w:space="0"/>
            </w:tcBorders>
            <w:noWrap w:val="0"/>
            <w:vAlign w:val="center"/>
          </w:tcPr>
          <w:p>
            <w:pPr>
              <w:jc w:val="center"/>
              <w:rPr>
                <w:sz w:val="18"/>
                <w:szCs w:val="18"/>
              </w:rPr>
            </w:pPr>
            <w:r>
              <w:rPr>
                <w:rFonts w:hint="eastAsia" w:cs="宋体"/>
                <w:sz w:val="18"/>
                <w:szCs w:val="18"/>
                <w:lang w:bidi="ar"/>
              </w:rPr>
              <w:t>权重</w:t>
            </w:r>
          </w:p>
        </w:tc>
        <w:tc>
          <w:tcPr>
            <w:tcW w:w="1047" w:type="pct"/>
            <w:tcBorders>
              <w:left w:val="single" w:color="auto" w:sz="4" w:space="0"/>
              <w:bottom w:val="single" w:color="auto" w:sz="4" w:space="0"/>
            </w:tcBorders>
            <w:noWrap w:val="0"/>
            <w:vAlign w:val="center"/>
          </w:tcPr>
          <w:p>
            <w:pPr>
              <w:jc w:val="center"/>
              <w:rPr>
                <w:sz w:val="18"/>
                <w:szCs w:val="18"/>
              </w:rPr>
            </w:pPr>
            <w:r>
              <w:rPr>
                <w:rFonts w:hint="eastAsia" w:cs="宋体"/>
                <w:sz w:val="18"/>
                <w:szCs w:val="18"/>
                <w:lang w:bidi="ar"/>
              </w:rPr>
              <w:t>支撑课程目标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6" w:type="pct"/>
            <w:noWrap w:val="0"/>
            <w:vAlign w:val="center"/>
          </w:tcPr>
          <w:p>
            <w:pPr>
              <w:widowControl/>
              <w:ind w:left="174" w:leftChars="83"/>
              <w:rPr>
                <w:rFonts w:cs="宋体"/>
                <w:kern w:val="0"/>
                <w:sz w:val="18"/>
                <w:szCs w:val="18"/>
                <w:lang w:bidi="ar"/>
              </w:rPr>
            </w:pPr>
            <w:r>
              <w:rPr>
                <w:rFonts w:hint="eastAsia" w:cs="宋体"/>
                <w:kern w:val="0"/>
                <w:sz w:val="18"/>
                <w:szCs w:val="18"/>
                <w:lang w:bidi="ar"/>
              </w:rPr>
              <w:t>1、智能感知基础实践模块；</w:t>
            </w:r>
          </w:p>
        </w:tc>
        <w:tc>
          <w:tcPr>
            <w:tcW w:w="897" w:type="pct"/>
            <w:tcBorders>
              <w:top w:val="single" w:color="auto" w:sz="4" w:space="0"/>
              <w:left w:val="single" w:color="auto" w:sz="4" w:space="0"/>
              <w:bottom w:val="single" w:color="auto" w:sz="4" w:space="0"/>
              <w:right w:val="single" w:color="auto" w:sz="4" w:space="0"/>
            </w:tcBorders>
            <w:noWrap w:val="0"/>
            <w:vAlign w:val="top"/>
          </w:tcPr>
          <w:p>
            <w:pPr>
              <w:widowControl/>
              <w:ind w:left="174" w:leftChars="83"/>
              <w:jc w:val="center"/>
              <w:rPr>
                <w:rFonts w:cs="宋体"/>
                <w:kern w:val="0"/>
                <w:sz w:val="18"/>
                <w:szCs w:val="18"/>
                <w:lang w:bidi="ar"/>
              </w:rPr>
            </w:pPr>
            <w:r>
              <w:rPr>
                <w:rFonts w:hint="eastAsia" w:cs="宋体"/>
                <w:kern w:val="0"/>
                <w:sz w:val="18"/>
                <w:szCs w:val="18"/>
                <w:lang w:bidi="ar"/>
              </w:rPr>
              <w:t>0</w:t>
            </w:r>
            <w:r>
              <w:rPr>
                <w:rFonts w:cs="宋体"/>
                <w:kern w:val="0"/>
                <w:sz w:val="18"/>
                <w:szCs w:val="18"/>
                <w:lang w:bidi="ar"/>
              </w:rPr>
              <w:t>.059</w:t>
            </w:r>
          </w:p>
        </w:tc>
        <w:tc>
          <w:tcPr>
            <w:tcW w:w="1047" w:type="pct"/>
            <w:noWrap w:val="0"/>
            <w:vAlign w:val="center"/>
          </w:tcPr>
          <w:p>
            <w:pPr>
              <w:widowControl/>
              <w:ind w:left="174" w:leftChars="83"/>
              <w:jc w:val="center"/>
              <w:rPr>
                <w:rFonts w:cs="宋体"/>
                <w:kern w:val="0"/>
                <w:sz w:val="18"/>
                <w:szCs w:val="18"/>
                <w:lang w:bidi="ar"/>
              </w:rPr>
            </w:pPr>
            <w:r>
              <w:rPr>
                <w:rFonts w:hint="eastAsia" w:cs="宋体"/>
                <w:kern w:val="0"/>
                <w:sz w:val="18"/>
                <w:szCs w:val="18"/>
                <w:lang w:bidi="ar"/>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6" w:type="pct"/>
            <w:noWrap w:val="0"/>
            <w:vAlign w:val="center"/>
          </w:tcPr>
          <w:p>
            <w:pPr>
              <w:widowControl/>
              <w:ind w:left="174" w:leftChars="83"/>
              <w:rPr>
                <w:rFonts w:cs="宋体"/>
                <w:kern w:val="0"/>
                <w:sz w:val="18"/>
                <w:szCs w:val="18"/>
                <w:lang w:bidi="ar"/>
              </w:rPr>
            </w:pPr>
            <w:r>
              <w:rPr>
                <w:rFonts w:hint="eastAsia" w:cs="宋体"/>
                <w:kern w:val="0"/>
                <w:sz w:val="18"/>
                <w:szCs w:val="18"/>
                <w:lang w:bidi="ar"/>
              </w:rPr>
              <w:t>2、ROS机器人感知实践模块；</w:t>
            </w:r>
          </w:p>
        </w:tc>
        <w:tc>
          <w:tcPr>
            <w:tcW w:w="897" w:type="pct"/>
            <w:tcBorders>
              <w:top w:val="single" w:color="auto" w:sz="4" w:space="0"/>
              <w:left w:val="single" w:color="auto" w:sz="4" w:space="0"/>
              <w:bottom w:val="single" w:color="auto" w:sz="4" w:space="0"/>
              <w:right w:val="single" w:color="auto" w:sz="4" w:space="0"/>
            </w:tcBorders>
            <w:noWrap w:val="0"/>
            <w:vAlign w:val="top"/>
          </w:tcPr>
          <w:p>
            <w:pPr>
              <w:widowControl/>
              <w:ind w:left="174" w:leftChars="83"/>
              <w:jc w:val="center"/>
              <w:rPr>
                <w:rFonts w:cs="宋体"/>
                <w:kern w:val="0"/>
                <w:sz w:val="18"/>
                <w:szCs w:val="18"/>
                <w:lang w:bidi="ar"/>
              </w:rPr>
            </w:pPr>
            <w:r>
              <w:rPr>
                <w:rFonts w:hint="eastAsia" w:cs="宋体"/>
                <w:kern w:val="0"/>
                <w:sz w:val="18"/>
                <w:szCs w:val="18"/>
                <w:lang w:bidi="ar"/>
              </w:rPr>
              <w:t>0</w:t>
            </w:r>
            <w:r>
              <w:rPr>
                <w:rFonts w:cs="宋体"/>
                <w:kern w:val="0"/>
                <w:sz w:val="18"/>
                <w:szCs w:val="18"/>
                <w:lang w:bidi="ar"/>
              </w:rPr>
              <w:t>.107</w:t>
            </w:r>
          </w:p>
        </w:tc>
        <w:tc>
          <w:tcPr>
            <w:tcW w:w="1047" w:type="pct"/>
            <w:noWrap w:val="0"/>
            <w:vAlign w:val="center"/>
          </w:tcPr>
          <w:p>
            <w:pPr>
              <w:widowControl/>
              <w:ind w:left="174" w:leftChars="83"/>
              <w:jc w:val="center"/>
              <w:rPr>
                <w:rFonts w:cs="宋体"/>
                <w:kern w:val="0"/>
                <w:sz w:val="18"/>
                <w:szCs w:val="18"/>
                <w:lang w:bidi="ar"/>
              </w:rPr>
            </w:pPr>
            <w:r>
              <w:rPr>
                <w:rFonts w:hint="eastAsia" w:cs="宋体"/>
                <w:kern w:val="0"/>
                <w:sz w:val="18"/>
                <w:szCs w:val="18"/>
                <w:lang w:bidi="ar"/>
              </w:rPr>
              <w:t>1、3、4、5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6" w:type="pct"/>
            <w:noWrap w:val="0"/>
            <w:vAlign w:val="center"/>
          </w:tcPr>
          <w:p>
            <w:pPr>
              <w:widowControl/>
              <w:ind w:left="174" w:leftChars="83"/>
              <w:rPr>
                <w:rFonts w:cs="宋体"/>
                <w:kern w:val="0"/>
                <w:sz w:val="18"/>
                <w:szCs w:val="18"/>
                <w:lang w:bidi="ar"/>
              </w:rPr>
            </w:pPr>
            <w:r>
              <w:rPr>
                <w:rFonts w:hint="eastAsia" w:cs="宋体"/>
                <w:kern w:val="0"/>
                <w:sz w:val="18"/>
                <w:szCs w:val="18"/>
                <w:lang w:bidi="ar"/>
              </w:rPr>
              <w:t>3、边缘AI视觉行为感知实践模块；</w:t>
            </w:r>
          </w:p>
        </w:tc>
        <w:tc>
          <w:tcPr>
            <w:tcW w:w="897" w:type="pct"/>
            <w:tcBorders>
              <w:top w:val="single" w:color="auto" w:sz="4" w:space="0"/>
              <w:left w:val="single" w:color="auto" w:sz="4" w:space="0"/>
              <w:bottom w:val="single" w:color="auto" w:sz="4" w:space="0"/>
              <w:right w:val="single" w:color="auto" w:sz="4" w:space="0"/>
            </w:tcBorders>
            <w:noWrap w:val="0"/>
            <w:vAlign w:val="top"/>
          </w:tcPr>
          <w:p>
            <w:pPr>
              <w:widowControl/>
              <w:ind w:left="174" w:leftChars="83"/>
              <w:jc w:val="center"/>
              <w:rPr>
                <w:rFonts w:cs="宋体"/>
                <w:kern w:val="0"/>
                <w:sz w:val="18"/>
                <w:szCs w:val="18"/>
                <w:lang w:bidi="ar"/>
              </w:rPr>
            </w:pPr>
            <w:r>
              <w:rPr>
                <w:rFonts w:hint="eastAsia" w:cs="宋体"/>
                <w:kern w:val="0"/>
                <w:sz w:val="18"/>
                <w:szCs w:val="18"/>
                <w:lang w:bidi="ar"/>
              </w:rPr>
              <w:t>0</w:t>
            </w:r>
            <w:r>
              <w:rPr>
                <w:rFonts w:cs="宋体"/>
                <w:kern w:val="0"/>
                <w:sz w:val="18"/>
                <w:szCs w:val="18"/>
                <w:lang w:bidi="ar"/>
              </w:rPr>
              <w:t>.298</w:t>
            </w:r>
          </w:p>
        </w:tc>
        <w:tc>
          <w:tcPr>
            <w:tcW w:w="1047" w:type="pct"/>
            <w:noWrap w:val="0"/>
            <w:vAlign w:val="center"/>
          </w:tcPr>
          <w:p>
            <w:pPr>
              <w:widowControl/>
              <w:ind w:left="174" w:leftChars="83"/>
              <w:jc w:val="center"/>
              <w:rPr>
                <w:rFonts w:cs="宋体"/>
                <w:kern w:val="0"/>
                <w:sz w:val="18"/>
                <w:szCs w:val="18"/>
                <w:lang w:bidi="ar"/>
              </w:rPr>
            </w:pPr>
            <w:r>
              <w:rPr>
                <w:rFonts w:hint="eastAsia" w:cs="宋体"/>
                <w:kern w:val="0"/>
                <w:sz w:val="18"/>
                <w:szCs w:val="18"/>
                <w:lang w:bidi="ar"/>
              </w:rPr>
              <w:t>1、6、7、8、9、10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6" w:type="pct"/>
            <w:noWrap w:val="0"/>
            <w:vAlign w:val="center"/>
          </w:tcPr>
          <w:p>
            <w:pPr>
              <w:widowControl/>
              <w:ind w:left="174" w:leftChars="83"/>
              <w:rPr>
                <w:rFonts w:cs="宋体"/>
                <w:kern w:val="0"/>
                <w:sz w:val="18"/>
                <w:szCs w:val="18"/>
                <w:lang w:bidi="ar"/>
              </w:rPr>
            </w:pPr>
            <w:r>
              <w:rPr>
                <w:rFonts w:hint="eastAsia" w:cs="宋体"/>
                <w:kern w:val="0"/>
                <w:sz w:val="18"/>
                <w:szCs w:val="18"/>
                <w:lang w:bidi="ar"/>
              </w:rPr>
              <w:t>4、大模型架构多模态感知实践模块；</w:t>
            </w:r>
          </w:p>
        </w:tc>
        <w:tc>
          <w:tcPr>
            <w:tcW w:w="897" w:type="pct"/>
            <w:tcBorders>
              <w:top w:val="single" w:color="auto" w:sz="4" w:space="0"/>
              <w:left w:val="single" w:color="auto" w:sz="4" w:space="0"/>
              <w:bottom w:val="single" w:color="auto" w:sz="4" w:space="0"/>
              <w:right w:val="single" w:color="auto" w:sz="4" w:space="0"/>
            </w:tcBorders>
            <w:noWrap w:val="0"/>
            <w:vAlign w:val="top"/>
          </w:tcPr>
          <w:p>
            <w:pPr>
              <w:widowControl/>
              <w:ind w:left="174" w:leftChars="83"/>
              <w:jc w:val="center"/>
              <w:rPr>
                <w:rFonts w:cs="宋体"/>
                <w:kern w:val="0"/>
                <w:sz w:val="18"/>
                <w:szCs w:val="18"/>
                <w:lang w:bidi="ar"/>
              </w:rPr>
            </w:pPr>
            <w:r>
              <w:rPr>
                <w:rFonts w:hint="eastAsia" w:cs="宋体"/>
                <w:kern w:val="0"/>
                <w:sz w:val="18"/>
                <w:szCs w:val="18"/>
                <w:lang w:bidi="ar"/>
              </w:rPr>
              <w:t>0</w:t>
            </w:r>
            <w:r>
              <w:rPr>
                <w:rFonts w:cs="宋体"/>
                <w:kern w:val="0"/>
                <w:sz w:val="18"/>
                <w:szCs w:val="18"/>
                <w:lang w:bidi="ar"/>
              </w:rPr>
              <w:t>.298</w:t>
            </w:r>
          </w:p>
        </w:tc>
        <w:tc>
          <w:tcPr>
            <w:tcW w:w="1047" w:type="pct"/>
            <w:noWrap w:val="0"/>
            <w:vAlign w:val="center"/>
          </w:tcPr>
          <w:p>
            <w:pPr>
              <w:widowControl/>
              <w:ind w:left="174" w:leftChars="83"/>
              <w:jc w:val="center"/>
              <w:rPr>
                <w:rFonts w:cs="宋体"/>
                <w:kern w:val="0"/>
                <w:sz w:val="18"/>
                <w:szCs w:val="18"/>
                <w:lang w:bidi="ar"/>
              </w:rPr>
            </w:pPr>
            <w:r>
              <w:rPr>
                <w:rFonts w:hint="eastAsia" w:cs="宋体"/>
                <w:kern w:val="0"/>
                <w:sz w:val="18"/>
                <w:szCs w:val="18"/>
                <w:lang w:bidi="ar"/>
              </w:rPr>
              <w:t>1、2、6、7、8、9、10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6" w:type="pct"/>
            <w:noWrap w:val="0"/>
            <w:vAlign w:val="center"/>
          </w:tcPr>
          <w:p>
            <w:pPr>
              <w:widowControl/>
              <w:ind w:left="174" w:leftChars="83"/>
              <w:rPr>
                <w:rFonts w:hint="eastAsia" w:cs="宋体"/>
                <w:kern w:val="0"/>
                <w:sz w:val="18"/>
                <w:szCs w:val="18"/>
                <w:lang w:bidi="ar"/>
              </w:rPr>
            </w:pPr>
            <w:r>
              <w:rPr>
                <w:rFonts w:hint="eastAsia" w:cs="宋体"/>
                <w:kern w:val="0"/>
                <w:sz w:val="18"/>
                <w:szCs w:val="18"/>
                <w:lang w:bidi="ar"/>
              </w:rPr>
              <w:t>5、智能感知平台开发实践模块</w:t>
            </w:r>
          </w:p>
        </w:tc>
        <w:tc>
          <w:tcPr>
            <w:tcW w:w="897" w:type="pct"/>
            <w:tcBorders>
              <w:top w:val="single" w:color="auto" w:sz="4" w:space="0"/>
              <w:left w:val="single" w:color="auto" w:sz="4" w:space="0"/>
              <w:bottom w:val="single" w:color="auto" w:sz="4" w:space="0"/>
              <w:right w:val="single" w:color="auto" w:sz="4" w:space="0"/>
            </w:tcBorders>
            <w:noWrap w:val="0"/>
            <w:vAlign w:val="top"/>
          </w:tcPr>
          <w:p>
            <w:pPr>
              <w:widowControl/>
              <w:ind w:left="174" w:leftChars="83"/>
              <w:jc w:val="center"/>
              <w:rPr>
                <w:rFonts w:cs="宋体"/>
                <w:kern w:val="0"/>
                <w:sz w:val="18"/>
                <w:szCs w:val="18"/>
                <w:lang w:bidi="ar"/>
              </w:rPr>
            </w:pPr>
            <w:r>
              <w:rPr>
                <w:rFonts w:hint="eastAsia" w:cs="宋体"/>
                <w:kern w:val="0"/>
                <w:sz w:val="18"/>
                <w:szCs w:val="18"/>
                <w:lang w:bidi="ar"/>
              </w:rPr>
              <w:t>0</w:t>
            </w:r>
            <w:r>
              <w:rPr>
                <w:rFonts w:cs="宋体"/>
                <w:kern w:val="0"/>
                <w:sz w:val="18"/>
                <w:szCs w:val="18"/>
                <w:lang w:bidi="ar"/>
              </w:rPr>
              <w:t>.238</w:t>
            </w:r>
          </w:p>
        </w:tc>
        <w:tc>
          <w:tcPr>
            <w:tcW w:w="1047" w:type="pct"/>
            <w:noWrap w:val="0"/>
            <w:vAlign w:val="center"/>
          </w:tcPr>
          <w:p>
            <w:pPr>
              <w:widowControl/>
              <w:ind w:left="174" w:leftChars="83"/>
              <w:jc w:val="center"/>
              <w:rPr>
                <w:rFonts w:cs="宋体"/>
                <w:kern w:val="0"/>
                <w:sz w:val="18"/>
                <w:szCs w:val="18"/>
                <w:lang w:bidi="ar"/>
              </w:rPr>
            </w:pPr>
            <w:r>
              <w:rPr>
                <w:rFonts w:hint="eastAsia" w:cs="宋体"/>
                <w:kern w:val="0"/>
                <w:sz w:val="18"/>
                <w:szCs w:val="18"/>
                <w:lang w:bidi="ar"/>
              </w:rPr>
              <w:t>1、2、7、8、9、10</w:t>
            </w:r>
          </w:p>
        </w:tc>
      </w:tr>
    </w:tbl>
    <w:p>
      <w:pPr>
        <w:adjustRightInd w:val="0"/>
        <w:snapToGrid w:val="0"/>
        <w:spacing w:line="360" w:lineRule="auto"/>
        <w:ind w:firstLine="420" w:firstLineChars="200"/>
        <w:rPr>
          <w:szCs w:val="21"/>
          <w:lang w:bidi="ar"/>
        </w:rPr>
      </w:pPr>
    </w:p>
    <w:p>
      <w:pPr>
        <w:adjustRightInd w:val="0"/>
        <w:snapToGrid w:val="0"/>
        <w:spacing w:line="360" w:lineRule="auto"/>
        <w:ind w:firstLine="420" w:firstLineChars="200"/>
        <w:rPr>
          <w:rFonts w:hint="eastAsia"/>
          <w:szCs w:val="21"/>
          <w:highlight w:val="yellow"/>
          <w:lang w:bidi="ar"/>
        </w:rPr>
      </w:pPr>
      <w:r>
        <w:rPr>
          <w:rFonts w:hint="eastAsia"/>
          <w:szCs w:val="21"/>
          <w:lang w:bidi="ar"/>
        </w:rPr>
        <w:t>本课程不可以申请免修。</w:t>
      </w:r>
    </w:p>
    <w:p>
      <w:pPr>
        <w:spacing w:before="156" w:beforeLines="50"/>
        <w:jc w:val="center"/>
        <w:rPr>
          <w:rFonts w:hint="eastAsia"/>
          <w:b/>
          <w:bCs/>
          <w:color w:val="000000"/>
          <w:sz w:val="18"/>
          <w:szCs w:val="18"/>
        </w:rPr>
      </w:pPr>
      <w:r>
        <w:rPr>
          <w:rFonts w:hint="eastAsia"/>
          <w:b/>
          <w:bCs/>
          <w:color w:val="000000"/>
          <w:sz w:val="18"/>
          <w:szCs w:val="18"/>
        </w:rPr>
        <w:t>表3.</w:t>
      </w:r>
      <w:r>
        <w:rPr>
          <w:b/>
          <w:bCs/>
          <w:color w:val="000000"/>
          <w:sz w:val="18"/>
          <w:szCs w:val="18"/>
        </w:rPr>
        <w:t>3</w:t>
      </w:r>
      <w:r>
        <w:rPr>
          <w:rFonts w:hint="eastAsia"/>
          <w:b/>
          <w:bCs/>
          <w:color w:val="000000"/>
          <w:sz w:val="18"/>
          <w:szCs w:val="18"/>
        </w:rPr>
        <w:t xml:space="preserve"> 课程内容与思政融入点对应关系</w:t>
      </w:r>
    </w:p>
    <w:tbl>
      <w:tblPr>
        <w:tblStyle w:val="19"/>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2"/>
        <w:gridCol w:w="3677"/>
        <w:gridCol w:w="4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7" w:type="pct"/>
            <w:shd w:val="clear" w:color="auto" w:fill="auto"/>
            <w:noWrap w:val="0"/>
            <w:vAlign w:val="center"/>
          </w:tcPr>
          <w:p>
            <w:pPr>
              <w:spacing w:line="360" w:lineRule="auto"/>
              <w:jc w:val="center"/>
              <w:rPr>
                <w:rFonts w:hint="eastAsia" w:ascii="宋体" w:hAnsi="宋体" w:cs="宋体"/>
                <w:b/>
                <w:color w:val="000000"/>
                <w:kern w:val="0"/>
                <w:sz w:val="18"/>
                <w:szCs w:val="18"/>
              </w:rPr>
            </w:pPr>
            <w:r>
              <w:rPr>
                <w:rFonts w:hint="eastAsia" w:ascii="宋体" w:hAnsi="宋体" w:cs="宋体"/>
                <w:b/>
                <w:color w:val="000000"/>
                <w:kern w:val="0"/>
                <w:sz w:val="18"/>
                <w:szCs w:val="18"/>
              </w:rPr>
              <w:t>序号</w:t>
            </w:r>
          </w:p>
        </w:tc>
        <w:tc>
          <w:tcPr>
            <w:tcW w:w="1980" w:type="pct"/>
            <w:shd w:val="clear" w:color="auto" w:fill="auto"/>
            <w:noWrap w:val="0"/>
            <w:vAlign w:val="center"/>
          </w:tcPr>
          <w:p>
            <w:pPr>
              <w:spacing w:line="360" w:lineRule="auto"/>
              <w:jc w:val="center"/>
              <w:rPr>
                <w:rFonts w:hint="eastAsia" w:ascii="宋体" w:hAnsi="宋体" w:cs="宋体"/>
                <w:b/>
                <w:color w:val="000000"/>
                <w:kern w:val="0"/>
                <w:sz w:val="18"/>
                <w:szCs w:val="18"/>
              </w:rPr>
            </w:pPr>
            <w:r>
              <w:rPr>
                <w:rFonts w:hint="eastAsia" w:ascii="宋体" w:hAnsi="宋体" w:cs="宋体"/>
                <w:b/>
                <w:color w:val="000000"/>
                <w:kern w:val="0"/>
                <w:sz w:val="18"/>
                <w:szCs w:val="18"/>
              </w:rPr>
              <w:t>知识点</w:t>
            </w:r>
          </w:p>
        </w:tc>
        <w:tc>
          <w:tcPr>
            <w:tcW w:w="2652" w:type="pct"/>
            <w:shd w:val="clear" w:color="auto" w:fill="auto"/>
            <w:noWrap w:val="0"/>
            <w:vAlign w:val="center"/>
          </w:tcPr>
          <w:p>
            <w:pPr>
              <w:spacing w:line="360" w:lineRule="auto"/>
              <w:jc w:val="center"/>
              <w:rPr>
                <w:rFonts w:hint="eastAsia" w:ascii="宋体" w:hAnsi="宋体" w:cs="宋体"/>
                <w:b/>
                <w:color w:val="000000"/>
                <w:kern w:val="0"/>
                <w:sz w:val="18"/>
                <w:szCs w:val="18"/>
              </w:rPr>
            </w:pPr>
            <w:r>
              <w:rPr>
                <w:rFonts w:hint="eastAsia" w:ascii="宋体" w:hAnsi="宋体" w:cs="宋体"/>
                <w:b/>
                <w:color w:val="000000"/>
                <w:kern w:val="0"/>
                <w:sz w:val="18"/>
                <w:szCs w:val="18"/>
              </w:rPr>
              <w:t>思政融入点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367" w:type="pct"/>
            <w:shd w:val="clear" w:color="auto" w:fill="auto"/>
            <w:noWrap w:val="0"/>
            <w:vAlign w:val="center"/>
          </w:tcPr>
          <w:p>
            <w:pPr>
              <w:snapToGrid w:val="0"/>
              <w:jc w:val="center"/>
              <w:rPr>
                <w:rFonts w:eastAsia="黑体"/>
                <w:b/>
                <w:color w:val="000000"/>
                <w:kern w:val="0"/>
                <w:sz w:val="20"/>
                <w:szCs w:val="21"/>
              </w:rPr>
            </w:pPr>
            <w:r>
              <w:rPr>
                <w:rFonts w:hint="eastAsia" w:eastAsia="黑体"/>
                <w:b/>
                <w:color w:val="000000"/>
                <w:kern w:val="0"/>
                <w:sz w:val="20"/>
                <w:szCs w:val="21"/>
              </w:rPr>
              <w:t>1</w:t>
            </w:r>
          </w:p>
        </w:tc>
        <w:tc>
          <w:tcPr>
            <w:tcW w:w="1980" w:type="pct"/>
            <w:shd w:val="clear" w:color="auto" w:fill="auto"/>
            <w:noWrap w:val="0"/>
            <w:vAlign w:val="center"/>
          </w:tcPr>
          <w:p>
            <w:pPr>
              <w:snapToGrid w:val="0"/>
              <w:ind w:left="105" w:leftChars="50"/>
              <w:jc w:val="left"/>
              <w:rPr>
                <w:color w:val="000000"/>
                <w:kern w:val="0"/>
                <w:sz w:val="20"/>
              </w:rPr>
            </w:pPr>
            <w:r>
              <w:rPr>
                <w:rFonts w:hint="eastAsia"/>
                <w:color w:val="000000"/>
                <w:sz w:val="18"/>
                <w:szCs w:val="18"/>
              </w:rPr>
              <w:t>智能感知的发展历程、发展现状及发展方向。</w:t>
            </w:r>
          </w:p>
        </w:tc>
        <w:tc>
          <w:tcPr>
            <w:tcW w:w="2652" w:type="pct"/>
            <w:shd w:val="clear" w:color="auto" w:fill="auto"/>
            <w:noWrap w:val="0"/>
            <w:vAlign w:val="center"/>
          </w:tcPr>
          <w:p>
            <w:pPr>
              <w:snapToGrid w:val="0"/>
              <w:jc w:val="left"/>
              <w:rPr>
                <w:rFonts w:eastAsia="黑体"/>
                <w:b/>
                <w:color w:val="000000"/>
                <w:kern w:val="0"/>
                <w:sz w:val="20"/>
                <w:szCs w:val="21"/>
              </w:rPr>
            </w:pPr>
            <w:r>
              <w:rPr>
                <w:rFonts w:hint="eastAsia"/>
                <w:color w:val="000000"/>
                <w:sz w:val="18"/>
                <w:szCs w:val="18"/>
              </w:rPr>
              <w:t>通过对比分析国内外发展现状，激发学生的使命感和责任感。通过阐述相关应用需求和背景，提高学生学习的积极性和主动性。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367" w:type="pct"/>
            <w:shd w:val="clear" w:color="auto" w:fill="auto"/>
            <w:noWrap w:val="0"/>
            <w:vAlign w:val="center"/>
          </w:tcPr>
          <w:p>
            <w:pPr>
              <w:snapToGrid w:val="0"/>
              <w:jc w:val="center"/>
              <w:rPr>
                <w:rFonts w:eastAsia="黑体"/>
                <w:b/>
                <w:color w:val="000000"/>
                <w:kern w:val="0"/>
                <w:sz w:val="20"/>
                <w:szCs w:val="21"/>
              </w:rPr>
            </w:pPr>
            <w:r>
              <w:rPr>
                <w:rFonts w:hint="eastAsia" w:eastAsia="黑体"/>
                <w:b/>
                <w:color w:val="000000"/>
                <w:kern w:val="0"/>
                <w:sz w:val="20"/>
                <w:szCs w:val="21"/>
              </w:rPr>
              <w:t>2</w:t>
            </w:r>
          </w:p>
        </w:tc>
        <w:tc>
          <w:tcPr>
            <w:tcW w:w="1980" w:type="pct"/>
            <w:shd w:val="clear" w:color="auto" w:fill="auto"/>
            <w:noWrap w:val="0"/>
            <w:vAlign w:val="center"/>
          </w:tcPr>
          <w:p>
            <w:pPr>
              <w:snapToGrid w:val="0"/>
              <w:ind w:left="105" w:leftChars="50"/>
              <w:jc w:val="left"/>
              <w:rPr>
                <w:rFonts w:eastAsia="黑体"/>
                <w:b/>
                <w:color w:val="000000"/>
                <w:kern w:val="0"/>
                <w:sz w:val="20"/>
                <w:szCs w:val="21"/>
              </w:rPr>
            </w:pPr>
            <w:r>
              <w:rPr>
                <w:rFonts w:hint="eastAsia"/>
                <w:color w:val="000000"/>
                <w:sz w:val="18"/>
                <w:szCs w:val="18"/>
              </w:rPr>
              <w:t>智能感知产业发展国内外差距</w:t>
            </w:r>
          </w:p>
        </w:tc>
        <w:tc>
          <w:tcPr>
            <w:tcW w:w="2652" w:type="pct"/>
            <w:shd w:val="clear" w:color="auto" w:fill="auto"/>
            <w:noWrap w:val="0"/>
            <w:vAlign w:val="center"/>
          </w:tcPr>
          <w:p>
            <w:pPr>
              <w:snapToGrid w:val="0"/>
              <w:jc w:val="left"/>
              <w:rPr>
                <w:rFonts w:eastAsia="黑体"/>
                <w:b/>
                <w:color w:val="000000"/>
                <w:kern w:val="0"/>
                <w:sz w:val="20"/>
                <w:szCs w:val="21"/>
              </w:rPr>
            </w:pPr>
            <w:r>
              <w:rPr>
                <w:rFonts w:hint="eastAsia"/>
                <w:color w:val="000000"/>
                <w:sz w:val="18"/>
                <w:szCs w:val="18"/>
              </w:rPr>
              <w:t>了解自主知识产权对智能感知的重要性，激发学生爱国情怀。</w:t>
            </w:r>
          </w:p>
        </w:tc>
      </w:tr>
    </w:tbl>
    <w:p>
      <w:pPr>
        <w:jc w:val="center"/>
        <w:rPr>
          <w:b/>
          <w:bCs/>
          <w:color w:val="000000"/>
          <w:sz w:val="18"/>
          <w:szCs w:val="18"/>
        </w:rPr>
      </w:pPr>
    </w:p>
    <w:p>
      <w:pPr>
        <w:adjustRightInd w:val="0"/>
        <w:snapToGrid w:val="0"/>
        <w:spacing w:before="156" w:beforeLines="50" w:line="360" w:lineRule="auto"/>
        <w:rPr>
          <w:rFonts w:eastAsia="黑体"/>
          <w:color w:val="000000"/>
          <w:szCs w:val="21"/>
        </w:rPr>
      </w:pPr>
      <w:r>
        <w:rPr>
          <w:rFonts w:hint="eastAsia" w:eastAsia="黑体"/>
          <w:color w:val="000000"/>
          <w:szCs w:val="21"/>
        </w:rPr>
        <w:t>四、本课程开设的实验项目</w:t>
      </w:r>
    </w:p>
    <w:tbl>
      <w:tblPr>
        <w:tblStyle w:val="19"/>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3929"/>
        <w:gridCol w:w="718"/>
        <w:gridCol w:w="880"/>
        <w:gridCol w:w="833"/>
        <w:gridCol w:w="958"/>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385" w:type="pct"/>
            <w:shd w:val="clear" w:color="auto" w:fill="F2F2F2"/>
            <w:noWrap w:val="0"/>
            <w:vAlign w:val="center"/>
          </w:tcPr>
          <w:p>
            <w:pPr>
              <w:snapToGrid w:val="0"/>
              <w:jc w:val="center"/>
              <w:rPr>
                <w:b/>
                <w:color w:val="000000"/>
                <w:sz w:val="18"/>
                <w:szCs w:val="18"/>
              </w:rPr>
            </w:pPr>
            <w:r>
              <w:rPr>
                <w:rFonts w:hint="eastAsia"/>
                <w:b/>
                <w:color w:val="000000"/>
                <w:sz w:val="18"/>
                <w:szCs w:val="18"/>
              </w:rPr>
              <w:t>编号</w:t>
            </w:r>
          </w:p>
        </w:tc>
        <w:tc>
          <w:tcPr>
            <w:tcW w:w="2117" w:type="pct"/>
            <w:shd w:val="clear" w:color="auto" w:fill="F2F2F2"/>
            <w:noWrap w:val="0"/>
            <w:vAlign w:val="center"/>
          </w:tcPr>
          <w:p>
            <w:pPr>
              <w:snapToGrid w:val="0"/>
              <w:jc w:val="center"/>
              <w:rPr>
                <w:b/>
                <w:color w:val="000000"/>
                <w:sz w:val="18"/>
                <w:szCs w:val="18"/>
              </w:rPr>
            </w:pPr>
            <w:r>
              <w:rPr>
                <w:rFonts w:hint="eastAsia"/>
                <w:b/>
                <w:color w:val="000000"/>
                <w:sz w:val="18"/>
                <w:szCs w:val="18"/>
              </w:rPr>
              <w:t>实验项目名称</w:t>
            </w:r>
          </w:p>
        </w:tc>
        <w:tc>
          <w:tcPr>
            <w:tcW w:w="387" w:type="pct"/>
            <w:shd w:val="clear" w:color="auto" w:fill="F2F2F2"/>
            <w:noWrap w:val="0"/>
            <w:vAlign w:val="center"/>
          </w:tcPr>
          <w:p>
            <w:pPr>
              <w:snapToGrid w:val="0"/>
              <w:jc w:val="center"/>
              <w:rPr>
                <w:b/>
                <w:color w:val="000000"/>
                <w:sz w:val="18"/>
                <w:szCs w:val="18"/>
              </w:rPr>
            </w:pPr>
            <w:r>
              <w:rPr>
                <w:rFonts w:hint="eastAsia"/>
                <w:b/>
                <w:color w:val="000000"/>
                <w:sz w:val="18"/>
                <w:szCs w:val="18"/>
              </w:rPr>
              <w:t>学时</w:t>
            </w:r>
          </w:p>
        </w:tc>
        <w:tc>
          <w:tcPr>
            <w:tcW w:w="474" w:type="pct"/>
            <w:shd w:val="clear" w:color="auto" w:fill="F2F2F2"/>
            <w:noWrap w:val="0"/>
            <w:vAlign w:val="center"/>
          </w:tcPr>
          <w:p>
            <w:pPr>
              <w:snapToGrid w:val="0"/>
              <w:jc w:val="center"/>
              <w:rPr>
                <w:b/>
                <w:color w:val="000000"/>
                <w:sz w:val="18"/>
                <w:szCs w:val="18"/>
              </w:rPr>
            </w:pPr>
            <w:r>
              <w:rPr>
                <w:rFonts w:hint="eastAsia"/>
                <w:b/>
                <w:color w:val="000000"/>
                <w:sz w:val="18"/>
                <w:szCs w:val="18"/>
              </w:rPr>
              <w:t>类型</w:t>
            </w:r>
          </w:p>
        </w:tc>
        <w:tc>
          <w:tcPr>
            <w:tcW w:w="449" w:type="pct"/>
            <w:shd w:val="clear" w:color="auto" w:fill="F2F2F2"/>
            <w:noWrap w:val="0"/>
            <w:vAlign w:val="center"/>
          </w:tcPr>
          <w:p>
            <w:pPr>
              <w:snapToGrid w:val="0"/>
              <w:jc w:val="center"/>
              <w:rPr>
                <w:b/>
                <w:color w:val="000000"/>
                <w:sz w:val="18"/>
                <w:szCs w:val="18"/>
              </w:rPr>
            </w:pPr>
            <w:r>
              <w:rPr>
                <w:rFonts w:hint="eastAsia"/>
                <w:b/>
                <w:color w:val="000000"/>
                <w:sz w:val="18"/>
                <w:szCs w:val="18"/>
              </w:rPr>
              <w:t>要求</w:t>
            </w:r>
          </w:p>
        </w:tc>
        <w:tc>
          <w:tcPr>
            <w:tcW w:w="516" w:type="pct"/>
            <w:shd w:val="clear" w:color="auto" w:fill="F2F2F2"/>
            <w:noWrap w:val="0"/>
            <w:vAlign w:val="center"/>
          </w:tcPr>
          <w:p>
            <w:pPr>
              <w:snapToGrid w:val="0"/>
              <w:jc w:val="center"/>
              <w:rPr>
                <w:b/>
                <w:color w:val="000000"/>
                <w:sz w:val="18"/>
                <w:szCs w:val="18"/>
              </w:rPr>
            </w:pPr>
            <w:r>
              <w:rPr>
                <w:rFonts w:hint="eastAsia"/>
                <w:b/>
                <w:color w:val="000000"/>
                <w:sz w:val="18"/>
                <w:szCs w:val="18"/>
              </w:rPr>
              <w:t>支撑课程目标</w:t>
            </w:r>
          </w:p>
        </w:tc>
        <w:tc>
          <w:tcPr>
            <w:tcW w:w="672" w:type="pct"/>
            <w:shd w:val="clear" w:color="auto" w:fill="F2F2F2"/>
            <w:noWrap w:val="0"/>
            <w:vAlign w:val="center"/>
          </w:tcPr>
          <w:p>
            <w:pPr>
              <w:snapToGrid w:val="0"/>
              <w:jc w:val="center"/>
              <w:rPr>
                <w:rFonts w:hint="eastAsia"/>
                <w:b/>
                <w:color w:val="000000"/>
                <w:sz w:val="18"/>
                <w:szCs w:val="18"/>
              </w:rPr>
            </w:pPr>
            <w:r>
              <w:rPr>
                <w:rFonts w:hint="eastAsia"/>
                <w:b/>
                <w:color w:val="000000"/>
                <w:sz w:val="18"/>
                <w:szCs w:val="18"/>
              </w:rPr>
              <w:t>支撑的毕业要求指标点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85" w:type="pct"/>
            <w:noWrap w:val="0"/>
            <w:vAlign w:val="center"/>
          </w:tcPr>
          <w:p>
            <w:pPr>
              <w:snapToGrid w:val="0"/>
              <w:jc w:val="center"/>
              <w:rPr>
                <w:bCs/>
                <w:color w:val="000000"/>
                <w:sz w:val="18"/>
                <w:szCs w:val="18"/>
              </w:rPr>
            </w:pPr>
            <w:r>
              <w:rPr>
                <w:rFonts w:hint="eastAsia"/>
                <w:bCs/>
                <w:color w:val="000000"/>
                <w:sz w:val="18"/>
                <w:szCs w:val="18"/>
              </w:rPr>
              <w:t>1</w:t>
            </w:r>
          </w:p>
        </w:tc>
        <w:tc>
          <w:tcPr>
            <w:tcW w:w="2117" w:type="pct"/>
            <w:noWrap w:val="0"/>
            <w:vAlign w:val="center"/>
          </w:tcPr>
          <w:p>
            <w:pPr>
              <w:snapToGrid w:val="0"/>
              <w:rPr>
                <w:bCs/>
                <w:color w:val="000000"/>
                <w:sz w:val="18"/>
                <w:szCs w:val="18"/>
              </w:rPr>
            </w:pPr>
            <w:r>
              <w:rPr>
                <w:rFonts w:hint="eastAsia"/>
                <w:bCs/>
                <w:color w:val="000000"/>
                <w:sz w:val="18"/>
                <w:szCs w:val="18"/>
              </w:rPr>
              <w:t>智能感知基础实践模块</w:t>
            </w:r>
          </w:p>
        </w:tc>
        <w:tc>
          <w:tcPr>
            <w:tcW w:w="387" w:type="pct"/>
            <w:noWrap w:val="0"/>
            <w:vAlign w:val="center"/>
          </w:tcPr>
          <w:p>
            <w:pPr>
              <w:snapToGrid w:val="0"/>
              <w:jc w:val="center"/>
              <w:rPr>
                <w:bCs/>
                <w:color w:val="000000"/>
                <w:sz w:val="18"/>
                <w:szCs w:val="18"/>
              </w:rPr>
            </w:pPr>
            <w:r>
              <w:rPr>
                <w:bCs/>
                <w:color w:val="000000"/>
                <w:sz w:val="18"/>
                <w:szCs w:val="18"/>
              </w:rPr>
              <w:t>6</w:t>
            </w:r>
          </w:p>
        </w:tc>
        <w:tc>
          <w:tcPr>
            <w:tcW w:w="474" w:type="pct"/>
            <w:noWrap w:val="0"/>
            <w:vAlign w:val="center"/>
          </w:tcPr>
          <w:p>
            <w:pPr>
              <w:snapToGrid w:val="0"/>
              <w:jc w:val="center"/>
              <w:rPr>
                <w:bCs/>
                <w:color w:val="000000"/>
                <w:sz w:val="18"/>
                <w:szCs w:val="18"/>
              </w:rPr>
            </w:pPr>
            <w:r>
              <w:rPr>
                <w:rFonts w:hAnsi="宋体"/>
                <w:bCs/>
                <w:color w:val="000000"/>
                <w:sz w:val="18"/>
                <w:szCs w:val="18"/>
              </w:rPr>
              <w:t>验证性</w:t>
            </w:r>
          </w:p>
        </w:tc>
        <w:tc>
          <w:tcPr>
            <w:tcW w:w="449" w:type="pct"/>
            <w:noWrap w:val="0"/>
            <w:vAlign w:val="center"/>
          </w:tcPr>
          <w:p>
            <w:pPr>
              <w:snapToGrid w:val="0"/>
              <w:jc w:val="center"/>
              <w:rPr>
                <w:bCs/>
                <w:color w:val="000000"/>
                <w:sz w:val="18"/>
                <w:szCs w:val="18"/>
              </w:rPr>
            </w:pPr>
            <w:r>
              <w:rPr>
                <w:rFonts w:hint="eastAsia" w:hAnsi="宋体"/>
                <w:bCs/>
                <w:color w:val="000000"/>
                <w:sz w:val="18"/>
                <w:szCs w:val="18"/>
              </w:rPr>
              <w:t>必做</w:t>
            </w:r>
          </w:p>
        </w:tc>
        <w:tc>
          <w:tcPr>
            <w:tcW w:w="516" w:type="pct"/>
            <w:noWrap w:val="0"/>
            <w:vAlign w:val="center"/>
          </w:tcPr>
          <w:p>
            <w:pPr>
              <w:snapToGrid w:val="0"/>
              <w:jc w:val="center"/>
              <w:rPr>
                <w:rFonts w:hint="eastAsia"/>
                <w:bCs/>
                <w:color w:val="000000"/>
                <w:sz w:val="18"/>
                <w:szCs w:val="18"/>
              </w:rPr>
            </w:pPr>
            <w:r>
              <w:rPr>
                <w:rFonts w:hint="eastAsia"/>
                <w:bCs/>
                <w:color w:val="000000"/>
                <w:sz w:val="18"/>
                <w:szCs w:val="18"/>
              </w:rPr>
              <w:t>3、4、5</w:t>
            </w:r>
          </w:p>
        </w:tc>
        <w:tc>
          <w:tcPr>
            <w:tcW w:w="672" w:type="pct"/>
            <w:noWrap w:val="0"/>
            <w:vAlign w:val="center"/>
          </w:tcPr>
          <w:p>
            <w:pPr>
              <w:snapToGrid w:val="0"/>
              <w:jc w:val="center"/>
              <w:rPr>
                <w:bCs/>
                <w:color w:val="000000"/>
                <w:sz w:val="18"/>
                <w:szCs w:val="18"/>
              </w:rPr>
            </w:pPr>
            <w:r>
              <w:rPr>
                <w:bCs/>
                <w:color w:val="000000"/>
                <w:sz w:val="18"/>
                <w:szCs w:val="18"/>
              </w:rPr>
              <w:t>5-1</w:t>
            </w:r>
          </w:p>
          <w:p>
            <w:pPr>
              <w:snapToGrid w:val="0"/>
              <w:jc w:val="center"/>
              <w:rPr>
                <w:bCs/>
                <w:color w:val="000000"/>
                <w:sz w:val="18"/>
                <w:szCs w:val="18"/>
              </w:rPr>
            </w:pPr>
            <w:r>
              <w:rPr>
                <w:bCs/>
                <w:color w:val="000000"/>
                <w:sz w:val="18"/>
                <w:szCs w:val="18"/>
              </w:rPr>
              <w:t>5-2</w:t>
            </w:r>
          </w:p>
          <w:p>
            <w:pPr>
              <w:snapToGrid w:val="0"/>
              <w:jc w:val="center"/>
              <w:rPr>
                <w:rFonts w:hint="eastAsia"/>
                <w:b/>
                <w:color w:val="000000"/>
                <w:sz w:val="18"/>
                <w:szCs w:val="18"/>
              </w:rPr>
            </w:pPr>
            <w:r>
              <w:rPr>
                <w:bCs/>
                <w:color w:val="000000"/>
                <w:sz w:val="18"/>
                <w:szCs w:val="18"/>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85" w:type="pct"/>
            <w:noWrap w:val="0"/>
            <w:vAlign w:val="center"/>
          </w:tcPr>
          <w:p>
            <w:pPr>
              <w:snapToGrid w:val="0"/>
              <w:jc w:val="center"/>
              <w:rPr>
                <w:bCs/>
                <w:color w:val="000000"/>
                <w:sz w:val="18"/>
                <w:szCs w:val="18"/>
              </w:rPr>
            </w:pPr>
            <w:r>
              <w:rPr>
                <w:rFonts w:hint="eastAsia"/>
                <w:bCs/>
                <w:color w:val="000000"/>
                <w:sz w:val="18"/>
                <w:szCs w:val="18"/>
              </w:rPr>
              <w:t>2</w:t>
            </w:r>
          </w:p>
        </w:tc>
        <w:tc>
          <w:tcPr>
            <w:tcW w:w="2117" w:type="pct"/>
            <w:noWrap w:val="0"/>
            <w:vAlign w:val="center"/>
          </w:tcPr>
          <w:p>
            <w:pPr>
              <w:snapToGrid w:val="0"/>
              <w:rPr>
                <w:rFonts w:hint="eastAsia"/>
                <w:bCs/>
                <w:color w:val="000000"/>
                <w:sz w:val="18"/>
                <w:szCs w:val="18"/>
              </w:rPr>
            </w:pPr>
            <w:r>
              <w:rPr>
                <w:rFonts w:hint="eastAsia"/>
                <w:bCs/>
                <w:color w:val="000000"/>
                <w:sz w:val="18"/>
                <w:szCs w:val="18"/>
              </w:rPr>
              <w:t>ROS机器人感知实践模块</w:t>
            </w:r>
          </w:p>
        </w:tc>
        <w:tc>
          <w:tcPr>
            <w:tcW w:w="387" w:type="pct"/>
            <w:noWrap w:val="0"/>
            <w:vAlign w:val="center"/>
          </w:tcPr>
          <w:p>
            <w:pPr>
              <w:snapToGrid w:val="0"/>
              <w:jc w:val="center"/>
              <w:rPr>
                <w:bCs/>
                <w:color w:val="000000"/>
                <w:sz w:val="18"/>
                <w:szCs w:val="18"/>
              </w:rPr>
            </w:pPr>
            <w:r>
              <w:rPr>
                <w:bCs/>
                <w:color w:val="000000"/>
                <w:sz w:val="18"/>
                <w:szCs w:val="18"/>
              </w:rPr>
              <w:t>1</w:t>
            </w:r>
            <w:r>
              <w:rPr>
                <w:rFonts w:hint="eastAsia"/>
                <w:bCs/>
                <w:color w:val="000000"/>
                <w:sz w:val="18"/>
                <w:szCs w:val="18"/>
              </w:rPr>
              <w:t>2</w:t>
            </w:r>
          </w:p>
        </w:tc>
        <w:tc>
          <w:tcPr>
            <w:tcW w:w="474" w:type="pct"/>
            <w:noWrap w:val="0"/>
            <w:vAlign w:val="center"/>
          </w:tcPr>
          <w:p>
            <w:pPr>
              <w:snapToGrid w:val="0"/>
              <w:jc w:val="center"/>
              <w:rPr>
                <w:bCs/>
                <w:color w:val="000000"/>
                <w:sz w:val="18"/>
                <w:szCs w:val="18"/>
              </w:rPr>
            </w:pPr>
            <w:r>
              <w:rPr>
                <w:rFonts w:hAnsi="宋体"/>
                <w:bCs/>
                <w:color w:val="000000"/>
                <w:sz w:val="18"/>
                <w:szCs w:val="18"/>
              </w:rPr>
              <w:t>验证性</w:t>
            </w:r>
          </w:p>
        </w:tc>
        <w:tc>
          <w:tcPr>
            <w:tcW w:w="449" w:type="pct"/>
            <w:noWrap w:val="0"/>
            <w:vAlign w:val="center"/>
          </w:tcPr>
          <w:p>
            <w:pPr>
              <w:snapToGrid w:val="0"/>
              <w:jc w:val="center"/>
              <w:rPr>
                <w:bCs/>
                <w:color w:val="000000"/>
                <w:sz w:val="18"/>
                <w:szCs w:val="18"/>
              </w:rPr>
            </w:pPr>
            <w:r>
              <w:rPr>
                <w:rFonts w:hint="eastAsia" w:hAnsi="宋体"/>
                <w:bCs/>
                <w:color w:val="000000"/>
                <w:sz w:val="18"/>
                <w:szCs w:val="18"/>
              </w:rPr>
              <w:t>必做</w:t>
            </w:r>
          </w:p>
        </w:tc>
        <w:tc>
          <w:tcPr>
            <w:tcW w:w="516" w:type="pct"/>
            <w:noWrap w:val="0"/>
            <w:vAlign w:val="center"/>
          </w:tcPr>
          <w:p>
            <w:pPr>
              <w:snapToGrid w:val="0"/>
              <w:jc w:val="center"/>
              <w:rPr>
                <w:rFonts w:hint="eastAsia" w:eastAsia="黑体"/>
                <w:bCs/>
                <w:color w:val="000000"/>
                <w:sz w:val="18"/>
                <w:szCs w:val="18"/>
              </w:rPr>
            </w:pPr>
            <w:r>
              <w:rPr>
                <w:rFonts w:hint="eastAsia" w:eastAsia="黑体"/>
                <w:bCs/>
                <w:color w:val="000000"/>
                <w:sz w:val="18"/>
                <w:szCs w:val="18"/>
              </w:rPr>
              <w:t>1、3、4、5</w:t>
            </w:r>
          </w:p>
        </w:tc>
        <w:tc>
          <w:tcPr>
            <w:tcW w:w="672" w:type="pct"/>
            <w:noWrap w:val="0"/>
            <w:vAlign w:val="center"/>
          </w:tcPr>
          <w:p>
            <w:pPr>
              <w:snapToGrid w:val="0"/>
              <w:jc w:val="center"/>
              <w:rPr>
                <w:bCs/>
                <w:color w:val="000000"/>
                <w:sz w:val="18"/>
                <w:szCs w:val="18"/>
              </w:rPr>
            </w:pPr>
            <w:r>
              <w:rPr>
                <w:bCs/>
                <w:color w:val="000000"/>
                <w:sz w:val="18"/>
                <w:szCs w:val="18"/>
              </w:rPr>
              <w:t>3-1</w:t>
            </w:r>
          </w:p>
          <w:p>
            <w:pPr>
              <w:snapToGrid w:val="0"/>
              <w:jc w:val="center"/>
              <w:rPr>
                <w:bCs/>
                <w:color w:val="000000"/>
                <w:sz w:val="18"/>
                <w:szCs w:val="18"/>
              </w:rPr>
            </w:pPr>
            <w:r>
              <w:rPr>
                <w:bCs/>
                <w:color w:val="000000"/>
                <w:sz w:val="18"/>
                <w:szCs w:val="18"/>
              </w:rPr>
              <w:t>5-1</w:t>
            </w:r>
          </w:p>
          <w:p>
            <w:pPr>
              <w:snapToGrid w:val="0"/>
              <w:jc w:val="center"/>
              <w:rPr>
                <w:bCs/>
                <w:color w:val="000000"/>
                <w:sz w:val="18"/>
                <w:szCs w:val="18"/>
              </w:rPr>
            </w:pPr>
            <w:r>
              <w:rPr>
                <w:bCs/>
                <w:color w:val="000000"/>
                <w:sz w:val="18"/>
                <w:szCs w:val="18"/>
              </w:rPr>
              <w:t>5-2</w:t>
            </w:r>
          </w:p>
          <w:p>
            <w:pPr>
              <w:snapToGrid w:val="0"/>
              <w:jc w:val="center"/>
              <w:rPr>
                <w:bCs/>
                <w:color w:val="000000"/>
                <w:sz w:val="18"/>
                <w:szCs w:val="18"/>
              </w:rPr>
            </w:pPr>
            <w:r>
              <w:rPr>
                <w:bCs/>
                <w:color w:val="000000"/>
                <w:sz w:val="18"/>
                <w:szCs w:val="18"/>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85" w:type="pct"/>
            <w:noWrap w:val="0"/>
            <w:vAlign w:val="center"/>
          </w:tcPr>
          <w:p>
            <w:pPr>
              <w:snapToGrid w:val="0"/>
              <w:jc w:val="center"/>
              <w:rPr>
                <w:bCs/>
                <w:color w:val="000000"/>
                <w:sz w:val="18"/>
                <w:szCs w:val="18"/>
              </w:rPr>
            </w:pPr>
            <w:r>
              <w:rPr>
                <w:rFonts w:hint="eastAsia"/>
                <w:bCs/>
                <w:color w:val="000000"/>
                <w:sz w:val="18"/>
                <w:szCs w:val="18"/>
              </w:rPr>
              <w:t>3</w:t>
            </w:r>
          </w:p>
        </w:tc>
        <w:tc>
          <w:tcPr>
            <w:tcW w:w="2117" w:type="pct"/>
            <w:noWrap w:val="0"/>
            <w:vAlign w:val="center"/>
          </w:tcPr>
          <w:p>
            <w:pPr>
              <w:snapToGrid w:val="0"/>
              <w:rPr>
                <w:rFonts w:hint="eastAsia"/>
                <w:bCs/>
                <w:color w:val="000000"/>
                <w:sz w:val="18"/>
                <w:szCs w:val="18"/>
              </w:rPr>
            </w:pPr>
            <w:r>
              <w:rPr>
                <w:rFonts w:hint="eastAsia"/>
                <w:bCs/>
                <w:color w:val="000000"/>
                <w:sz w:val="18"/>
                <w:szCs w:val="18"/>
              </w:rPr>
              <w:t>边缘AI视觉行为感知实践模块</w:t>
            </w:r>
          </w:p>
        </w:tc>
        <w:tc>
          <w:tcPr>
            <w:tcW w:w="387" w:type="pct"/>
            <w:noWrap w:val="0"/>
            <w:vAlign w:val="center"/>
          </w:tcPr>
          <w:p>
            <w:pPr>
              <w:snapToGrid w:val="0"/>
              <w:jc w:val="center"/>
              <w:rPr>
                <w:bCs/>
                <w:color w:val="000000"/>
                <w:sz w:val="18"/>
                <w:szCs w:val="18"/>
              </w:rPr>
            </w:pPr>
            <w:r>
              <w:rPr>
                <w:bCs/>
                <w:color w:val="000000"/>
                <w:sz w:val="18"/>
                <w:szCs w:val="18"/>
              </w:rPr>
              <w:t>40</w:t>
            </w:r>
          </w:p>
        </w:tc>
        <w:tc>
          <w:tcPr>
            <w:tcW w:w="474" w:type="pct"/>
            <w:noWrap w:val="0"/>
            <w:vAlign w:val="center"/>
          </w:tcPr>
          <w:p>
            <w:pPr>
              <w:snapToGrid w:val="0"/>
              <w:jc w:val="center"/>
              <w:rPr>
                <w:bCs/>
                <w:color w:val="000000"/>
                <w:sz w:val="18"/>
                <w:szCs w:val="18"/>
              </w:rPr>
            </w:pPr>
            <w:r>
              <w:rPr>
                <w:rFonts w:hint="eastAsia" w:hAnsi="宋体"/>
                <w:bCs/>
                <w:color w:val="000000"/>
                <w:sz w:val="18"/>
                <w:szCs w:val="18"/>
              </w:rPr>
              <w:t>设计</w:t>
            </w:r>
            <w:r>
              <w:rPr>
                <w:rFonts w:hAnsi="宋体"/>
                <w:bCs/>
                <w:color w:val="000000"/>
                <w:sz w:val="18"/>
                <w:szCs w:val="18"/>
              </w:rPr>
              <w:t>性</w:t>
            </w:r>
          </w:p>
        </w:tc>
        <w:tc>
          <w:tcPr>
            <w:tcW w:w="449" w:type="pct"/>
            <w:noWrap w:val="0"/>
            <w:vAlign w:val="center"/>
          </w:tcPr>
          <w:p>
            <w:pPr>
              <w:snapToGrid w:val="0"/>
              <w:jc w:val="center"/>
              <w:rPr>
                <w:bCs/>
                <w:color w:val="000000"/>
                <w:sz w:val="18"/>
                <w:szCs w:val="18"/>
              </w:rPr>
            </w:pPr>
            <w:r>
              <w:rPr>
                <w:rFonts w:hint="eastAsia" w:hAnsi="宋体"/>
                <w:bCs/>
                <w:color w:val="000000"/>
                <w:sz w:val="18"/>
                <w:szCs w:val="18"/>
              </w:rPr>
              <w:t>必做</w:t>
            </w:r>
          </w:p>
        </w:tc>
        <w:tc>
          <w:tcPr>
            <w:tcW w:w="516" w:type="pct"/>
            <w:noWrap w:val="0"/>
            <w:vAlign w:val="center"/>
          </w:tcPr>
          <w:p>
            <w:pPr>
              <w:snapToGrid w:val="0"/>
              <w:jc w:val="center"/>
              <w:rPr>
                <w:rFonts w:hint="eastAsia" w:eastAsia="黑体"/>
                <w:bCs/>
                <w:color w:val="000000"/>
                <w:sz w:val="18"/>
                <w:szCs w:val="18"/>
              </w:rPr>
            </w:pPr>
            <w:r>
              <w:rPr>
                <w:rFonts w:hint="eastAsia" w:eastAsia="黑体"/>
                <w:bCs/>
                <w:color w:val="000000"/>
                <w:sz w:val="18"/>
                <w:szCs w:val="18"/>
              </w:rPr>
              <w:t>1、6、7、8、9、10</w:t>
            </w:r>
          </w:p>
        </w:tc>
        <w:tc>
          <w:tcPr>
            <w:tcW w:w="672" w:type="pct"/>
            <w:noWrap w:val="0"/>
            <w:vAlign w:val="center"/>
          </w:tcPr>
          <w:p>
            <w:pPr>
              <w:snapToGrid w:val="0"/>
              <w:jc w:val="center"/>
              <w:rPr>
                <w:bCs/>
                <w:color w:val="000000"/>
                <w:sz w:val="18"/>
                <w:szCs w:val="18"/>
              </w:rPr>
            </w:pPr>
            <w:r>
              <w:rPr>
                <w:bCs/>
                <w:color w:val="000000"/>
                <w:sz w:val="18"/>
                <w:szCs w:val="18"/>
              </w:rPr>
              <w:t>3-1</w:t>
            </w:r>
          </w:p>
          <w:p>
            <w:pPr>
              <w:snapToGrid w:val="0"/>
              <w:jc w:val="center"/>
              <w:rPr>
                <w:bCs/>
                <w:color w:val="000000"/>
                <w:sz w:val="18"/>
                <w:szCs w:val="18"/>
              </w:rPr>
            </w:pPr>
            <w:r>
              <w:rPr>
                <w:bCs/>
                <w:color w:val="000000"/>
                <w:sz w:val="18"/>
                <w:szCs w:val="18"/>
              </w:rPr>
              <w:t>7-2</w:t>
            </w:r>
          </w:p>
          <w:p>
            <w:pPr>
              <w:snapToGrid w:val="0"/>
              <w:jc w:val="center"/>
              <w:rPr>
                <w:bCs/>
                <w:color w:val="000000"/>
                <w:sz w:val="18"/>
                <w:szCs w:val="18"/>
              </w:rPr>
            </w:pPr>
            <w:r>
              <w:rPr>
                <w:bCs/>
                <w:color w:val="000000"/>
                <w:sz w:val="18"/>
                <w:szCs w:val="18"/>
              </w:rPr>
              <w:t>9-1</w:t>
            </w:r>
          </w:p>
          <w:p>
            <w:pPr>
              <w:snapToGrid w:val="0"/>
              <w:jc w:val="center"/>
              <w:rPr>
                <w:bCs/>
                <w:color w:val="000000"/>
                <w:sz w:val="18"/>
                <w:szCs w:val="18"/>
              </w:rPr>
            </w:pPr>
            <w:r>
              <w:rPr>
                <w:bCs/>
                <w:color w:val="000000"/>
                <w:sz w:val="18"/>
                <w:szCs w:val="18"/>
              </w:rPr>
              <w:t>9-2</w:t>
            </w:r>
          </w:p>
          <w:p>
            <w:pPr>
              <w:snapToGrid w:val="0"/>
              <w:jc w:val="center"/>
              <w:rPr>
                <w:bCs/>
                <w:color w:val="000000"/>
                <w:sz w:val="18"/>
                <w:szCs w:val="18"/>
              </w:rPr>
            </w:pPr>
            <w:r>
              <w:rPr>
                <w:bCs/>
                <w:color w:val="000000"/>
                <w:sz w:val="18"/>
                <w:szCs w:val="18"/>
              </w:rPr>
              <w:t>9-3</w:t>
            </w:r>
          </w:p>
          <w:p>
            <w:pPr>
              <w:snapToGrid w:val="0"/>
              <w:jc w:val="center"/>
              <w:rPr>
                <w:bCs/>
                <w:color w:val="000000"/>
                <w:sz w:val="18"/>
                <w:szCs w:val="18"/>
              </w:rPr>
            </w:pPr>
            <w:r>
              <w:rPr>
                <w:bCs/>
                <w:color w:val="000000"/>
                <w:sz w:val="18"/>
                <w:szCs w:val="18"/>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85" w:type="pct"/>
            <w:noWrap w:val="0"/>
            <w:vAlign w:val="center"/>
          </w:tcPr>
          <w:p>
            <w:pPr>
              <w:snapToGrid w:val="0"/>
              <w:jc w:val="center"/>
              <w:rPr>
                <w:rFonts w:hint="eastAsia"/>
                <w:bCs/>
                <w:color w:val="000000"/>
                <w:sz w:val="18"/>
                <w:szCs w:val="18"/>
              </w:rPr>
            </w:pPr>
            <w:r>
              <w:rPr>
                <w:rFonts w:hint="eastAsia"/>
                <w:bCs/>
                <w:color w:val="000000"/>
                <w:sz w:val="18"/>
                <w:szCs w:val="18"/>
              </w:rPr>
              <w:t>4</w:t>
            </w:r>
          </w:p>
        </w:tc>
        <w:tc>
          <w:tcPr>
            <w:tcW w:w="2117" w:type="pct"/>
            <w:noWrap w:val="0"/>
            <w:vAlign w:val="center"/>
          </w:tcPr>
          <w:p>
            <w:pPr>
              <w:snapToGrid w:val="0"/>
              <w:rPr>
                <w:rFonts w:hint="eastAsia"/>
                <w:bCs/>
                <w:color w:val="000000"/>
                <w:sz w:val="18"/>
                <w:szCs w:val="18"/>
              </w:rPr>
            </w:pPr>
            <w:r>
              <w:rPr>
                <w:rFonts w:hint="eastAsia"/>
                <w:bCs/>
                <w:color w:val="000000"/>
                <w:sz w:val="18"/>
                <w:szCs w:val="18"/>
              </w:rPr>
              <w:t>大模型架构多模态感知实践模块</w:t>
            </w:r>
          </w:p>
        </w:tc>
        <w:tc>
          <w:tcPr>
            <w:tcW w:w="387" w:type="pct"/>
            <w:noWrap w:val="0"/>
            <w:vAlign w:val="center"/>
          </w:tcPr>
          <w:p>
            <w:pPr>
              <w:snapToGrid w:val="0"/>
              <w:jc w:val="center"/>
              <w:rPr>
                <w:rFonts w:hint="eastAsia"/>
                <w:bCs/>
                <w:color w:val="000000"/>
                <w:sz w:val="18"/>
                <w:szCs w:val="18"/>
              </w:rPr>
            </w:pPr>
            <w:r>
              <w:rPr>
                <w:rFonts w:hint="eastAsia"/>
                <w:bCs/>
                <w:color w:val="000000"/>
                <w:sz w:val="18"/>
                <w:szCs w:val="18"/>
              </w:rPr>
              <w:t>4</w:t>
            </w:r>
            <w:r>
              <w:rPr>
                <w:bCs/>
                <w:color w:val="000000"/>
                <w:sz w:val="18"/>
                <w:szCs w:val="18"/>
              </w:rPr>
              <w:t>4</w:t>
            </w:r>
          </w:p>
        </w:tc>
        <w:tc>
          <w:tcPr>
            <w:tcW w:w="474" w:type="pct"/>
            <w:noWrap w:val="0"/>
            <w:vAlign w:val="center"/>
          </w:tcPr>
          <w:p>
            <w:pPr>
              <w:snapToGrid w:val="0"/>
              <w:jc w:val="center"/>
              <w:rPr>
                <w:rFonts w:hint="eastAsia" w:hAnsi="宋体"/>
                <w:bCs/>
                <w:color w:val="000000"/>
                <w:sz w:val="18"/>
                <w:szCs w:val="18"/>
              </w:rPr>
            </w:pPr>
            <w:r>
              <w:rPr>
                <w:rFonts w:hint="eastAsia" w:hAnsi="宋体"/>
                <w:bCs/>
                <w:color w:val="000000"/>
                <w:sz w:val="18"/>
                <w:szCs w:val="18"/>
              </w:rPr>
              <w:t>设计性</w:t>
            </w:r>
          </w:p>
        </w:tc>
        <w:tc>
          <w:tcPr>
            <w:tcW w:w="449" w:type="pct"/>
            <w:noWrap w:val="0"/>
            <w:vAlign w:val="center"/>
          </w:tcPr>
          <w:p>
            <w:pPr>
              <w:snapToGrid w:val="0"/>
              <w:jc w:val="center"/>
              <w:rPr>
                <w:rFonts w:hint="eastAsia" w:hAnsi="宋体"/>
                <w:bCs/>
                <w:color w:val="000000"/>
                <w:sz w:val="18"/>
                <w:szCs w:val="18"/>
              </w:rPr>
            </w:pPr>
            <w:r>
              <w:rPr>
                <w:rFonts w:hint="eastAsia" w:hAnsi="宋体"/>
                <w:bCs/>
                <w:color w:val="000000"/>
                <w:sz w:val="18"/>
                <w:szCs w:val="18"/>
              </w:rPr>
              <w:t>必做</w:t>
            </w:r>
          </w:p>
        </w:tc>
        <w:tc>
          <w:tcPr>
            <w:tcW w:w="516" w:type="pct"/>
            <w:noWrap w:val="0"/>
            <w:vAlign w:val="center"/>
          </w:tcPr>
          <w:p>
            <w:pPr>
              <w:snapToGrid w:val="0"/>
              <w:jc w:val="center"/>
              <w:rPr>
                <w:rFonts w:eastAsia="黑体"/>
                <w:bCs/>
                <w:color w:val="000000"/>
                <w:sz w:val="18"/>
                <w:szCs w:val="18"/>
              </w:rPr>
            </w:pPr>
            <w:r>
              <w:rPr>
                <w:rFonts w:hint="eastAsia" w:eastAsia="黑体"/>
                <w:bCs/>
                <w:color w:val="000000"/>
                <w:sz w:val="18"/>
                <w:szCs w:val="18"/>
              </w:rPr>
              <w:t>1、2、6、7、8、9、10</w:t>
            </w:r>
          </w:p>
        </w:tc>
        <w:tc>
          <w:tcPr>
            <w:tcW w:w="672" w:type="pct"/>
            <w:noWrap w:val="0"/>
            <w:vAlign w:val="center"/>
          </w:tcPr>
          <w:p>
            <w:pPr>
              <w:snapToGrid w:val="0"/>
              <w:jc w:val="center"/>
              <w:rPr>
                <w:bCs/>
                <w:color w:val="000000"/>
                <w:sz w:val="18"/>
                <w:szCs w:val="18"/>
              </w:rPr>
            </w:pPr>
            <w:r>
              <w:rPr>
                <w:bCs/>
                <w:color w:val="000000"/>
                <w:sz w:val="18"/>
                <w:szCs w:val="18"/>
              </w:rPr>
              <w:t>3-1</w:t>
            </w:r>
          </w:p>
          <w:p>
            <w:pPr>
              <w:snapToGrid w:val="0"/>
              <w:jc w:val="center"/>
              <w:rPr>
                <w:bCs/>
                <w:color w:val="000000"/>
                <w:sz w:val="18"/>
                <w:szCs w:val="18"/>
              </w:rPr>
            </w:pPr>
            <w:r>
              <w:rPr>
                <w:bCs/>
                <w:color w:val="000000"/>
                <w:sz w:val="18"/>
                <w:szCs w:val="18"/>
              </w:rPr>
              <w:t>3-3</w:t>
            </w:r>
          </w:p>
          <w:p>
            <w:pPr>
              <w:snapToGrid w:val="0"/>
              <w:jc w:val="center"/>
              <w:rPr>
                <w:bCs/>
                <w:color w:val="000000"/>
                <w:sz w:val="18"/>
                <w:szCs w:val="18"/>
              </w:rPr>
            </w:pPr>
            <w:r>
              <w:rPr>
                <w:bCs/>
                <w:color w:val="000000"/>
                <w:sz w:val="18"/>
                <w:szCs w:val="18"/>
              </w:rPr>
              <w:t>7-2</w:t>
            </w:r>
          </w:p>
          <w:p>
            <w:pPr>
              <w:snapToGrid w:val="0"/>
              <w:jc w:val="center"/>
              <w:rPr>
                <w:bCs/>
                <w:color w:val="000000"/>
                <w:sz w:val="18"/>
                <w:szCs w:val="18"/>
              </w:rPr>
            </w:pPr>
            <w:r>
              <w:rPr>
                <w:bCs/>
                <w:color w:val="000000"/>
                <w:sz w:val="18"/>
                <w:szCs w:val="18"/>
              </w:rPr>
              <w:t>9-1</w:t>
            </w:r>
          </w:p>
          <w:p>
            <w:pPr>
              <w:snapToGrid w:val="0"/>
              <w:jc w:val="center"/>
              <w:rPr>
                <w:bCs/>
                <w:color w:val="000000"/>
                <w:sz w:val="18"/>
                <w:szCs w:val="18"/>
              </w:rPr>
            </w:pPr>
            <w:r>
              <w:rPr>
                <w:bCs/>
                <w:color w:val="000000"/>
                <w:sz w:val="18"/>
                <w:szCs w:val="18"/>
              </w:rPr>
              <w:t>9-2</w:t>
            </w:r>
          </w:p>
          <w:p>
            <w:pPr>
              <w:snapToGrid w:val="0"/>
              <w:jc w:val="center"/>
              <w:rPr>
                <w:bCs/>
                <w:color w:val="000000"/>
                <w:sz w:val="18"/>
                <w:szCs w:val="18"/>
              </w:rPr>
            </w:pPr>
            <w:r>
              <w:rPr>
                <w:bCs/>
                <w:color w:val="000000"/>
                <w:sz w:val="18"/>
                <w:szCs w:val="18"/>
              </w:rPr>
              <w:t>9-3</w:t>
            </w:r>
          </w:p>
          <w:p>
            <w:pPr>
              <w:snapToGrid w:val="0"/>
              <w:jc w:val="center"/>
              <w:rPr>
                <w:bCs/>
                <w:color w:val="000000"/>
                <w:sz w:val="18"/>
                <w:szCs w:val="18"/>
              </w:rPr>
            </w:pPr>
            <w:r>
              <w:rPr>
                <w:bCs/>
                <w:color w:val="000000"/>
                <w:sz w:val="18"/>
                <w:szCs w:val="18"/>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85" w:type="pct"/>
            <w:noWrap w:val="0"/>
            <w:vAlign w:val="center"/>
          </w:tcPr>
          <w:p>
            <w:pPr>
              <w:snapToGrid w:val="0"/>
              <w:jc w:val="center"/>
              <w:rPr>
                <w:rFonts w:hint="eastAsia"/>
                <w:bCs/>
                <w:color w:val="000000"/>
                <w:sz w:val="18"/>
                <w:szCs w:val="18"/>
              </w:rPr>
            </w:pPr>
            <w:r>
              <w:rPr>
                <w:bCs/>
                <w:color w:val="000000"/>
                <w:sz w:val="18"/>
                <w:szCs w:val="18"/>
              </w:rPr>
              <w:t>5</w:t>
            </w:r>
          </w:p>
        </w:tc>
        <w:tc>
          <w:tcPr>
            <w:tcW w:w="2117" w:type="pct"/>
            <w:noWrap w:val="0"/>
            <w:vAlign w:val="center"/>
          </w:tcPr>
          <w:p>
            <w:pPr>
              <w:snapToGrid w:val="0"/>
              <w:rPr>
                <w:rFonts w:hint="eastAsia" w:hAnsi="宋体"/>
                <w:bCs/>
                <w:color w:val="000000"/>
                <w:sz w:val="18"/>
                <w:szCs w:val="18"/>
              </w:rPr>
            </w:pPr>
            <w:r>
              <w:rPr>
                <w:rFonts w:hint="eastAsia" w:hAnsi="宋体"/>
                <w:bCs/>
                <w:color w:val="000000"/>
                <w:sz w:val="18"/>
                <w:szCs w:val="18"/>
              </w:rPr>
              <w:t>智能感知平台开发实践模块</w:t>
            </w:r>
          </w:p>
        </w:tc>
        <w:tc>
          <w:tcPr>
            <w:tcW w:w="387" w:type="pct"/>
            <w:noWrap w:val="0"/>
            <w:vAlign w:val="center"/>
          </w:tcPr>
          <w:p>
            <w:pPr>
              <w:snapToGrid w:val="0"/>
              <w:jc w:val="center"/>
              <w:rPr>
                <w:rFonts w:hint="eastAsia"/>
                <w:bCs/>
                <w:color w:val="000000"/>
                <w:sz w:val="18"/>
                <w:szCs w:val="18"/>
              </w:rPr>
            </w:pPr>
            <w:r>
              <w:rPr>
                <w:bCs/>
                <w:color w:val="000000"/>
                <w:sz w:val="18"/>
                <w:szCs w:val="18"/>
              </w:rPr>
              <w:t>36</w:t>
            </w:r>
          </w:p>
        </w:tc>
        <w:tc>
          <w:tcPr>
            <w:tcW w:w="474" w:type="pct"/>
            <w:noWrap w:val="0"/>
            <w:vAlign w:val="center"/>
          </w:tcPr>
          <w:p>
            <w:pPr>
              <w:snapToGrid w:val="0"/>
              <w:jc w:val="center"/>
              <w:rPr>
                <w:rFonts w:hint="eastAsia" w:hAnsi="宋体"/>
                <w:bCs/>
                <w:color w:val="000000"/>
                <w:sz w:val="18"/>
                <w:szCs w:val="18"/>
              </w:rPr>
            </w:pPr>
            <w:r>
              <w:rPr>
                <w:rFonts w:hint="eastAsia" w:hAnsi="宋体"/>
                <w:bCs/>
                <w:color w:val="000000"/>
                <w:sz w:val="18"/>
                <w:szCs w:val="18"/>
              </w:rPr>
              <w:t>设计性</w:t>
            </w:r>
          </w:p>
        </w:tc>
        <w:tc>
          <w:tcPr>
            <w:tcW w:w="449" w:type="pct"/>
            <w:noWrap w:val="0"/>
            <w:vAlign w:val="center"/>
          </w:tcPr>
          <w:p>
            <w:pPr>
              <w:snapToGrid w:val="0"/>
              <w:jc w:val="center"/>
              <w:rPr>
                <w:rFonts w:hint="eastAsia"/>
                <w:bCs/>
                <w:color w:val="000000"/>
                <w:sz w:val="18"/>
                <w:szCs w:val="18"/>
              </w:rPr>
            </w:pPr>
            <w:r>
              <w:rPr>
                <w:rFonts w:hint="eastAsia" w:hAnsi="宋体"/>
                <w:bCs/>
                <w:color w:val="000000"/>
                <w:sz w:val="18"/>
                <w:szCs w:val="18"/>
              </w:rPr>
              <w:t>必做</w:t>
            </w:r>
          </w:p>
        </w:tc>
        <w:tc>
          <w:tcPr>
            <w:tcW w:w="516" w:type="pct"/>
            <w:noWrap w:val="0"/>
            <w:vAlign w:val="center"/>
          </w:tcPr>
          <w:p>
            <w:pPr>
              <w:snapToGrid w:val="0"/>
              <w:jc w:val="center"/>
              <w:rPr>
                <w:bCs/>
                <w:color w:val="000000"/>
                <w:sz w:val="18"/>
                <w:szCs w:val="18"/>
              </w:rPr>
            </w:pPr>
            <w:r>
              <w:rPr>
                <w:rFonts w:hint="eastAsia"/>
                <w:bCs/>
                <w:color w:val="000000"/>
                <w:sz w:val="18"/>
                <w:szCs w:val="18"/>
              </w:rPr>
              <w:t>1、2、7、8、9、10</w:t>
            </w:r>
          </w:p>
        </w:tc>
        <w:tc>
          <w:tcPr>
            <w:tcW w:w="672" w:type="pct"/>
            <w:noWrap w:val="0"/>
            <w:vAlign w:val="center"/>
          </w:tcPr>
          <w:p>
            <w:pPr>
              <w:snapToGrid w:val="0"/>
              <w:jc w:val="center"/>
              <w:rPr>
                <w:bCs/>
                <w:color w:val="000000"/>
                <w:sz w:val="18"/>
                <w:szCs w:val="18"/>
              </w:rPr>
            </w:pPr>
            <w:r>
              <w:rPr>
                <w:bCs/>
                <w:color w:val="000000"/>
                <w:sz w:val="18"/>
                <w:szCs w:val="18"/>
              </w:rPr>
              <w:t>3-1</w:t>
            </w:r>
          </w:p>
          <w:p>
            <w:pPr>
              <w:snapToGrid w:val="0"/>
              <w:jc w:val="center"/>
              <w:rPr>
                <w:bCs/>
                <w:color w:val="000000"/>
                <w:sz w:val="18"/>
                <w:szCs w:val="18"/>
              </w:rPr>
            </w:pPr>
            <w:r>
              <w:rPr>
                <w:bCs/>
                <w:color w:val="000000"/>
                <w:sz w:val="18"/>
                <w:szCs w:val="18"/>
              </w:rPr>
              <w:t>3-3</w:t>
            </w:r>
          </w:p>
          <w:p>
            <w:pPr>
              <w:snapToGrid w:val="0"/>
              <w:jc w:val="center"/>
              <w:rPr>
                <w:bCs/>
                <w:color w:val="000000"/>
                <w:sz w:val="18"/>
                <w:szCs w:val="18"/>
              </w:rPr>
            </w:pPr>
            <w:r>
              <w:rPr>
                <w:bCs/>
                <w:color w:val="000000"/>
                <w:sz w:val="18"/>
                <w:szCs w:val="18"/>
              </w:rPr>
              <w:t>9-1</w:t>
            </w:r>
          </w:p>
          <w:p>
            <w:pPr>
              <w:snapToGrid w:val="0"/>
              <w:jc w:val="center"/>
              <w:rPr>
                <w:bCs/>
                <w:color w:val="000000"/>
                <w:sz w:val="18"/>
                <w:szCs w:val="18"/>
              </w:rPr>
            </w:pPr>
            <w:r>
              <w:rPr>
                <w:bCs/>
                <w:color w:val="000000"/>
                <w:sz w:val="18"/>
                <w:szCs w:val="18"/>
              </w:rPr>
              <w:t>9-2</w:t>
            </w:r>
          </w:p>
          <w:p>
            <w:pPr>
              <w:snapToGrid w:val="0"/>
              <w:jc w:val="center"/>
              <w:rPr>
                <w:bCs/>
                <w:color w:val="000000"/>
                <w:sz w:val="18"/>
                <w:szCs w:val="18"/>
              </w:rPr>
            </w:pPr>
            <w:r>
              <w:rPr>
                <w:bCs/>
                <w:color w:val="000000"/>
                <w:sz w:val="18"/>
                <w:szCs w:val="18"/>
              </w:rPr>
              <w:t>9-3</w:t>
            </w:r>
          </w:p>
          <w:p>
            <w:pPr>
              <w:snapToGrid w:val="0"/>
              <w:jc w:val="center"/>
              <w:rPr>
                <w:bCs/>
                <w:color w:val="000000"/>
                <w:sz w:val="18"/>
                <w:szCs w:val="18"/>
              </w:rPr>
            </w:pPr>
            <w:r>
              <w:rPr>
                <w:bCs/>
                <w:color w:val="000000"/>
                <w:sz w:val="18"/>
                <w:szCs w:val="18"/>
              </w:rPr>
              <w:t>11-2</w:t>
            </w:r>
          </w:p>
        </w:tc>
      </w:tr>
    </w:tbl>
    <w:p>
      <w:pPr>
        <w:adjustRightInd w:val="0"/>
        <w:snapToGrid w:val="0"/>
        <w:spacing w:before="156" w:beforeLines="50" w:line="360" w:lineRule="auto"/>
        <w:rPr>
          <w:rFonts w:hint="eastAsia" w:eastAsia="黑体"/>
          <w:color w:val="FF0000"/>
          <w:szCs w:val="21"/>
        </w:rPr>
      </w:pPr>
    </w:p>
    <w:p>
      <w:pPr>
        <w:adjustRightInd w:val="0"/>
        <w:snapToGrid w:val="0"/>
        <w:spacing w:line="360" w:lineRule="auto"/>
        <w:ind w:firstLine="420" w:firstLineChars="200"/>
        <w:rPr>
          <w:color w:val="000000"/>
          <w:szCs w:val="21"/>
          <w:lang w:bidi="ar"/>
        </w:rPr>
      </w:pPr>
      <w:r>
        <w:rPr>
          <w:rFonts w:hint="eastAsia"/>
          <w:color w:val="000000"/>
          <w:szCs w:val="21"/>
          <w:lang w:bidi="ar"/>
        </w:rPr>
        <w:t>整个实验环节分为五个模块，其中，智能感知基础实践模块由学生独立完成，ROS机器人感知实践模块、边缘AI视觉行为感知实践模块、大模型架构多模态感知实践模块、智能感知平台开发实践模块由学生协作完成，每组3~5人。</w:t>
      </w:r>
    </w:p>
    <w:p>
      <w:pPr>
        <w:adjustRightInd w:val="0"/>
        <w:snapToGrid w:val="0"/>
        <w:spacing w:line="360" w:lineRule="auto"/>
        <w:ind w:firstLine="420" w:firstLineChars="200"/>
        <w:rPr>
          <w:rFonts w:hint="eastAsia"/>
          <w:color w:val="000000"/>
          <w:szCs w:val="21"/>
          <w:lang w:bidi="ar"/>
        </w:rPr>
      </w:pPr>
      <w:r>
        <w:rPr>
          <w:rFonts w:hint="eastAsia"/>
          <w:color w:val="000000"/>
          <w:szCs w:val="21"/>
          <w:lang w:bidi="ar"/>
        </w:rPr>
        <w:t>智能感知基础实践模块、大模型架构多模态感知实践模块、智能感知平台开发实践模块在计算机上完成，要求计算机具备常用的</w:t>
      </w:r>
      <w:r>
        <w:rPr>
          <w:color w:val="000000"/>
          <w:szCs w:val="21"/>
          <w:lang w:bidi="ar"/>
        </w:rPr>
        <w:t>P</w:t>
      </w:r>
      <w:r>
        <w:rPr>
          <w:rFonts w:hint="eastAsia"/>
          <w:color w:val="000000"/>
          <w:szCs w:val="21"/>
          <w:lang w:bidi="ar"/>
        </w:rPr>
        <w:t>ython调试软件和基本的深度学习算法运行配置环境。ROS机器人感知实践模块在R</w:t>
      </w:r>
      <w:r>
        <w:rPr>
          <w:color w:val="000000"/>
          <w:szCs w:val="21"/>
          <w:lang w:bidi="ar"/>
        </w:rPr>
        <w:t>OS</w:t>
      </w:r>
      <w:r>
        <w:rPr>
          <w:rFonts w:hint="eastAsia"/>
          <w:color w:val="000000"/>
          <w:szCs w:val="21"/>
          <w:lang w:bidi="ar"/>
        </w:rPr>
        <w:t>机器人平台上完成，要求ROS机器人平台配置摄像头。边缘AI视觉行为感知实践模块在边缘A</w:t>
      </w:r>
      <w:r>
        <w:rPr>
          <w:color w:val="000000"/>
          <w:szCs w:val="21"/>
          <w:lang w:bidi="ar"/>
        </w:rPr>
        <w:t>I</w:t>
      </w:r>
      <w:r>
        <w:rPr>
          <w:rFonts w:hint="eastAsia"/>
          <w:color w:val="000000"/>
          <w:szCs w:val="21"/>
          <w:lang w:bidi="ar"/>
        </w:rPr>
        <w:t>开发板上完成，要求边缘A</w:t>
      </w:r>
      <w:r>
        <w:rPr>
          <w:color w:val="000000"/>
          <w:szCs w:val="21"/>
          <w:lang w:bidi="ar"/>
        </w:rPr>
        <w:t>I</w:t>
      </w:r>
      <w:r>
        <w:rPr>
          <w:rFonts w:hint="eastAsia"/>
          <w:color w:val="000000"/>
          <w:szCs w:val="21"/>
          <w:lang w:bidi="ar"/>
        </w:rPr>
        <w:t>开发板配置摄像头。</w:t>
      </w:r>
    </w:p>
    <w:p>
      <w:pPr>
        <w:adjustRightInd w:val="0"/>
        <w:snapToGrid w:val="0"/>
        <w:spacing w:line="360" w:lineRule="auto"/>
        <w:ind w:firstLine="420" w:firstLineChars="200"/>
        <w:rPr>
          <w:rFonts w:hint="eastAsia"/>
          <w:color w:val="000000"/>
          <w:szCs w:val="21"/>
          <w:lang w:bidi="ar"/>
        </w:rPr>
      </w:pPr>
      <w:r>
        <w:rPr>
          <w:rFonts w:hint="eastAsia"/>
          <w:color w:val="000000"/>
          <w:szCs w:val="21"/>
          <w:lang w:bidi="ar"/>
        </w:rPr>
        <w:t>在实验过程中要注重培养学生的诚信意识、创新意识和坚持精神等，通过实验使学生能够理论联系实际，灵活运用所学知识，严谨认真，精益求精，养成良好的设计习惯。</w:t>
      </w:r>
    </w:p>
    <w:p>
      <w:pPr>
        <w:adjustRightInd w:val="0"/>
        <w:snapToGrid w:val="0"/>
        <w:spacing w:line="360" w:lineRule="auto"/>
        <w:ind w:firstLine="422" w:firstLineChars="200"/>
        <w:rPr>
          <w:rFonts w:hint="eastAsia"/>
          <w:b/>
          <w:bCs/>
          <w:color w:val="000000"/>
          <w:szCs w:val="21"/>
          <w:lang w:bidi="ar"/>
        </w:rPr>
      </w:pPr>
      <w:r>
        <w:rPr>
          <w:rFonts w:hint="eastAsia"/>
          <w:b/>
          <w:bCs/>
          <w:color w:val="000000"/>
          <w:szCs w:val="21"/>
          <w:lang w:bidi="ar"/>
        </w:rPr>
        <w:t>实验一：智能感知基础实践模块</w:t>
      </w:r>
    </w:p>
    <w:p>
      <w:pPr>
        <w:adjustRightInd w:val="0"/>
        <w:snapToGrid w:val="0"/>
        <w:spacing w:line="360" w:lineRule="auto"/>
        <w:ind w:firstLine="420" w:firstLineChars="200"/>
        <w:rPr>
          <w:color w:val="000000"/>
          <w:szCs w:val="21"/>
          <w:lang w:bidi="ar"/>
        </w:rPr>
      </w:pPr>
      <w:r>
        <w:rPr>
          <w:rFonts w:hint="eastAsia"/>
          <w:color w:val="000000"/>
          <w:szCs w:val="21"/>
          <w:lang w:bidi="ar"/>
        </w:rPr>
        <w:t>实验目的：通过Python基础程序设计、感知数据预处理程序设计、基于传统机器学习的感知程序设计和基于深度学习的感知程序设计，掌握智能感知基础程序的具体细节，为智能感知综合实践后续环节奠定能力基础。</w:t>
      </w:r>
    </w:p>
    <w:p>
      <w:pPr>
        <w:adjustRightInd w:val="0"/>
        <w:snapToGrid w:val="0"/>
        <w:spacing w:line="360" w:lineRule="auto"/>
        <w:ind w:firstLine="420" w:firstLineChars="200"/>
        <w:rPr>
          <w:color w:val="000000"/>
          <w:szCs w:val="21"/>
          <w:lang w:bidi="ar"/>
        </w:rPr>
      </w:pPr>
      <w:r>
        <w:rPr>
          <w:rFonts w:hint="eastAsia"/>
          <w:color w:val="000000"/>
          <w:szCs w:val="21"/>
          <w:lang w:bidi="ar"/>
        </w:rPr>
        <w:t>实验原理：Python语言；Python基础程序原理、感知数据预处理原理、基于传统机器学习的感知原理、基于深度学习的感知原理。</w:t>
      </w:r>
    </w:p>
    <w:p>
      <w:pPr>
        <w:adjustRightInd w:val="0"/>
        <w:snapToGrid w:val="0"/>
        <w:spacing w:line="360" w:lineRule="auto"/>
        <w:ind w:firstLine="420" w:firstLineChars="200"/>
        <w:rPr>
          <w:color w:val="000000"/>
          <w:szCs w:val="21"/>
          <w:lang w:bidi="ar"/>
        </w:rPr>
      </w:pPr>
      <w:r>
        <w:rPr>
          <w:rFonts w:hint="eastAsia"/>
          <w:color w:val="000000"/>
          <w:szCs w:val="21"/>
          <w:lang w:bidi="ar"/>
        </w:rPr>
        <w:t>实验设备：计算机。</w:t>
      </w:r>
    </w:p>
    <w:p>
      <w:pPr>
        <w:adjustRightInd w:val="0"/>
        <w:snapToGrid w:val="0"/>
        <w:spacing w:line="360" w:lineRule="auto"/>
        <w:ind w:firstLine="420" w:firstLineChars="200"/>
        <w:rPr>
          <w:color w:val="000000"/>
          <w:szCs w:val="21"/>
          <w:lang w:bidi="ar"/>
        </w:rPr>
      </w:pPr>
      <w:r>
        <w:rPr>
          <w:rFonts w:hint="eastAsia"/>
          <w:color w:val="000000"/>
          <w:szCs w:val="21"/>
          <w:lang w:bidi="ar"/>
        </w:rPr>
        <w:t>实验安排： 教师介绍实验室使用要求和安全须知，讲解Python基础程序原理、感知数据预处理原理、基于传统机器学习的感知原理、基于深度学习的感知原理；学生</w:t>
      </w:r>
      <w:r>
        <w:rPr>
          <w:color w:val="000000"/>
          <w:szCs w:val="21"/>
          <w:lang w:bidi="ar"/>
        </w:rPr>
        <w:t>1</w:t>
      </w:r>
      <w:r>
        <w:rPr>
          <w:rFonts w:hint="eastAsia"/>
          <w:color w:val="000000"/>
          <w:szCs w:val="21"/>
          <w:lang w:bidi="ar"/>
        </w:rPr>
        <w:t>人1机，独立完成。</w:t>
      </w:r>
    </w:p>
    <w:p>
      <w:pPr>
        <w:adjustRightInd w:val="0"/>
        <w:snapToGrid w:val="0"/>
        <w:spacing w:line="360" w:lineRule="auto"/>
        <w:ind w:firstLine="420" w:firstLineChars="200"/>
        <w:rPr>
          <w:rFonts w:hint="eastAsia"/>
          <w:color w:val="000000"/>
          <w:szCs w:val="21"/>
          <w:lang w:bidi="ar"/>
        </w:rPr>
      </w:pPr>
      <w:r>
        <w:rPr>
          <w:rFonts w:hint="eastAsia"/>
          <w:color w:val="000000"/>
          <w:szCs w:val="21"/>
          <w:lang w:bidi="ar"/>
        </w:rPr>
        <w:t>实验报告要求：实验报告提供代码和结果截图或照片，实验结果以算法运行输出结果为准。</w:t>
      </w:r>
    </w:p>
    <w:p>
      <w:pPr>
        <w:adjustRightInd w:val="0"/>
        <w:snapToGrid w:val="0"/>
        <w:spacing w:line="360" w:lineRule="auto"/>
        <w:ind w:firstLine="422" w:firstLineChars="200"/>
        <w:rPr>
          <w:rFonts w:hint="eastAsia"/>
          <w:b/>
          <w:bCs/>
          <w:color w:val="000000"/>
          <w:szCs w:val="21"/>
          <w:lang w:bidi="ar"/>
        </w:rPr>
      </w:pPr>
      <w:r>
        <w:rPr>
          <w:rFonts w:hint="eastAsia"/>
          <w:b/>
          <w:bCs/>
          <w:color w:val="000000"/>
          <w:szCs w:val="21"/>
          <w:lang w:bidi="ar"/>
        </w:rPr>
        <w:t>实验二：ROS机器人感知实践模块</w:t>
      </w:r>
    </w:p>
    <w:p>
      <w:pPr>
        <w:adjustRightInd w:val="0"/>
        <w:snapToGrid w:val="0"/>
        <w:spacing w:line="360" w:lineRule="auto"/>
        <w:ind w:firstLine="420" w:firstLineChars="200"/>
        <w:rPr>
          <w:color w:val="000000"/>
          <w:szCs w:val="21"/>
          <w:lang w:bidi="ar"/>
        </w:rPr>
      </w:pPr>
      <w:r>
        <w:rPr>
          <w:rFonts w:hint="eastAsia"/>
          <w:color w:val="000000"/>
          <w:szCs w:val="21"/>
          <w:lang w:bidi="ar"/>
        </w:rPr>
        <w:t>实验目的：通过ROS架构基础程序设计、ROS摄像头基础程序设计、ROS视觉跟踪程序设计，掌握ROS机器人感知的具体细节，并能够根据不同场景的具体要求优化相应的算法和程序。</w:t>
      </w:r>
    </w:p>
    <w:p>
      <w:pPr>
        <w:adjustRightInd w:val="0"/>
        <w:snapToGrid w:val="0"/>
        <w:spacing w:line="360" w:lineRule="auto"/>
        <w:ind w:firstLine="420" w:firstLineChars="200"/>
        <w:rPr>
          <w:color w:val="000000"/>
          <w:szCs w:val="21"/>
          <w:lang w:bidi="ar"/>
        </w:rPr>
      </w:pPr>
      <w:r>
        <w:rPr>
          <w:rFonts w:hint="eastAsia"/>
          <w:color w:val="000000"/>
          <w:szCs w:val="21"/>
          <w:lang w:bidi="ar"/>
        </w:rPr>
        <w:t>实验原理：Python语言；ROS架构基础程序原理、ROS摄像头基础程序原理、ROS视觉跟踪程序原理。</w:t>
      </w:r>
    </w:p>
    <w:p>
      <w:pPr>
        <w:adjustRightInd w:val="0"/>
        <w:snapToGrid w:val="0"/>
        <w:spacing w:line="360" w:lineRule="auto"/>
        <w:ind w:firstLine="420" w:firstLineChars="200"/>
        <w:rPr>
          <w:color w:val="000000"/>
          <w:szCs w:val="21"/>
          <w:lang w:bidi="ar"/>
        </w:rPr>
      </w:pPr>
      <w:r>
        <w:rPr>
          <w:rFonts w:hint="eastAsia"/>
          <w:color w:val="000000"/>
          <w:szCs w:val="21"/>
          <w:lang w:bidi="ar"/>
        </w:rPr>
        <w:t>实验设备：R</w:t>
      </w:r>
      <w:r>
        <w:rPr>
          <w:color w:val="000000"/>
          <w:szCs w:val="21"/>
          <w:lang w:bidi="ar"/>
        </w:rPr>
        <w:t>OS</w:t>
      </w:r>
      <w:r>
        <w:rPr>
          <w:rFonts w:hint="eastAsia"/>
          <w:color w:val="000000"/>
          <w:szCs w:val="21"/>
          <w:lang w:bidi="ar"/>
        </w:rPr>
        <w:t>机器人平台。</w:t>
      </w:r>
    </w:p>
    <w:p>
      <w:pPr>
        <w:adjustRightInd w:val="0"/>
        <w:snapToGrid w:val="0"/>
        <w:spacing w:line="360" w:lineRule="auto"/>
        <w:ind w:firstLine="420" w:firstLineChars="200"/>
        <w:rPr>
          <w:color w:val="000000"/>
          <w:szCs w:val="21"/>
          <w:lang w:bidi="ar"/>
        </w:rPr>
      </w:pPr>
      <w:r>
        <w:rPr>
          <w:rFonts w:hint="eastAsia"/>
          <w:color w:val="000000"/>
          <w:szCs w:val="21"/>
          <w:lang w:bidi="ar"/>
        </w:rPr>
        <w:t>实验安排： 教师介绍实验室使用要求和安全须知，讲解ROS架构基础程序原理、ROS摄像头基础程序原理、ROS视觉跟踪程序原理；学生3~5人1个R</w:t>
      </w:r>
      <w:r>
        <w:rPr>
          <w:color w:val="000000"/>
          <w:szCs w:val="21"/>
          <w:lang w:bidi="ar"/>
        </w:rPr>
        <w:t>OS</w:t>
      </w:r>
      <w:r>
        <w:rPr>
          <w:rFonts w:hint="eastAsia"/>
          <w:color w:val="000000"/>
          <w:szCs w:val="21"/>
          <w:lang w:bidi="ar"/>
        </w:rPr>
        <w:t>机器人平台，协作完成。</w:t>
      </w:r>
    </w:p>
    <w:p>
      <w:pPr>
        <w:adjustRightInd w:val="0"/>
        <w:snapToGrid w:val="0"/>
        <w:spacing w:line="360" w:lineRule="auto"/>
        <w:ind w:firstLine="420" w:firstLineChars="200"/>
        <w:rPr>
          <w:color w:val="000000"/>
          <w:szCs w:val="21"/>
          <w:lang w:bidi="ar"/>
        </w:rPr>
      </w:pPr>
      <w:r>
        <w:rPr>
          <w:rFonts w:hint="eastAsia"/>
          <w:color w:val="000000"/>
          <w:szCs w:val="21"/>
          <w:lang w:bidi="ar"/>
        </w:rPr>
        <w:t>实验报告要求：实验报告提供代码和结果截图或照片，实验结果以算法运行输出结果为准。</w:t>
      </w:r>
    </w:p>
    <w:p>
      <w:pPr>
        <w:adjustRightInd w:val="0"/>
        <w:snapToGrid w:val="0"/>
        <w:spacing w:line="360" w:lineRule="auto"/>
        <w:ind w:firstLine="422" w:firstLineChars="200"/>
        <w:rPr>
          <w:rFonts w:hint="eastAsia"/>
          <w:b/>
          <w:bCs/>
          <w:color w:val="000000"/>
          <w:szCs w:val="21"/>
          <w:lang w:bidi="ar"/>
        </w:rPr>
      </w:pPr>
      <w:r>
        <w:rPr>
          <w:rFonts w:hint="eastAsia"/>
          <w:b/>
          <w:bCs/>
          <w:color w:val="000000"/>
          <w:szCs w:val="21"/>
          <w:lang w:bidi="ar"/>
        </w:rPr>
        <w:t>实验三：边缘AI视觉行为感知实践模块</w:t>
      </w:r>
    </w:p>
    <w:p>
      <w:pPr>
        <w:adjustRightInd w:val="0"/>
        <w:snapToGrid w:val="0"/>
        <w:spacing w:line="360" w:lineRule="auto"/>
        <w:ind w:firstLine="420" w:firstLineChars="200"/>
        <w:rPr>
          <w:color w:val="000000"/>
          <w:szCs w:val="21"/>
          <w:lang w:bidi="ar"/>
        </w:rPr>
      </w:pPr>
      <w:r>
        <w:rPr>
          <w:rFonts w:hint="eastAsia"/>
          <w:color w:val="000000"/>
          <w:szCs w:val="21"/>
          <w:lang w:bidi="ar"/>
        </w:rPr>
        <w:t>实验目的：通过视觉行为检测数据收集与标注、边缘AI目标检测算法实现、边缘AI行为识别算法实现、边缘AI神经网络轻量化与硬件部署，掌握边缘AI视觉行为感知的具体细节，并能够根据不同场景的具体要求优化相应的算法和部署。</w:t>
      </w:r>
    </w:p>
    <w:p>
      <w:pPr>
        <w:adjustRightInd w:val="0"/>
        <w:snapToGrid w:val="0"/>
        <w:spacing w:line="360" w:lineRule="auto"/>
        <w:ind w:firstLine="420" w:firstLineChars="200"/>
        <w:rPr>
          <w:color w:val="000000"/>
          <w:szCs w:val="21"/>
          <w:lang w:bidi="ar"/>
        </w:rPr>
      </w:pPr>
      <w:r>
        <w:rPr>
          <w:rFonts w:hint="eastAsia"/>
          <w:color w:val="000000"/>
          <w:szCs w:val="21"/>
          <w:lang w:bidi="ar"/>
        </w:rPr>
        <w:t>实验原理：Python语言；视觉行为检测数据收集与标注的原理、边缘AI目标检测算法实现的原理、边缘AI行为识别算法实现的原理、边缘AI神经网络轻量化与硬件部署的原理。</w:t>
      </w:r>
    </w:p>
    <w:p>
      <w:pPr>
        <w:adjustRightInd w:val="0"/>
        <w:snapToGrid w:val="0"/>
        <w:spacing w:line="360" w:lineRule="auto"/>
        <w:ind w:firstLine="420" w:firstLineChars="200"/>
        <w:rPr>
          <w:color w:val="000000"/>
          <w:szCs w:val="21"/>
          <w:lang w:bidi="ar"/>
        </w:rPr>
      </w:pPr>
      <w:r>
        <w:rPr>
          <w:rFonts w:hint="eastAsia"/>
          <w:color w:val="000000"/>
          <w:szCs w:val="21"/>
          <w:lang w:bidi="ar"/>
        </w:rPr>
        <w:t>实验设备：边缘A</w:t>
      </w:r>
      <w:r>
        <w:rPr>
          <w:color w:val="000000"/>
          <w:szCs w:val="21"/>
          <w:lang w:bidi="ar"/>
        </w:rPr>
        <w:t>I</w:t>
      </w:r>
      <w:r>
        <w:rPr>
          <w:rFonts w:hint="eastAsia"/>
          <w:color w:val="000000"/>
          <w:szCs w:val="21"/>
          <w:lang w:bidi="ar"/>
        </w:rPr>
        <w:t>开发板。</w:t>
      </w:r>
    </w:p>
    <w:p>
      <w:pPr>
        <w:adjustRightInd w:val="0"/>
        <w:snapToGrid w:val="0"/>
        <w:spacing w:line="360" w:lineRule="auto"/>
        <w:ind w:firstLine="420" w:firstLineChars="200"/>
        <w:rPr>
          <w:color w:val="000000"/>
          <w:szCs w:val="21"/>
          <w:lang w:bidi="ar"/>
        </w:rPr>
      </w:pPr>
      <w:r>
        <w:rPr>
          <w:rFonts w:hint="eastAsia"/>
          <w:color w:val="000000"/>
          <w:szCs w:val="21"/>
          <w:lang w:bidi="ar"/>
        </w:rPr>
        <w:t>实验安排： 教师介绍实验室使用要求和安全须知，讲解视觉行为检测数据收集与标注的原理、边缘AI目标检测算法实现的原理、边缘AI行为识别算法实现的原理、边缘AI神经网络轻量化与硬件部署的原理；学生3~</w:t>
      </w:r>
      <w:r>
        <w:rPr>
          <w:color w:val="000000"/>
          <w:szCs w:val="21"/>
          <w:lang w:bidi="ar"/>
        </w:rPr>
        <w:t>5</w:t>
      </w:r>
      <w:r>
        <w:rPr>
          <w:rFonts w:hint="eastAsia"/>
          <w:color w:val="000000"/>
          <w:szCs w:val="21"/>
          <w:lang w:bidi="ar"/>
        </w:rPr>
        <w:t>人1个边缘A</w:t>
      </w:r>
      <w:r>
        <w:rPr>
          <w:color w:val="000000"/>
          <w:szCs w:val="21"/>
          <w:lang w:bidi="ar"/>
        </w:rPr>
        <w:t>I</w:t>
      </w:r>
      <w:r>
        <w:rPr>
          <w:rFonts w:hint="eastAsia"/>
          <w:color w:val="000000"/>
          <w:szCs w:val="21"/>
          <w:lang w:bidi="ar"/>
        </w:rPr>
        <w:t>开发板，协作完成。</w:t>
      </w:r>
    </w:p>
    <w:p>
      <w:pPr>
        <w:adjustRightInd w:val="0"/>
        <w:snapToGrid w:val="0"/>
        <w:spacing w:line="360" w:lineRule="auto"/>
        <w:ind w:firstLine="420" w:firstLineChars="200"/>
        <w:rPr>
          <w:rFonts w:hint="eastAsia"/>
          <w:color w:val="000000"/>
          <w:szCs w:val="21"/>
          <w:lang w:bidi="ar"/>
        </w:rPr>
      </w:pPr>
      <w:r>
        <w:rPr>
          <w:rFonts w:hint="eastAsia"/>
          <w:color w:val="000000"/>
          <w:szCs w:val="21"/>
          <w:lang w:bidi="ar"/>
        </w:rPr>
        <w:t>实验报告要求：实验报告提供代码和结果截图或照片，实验结果以算法运行输出结果为准。</w:t>
      </w:r>
    </w:p>
    <w:p>
      <w:pPr>
        <w:adjustRightInd w:val="0"/>
        <w:snapToGrid w:val="0"/>
        <w:spacing w:line="360" w:lineRule="auto"/>
        <w:ind w:firstLine="422" w:firstLineChars="200"/>
        <w:rPr>
          <w:rFonts w:hint="eastAsia"/>
          <w:b/>
          <w:bCs/>
          <w:color w:val="000000"/>
          <w:szCs w:val="21"/>
          <w:lang w:bidi="ar"/>
        </w:rPr>
      </w:pPr>
      <w:r>
        <w:rPr>
          <w:rFonts w:hint="eastAsia"/>
          <w:b/>
          <w:bCs/>
          <w:color w:val="000000"/>
          <w:szCs w:val="21"/>
          <w:lang w:bidi="ar"/>
        </w:rPr>
        <w:t>实验四：大模型架构多模态感知实践模块</w:t>
      </w:r>
    </w:p>
    <w:p>
      <w:pPr>
        <w:adjustRightInd w:val="0"/>
        <w:snapToGrid w:val="0"/>
        <w:spacing w:line="360" w:lineRule="auto"/>
        <w:ind w:firstLine="420" w:firstLineChars="200"/>
        <w:rPr>
          <w:rFonts w:hint="eastAsia"/>
          <w:color w:val="000000"/>
          <w:szCs w:val="21"/>
          <w:lang w:bidi="ar"/>
        </w:rPr>
      </w:pPr>
      <w:r>
        <w:rPr>
          <w:rFonts w:hint="eastAsia"/>
          <w:color w:val="000000"/>
          <w:szCs w:val="21"/>
          <w:lang w:bidi="ar"/>
        </w:rPr>
        <w:t>实验目的：通过大模型架构多模态感知未来应用模式设计、大模型架构多模态感知场景理解与业务需求抽象、多模态大模型架构分析与理解、大模型多模态算法接口设计与应用部署，掌握大模型架构多模态感知的具体细节，并能够根据不同场景的具体要求优化相应的接口设计和部署。</w:t>
      </w:r>
    </w:p>
    <w:p>
      <w:pPr>
        <w:adjustRightInd w:val="0"/>
        <w:snapToGrid w:val="0"/>
        <w:spacing w:line="360" w:lineRule="auto"/>
        <w:ind w:firstLine="420" w:firstLineChars="200"/>
        <w:rPr>
          <w:color w:val="000000"/>
          <w:szCs w:val="21"/>
          <w:lang w:bidi="ar"/>
        </w:rPr>
      </w:pPr>
      <w:r>
        <w:rPr>
          <w:rFonts w:hint="eastAsia"/>
          <w:color w:val="000000"/>
          <w:szCs w:val="21"/>
          <w:lang w:bidi="ar"/>
        </w:rPr>
        <w:t>实验原理：Python语言；多模态大模型架构的原理、大模型多模态算法接口与应用部署的原理。</w:t>
      </w:r>
    </w:p>
    <w:p>
      <w:pPr>
        <w:adjustRightInd w:val="0"/>
        <w:snapToGrid w:val="0"/>
        <w:spacing w:line="360" w:lineRule="auto"/>
        <w:ind w:firstLine="420" w:firstLineChars="200"/>
        <w:rPr>
          <w:color w:val="000000"/>
          <w:szCs w:val="21"/>
          <w:lang w:bidi="ar"/>
        </w:rPr>
      </w:pPr>
      <w:r>
        <w:rPr>
          <w:rFonts w:hint="eastAsia"/>
          <w:color w:val="000000"/>
          <w:szCs w:val="21"/>
          <w:lang w:bidi="ar"/>
        </w:rPr>
        <w:t>实验设备：计算机。</w:t>
      </w:r>
    </w:p>
    <w:p>
      <w:pPr>
        <w:adjustRightInd w:val="0"/>
        <w:snapToGrid w:val="0"/>
        <w:spacing w:line="360" w:lineRule="auto"/>
        <w:ind w:firstLine="420" w:firstLineChars="200"/>
        <w:rPr>
          <w:color w:val="000000"/>
          <w:szCs w:val="21"/>
          <w:lang w:bidi="ar"/>
        </w:rPr>
      </w:pPr>
      <w:r>
        <w:rPr>
          <w:rFonts w:hint="eastAsia"/>
          <w:color w:val="000000"/>
          <w:szCs w:val="21"/>
          <w:lang w:bidi="ar"/>
        </w:rPr>
        <w:t>实验安排： 教师介绍实验室使用要求和安全须知，讲解多模态大模型架构的原理、大模型多模态算法接口与应用部署的原理，引导学生探索大模型架构多模态感知未来应用模式；学生3~</w:t>
      </w:r>
      <w:r>
        <w:rPr>
          <w:color w:val="000000"/>
          <w:szCs w:val="21"/>
          <w:lang w:bidi="ar"/>
        </w:rPr>
        <w:t>5</w:t>
      </w:r>
      <w:r>
        <w:rPr>
          <w:rFonts w:hint="eastAsia"/>
          <w:color w:val="000000"/>
          <w:szCs w:val="21"/>
          <w:lang w:bidi="ar"/>
        </w:rPr>
        <w:t>人1机，协作完成。</w:t>
      </w:r>
    </w:p>
    <w:p>
      <w:pPr>
        <w:adjustRightInd w:val="0"/>
        <w:snapToGrid w:val="0"/>
        <w:spacing w:line="360" w:lineRule="auto"/>
        <w:ind w:firstLine="420" w:firstLineChars="200"/>
        <w:rPr>
          <w:color w:val="000000"/>
          <w:szCs w:val="21"/>
          <w:lang w:bidi="ar"/>
        </w:rPr>
      </w:pPr>
      <w:r>
        <w:rPr>
          <w:rFonts w:hint="eastAsia"/>
          <w:color w:val="000000"/>
          <w:szCs w:val="21"/>
          <w:lang w:bidi="ar"/>
        </w:rPr>
        <w:t>实验报告要求：实验报告提供代码和结果截图或照片，实验结果以算法运行输出结果为准。</w:t>
      </w:r>
    </w:p>
    <w:p>
      <w:pPr>
        <w:adjustRightInd w:val="0"/>
        <w:snapToGrid w:val="0"/>
        <w:spacing w:line="360" w:lineRule="auto"/>
        <w:ind w:firstLine="422" w:firstLineChars="200"/>
        <w:rPr>
          <w:rFonts w:hint="eastAsia"/>
          <w:b/>
          <w:bCs/>
          <w:color w:val="000000"/>
          <w:szCs w:val="21"/>
          <w:lang w:bidi="ar"/>
        </w:rPr>
      </w:pPr>
      <w:r>
        <w:rPr>
          <w:rFonts w:hint="eastAsia"/>
          <w:b/>
          <w:bCs/>
          <w:color w:val="000000"/>
          <w:szCs w:val="21"/>
          <w:lang w:bidi="ar"/>
        </w:rPr>
        <w:t>实验五：智能感知平台开发实践模块</w:t>
      </w:r>
    </w:p>
    <w:p>
      <w:pPr>
        <w:adjustRightInd w:val="0"/>
        <w:snapToGrid w:val="0"/>
        <w:spacing w:line="360" w:lineRule="auto"/>
        <w:ind w:firstLine="420" w:firstLineChars="200"/>
        <w:rPr>
          <w:rFonts w:hint="eastAsia"/>
          <w:color w:val="000000"/>
          <w:szCs w:val="21"/>
          <w:lang w:bidi="ar"/>
        </w:rPr>
      </w:pPr>
      <w:r>
        <w:rPr>
          <w:rFonts w:hint="eastAsia"/>
          <w:color w:val="000000"/>
          <w:szCs w:val="21"/>
          <w:lang w:bidi="ar"/>
        </w:rPr>
        <w:t>实验目的：通过智能感知平台前后端分离架构分析与理解、智能感知平台前端应用场景渲染设计、智能感知平台前端人机界面设计、智能感知平台前后端信息交互设计，掌握智能感知平台开发的具体细节，并能够根据不同场景的具体要求优化相应的人机界面和前后端信息交互设计。</w:t>
      </w:r>
    </w:p>
    <w:p>
      <w:pPr>
        <w:adjustRightInd w:val="0"/>
        <w:snapToGrid w:val="0"/>
        <w:spacing w:line="360" w:lineRule="auto"/>
        <w:ind w:firstLine="420" w:firstLineChars="200"/>
        <w:rPr>
          <w:color w:val="000000"/>
          <w:szCs w:val="21"/>
          <w:lang w:bidi="ar"/>
        </w:rPr>
      </w:pPr>
      <w:r>
        <w:rPr>
          <w:rFonts w:hint="eastAsia"/>
          <w:color w:val="000000"/>
          <w:szCs w:val="21"/>
          <w:lang w:bidi="ar"/>
        </w:rPr>
        <w:t>实验原理：Python语言；智能感知平台前后端分离架构的原理、智能感知平台前端应用场景渲染的原理。</w:t>
      </w:r>
    </w:p>
    <w:p>
      <w:pPr>
        <w:adjustRightInd w:val="0"/>
        <w:snapToGrid w:val="0"/>
        <w:spacing w:line="360" w:lineRule="auto"/>
        <w:ind w:firstLine="420" w:firstLineChars="200"/>
        <w:rPr>
          <w:color w:val="000000"/>
          <w:szCs w:val="21"/>
          <w:lang w:bidi="ar"/>
        </w:rPr>
      </w:pPr>
      <w:r>
        <w:rPr>
          <w:rFonts w:hint="eastAsia"/>
          <w:color w:val="000000"/>
          <w:szCs w:val="21"/>
          <w:lang w:bidi="ar"/>
        </w:rPr>
        <w:t>实验设备：计算机。</w:t>
      </w:r>
    </w:p>
    <w:p>
      <w:pPr>
        <w:adjustRightInd w:val="0"/>
        <w:snapToGrid w:val="0"/>
        <w:spacing w:line="360" w:lineRule="auto"/>
        <w:ind w:firstLine="420" w:firstLineChars="200"/>
        <w:rPr>
          <w:color w:val="000000"/>
          <w:szCs w:val="21"/>
          <w:lang w:bidi="ar"/>
        </w:rPr>
      </w:pPr>
      <w:r>
        <w:rPr>
          <w:rFonts w:hint="eastAsia"/>
          <w:color w:val="000000"/>
          <w:szCs w:val="21"/>
          <w:lang w:bidi="ar"/>
        </w:rPr>
        <w:t>实验安排： 教师介绍实验室使用要求和安全须知，讲解智能感知平台前后端分离架构的原理、智能感知平台前端应用场景渲染的原理，引导学生探索智能感知平台未来新的应用场景；学生3~</w:t>
      </w:r>
      <w:r>
        <w:rPr>
          <w:color w:val="000000"/>
          <w:szCs w:val="21"/>
          <w:lang w:bidi="ar"/>
        </w:rPr>
        <w:t>5</w:t>
      </w:r>
      <w:r>
        <w:rPr>
          <w:rFonts w:hint="eastAsia"/>
          <w:color w:val="000000"/>
          <w:szCs w:val="21"/>
          <w:lang w:bidi="ar"/>
        </w:rPr>
        <w:t>人1机，协作完成。</w:t>
      </w:r>
    </w:p>
    <w:p>
      <w:pPr>
        <w:adjustRightInd w:val="0"/>
        <w:snapToGrid w:val="0"/>
        <w:spacing w:line="360" w:lineRule="auto"/>
        <w:ind w:firstLine="420" w:firstLineChars="200"/>
        <w:rPr>
          <w:rFonts w:hint="eastAsia"/>
          <w:color w:val="000000"/>
          <w:szCs w:val="21"/>
          <w:lang w:bidi="ar"/>
        </w:rPr>
      </w:pPr>
      <w:r>
        <w:rPr>
          <w:rFonts w:hint="eastAsia"/>
          <w:color w:val="000000"/>
          <w:szCs w:val="21"/>
          <w:lang w:bidi="ar"/>
        </w:rPr>
        <w:t>实验报告要求：实验报告提供代码和结果截图或照片，实验结果以算法运行输出结果为准。</w:t>
      </w:r>
    </w:p>
    <w:p>
      <w:pPr>
        <w:adjustRightInd w:val="0"/>
        <w:snapToGrid w:val="0"/>
        <w:spacing w:before="156" w:beforeLines="50" w:line="360" w:lineRule="auto"/>
        <w:rPr>
          <w:rFonts w:hint="eastAsia" w:eastAsia="黑体"/>
          <w:color w:val="000000"/>
          <w:szCs w:val="21"/>
        </w:rPr>
      </w:pPr>
      <w:r>
        <w:rPr>
          <w:rFonts w:hint="eastAsia" w:eastAsia="黑体"/>
          <w:color w:val="000000"/>
          <w:szCs w:val="21"/>
        </w:rPr>
        <w:t>五、达成课程目标的途径和措施</w:t>
      </w:r>
    </w:p>
    <w:p>
      <w:pPr>
        <w:adjustRightInd w:val="0"/>
        <w:snapToGrid w:val="0"/>
        <w:spacing w:line="360" w:lineRule="auto"/>
        <w:ind w:firstLine="420" w:firstLineChars="200"/>
        <w:rPr>
          <w:rFonts w:hint="eastAsia"/>
          <w:color w:val="000000"/>
          <w:szCs w:val="21"/>
          <w:lang w:bidi="ar"/>
        </w:rPr>
      </w:pPr>
      <w:r>
        <w:rPr>
          <w:color w:val="000000"/>
          <w:szCs w:val="21"/>
          <w:lang w:bidi="ar"/>
        </w:rPr>
        <w:t>1</w:t>
      </w:r>
      <w:r>
        <w:rPr>
          <w:rFonts w:hint="eastAsia"/>
          <w:color w:val="000000"/>
          <w:szCs w:val="21"/>
          <w:lang w:bidi="ar"/>
        </w:rPr>
        <w:t>、本课程是一门强实践性的课程，要求学生通过实验环节把所学的知识转化为工程开发设计能力，要求在教学方法上，在讲解清楚基本原理的基础上，教师要利用自身的算法开发设计工程经验，帮忙学生解决算法实际开发设计中遇到的困难，从而提高教学质量和效率。</w:t>
      </w:r>
    </w:p>
    <w:p>
      <w:pPr>
        <w:adjustRightInd w:val="0"/>
        <w:snapToGrid w:val="0"/>
        <w:spacing w:line="360" w:lineRule="auto"/>
        <w:ind w:firstLine="420" w:firstLineChars="200"/>
        <w:rPr>
          <w:color w:val="000000"/>
          <w:szCs w:val="21"/>
          <w:lang w:bidi="ar"/>
        </w:rPr>
      </w:pPr>
      <w:r>
        <w:rPr>
          <w:color w:val="000000"/>
          <w:szCs w:val="21"/>
          <w:lang w:bidi="ar"/>
        </w:rPr>
        <w:t>2</w:t>
      </w:r>
      <w:r>
        <w:rPr>
          <w:rFonts w:hint="eastAsia"/>
          <w:color w:val="000000"/>
          <w:szCs w:val="21"/>
          <w:lang w:bidi="ar"/>
        </w:rPr>
        <w:t>、为了在开放性设计的实践模块中能取得良好的教学效果，教师应该利用自己在本领域的广阔视野，多给学生介绍智能感知的前沿技术和应用成果，启发学生思考智能感知未来新的应用模式和在生活生产中的应用潜力。</w:t>
      </w:r>
    </w:p>
    <w:p>
      <w:pPr>
        <w:adjustRightInd w:val="0"/>
        <w:snapToGrid w:val="0"/>
        <w:spacing w:before="156" w:beforeLines="50" w:line="360" w:lineRule="auto"/>
        <w:rPr>
          <w:rFonts w:hint="eastAsia" w:eastAsia="黑体"/>
          <w:color w:val="000000"/>
          <w:szCs w:val="21"/>
        </w:rPr>
      </w:pPr>
      <w:r>
        <w:rPr>
          <w:rFonts w:hint="eastAsia" w:eastAsia="黑体"/>
          <w:color w:val="000000"/>
          <w:szCs w:val="21"/>
        </w:rPr>
        <w:t>六、考核方式</w:t>
      </w:r>
    </w:p>
    <w:p>
      <w:pPr>
        <w:adjustRightInd w:val="0"/>
        <w:snapToGrid w:val="0"/>
        <w:spacing w:line="360" w:lineRule="auto"/>
        <w:ind w:firstLine="422" w:firstLineChars="200"/>
        <w:rPr>
          <w:rFonts w:hint="eastAsia"/>
          <w:b/>
          <w:bCs/>
          <w:szCs w:val="21"/>
          <w:lang w:bidi="ar"/>
        </w:rPr>
      </w:pPr>
      <w:r>
        <w:rPr>
          <w:rFonts w:hint="eastAsia"/>
          <w:b/>
          <w:bCs/>
          <w:szCs w:val="21"/>
          <w:lang w:bidi="ar"/>
        </w:rPr>
        <w:t>1、评价环节</w:t>
      </w:r>
    </w:p>
    <w:p>
      <w:pPr>
        <w:adjustRightInd w:val="0"/>
        <w:snapToGrid w:val="0"/>
        <w:spacing w:line="360" w:lineRule="auto"/>
        <w:ind w:firstLine="420" w:firstLineChars="200"/>
        <w:rPr>
          <w:rFonts w:hint="eastAsia"/>
          <w:color w:val="000000"/>
          <w:szCs w:val="21"/>
          <w:lang w:bidi="ar"/>
        </w:rPr>
      </w:pPr>
      <w:r>
        <w:rPr>
          <w:rFonts w:hint="eastAsia"/>
          <w:color w:val="000000"/>
          <w:szCs w:val="21"/>
          <w:lang w:bidi="ar"/>
        </w:rPr>
        <w:t>课程考核方式包括随堂考核、实验汇报（智能感知基础实践模块、ROS机器人感知实践模块、边缘AI视觉行为感知实践模块）、答辩（大模型架构多模态感知实践模块、智能感知平台开发实践模块），所有考核环节均需覆盖到所有学生。</w:t>
      </w:r>
    </w:p>
    <w:p>
      <w:pPr>
        <w:adjustRightInd w:val="0"/>
        <w:snapToGrid w:val="0"/>
        <w:spacing w:line="360" w:lineRule="auto"/>
        <w:ind w:firstLine="422" w:firstLineChars="200"/>
        <w:rPr>
          <w:rFonts w:hint="eastAsia"/>
          <w:b/>
          <w:bCs/>
          <w:szCs w:val="21"/>
          <w:lang w:bidi="ar"/>
        </w:rPr>
      </w:pPr>
      <w:r>
        <w:rPr>
          <w:rFonts w:hint="eastAsia"/>
          <w:b/>
          <w:bCs/>
          <w:szCs w:val="21"/>
          <w:lang w:bidi="ar"/>
        </w:rPr>
        <w:t>2、定量评价</w:t>
      </w:r>
    </w:p>
    <w:p>
      <w:pPr>
        <w:adjustRightInd w:val="0"/>
        <w:snapToGrid w:val="0"/>
        <w:spacing w:line="360" w:lineRule="auto"/>
        <w:ind w:firstLine="420" w:firstLineChars="200"/>
        <w:rPr>
          <w:color w:val="000000"/>
          <w:szCs w:val="21"/>
          <w:lang w:bidi="ar"/>
        </w:rPr>
      </w:pPr>
      <w:r>
        <w:rPr>
          <w:rFonts w:hint="eastAsia"/>
          <w:color w:val="000000"/>
          <w:szCs w:val="21"/>
          <w:lang w:bidi="ar"/>
        </w:rPr>
        <w:t>本课程包含</w:t>
      </w:r>
      <w:r>
        <w:rPr>
          <w:color w:val="000000"/>
          <w:szCs w:val="21"/>
          <w:lang w:bidi="ar"/>
        </w:rPr>
        <w:t>10</w:t>
      </w:r>
      <w:r>
        <w:rPr>
          <w:rFonts w:hint="eastAsia"/>
          <w:color w:val="000000"/>
          <w:szCs w:val="21"/>
          <w:lang w:bidi="ar"/>
        </w:rPr>
        <w:t>个分课程目标，有</w:t>
      </w:r>
      <w:r>
        <w:rPr>
          <w:color w:val="000000"/>
          <w:szCs w:val="21"/>
          <w:lang w:bidi="ar"/>
        </w:rPr>
        <w:t>3</w:t>
      </w:r>
      <w:r>
        <w:rPr>
          <w:rFonts w:hint="eastAsia"/>
          <w:color w:val="000000"/>
          <w:szCs w:val="21"/>
          <w:lang w:bidi="ar"/>
        </w:rPr>
        <w:t>个考核环节，各考核方式对课程目标达成评价的权重占比分配如下表6.1。教师每个环节给学生布置任务时，要尽量做到按照以上比例布局，并对照完成合理化审查。</w:t>
      </w:r>
    </w:p>
    <w:p>
      <w:pPr>
        <w:jc w:val="center"/>
        <w:rPr>
          <w:b/>
          <w:bCs/>
          <w:color w:val="000000"/>
          <w:sz w:val="18"/>
          <w:szCs w:val="18"/>
        </w:rPr>
      </w:pPr>
      <w:r>
        <w:rPr>
          <w:b/>
          <w:bCs/>
          <w:color w:val="000000"/>
          <w:sz w:val="18"/>
          <w:szCs w:val="18"/>
        </w:rPr>
        <w:t>表</w:t>
      </w:r>
      <w:r>
        <w:rPr>
          <w:rFonts w:hint="eastAsia"/>
          <w:b/>
          <w:bCs/>
          <w:color w:val="000000"/>
          <w:sz w:val="18"/>
          <w:szCs w:val="18"/>
        </w:rPr>
        <w:t xml:space="preserve">6.1   </w:t>
      </w:r>
      <w:r>
        <w:rPr>
          <w:b/>
          <w:bCs/>
          <w:color w:val="000000"/>
          <w:sz w:val="18"/>
          <w:szCs w:val="18"/>
        </w:rPr>
        <w:t>各考核方式对课程目标达成评价的</w:t>
      </w:r>
      <w:r>
        <w:rPr>
          <w:rFonts w:hint="eastAsia"/>
          <w:b/>
          <w:bCs/>
          <w:color w:val="000000"/>
          <w:sz w:val="18"/>
          <w:szCs w:val="18"/>
        </w:rPr>
        <w:t>权重</w:t>
      </w:r>
      <w:r>
        <w:rPr>
          <w:b/>
          <w:bCs/>
          <w:color w:val="000000"/>
          <w:sz w:val="18"/>
          <w:szCs w:val="18"/>
        </w:rPr>
        <w:t>占比分配</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6"/>
        <w:gridCol w:w="2080"/>
        <w:gridCol w:w="2338"/>
        <w:gridCol w:w="2322"/>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14" w:type="pct"/>
            <w:vMerge w:val="restart"/>
            <w:noWrap w:val="0"/>
            <w:vAlign w:val="center"/>
          </w:tcPr>
          <w:p>
            <w:pPr>
              <w:snapToGrid w:val="0"/>
              <w:jc w:val="center"/>
              <w:rPr>
                <w:b/>
                <w:color w:val="000000"/>
                <w:sz w:val="18"/>
                <w:szCs w:val="18"/>
              </w:rPr>
            </w:pPr>
            <w:r>
              <w:rPr>
                <w:b/>
                <w:color w:val="000000"/>
                <w:kern w:val="0"/>
                <w:sz w:val="18"/>
                <w:szCs w:val="18"/>
              </w:rPr>
              <w:t>课程目标</w:t>
            </w:r>
          </w:p>
        </w:tc>
        <w:tc>
          <w:tcPr>
            <w:tcW w:w="3629" w:type="pct"/>
            <w:gridSpan w:val="3"/>
            <w:noWrap w:val="0"/>
            <w:vAlign w:val="top"/>
          </w:tcPr>
          <w:p>
            <w:pPr>
              <w:snapToGrid w:val="0"/>
              <w:jc w:val="center"/>
              <w:rPr>
                <w:b/>
                <w:color w:val="000000"/>
                <w:sz w:val="18"/>
                <w:szCs w:val="18"/>
              </w:rPr>
            </w:pPr>
          </w:p>
          <w:p>
            <w:pPr>
              <w:snapToGrid w:val="0"/>
              <w:jc w:val="center"/>
              <w:rPr>
                <w:rFonts w:hint="eastAsia"/>
                <w:b/>
                <w:color w:val="000000"/>
                <w:sz w:val="18"/>
                <w:szCs w:val="18"/>
              </w:rPr>
            </w:pPr>
            <w:r>
              <w:rPr>
                <w:rFonts w:hint="eastAsia"/>
                <w:b/>
                <w:color w:val="000000"/>
                <w:sz w:val="18"/>
                <w:szCs w:val="18"/>
              </w:rPr>
              <w:t>考核方式以及成绩占比</w:t>
            </w:r>
            <w:r>
              <w:rPr>
                <w:color w:val="000000"/>
                <w:position w:val="-12"/>
              </w:rPr>
              <w:object>
                <v:shape id="_x0000_i1199" o:spt="75" type="#_x0000_t75" style="height:16.1pt;width:13.35pt;" o:ole="t" filled="f" o:preferrelative="t" stroked="f" coordsize="21600,21600">
                  <v:path/>
                  <v:fill on="f" focussize="0,0"/>
                  <v:stroke on="f"/>
                  <v:imagedata r:id="rId300" o:title=""/>
                  <o:lock v:ext="edit" aspectratio="t"/>
                  <w10:wrap type="none"/>
                  <w10:anchorlock/>
                </v:shape>
                <o:OLEObject Type="Embed" ProgID="Equation.3" ShapeID="_x0000_i1199" DrawAspect="Content" ObjectID="_1468075899" r:id="rId347">
                  <o:LockedField>false</o:LockedField>
                </o:OLEObject>
              </w:object>
            </w:r>
            <w:r>
              <w:rPr>
                <w:rFonts w:hint="eastAsia"/>
                <w:b/>
                <w:color w:val="000000"/>
                <w:sz w:val="18"/>
                <w:szCs w:val="18"/>
              </w:rPr>
              <w:t>（%）</w:t>
            </w:r>
          </w:p>
        </w:tc>
        <w:tc>
          <w:tcPr>
            <w:tcW w:w="658" w:type="pct"/>
            <w:vMerge w:val="restart"/>
            <w:noWrap w:val="0"/>
            <w:vAlign w:val="center"/>
          </w:tcPr>
          <w:p>
            <w:pPr>
              <w:snapToGrid w:val="0"/>
              <w:jc w:val="center"/>
              <w:rPr>
                <w:b/>
                <w:color w:val="000000"/>
                <w:kern w:val="0"/>
                <w:sz w:val="18"/>
                <w:szCs w:val="18"/>
              </w:rPr>
            </w:pPr>
            <w:r>
              <w:rPr>
                <w:b/>
                <w:color w:val="000000"/>
                <w:kern w:val="0"/>
                <w:sz w:val="18"/>
                <w:szCs w:val="18"/>
              </w:rPr>
              <w:t>分课程</w:t>
            </w:r>
          </w:p>
          <w:p>
            <w:pPr>
              <w:snapToGrid w:val="0"/>
              <w:jc w:val="center"/>
              <w:rPr>
                <w:rFonts w:hint="eastAsia"/>
                <w:b/>
                <w:i/>
                <w:color w:val="000000"/>
                <w:kern w:val="0"/>
                <w:sz w:val="18"/>
                <w:szCs w:val="18"/>
              </w:rPr>
            </w:pPr>
            <w:r>
              <w:rPr>
                <w:b/>
                <w:color w:val="000000"/>
                <w:kern w:val="0"/>
                <w:sz w:val="18"/>
                <w:szCs w:val="18"/>
              </w:rPr>
              <w:t>目标权重</w:t>
            </w:r>
            <w:r>
              <w:rPr>
                <w:b/>
                <w:i/>
                <w:color w:val="000000"/>
                <w:kern w:val="0"/>
                <w:sz w:val="18"/>
                <w:szCs w:val="18"/>
              </w:rPr>
              <w:t>P</w:t>
            </w:r>
            <w:r>
              <w:rPr>
                <w:b/>
                <w:i/>
                <w:color w:val="000000"/>
                <w:kern w:val="0"/>
                <w:sz w:val="18"/>
                <w:szCs w:val="18"/>
                <w:vertAlign w:val="subscript"/>
              </w:rPr>
              <w:t>i</w:t>
            </w:r>
          </w:p>
          <w:p>
            <w:pPr>
              <w:snapToGrid w:val="0"/>
              <w:jc w:val="center"/>
              <w:rPr>
                <w:color w:val="000000"/>
                <w:kern w:val="0"/>
                <w:sz w:val="18"/>
                <w:szCs w:val="18"/>
              </w:rPr>
            </w:pPr>
            <w:r>
              <w:rPr>
                <w:rFonts w:hint="eastAsia"/>
                <w:b/>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vMerge w:val="continue"/>
            <w:noWrap w:val="0"/>
            <w:vAlign w:val="center"/>
          </w:tcPr>
          <w:p>
            <w:pPr>
              <w:widowControl/>
              <w:snapToGrid w:val="0"/>
              <w:jc w:val="center"/>
              <w:rPr>
                <w:b/>
                <w:color w:val="000000"/>
                <w:kern w:val="0"/>
                <w:sz w:val="18"/>
                <w:szCs w:val="18"/>
              </w:rPr>
            </w:pPr>
          </w:p>
        </w:tc>
        <w:tc>
          <w:tcPr>
            <w:tcW w:w="1120" w:type="pct"/>
            <w:noWrap w:val="0"/>
            <w:vAlign w:val="center"/>
          </w:tcPr>
          <w:p>
            <w:pPr>
              <w:widowControl/>
              <w:snapToGrid w:val="0"/>
              <w:jc w:val="center"/>
              <w:rPr>
                <w:rFonts w:hint="eastAsia"/>
                <w:b/>
                <w:color w:val="000000"/>
                <w:kern w:val="0"/>
                <w:sz w:val="18"/>
                <w:szCs w:val="18"/>
              </w:rPr>
            </w:pPr>
            <w:r>
              <w:rPr>
                <w:rFonts w:hint="eastAsia"/>
                <w:b/>
                <w:color w:val="000000"/>
                <w:kern w:val="0"/>
                <w:sz w:val="18"/>
                <w:szCs w:val="18"/>
              </w:rPr>
              <w:t>随堂考核</w:t>
            </w:r>
          </w:p>
          <w:p>
            <w:pPr>
              <w:widowControl/>
              <w:snapToGrid w:val="0"/>
              <w:jc w:val="center"/>
              <w:rPr>
                <w:rFonts w:hint="eastAsia"/>
                <w:b/>
                <w:color w:val="000000"/>
                <w:kern w:val="0"/>
                <w:sz w:val="18"/>
                <w:szCs w:val="18"/>
              </w:rPr>
            </w:pPr>
            <w:r>
              <w:rPr>
                <w:rFonts w:hint="eastAsia"/>
                <w:b/>
                <w:color w:val="000000"/>
                <w:kern w:val="0"/>
                <w:sz w:val="18"/>
                <w:szCs w:val="18"/>
              </w:rPr>
              <w:t>（1）</w:t>
            </w:r>
          </w:p>
        </w:tc>
        <w:tc>
          <w:tcPr>
            <w:tcW w:w="1259" w:type="pct"/>
            <w:noWrap w:val="0"/>
            <w:vAlign w:val="center"/>
          </w:tcPr>
          <w:p>
            <w:pPr>
              <w:widowControl/>
              <w:snapToGrid w:val="0"/>
              <w:jc w:val="center"/>
              <w:rPr>
                <w:b/>
                <w:color w:val="000000"/>
                <w:kern w:val="0"/>
                <w:sz w:val="18"/>
                <w:szCs w:val="18"/>
              </w:rPr>
            </w:pPr>
            <w:r>
              <w:rPr>
                <w:rFonts w:hint="eastAsia"/>
                <w:b/>
                <w:color w:val="000000"/>
                <w:kern w:val="0"/>
                <w:sz w:val="18"/>
                <w:szCs w:val="18"/>
              </w:rPr>
              <w:t>实验汇报</w:t>
            </w:r>
          </w:p>
          <w:p>
            <w:pPr>
              <w:widowControl/>
              <w:snapToGrid w:val="0"/>
              <w:jc w:val="center"/>
              <w:rPr>
                <w:rFonts w:hint="eastAsia"/>
                <w:b/>
                <w:color w:val="000000"/>
                <w:kern w:val="0"/>
                <w:sz w:val="18"/>
                <w:szCs w:val="18"/>
              </w:rPr>
            </w:pPr>
            <w:r>
              <w:rPr>
                <w:rFonts w:hint="eastAsia"/>
                <w:b/>
                <w:color w:val="000000"/>
                <w:kern w:val="0"/>
                <w:sz w:val="18"/>
                <w:szCs w:val="18"/>
              </w:rPr>
              <w:t>（2）</w:t>
            </w:r>
          </w:p>
        </w:tc>
        <w:tc>
          <w:tcPr>
            <w:tcW w:w="1249" w:type="pct"/>
            <w:noWrap w:val="0"/>
            <w:vAlign w:val="center"/>
          </w:tcPr>
          <w:p>
            <w:pPr>
              <w:widowControl/>
              <w:snapToGrid w:val="0"/>
              <w:jc w:val="center"/>
              <w:rPr>
                <w:b/>
                <w:color w:val="000000"/>
                <w:kern w:val="0"/>
                <w:sz w:val="18"/>
                <w:szCs w:val="18"/>
              </w:rPr>
            </w:pPr>
            <w:r>
              <w:rPr>
                <w:rFonts w:hint="eastAsia"/>
                <w:b/>
                <w:color w:val="000000"/>
                <w:kern w:val="0"/>
                <w:sz w:val="18"/>
                <w:szCs w:val="18"/>
              </w:rPr>
              <w:t>答辩</w:t>
            </w:r>
          </w:p>
          <w:p>
            <w:pPr>
              <w:widowControl/>
              <w:snapToGrid w:val="0"/>
              <w:jc w:val="center"/>
              <w:rPr>
                <w:rFonts w:hint="eastAsia"/>
                <w:b/>
                <w:color w:val="000000"/>
                <w:kern w:val="0"/>
                <w:sz w:val="18"/>
                <w:szCs w:val="18"/>
              </w:rPr>
            </w:pPr>
            <w:r>
              <w:rPr>
                <w:rFonts w:hint="eastAsia"/>
                <w:b/>
                <w:color w:val="000000"/>
                <w:kern w:val="0"/>
                <w:sz w:val="18"/>
                <w:szCs w:val="18"/>
              </w:rPr>
              <w:t>（</w:t>
            </w:r>
            <w:r>
              <w:rPr>
                <w:b/>
                <w:color w:val="000000"/>
                <w:kern w:val="0"/>
                <w:sz w:val="18"/>
                <w:szCs w:val="18"/>
              </w:rPr>
              <w:t>3</w:t>
            </w:r>
            <w:r>
              <w:rPr>
                <w:rFonts w:hint="eastAsia"/>
                <w:b/>
                <w:color w:val="000000"/>
                <w:kern w:val="0"/>
                <w:sz w:val="18"/>
                <w:szCs w:val="18"/>
              </w:rPr>
              <w:t>）</w:t>
            </w:r>
          </w:p>
        </w:tc>
        <w:tc>
          <w:tcPr>
            <w:tcW w:w="658" w:type="pct"/>
            <w:vMerge w:val="continue"/>
            <w:noWrap w:val="0"/>
            <w:vAlign w:val="top"/>
          </w:tcPr>
          <w:p>
            <w:pPr>
              <w:snapToGrid w:val="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noWrap w:val="0"/>
            <w:vAlign w:val="center"/>
          </w:tcPr>
          <w:p>
            <w:pPr>
              <w:widowControl/>
              <w:snapToGrid w:val="0"/>
              <w:jc w:val="center"/>
              <w:rPr>
                <w:color w:val="000000"/>
                <w:kern w:val="0"/>
                <w:sz w:val="18"/>
                <w:szCs w:val="18"/>
              </w:rPr>
            </w:pPr>
            <w:r>
              <w:rPr>
                <w:color w:val="000000"/>
                <w:kern w:val="0"/>
                <w:sz w:val="18"/>
                <w:szCs w:val="18"/>
              </w:rPr>
              <w:t>1</w:t>
            </w:r>
          </w:p>
        </w:tc>
        <w:tc>
          <w:tcPr>
            <w:tcW w:w="1120" w:type="pct"/>
            <w:noWrap w:val="0"/>
            <w:vAlign w:val="center"/>
          </w:tcPr>
          <w:p>
            <w:pPr>
              <w:jc w:val="center"/>
              <w:rPr>
                <w:color w:val="000000"/>
                <w:sz w:val="18"/>
                <w:szCs w:val="18"/>
              </w:rPr>
            </w:pPr>
            <w:r>
              <w:rPr>
                <w:color w:val="000000"/>
                <w:sz w:val="18"/>
                <w:szCs w:val="18"/>
                <w:lang w:bidi="ar"/>
              </w:rPr>
              <w:t xml:space="preserve">1 </w:t>
            </w:r>
          </w:p>
        </w:tc>
        <w:tc>
          <w:tcPr>
            <w:tcW w:w="1259" w:type="pct"/>
            <w:noWrap w:val="0"/>
            <w:vAlign w:val="center"/>
          </w:tcPr>
          <w:p>
            <w:pPr>
              <w:jc w:val="center"/>
              <w:rPr>
                <w:rFonts w:hint="eastAsia"/>
                <w:color w:val="000000"/>
                <w:sz w:val="18"/>
                <w:szCs w:val="18"/>
              </w:rPr>
            </w:pPr>
            <w:r>
              <w:rPr>
                <w:color w:val="000000"/>
                <w:sz w:val="18"/>
                <w:szCs w:val="18"/>
                <w:lang w:bidi="ar"/>
              </w:rPr>
              <w:t xml:space="preserve">4.5 </w:t>
            </w:r>
          </w:p>
        </w:tc>
        <w:tc>
          <w:tcPr>
            <w:tcW w:w="1249" w:type="pct"/>
            <w:noWrap w:val="0"/>
            <w:vAlign w:val="center"/>
          </w:tcPr>
          <w:p>
            <w:pPr>
              <w:jc w:val="center"/>
              <w:rPr>
                <w:rFonts w:hint="eastAsia"/>
                <w:color w:val="000000"/>
                <w:sz w:val="18"/>
                <w:szCs w:val="18"/>
              </w:rPr>
            </w:pPr>
            <w:r>
              <w:rPr>
                <w:color w:val="000000"/>
                <w:sz w:val="18"/>
                <w:szCs w:val="18"/>
                <w:lang w:bidi="ar"/>
              </w:rPr>
              <w:t>3</w:t>
            </w:r>
          </w:p>
        </w:tc>
        <w:tc>
          <w:tcPr>
            <w:tcW w:w="658" w:type="pct"/>
            <w:noWrap w:val="0"/>
            <w:vAlign w:val="center"/>
          </w:tcPr>
          <w:p>
            <w:pPr>
              <w:snapToGrid w:val="0"/>
              <w:jc w:val="center"/>
              <w:rPr>
                <w:color w:val="000000"/>
                <w:sz w:val="18"/>
                <w:szCs w:val="18"/>
              </w:rPr>
            </w:pPr>
            <w:r>
              <w:rPr>
                <w:rFonts w:hint="eastAsia"/>
                <w:color w:val="000000"/>
                <w:sz w:val="18"/>
                <w:szCs w:val="18"/>
              </w:rPr>
              <w:t>8</w:t>
            </w:r>
            <w:r>
              <w:rPr>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noWrap w:val="0"/>
            <w:vAlign w:val="center"/>
          </w:tcPr>
          <w:p>
            <w:pPr>
              <w:widowControl/>
              <w:snapToGrid w:val="0"/>
              <w:jc w:val="center"/>
              <w:rPr>
                <w:color w:val="000000"/>
                <w:kern w:val="0"/>
                <w:sz w:val="18"/>
                <w:szCs w:val="18"/>
              </w:rPr>
            </w:pPr>
            <w:r>
              <w:rPr>
                <w:color w:val="000000"/>
                <w:kern w:val="0"/>
                <w:sz w:val="18"/>
                <w:szCs w:val="18"/>
              </w:rPr>
              <w:t>2</w:t>
            </w:r>
          </w:p>
        </w:tc>
        <w:tc>
          <w:tcPr>
            <w:tcW w:w="1120" w:type="pct"/>
            <w:noWrap w:val="0"/>
            <w:vAlign w:val="center"/>
          </w:tcPr>
          <w:p>
            <w:pPr>
              <w:jc w:val="center"/>
              <w:rPr>
                <w:color w:val="000000"/>
                <w:sz w:val="18"/>
                <w:szCs w:val="18"/>
              </w:rPr>
            </w:pPr>
            <w:r>
              <w:rPr>
                <w:color w:val="000000"/>
                <w:sz w:val="18"/>
                <w:szCs w:val="18"/>
                <w:lang w:bidi="ar"/>
              </w:rPr>
              <w:t>1.5</w:t>
            </w:r>
          </w:p>
        </w:tc>
        <w:tc>
          <w:tcPr>
            <w:tcW w:w="1259" w:type="pct"/>
            <w:noWrap w:val="0"/>
            <w:vAlign w:val="center"/>
          </w:tcPr>
          <w:p>
            <w:pPr>
              <w:jc w:val="center"/>
              <w:rPr>
                <w:rFonts w:hint="eastAsia"/>
                <w:color w:val="000000"/>
                <w:sz w:val="18"/>
                <w:szCs w:val="18"/>
              </w:rPr>
            </w:pPr>
            <w:r>
              <w:rPr>
                <w:color w:val="000000"/>
                <w:sz w:val="18"/>
                <w:szCs w:val="18"/>
                <w:lang w:bidi="ar"/>
              </w:rPr>
              <w:t>4</w:t>
            </w:r>
          </w:p>
        </w:tc>
        <w:tc>
          <w:tcPr>
            <w:tcW w:w="1249" w:type="pct"/>
            <w:noWrap w:val="0"/>
            <w:vAlign w:val="center"/>
          </w:tcPr>
          <w:p>
            <w:pPr>
              <w:jc w:val="center"/>
              <w:rPr>
                <w:rFonts w:hint="eastAsia"/>
                <w:color w:val="000000"/>
                <w:sz w:val="18"/>
                <w:szCs w:val="18"/>
              </w:rPr>
            </w:pPr>
            <w:r>
              <w:rPr>
                <w:color w:val="000000"/>
                <w:sz w:val="18"/>
                <w:szCs w:val="18"/>
                <w:lang w:bidi="ar"/>
              </w:rPr>
              <w:t xml:space="preserve">5.5 </w:t>
            </w:r>
          </w:p>
        </w:tc>
        <w:tc>
          <w:tcPr>
            <w:tcW w:w="658" w:type="pct"/>
            <w:noWrap w:val="0"/>
            <w:vAlign w:val="center"/>
          </w:tcPr>
          <w:p>
            <w:pPr>
              <w:snapToGrid w:val="0"/>
              <w:jc w:val="center"/>
              <w:rPr>
                <w:color w:val="000000"/>
                <w:sz w:val="18"/>
                <w:szCs w:val="18"/>
              </w:rPr>
            </w:pPr>
            <w:r>
              <w:rPr>
                <w:rFonts w:hint="eastAsia"/>
                <w:color w:val="000000"/>
                <w:sz w:val="18"/>
                <w:szCs w:val="18"/>
              </w:rPr>
              <w:t>1</w:t>
            </w:r>
            <w:r>
              <w:rPr>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noWrap w:val="0"/>
            <w:vAlign w:val="center"/>
          </w:tcPr>
          <w:p>
            <w:pPr>
              <w:widowControl/>
              <w:snapToGrid w:val="0"/>
              <w:jc w:val="center"/>
              <w:rPr>
                <w:color w:val="000000"/>
                <w:kern w:val="0"/>
                <w:sz w:val="18"/>
                <w:szCs w:val="18"/>
              </w:rPr>
            </w:pPr>
            <w:r>
              <w:rPr>
                <w:rFonts w:hint="eastAsia"/>
                <w:color w:val="000000"/>
                <w:kern w:val="0"/>
                <w:sz w:val="18"/>
                <w:szCs w:val="18"/>
              </w:rPr>
              <w:t>3</w:t>
            </w:r>
          </w:p>
        </w:tc>
        <w:tc>
          <w:tcPr>
            <w:tcW w:w="1120" w:type="pct"/>
            <w:noWrap w:val="0"/>
            <w:vAlign w:val="center"/>
          </w:tcPr>
          <w:p>
            <w:pPr>
              <w:jc w:val="center"/>
              <w:rPr>
                <w:color w:val="000000"/>
                <w:sz w:val="18"/>
                <w:szCs w:val="18"/>
                <w:lang w:bidi="ar"/>
              </w:rPr>
            </w:pPr>
            <w:r>
              <w:rPr>
                <w:rFonts w:hint="eastAsia"/>
                <w:color w:val="000000"/>
                <w:sz w:val="18"/>
                <w:szCs w:val="18"/>
                <w:lang w:bidi="ar"/>
              </w:rPr>
              <w:t>1</w:t>
            </w:r>
          </w:p>
        </w:tc>
        <w:tc>
          <w:tcPr>
            <w:tcW w:w="1259" w:type="pct"/>
            <w:noWrap w:val="0"/>
            <w:vAlign w:val="center"/>
          </w:tcPr>
          <w:p>
            <w:pPr>
              <w:jc w:val="center"/>
              <w:rPr>
                <w:color w:val="000000"/>
                <w:sz w:val="18"/>
                <w:szCs w:val="18"/>
                <w:lang w:bidi="ar"/>
              </w:rPr>
            </w:pPr>
            <w:r>
              <w:rPr>
                <w:rFonts w:hint="eastAsia"/>
                <w:color w:val="000000"/>
                <w:sz w:val="18"/>
                <w:szCs w:val="18"/>
                <w:lang w:bidi="ar"/>
              </w:rPr>
              <w:t>4</w:t>
            </w:r>
          </w:p>
        </w:tc>
        <w:tc>
          <w:tcPr>
            <w:tcW w:w="1249" w:type="pct"/>
            <w:noWrap w:val="0"/>
            <w:vAlign w:val="center"/>
          </w:tcPr>
          <w:p>
            <w:pPr>
              <w:jc w:val="center"/>
              <w:rPr>
                <w:color w:val="000000"/>
                <w:sz w:val="18"/>
                <w:szCs w:val="18"/>
                <w:lang w:bidi="ar"/>
              </w:rPr>
            </w:pPr>
            <w:r>
              <w:rPr>
                <w:color w:val="000000"/>
                <w:sz w:val="18"/>
                <w:szCs w:val="18"/>
                <w:lang w:bidi="ar"/>
              </w:rPr>
              <w:t>6</w:t>
            </w:r>
          </w:p>
        </w:tc>
        <w:tc>
          <w:tcPr>
            <w:tcW w:w="658" w:type="pct"/>
            <w:noWrap w:val="0"/>
            <w:vAlign w:val="center"/>
          </w:tcPr>
          <w:p>
            <w:pPr>
              <w:snapToGrid w:val="0"/>
              <w:jc w:val="center"/>
              <w:rPr>
                <w:color w:val="000000"/>
                <w:sz w:val="18"/>
                <w:szCs w:val="18"/>
              </w:rPr>
            </w:pPr>
            <w:r>
              <w:rPr>
                <w:rFonts w:hint="eastAsia"/>
                <w:color w:val="000000"/>
                <w:sz w:val="18"/>
                <w:szCs w:val="18"/>
              </w:rPr>
              <w:t>1</w:t>
            </w:r>
            <w:r>
              <w:rPr>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noWrap w:val="0"/>
            <w:vAlign w:val="center"/>
          </w:tcPr>
          <w:p>
            <w:pPr>
              <w:widowControl/>
              <w:snapToGrid w:val="0"/>
              <w:jc w:val="center"/>
              <w:rPr>
                <w:color w:val="000000"/>
                <w:kern w:val="0"/>
                <w:sz w:val="18"/>
                <w:szCs w:val="18"/>
              </w:rPr>
            </w:pPr>
            <w:r>
              <w:rPr>
                <w:rFonts w:hint="eastAsia"/>
                <w:color w:val="000000"/>
                <w:kern w:val="0"/>
                <w:sz w:val="18"/>
                <w:szCs w:val="18"/>
              </w:rPr>
              <w:t>4</w:t>
            </w:r>
          </w:p>
        </w:tc>
        <w:tc>
          <w:tcPr>
            <w:tcW w:w="1120" w:type="pct"/>
            <w:noWrap w:val="0"/>
            <w:vAlign w:val="center"/>
          </w:tcPr>
          <w:p>
            <w:pPr>
              <w:jc w:val="center"/>
              <w:rPr>
                <w:color w:val="000000"/>
                <w:sz w:val="18"/>
                <w:szCs w:val="18"/>
                <w:lang w:bidi="ar"/>
              </w:rPr>
            </w:pPr>
            <w:r>
              <w:rPr>
                <w:rFonts w:hint="eastAsia"/>
                <w:color w:val="000000"/>
                <w:sz w:val="18"/>
                <w:szCs w:val="18"/>
                <w:lang w:bidi="ar"/>
              </w:rPr>
              <w:t>1</w:t>
            </w:r>
          </w:p>
        </w:tc>
        <w:tc>
          <w:tcPr>
            <w:tcW w:w="1259" w:type="pct"/>
            <w:noWrap w:val="0"/>
            <w:vAlign w:val="center"/>
          </w:tcPr>
          <w:p>
            <w:pPr>
              <w:jc w:val="center"/>
              <w:rPr>
                <w:color w:val="000000"/>
                <w:sz w:val="18"/>
                <w:szCs w:val="18"/>
                <w:lang w:bidi="ar"/>
              </w:rPr>
            </w:pPr>
            <w:r>
              <w:rPr>
                <w:color w:val="000000"/>
                <w:sz w:val="18"/>
                <w:szCs w:val="18"/>
                <w:lang w:bidi="ar"/>
              </w:rPr>
              <w:t>3.5</w:t>
            </w:r>
          </w:p>
        </w:tc>
        <w:tc>
          <w:tcPr>
            <w:tcW w:w="1249" w:type="pct"/>
            <w:noWrap w:val="0"/>
            <w:vAlign w:val="center"/>
          </w:tcPr>
          <w:p>
            <w:pPr>
              <w:jc w:val="center"/>
              <w:rPr>
                <w:color w:val="000000"/>
                <w:sz w:val="18"/>
                <w:szCs w:val="18"/>
                <w:lang w:bidi="ar"/>
              </w:rPr>
            </w:pPr>
            <w:r>
              <w:rPr>
                <w:rFonts w:hint="eastAsia"/>
                <w:color w:val="000000"/>
                <w:sz w:val="18"/>
                <w:szCs w:val="18"/>
                <w:lang w:bidi="ar"/>
              </w:rPr>
              <w:t>5</w:t>
            </w:r>
          </w:p>
        </w:tc>
        <w:tc>
          <w:tcPr>
            <w:tcW w:w="658" w:type="pct"/>
            <w:noWrap w:val="0"/>
            <w:vAlign w:val="center"/>
          </w:tcPr>
          <w:p>
            <w:pPr>
              <w:snapToGrid w:val="0"/>
              <w:jc w:val="center"/>
              <w:rPr>
                <w:color w:val="000000"/>
                <w:sz w:val="18"/>
                <w:szCs w:val="18"/>
              </w:rPr>
            </w:pPr>
            <w:r>
              <w:rPr>
                <w:rFonts w:hint="eastAsia"/>
                <w:color w:val="000000"/>
                <w:sz w:val="18"/>
                <w:szCs w:val="18"/>
              </w:rPr>
              <w:t>9</w:t>
            </w:r>
            <w:r>
              <w:rPr>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noWrap w:val="0"/>
            <w:vAlign w:val="center"/>
          </w:tcPr>
          <w:p>
            <w:pPr>
              <w:widowControl/>
              <w:snapToGrid w:val="0"/>
              <w:jc w:val="center"/>
              <w:rPr>
                <w:color w:val="000000"/>
                <w:kern w:val="0"/>
                <w:sz w:val="18"/>
                <w:szCs w:val="18"/>
              </w:rPr>
            </w:pPr>
            <w:r>
              <w:rPr>
                <w:rFonts w:hint="eastAsia"/>
                <w:color w:val="000000"/>
                <w:kern w:val="0"/>
                <w:sz w:val="18"/>
                <w:szCs w:val="18"/>
              </w:rPr>
              <w:t>5</w:t>
            </w:r>
          </w:p>
        </w:tc>
        <w:tc>
          <w:tcPr>
            <w:tcW w:w="1120" w:type="pct"/>
            <w:noWrap w:val="0"/>
            <w:vAlign w:val="center"/>
          </w:tcPr>
          <w:p>
            <w:pPr>
              <w:jc w:val="center"/>
              <w:rPr>
                <w:color w:val="000000"/>
                <w:sz w:val="18"/>
                <w:szCs w:val="18"/>
                <w:lang w:bidi="ar"/>
              </w:rPr>
            </w:pPr>
            <w:r>
              <w:rPr>
                <w:color w:val="000000"/>
                <w:sz w:val="18"/>
                <w:szCs w:val="18"/>
                <w:lang w:bidi="ar"/>
              </w:rPr>
              <w:t>0.5</w:t>
            </w:r>
          </w:p>
        </w:tc>
        <w:tc>
          <w:tcPr>
            <w:tcW w:w="1259" w:type="pct"/>
            <w:noWrap w:val="0"/>
            <w:vAlign w:val="center"/>
          </w:tcPr>
          <w:p>
            <w:pPr>
              <w:jc w:val="center"/>
              <w:rPr>
                <w:color w:val="000000"/>
                <w:sz w:val="18"/>
                <w:szCs w:val="18"/>
                <w:lang w:bidi="ar"/>
              </w:rPr>
            </w:pPr>
            <w:r>
              <w:rPr>
                <w:color w:val="000000"/>
                <w:sz w:val="18"/>
                <w:szCs w:val="18"/>
                <w:lang w:bidi="ar"/>
              </w:rPr>
              <w:t>5</w:t>
            </w:r>
          </w:p>
        </w:tc>
        <w:tc>
          <w:tcPr>
            <w:tcW w:w="1249" w:type="pct"/>
            <w:noWrap w:val="0"/>
            <w:vAlign w:val="center"/>
          </w:tcPr>
          <w:p>
            <w:pPr>
              <w:jc w:val="center"/>
              <w:rPr>
                <w:color w:val="000000"/>
                <w:sz w:val="18"/>
                <w:szCs w:val="18"/>
                <w:lang w:bidi="ar"/>
              </w:rPr>
            </w:pPr>
            <w:r>
              <w:rPr>
                <w:color w:val="000000"/>
                <w:sz w:val="18"/>
                <w:szCs w:val="18"/>
                <w:lang w:bidi="ar"/>
              </w:rPr>
              <w:t>4.5</w:t>
            </w:r>
          </w:p>
        </w:tc>
        <w:tc>
          <w:tcPr>
            <w:tcW w:w="658" w:type="pct"/>
            <w:noWrap w:val="0"/>
            <w:vAlign w:val="center"/>
          </w:tcPr>
          <w:p>
            <w:pPr>
              <w:snapToGrid w:val="0"/>
              <w:jc w:val="center"/>
              <w:rPr>
                <w:color w:val="000000"/>
                <w:sz w:val="18"/>
                <w:szCs w:val="18"/>
              </w:rPr>
            </w:pPr>
            <w:r>
              <w:rPr>
                <w:rFonts w:hint="eastAsia"/>
                <w:color w:val="000000"/>
                <w:sz w:val="18"/>
                <w:szCs w:val="18"/>
              </w:rPr>
              <w:t>1</w:t>
            </w:r>
            <w:r>
              <w:rPr>
                <w:color w:val="00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noWrap w:val="0"/>
            <w:vAlign w:val="center"/>
          </w:tcPr>
          <w:p>
            <w:pPr>
              <w:widowControl/>
              <w:snapToGrid w:val="0"/>
              <w:jc w:val="center"/>
              <w:rPr>
                <w:color w:val="000000"/>
                <w:kern w:val="0"/>
                <w:sz w:val="18"/>
                <w:szCs w:val="18"/>
              </w:rPr>
            </w:pPr>
            <w:r>
              <w:rPr>
                <w:rFonts w:hint="eastAsia"/>
                <w:color w:val="000000"/>
                <w:kern w:val="0"/>
                <w:sz w:val="18"/>
                <w:szCs w:val="18"/>
              </w:rPr>
              <w:t>6</w:t>
            </w:r>
          </w:p>
        </w:tc>
        <w:tc>
          <w:tcPr>
            <w:tcW w:w="1120" w:type="pct"/>
            <w:noWrap w:val="0"/>
            <w:vAlign w:val="center"/>
          </w:tcPr>
          <w:p>
            <w:pPr>
              <w:jc w:val="center"/>
              <w:rPr>
                <w:color w:val="000000"/>
                <w:sz w:val="18"/>
                <w:szCs w:val="18"/>
                <w:lang w:bidi="ar"/>
              </w:rPr>
            </w:pPr>
            <w:r>
              <w:rPr>
                <w:rFonts w:hint="eastAsia"/>
                <w:color w:val="000000"/>
                <w:sz w:val="18"/>
                <w:szCs w:val="18"/>
                <w:lang w:bidi="ar"/>
              </w:rPr>
              <w:t>1</w:t>
            </w:r>
            <w:r>
              <w:rPr>
                <w:color w:val="000000"/>
                <w:sz w:val="18"/>
                <w:szCs w:val="18"/>
                <w:lang w:bidi="ar"/>
              </w:rPr>
              <w:t>.5</w:t>
            </w:r>
          </w:p>
        </w:tc>
        <w:tc>
          <w:tcPr>
            <w:tcW w:w="1259" w:type="pct"/>
            <w:noWrap w:val="0"/>
            <w:vAlign w:val="center"/>
          </w:tcPr>
          <w:p>
            <w:pPr>
              <w:jc w:val="center"/>
              <w:rPr>
                <w:color w:val="000000"/>
                <w:sz w:val="18"/>
                <w:szCs w:val="18"/>
                <w:lang w:bidi="ar"/>
              </w:rPr>
            </w:pPr>
            <w:r>
              <w:rPr>
                <w:rFonts w:hint="eastAsia"/>
                <w:color w:val="000000"/>
                <w:sz w:val="18"/>
                <w:szCs w:val="18"/>
                <w:lang w:bidi="ar"/>
              </w:rPr>
              <w:t>4</w:t>
            </w:r>
            <w:r>
              <w:rPr>
                <w:color w:val="000000"/>
                <w:sz w:val="18"/>
                <w:szCs w:val="18"/>
                <w:lang w:bidi="ar"/>
              </w:rPr>
              <w:t>.5</w:t>
            </w:r>
          </w:p>
        </w:tc>
        <w:tc>
          <w:tcPr>
            <w:tcW w:w="1249" w:type="pct"/>
            <w:noWrap w:val="0"/>
            <w:vAlign w:val="center"/>
          </w:tcPr>
          <w:p>
            <w:pPr>
              <w:jc w:val="center"/>
              <w:rPr>
                <w:color w:val="000000"/>
                <w:sz w:val="18"/>
                <w:szCs w:val="18"/>
                <w:lang w:bidi="ar"/>
              </w:rPr>
            </w:pPr>
            <w:r>
              <w:rPr>
                <w:color w:val="000000"/>
                <w:sz w:val="18"/>
                <w:szCs w:val="18"/>
                <w:lang w:bidi="ar"/>
              </w:rPr>
              <w:t>4</w:t>
            </w:r>
          </w:p>
        </w:tc>
        <w:tc>
          <w:tcPr>
            <w:tcW w:w="658" w:type="pct"/>
            <w:noWrap w:val="0"/>
            <w:vAlign w:val="center"/>
          </w:tcPr>
          <w:p>
            <w:pPr>
              <w:snapToGrid w:val="0"/>
              <w:jc w:val="center"/>
              <w:rPr>
                <w:color w:val="000000"/>
                <w:sz w:val="18"/>
                <w:szCs w:val="18"/>
              </w:rPr>
            </w:pPr>
            <w:r>
              <w:rPr>
                <w:rFonts w:hint="eastAsia"/>
                <w:color w:val="000000"/>
                <w:sz w:val="18"/>
                <w:szCs w:val="18"/>
              </w:rPr>
              <w:t>1</w:t>
            </w:r>
            <w:r>
              <w:rPr>
                <w:color w:val="00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noWrap w:val="0"/>
            <w:vAlign w:val="center"/>
          </w:tcPr>
          <w:p>
            <w:pPr>
              <w:widowControl/>
              <w:snapToGrid w:val="0"/>
              <w:jc w:val="center"/>
              <w:rPr>
                <w:color w:val="000000"/>
                <w:kern w:val="0"/>
                <w:sz w:val="18"/>
                <w:szCs w:val="18"/>
              </w:rPr>
            </w:pPr>
            <w:r>
              <w:rPr>
                <w:rFonts w:hint="eastAsia"/>
                <w:color w:val="000000"/>
                <w:kern w:val="0"/>
                <w:sz w:val="18"/>
                <w:szCs w:val="18"/>
              </w:rPr>
              <w:t>7</w:t>
            </w:r>
          </w:p>
        </w:tc>
        <w:tc>
          <w:tcPr>
            <w:tcW w:w="1120" w:type="pct"/>
            <w:noWrap w:val="0"/>
            <w:vAlign w:val="center"/>
          </w:tcPr>
          <w:p>
            <w:pPr>
              <w:jc w:val="center"/>
              <w:rPr>
                <w:color w:val="000000"/>
                <w:sz w:val="18"/>
                <w:szCs w:val="18"/>
                <w:lang w:bidi="ar"/>
              </w:rPr>
            </w:pPr>
            <w:r>
              <w:rPr>
                <w:color w:val="000000"/>
                <w:sz w:val="18"/>
                <w:szCs w:val="18"/>
                <w:lang w:bidi="ar"/>
              </w:rPr>
              <w:t>0.5</w:t>
            </w:r>
          </w:p>
        </w:tc>
        <w:tc>
          <w:tcPr>
            <w:tcW w:w="1259" w:type="pct"/>
            <w:noWrap w:val="0"/>
            <w:vAlign w:val="center"/>
          </w:tcPr>
          <w:p>
            <w:pPr>
              <w:jc w:val="center"/>
              <w:rPr>
                <w:color w:val="000000"/>
                <w:sz w:val="18"/>
                <w:szCs w:val="18"/>
                <w:lang w:bidi="ar"/>
              </w:rPr>
            </w:pPr>
            <w:r>
              <w:rPr>
                <w:rFonts w:hint="eastAsia"/>
                <w:color w:val="000000"/>
                <w:sz w:val="18"/>
                <w:szCs w:val="18"/>
                <w:lang w:bidi="ar"/>
              </w:rPr>
              <w:t>4</w:t>
            </w:r>
          </w:p>
        </w:tc>
        <w:tc>
          <w:tcPr>
            <w:tcW w:w="1249" w:type="pct"/>
            <w:noWrap w:val="0"/>
            <w:vAlign w:val="center"/>
          </w:tcPr>
          <w:p>
            <w:pPr>
              <w:jc w:val="center"/>
              <w:rPr>
                <w:color w:val="000000"/>
                <w:sz w:val="18"/>
                <w:szCs w:val="18"/>
                <w:lang w:bidi="ar"/>
              </w:rPr>
            </w:pPr>
            <w:r>
              <w:rPr>
                <w:rFonts w:hint="eastAsia"/>
                <w:color w:val="000000"/>
                <w:sz w:val="18"/>
                <w:szCs w:val="18"/>
                <w:lang w:bidi="ar"/>
              </w:rPr>
              <w:t>5</w:t>
            </w:r>
          </w:p>
        </w:tc>
        <w:tc>
          <w:tcPr>
            <w:tcW w:w="658" w:type="pct"/>
            <w:noWrap w:val="0"/>
            <w:vAlign w:val="center"/>
          </w:tcPr>
          <w:p>
            <w:pPr>
              <w:snapToGrid w:val="0"/>
              <w:jc w:val="center"/>
              <w:rPr>
                <w:color w:val="000000"/>
                <w:sz w:val="18"/>
                <w:szCs w:val="18"/>
              </w:rPr>
            </w:pPr>
            <w:r>
              <w:rPr>
                <w:rFonts w:hint="eastAsia"/>
                <w:color w:val="000000"/>
                <w:sz w:val="18"/>
                <w:szCs w:val="18"/>
              </w:rPr>
              <w:t>9</w:t>
            </w:r>
            <w:r>
              <w:rPr>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noWrap w:val="0"/>
            <w:vAlign w:val="center"/>
          </w:tcPr>
          <w:p>
            <w:pPr>
              <w:widowControl/>
              <w:snapToGrid w:val="0"/>
              <w:jc w:val="center"/>
              <w:rPr>
                <w:rFonts w:hint="eastAsia"/>
                <w:color w:val="000000"/>
                <w:kern w:val="0"/>
                <w:sz w:val="18"/>
                <w:szCs w:val="18"/>
              </w:rPr>
            </w:pPr>
            <w:r>
              <w:rPr>
                <w:rFonts w:hint="eastAsia"/>
                <w:color w:val="000000"/>
                <w:kern w:val="0"/>
                <w:sz w:val="18"/>
                <w:szCs w:val="18"/>
              </w:rPr>
              <w:t>8</w:t>
            </w:r>
          </w:p>
        </w:tc>
        <w:tc>
          <w:tcPr>
            <w:tcW w:w="1120" w:type="pct"/>
            <w:noWrap w:val="0"/>
            <w:vAlign w:val="center"/>
          </w:tcPr>
          <w:p>
            <w:pPr>
              <w:jc w:val="center"/>
              <w:rPr>
                <w:color w:val="000000"/>
                <w:sz w:val="18"/>
                <w:szCs w:val="18"/>
                <w:lang w:bidi="ar"/>
              </w:rPr>
            </w:pPr>
            <w:r>
              <w:rPr>
                <w:rFonts w:hint="eastAsia"/>
                <w:color w:val="000000"/>
                <w:sz w:val="18"/>
                <w:szCs w:val="18"/>
                <w:lang w:bidi="ar"/>
              </w:rPr>
              <w:t>1.</w:t>
            </w:r>
            <w:r>
              <w:rPr>
                <w:color w:val="000000"/>
                <w:sz w:val="18"/>
                <w:szCs w:val="18"/>
                <w:lang w:bidi="ar"/>
              </w:rPr>
              <w:t>5</w:t>
            </w:r>
          </w:p>
        </w:tc>
        <w:tc>
          <w:tcPr>
            <w:tcW w:w="1259" w:type="pct"/>
            <w:noWrap w:val="0"/>
            <w:vAlign w:val="center"/>
          </w:tcPr>
          <w:p>
            <w:pPr>
              <w:jc w:val="center"/>
              <w:rPr>
                <w:color w:val="000000"/>
                <w:sz w:val="18"/>
                <w:szCs w:val="18"/>
                <w:lang w:bidi="ar"/>
              </w:rPr>
            </w:pPr>
            <w:r>
              <w:rPr>
                <w:color w:val="000000"/>
                <w:sz w:val="18"/>
                <w:szCs w:val="18"/>
                <w:lang w:bidi="ar"/>
              </w:rPr>
              <w:t>3.5</w:t>
            </w:r>
          </w:p>
        </w:tc>
        <w:tc>
          <w:tcPr>
            <w:tcW w:w="1249" w:type="pct"/>
            <w:noWrap w:val="0"/>
            <w:vAlign w:val="center"/>
          </w:tcPr>
          <w:p>
            <w:pPr>
              <w:jc w:val="center"/>
              <w:rPr>
                <w:color w:val="000000"/>
                <w:sz w:val="18"/>
                <w:szCs w:val="18"/>
                <w:lang w:bidi="ar"/>
              </w:rPr>
            </w:pPr>
            <w:r>
              <w:rPr>
                <w:rFonts w:hint="eastAsia"/>
                <w:color w:val="000000"/>
                <w:sz w:val="18"/>
                <w:szCs w:val="18"/>
                <w:lang w:bidi="ar"/>
              </w:rPr>
              <w:t>5</w:t>
            </w:r>
          </w:p>
        </w:tc>
        <w:tc>
          <w:tcPr>
            <w:tcW w:w="658" w:type="pct"/>
            <w:noWrap w:val="0"/>
            <w:vAlign w:val="center"/>
          </w:tcPr>
          <w:p>
            <w:pPr>
              <w:snapToGrid w:val="0"/>
              <w:jc w:val="center"/>
              <w:rPr>
                <w:color w:val="000000"/>
                <w:sz w:val="18"/>
                <w:szCs w:val="18"/>
              </w:rPr>
            </w:pPr>
            <w:r>
              <w:rPr>
                <w:rFonts w:hint="eastAsia"/>
                <w:color w:val="000000"/>
                <w:sz w:val="18"/>
                <w:szCs w:val="18"/>
              </w:rPr>
              <w:t>1</w:t>
            </w:r>
            <w:r>
              <w:rPr>
                <w:color w:val="00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noWrap w:val="0"/>
            <w:vAlign w:val="center"/>
          </w:tcPr>
          <w:p>
            <w:pPr>
              <w:widowControl/>
              <w:snapToGrid w:val="0"/>
              <w:jc w:val="center"/>
              <w:rPr>
                <w:rFonts w:hint="eastAsia"/>
                <w:color w:val="000000"/>
                <w:kern w:val="0"/>
                <w:sz w:val="18"/>
                <w:szCs w:val="18"/>
              </w:rPr>
            </w:pPr>
            <w:r>
              <w:rPr>
                <w:rFonts w:hint="eastAsia"/>
                <w:color w:val="000000"/>
                <w:kern w:val="0"/>
                <w:sz w:val="18"/>
                <w:szCs w:val="18"/>
              </w:rPr>
              <w:t>9</w:t>
            </w:r>
          </w:p>
        </w:tc>
        <w:tc>
          <w:tcPr>
            <w:tcW w:w="1120" w:type="pct"/>
            <w:noWrap w:val="0"/>
            <w:vAlign w:val="center"/>
          </w:tcPr>
          <w:p>
            <w:pPr>
              <w:jc w:val="center"/>
              <w:rPr>
                <w:color w:val="000000"/>
                <w:sz w:val="18"/>
                <w:szCs w:val="18"/>
                <w:lang w:bidi="ar"/>
              </w:rPr>
            </w:pPr>
            <w:r>
              <w:rPr>
                <w:rFonts w:hint="eastAsia"/>
                <w:color w:val="000000"/>
                <w:sz w:val="18"/>
                <w:szCs w:val="18"/>
                <w:lang w:bidi="ar"/>
              </w:rPr>
              <w:t>1</w:t>
            </w:r>
          </w:p>
        </w:tc>
        <w:tc>
          <w:tcPr>
            <w:tcW w:w="1259" w:type="pct"/>
            <w:noWrap w:val="0"/>
            <w:vAlign w:val="center"/>
          </w:tcPr>
          <w:p>
            <w:pPr>
              <w:jc w:val="center"/>
              <w:rPr>
                <w:color w:val="000000"/>
                <w:sz w:val="18"/>
                <w:szCs w:val="18"/>
                <w:lang w:bidi="ar"/>
              </w:rPr>
            </w:pPr>
            <w:r>
              <w:rPr>
                <w:rFonts w:hint="eastAsia"/>
                <w:color w:val="000000"/>
                <w:sz w:val="18"/>
                <w:szCs w:val="18"/>
                <w:lang w:bidi="ar"/>
              </w:rPr>
              <w:t>4</w:t>
            </w:r>
          </w:p>
        </w:tc>
        <w:tc>
          <w:tcPr>
            <w:tcW w:w="1249" w:type="pct"/>
            <w:noWrap w:val="0"/>
            <w:vAlign w:val="center"/>
          </w:tcPr>
          <w:p>
            <w:pPr>
              <w:jc w:val="center"/>
              <w:rPr>
                <w:color w:val="000000"/>
                <w:sz w:val="18"/>
                <w:szCs w:val="18"/>
                <w:lang w:bidi="ar"/>
              </w:rPr>
            </w:pPr>
            <w:r>
              <w:rPr>
                <w:color w:val="000000"/>
                <w:sz w:val="18"/>
                <w:szCs w:val="18"/>
                <w:lang w:bidi="ar"/>
              </w:rPr>
              <w:t>7</w:t>
            </w:r>
          </w:p>
        </w:tc>
        <w:tc>
          <w:tcPr>
            <w:tcW w:w="658" w:type="pct"/>
            <w:noWrap w:val="0"/>
            <w:vAlign w:val="center"/>
          </w:tcPr>
          <w:p>
            <w:pPr>
              <w:snapToGrid w:val="0"/>
              <w:jc w:val="center"/>
              <w:rPr>
                <w:color w:val="000000"/>
                <w:sz w:val="18"/>
                <w:szCs w:val="18"/>
              </w:rPr>
            </w:pPr>
            <w:r>
              <w:rPr>
                <w:rFonts w:hint="eastAsia"/>
                <w:color w:val="000000"/>
                <w:sz w:val="18"/>
                <w:szCs w:val="18"/>
              </w:rPr>
              <w:t>1</w:t>
            </w:r>
            <w:r>
              <w:rPr>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noWrap w:val="0"/>
            <w:vAlign w:val="center"/>
          </w:tcPr>
          <w:p>
            <w:pPr>
              <w:widowControl/>
              <w:snapToGrid w:val="0"/>
              <w:jc w:val="center"/>
              <w:rPr>
                <w:rFonts w:hint="eastAsia"/>
                <w:color w:val="000000"/>
                <w:kern w:val="0"/>
                <w:sz w:val="18"/>
                <w:szCs w:val="18"/>
              </w:rPr>
            </w:pPr>
            <w:r>
              <w:rPr>
                <w:rFonts w:hint="eastAsia"/>
                <w:color w:val="000000"/>
                <w:kern w:val="0"/>
                <w:sz w:val="18"/>
                <w:szCs w:val="18"/>
              </w:rPr>
              <w:t>1</w:t>
            </w:r>
            <w:r>
              <w:rPr>
                <w:color w:val="000000"/>
                <w:kern w:val="0"/>
                <w:sz w:val="18"/>
                <w:szCs w:val="18"/>
              </w:rPr>
              <w:t>0</w:t>
            </w:r>
          </w:p>
        </w:tc>
        <w:tc>
          <w:tcPr>
            <w:tcW w:w="1120" w:type="pct"/>
            <w:noWrap w:val="0"/>
            <w:vAlign w:val="center"/>
          </w:tcPr>
          <w:p>
            <w:pPr>
              <w:jc w:val="center"/>
              <w:rPr>
                <w:color w:val="000000"/>
                <w:sz w:val="18"/>
                <w:szCs w:val="18"/>
                <w:lang w:bidi="ar"/>
              </w:rPr>
            </w:pPr>
            <w:r>
              <w:rPr>
                <w:color w:val="000000"/>
                <w:sz w:val="18"/>
                <w:szCs w:val="18"/>
                <w:lang w:bidi="ar"/>
              </w:rPr>
              <w:t>0.5</w:t>
            </w:r>
          </w:p>
        </w:tc>
        <w:tc>
          <w:tcPr>
            <w:tcW w:w="1259" w:type="pct"/>
            <w:noWrap w:val="0"/>
            <w:vAlign w:val="center"/>
          </w:tcPr>
          <w:p>
            <w:pPr>
              <w:jc w:val="center"/>
              <w:rPr>
                <w:color w:val="000000"/>
                <w:sz w:val="18"/>
                <w:szCs w:val="18"/>
                <w:lang w:bidi="ar"/>
              </w:rPr>
            </w:pPr>
            <w:r>
              <w:rPr>
                <w:color w:val="000000"/>
                <w:sz w:val="18"/>
                <w:szCs w:val="18"/>
                <w:lang w:bidi="ar"/>
              </w:rPr>
              <w:t>3</w:t>
            </w:r>
          </w:p>
        </w:tc>
        <w:tc>
          <w:tcPr>
            <w:tcW w:w="1249" w:type="pct"/>
            <w:noWrap w:val="0"/>
            <w:vAlign w:val="center"/>
          </w:tcPr>
          <w:p>
            <w:pPr>
              <w:jc w:val="center"/>
              <w:rPr>
                <w:color w:val="000000"/>
                <w:sz w:val="18"/>
                <w:szCs w:val="18"/>
                <w:lang w:bidi="ar"/>
              </w:rPr>
            </w:pPr>
            <w:r>
              <w:rPr>
                <w:rFonts w:hint="eastAsia"/>
                <w:color w:val="000000"/>
                <w:sz w:val="18"/>
                <w:szCs w:val="18"/>
                <w:lang w:bidi="ar"/>
              </w:rPr>
              <w:t>5</w:t>
            </w:r>
          </w:p>
        </w:tc>
        <w:tc>
          <w:tcPr>
            <w:tcW w:w="658" w:type="pct"/>
            <w:noWrap w:val="0"/>
            <w:vAlign w:val="center"/>
          </w:tcPr>
          <w:p>
            <w:pPr>
              <w:snapToGrid w:val="0"/>
              <w:jc w:val="center"/>
              <w:rPr>
                <w:color w:val="000000"/>
                <w:sz w:val="18"/>
                <w:szCs w:val="18"/>
              </w:rPr>
            </w:pPr>
            <w:r>
              <w:rPr>
                <w:rFonts w:hint="eastAsia"/>
                <w:color w:val="000000"/>
                <w:sz w:val="18"/>
                <w:szCs w:val="18"/>
              </w:rPr>
              <w:t>8</w:t>
            </w:r>
            <w:r>
              <w:rPr>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noWrap w:val="0"/>
            <w:vAlign w:val="center"/>
          </w:tcPr>
          <w:p>
            <w:pPr>
              <w:widowControl/>
              <w:snapToGrid w:val="0"/>
              <w:jc w:val="center"/>
              <w:rPr>
                <w:color w:val="000000"/>
                <w:kern w:val="0"/>
                <w:sz w:val="18"/>
                <w:szCs w:val="18"/>
              </w:rPr>
            </w:pPr>
            <w:r>
              <w:rPr>
                <w:rFonts w:hint="eastAsia"/>
                <w:color w:val="000000"/>
                <w:kern w:val="0"/>
                <w:sz w:val="18"/>
                <w:szCs w:val="18"/>
              </w:rPr>
              <w:t>考核环节成绩比例合计（%）</w:t>
            </w:r>
          </w:p>
        </w:tc>
        <w:tc>
          <w:tcPr>
            <w:tcW w:w="1120" w:type="pct"/>
            <w:noWrap w:val="0"/>
            <w:vAlign w:val="center"/>
          </w:tcPr>
          <w:p>
            <w:pPr>
              <w:jc w:val="center"/>
              <w:rPr>
                <w:color w:val="000000"/>
                <w:sz w:val="18"/>
                <w:szCs w:val="18"/>
              </w:rPr>
            </w:pPr>
            <w:r>
              <w:rPr>
                <w:color w:val="000000"/>
                <w:sz w:val="18"/>
                <w:szCs w:val="18"/>
                <w:lang w:bidi="ar"/>
              </w:rPr>
              <w:t>10</w:t>
            </w:r>
          </w:p>
        </w:tc>
        <w:tc>
          <w:tcPr>
            <w:tcW w:w="1" w:type="pct"/>
            <w:noWrap w:val="0"/>
            <w:vAlign w:val="center"/>
          </w:tcPr>
          <w:p>
            <w:pPr>
              <w:jc w:val="center"/>
              <w:rPr>
                <w:rFonts w:hint="eastAsia"/>
                <w:color w:val="000000"/>
                <w:sz w:val="18"/>
                <w:szCs w:val="18"/>
              </w:rPr>
            </w:pPr>
            <w:r>
              <w:rPr>
                <w:color w:val="000000"/>
                <w:sz w:val="18"/>
                <w:szCs w:val="18"/>
                <w:lang w:bidi="ar"/>
              </w:rPr>
              <w:t>40</w:t>
            </w:r>
          </w:p>
        </w:tc>
        <w:tc>
          <w:tcPr>
            <w:tcW w:w="1249" w:type="pct"/>
            <w:noWrap w:val="0"/>
            <w:vAlign w:val="center"/>
          </w:tcPr>
          <w:p>
            <w:pPr>
              <w:jc w:val="center"/>
              <w:rPr>
                <w:rFonts w:hint="eastAsia"/>
                <w:color w:val="000000"/>
                <w:sz w:val="18"/>
                <w:szCs w:val="18"/>
              </w:rPr>
            </w:pPr>
            <w:r>
              <w:rPr>
                <w:color w:val="000000"/>
                <w:sz w:val="18"/>
                <w:szCs w:val="18"/>
                <w:lang w:bidi="ar"/>
              </w:rPr>
              <w:t>50</w:t>
            </w:r>
          </w:p>
        </w:tc>
        <w:tc>
          <w:tcPr>
            <w:tcW w:w="658" w:type="pct"/>
            <w:noWrap w:val="0"/>
            <w:vAlign w:val="center"/>
          </w:tcPr>
          <w:p>
            <w:pPr>
              <w:snapToGrid w:val="0"/>
              <w:jc w:val="center"/>
              <w:rPr>
                <w:color w:val="000000"/>
                <w:sz w:val="18"/>
                <w:szCs w:val="18"/>
              </w:rPr>
            </w:pPr>
            <w:r>
              <w:rPr>
                <w:rFonts w:hint="eastAsia"/>
                <w:color w:val="000000"/>
                <w:sz w:val="18"/>
                <w:szCs w:val="18"/>
              </w:rPr>
              <w:t>1</w:t>
            </w:r>
            <w:r>
              <w:rPr>
                <w:color w:val="000000"/>
                <w:sz w:val="18"/>
                <w:szCs w:val="18"/>
              </w:rPr>
              <w:t>00</w:t>
            </w:r>
          </w:p>
        </w:tc>
      </w:tr>
    </w:tbl>
    <w:p>
      <w:pPr>
        <w:adjustRightInd w:val="0"/>
        <w:snapToGrid w:val="0"/>
        <w:spacing w:line="360" w:lineRule="auto"/>
        <w:rPr>
          <w:rFonts w:hint="eastAsia"/>
          <w:color w:val="000000"/>
          <w:szCs w:val="21"/>
          <w:lang w:bidi="ar"/>
        </w:rPr>
      </w:pPr>
    </w:p>
    <w:p>
      <w:pPr>
        <w:adjustRightInd w:val="0"/>
        <w:snapToGrid w:val="0"/>
        <w:spacing w:line="360" w:lineRule="auto"/>
        <w:ind w:firstLine="420" w:firstLineChars="200"/>
        <w:rPr>
          <w:rFonts w:hint="eastAsia"/>
          <w:color w:val="000000"/>
          <w:szCs w:val="21"/>
          <w:lang w:bidi="ar"/>
        </w:rPr>
      </w:pPr>
      <w:r>
        <w:rPr>
          <w:rFonts w:hint="eastAsia"/>
          <w:color w:val="000000"/>
          <w:szCs w:val="21"/>
          <w:lang w:bidi="ar"/>
        </w:rPr>
        <w:t>第i个分课程目标的达成度A</w:t>
      </w:r>
      <w:r>
        <w:rPr>
          <w:rFonts w:hint="eastAsia"/>
          <w:color w:val="000000"/>
          <w:szCs w:val="21"/>
          <w:vertAlign w:val="subscript"/>
          <w:lang w:bidi="ar"/>
        </w:rPr>
        <w:t>i</w:t>
      </w:r>
      <w:r>
        <w:rPr>
          <w:rFonts w:hint="eastAsia"/>
          <w:color w:val="000000"/>
          <w:szCs w:val="21"/>
          <w:lang w:bidi="ar"/>
        </w:rPr>
        <w:t xml:space="preserve"> ： </w:t>
      </w:r>
    </w:p>
    <w:p>
      <w:pPr>
        <w:adjustRightInd w:val="0"/>
        <w:snapToGrid w:val="0"/>
        <w:spacing w:line="360" w:lineRule="auto"/>
        <w:ind w:firstLine="420" w:firstLineChars="200"/>
        <w:rPr>
          <w:rFonts w:hint="eastAsia"/>
          <w:color w:val="000000"/>
          <w:szCs w:val="21"/>
          <w:lang w:bidi="ar"/>
        </w:rPr>
      </w:pPr>
      <w:r>
        <w:rPr>
          <w:rFonts w:hint="eastAsia"/>
          <w:color w:val="000000"/>
          <w:szCs w:val="21"/>
          <w:lang w:bidi="ar"/>
        </w:rPr>
        <w:object>
          <v:shape id="_x0000_i1200" o:spt="75" type="#_x0000_t75" style="height:20.15pt;width:105.4pt;" o:ole="t" filled="f" o:preferrelative="t" stroked="f" coordsize="21600,21600">
            <v:path/>
            <v:fill on="f" alignshape="1" focussize="0,0"/>
            <v:stroke on="f"/>
            <v:imagedata r:id="rId296" o:title=""/>
            <o:lock v:ext="edit" aspectratio="t"/>
            <w10:wrap type="none"/>
            <w10:anchorlock/>
          </v:shape>
          <o:OLEObject Type="Embed" ProgID="Equation.DSMT4" ShapeID="_x0000_i1200" DrawAspect="Content" ObjectID="_1468075900" r:id="rId348">
            <o:LockedField>false</o:LockedField>
          </o:OLEObject>
        </w:object>
      </w:r>
      <w:r>
        <w:rPr>
          <w:rFonts w:hint="eastAsia"/>
          <w:color w:val="000000"/>
          <w:szCs w:val="21"/>
          <w:lang w:bidi="ar"/>
        </w:rPr>
        <w:t xml:space="preserve">                                    </w:t>
      </w:r>
      <w:r>
        <w:rPr>
          <w:rFonts w:hint="eastAsia"/>
          <w:color w:val="000000"/>
          <w:szCs w:val="21"/>
          <w:lang w:bidi="ar"/>
        </w:rPr>
        <w:tab/>
      </w:r>
      <w:r>
        <w:rPr>
          <w:rFonts w:hint="eastAsia"/>
          <w:color w:val="000000"/>
          <w:szCs w:val="21"/>
          <w:lang w:bidi="ar"/>
        </w:rPr>
        <w:tab/>
      </w:r>
      <w:r>
        <w:rPr>
          <w:rFonts w:hint="eastAsia"/>
          <w:color w:val="000000"/>
          <w:szCs w:val="21"/>
          <w:lang w:bidi="ar"/>
        </w:rPr>
        <w:tab/>
      </w:r>
      <w:r>
        <w:rPr>
          <w:rFonts w:hint="eastAsia"/>
          <w:color w:val="000000"/>
          <w:szCs w:val="21"/>
          <w:lang w:bidi="ar"/>
        </w:rPr>
        <w:tab/>
      </w:r>
      <w:r>
        <w:rPr>
          <w:rFonts w:hint="eastAsia"/>
          <w:color w:val="000000"/>
          <w:szCs w:val="21"/>
          <w:lang w:bidi="ar"/>
        </w:rPr>
        <w:t>6-1</w:t>
      </w:r>
    </w:p>
    <w:p>
      <w:pPr>
        <w:adjustRightInd w:val="0"/>
        <w:snapToGrid w:val="0"/>
        <w:spacing w:line="360" w:lineRule="auto"/>
        <w:ind w:firstLine="420" w:firstLineChars="200"/>
        <w:rPr>
          <w:rFonts w:hint="eastAsia"/>
          <w:color w:val="000000"/>
          <w:szCs w:val="21"/>
          <w:lang w:bidi="ar"/>
        </w:rPr>
      </w:pPr>
      <w:r>
        <w:rPr>
          <w:rFonts w:hint="eastAsia"/>
          <w:color w:val="000000"/>
          <w:szCs w:val="21"/>
          <w:lang w:bidi="ar"/>
        </w:rPr>
        <w:t>总课程目标达成度A，由多个分课程目标再根据权重加权求和：</w:t>
      </w:r>
    </w:p>
    <w:p>
      <w:pPr>
        <w:adjustRightInd w:val="0"/>
        <w:snapToGrid w:val="0"/>
        <w:spacing w:line="360" w:lineRule="auto"/>
        <w:ind w:firstLine="420" w:firstLineChars="200"/>
        <w:rPr>
          <w:rFonts w:hint="eastAsia"/>
          <w:color w:val="000000"/>
          <w:szCs w:val="21"/>
          <w:lang w:bidi="ar"/>
        </w:rPr>
      </w:pPr>
      <w:r>
        <w:rPr>
          <w:rFonts w:hint="eastAsia"/>
          <w:color w:val="000000"/>
          <w:szCs w:val="21"/>
          <w:lang w:bidi="ar"/>
        </w:rPr>
        <w:object>
          <v:shape id="_x0000_i1201" o:spt="75" type="#_x0000_t75" style="height:20.1pt;width:62.3pt;" o:ole="t" filled="f" o:preferrelative="t" stroked="f" coordsize="21600,21600">
            <v:path/>
            <v:fill on="f" focussize="0,0"/>
            <v:stroke on="f"/>
            <v:imagedata r:id="rId298" o:title=""/>
            <o:lock v:ext="edit" aspectratio="t"/>
            <w10:wrap type="none"/>
            <w10:anchorlock/>
          </v:shape>
          <o:OLEObject Type="Embed" ProgID="Equation.DSMT4" ShapeID="_x0000_i1201" DrawAspect="Content" ObjectID="_1468075901" r:id="rId349">
            <o:LockedField>false</o:LockedField>
          </o:OLEObject>
        </w:object>
      </w:r>
      <w:r>
        <w:rPr>
          <w:rFonts w:hint="eastAsia"/>
          <w:color w:val="000000"/>
          <w:szCs w:val="21"/>
          <w:lang w:bidi="ar"/>
        </w:rPr>
        <w:t xml:space="preserve">                                      </w:t>
      </w:r>
      <w:r>
        <w:rPr>
          <w:rFonts w:hint="eastAsia"/>
          <w:color w:val="000000"/>
          <w:szCs w:val="21"/>
          <w:lang w:bidi="ar"/>
        </w:rPr>
        <w:tab/>
      </w:r>
      <w:r>
        <w:rPr>
          <w:rFonts w:hint="eastAsia"/>
          <w:color w:val="000000"/>
          <w:szCs w:val="21"/>
          <w:lang w:bidi="ar"/>
        </w:rPr>
        <w:tab/>
      </w:r>
      <w:r>
        <w:rPr>
          <w:rFonts w:hint="eastAsia"/>
          <w:color w:val="000000"/>
          <w:szCs w:val="21"/>
          <w:lang w:bidi="ar"/>
        </w:rPr>
        <w:tab/>
      </w:r>
      <w:r>
        <w:rPr>
          <w:rFonts w:hint="eastAsia"/>
          <w:color w:val="000000"/>
          <w:szCs w:val="21"/>
          <w:lang w:bidi="ar"/>
        </w:rPr>
        <w:tab/>
      </w:r>
      <w:r>
        <w:rPr>
          <w:rFonts w:hint="eastAsia"/>
          <w:color w:val="000000"/>
          <w:szCs w:val="21"/>
          <w:lang w:bidi="ar"/>
        </w:rPr>
        <w:tab/>
      </w:r>
      <w:r>
        <w:rPr>
          <w:rFonts w:hint="eastAsia"/>
          <w:color w:val="000000"/>
          <w:szCs w:val="21"/>
          <w:lang w:bidi="ar"/>
        </w:rPr>
        <w:tab/>
      </w:r>
      <w:r>
        <w:rPr>
          <w:rFonts w:hint="eastAsia"/>
          <w:color w:val="000000"/>
          <w:szCs w:val="21"/>
          <w:lang w:bidi="ar"/>
        </w:rPr>
        <w:t>6-2</w:t>
      </w:r>
    </w:p>
    <w:p>
      <w:pPr>
        <w:adjustRightInd w:val="0"/>
        <w:snapToGrid w:val="0"/>
        <w:spacing w:line="360" w:lineRule="auto"/>
        <w:ind w:firstLine="420" w:firstLineChars="200"/>
        <w:rPr>
          <w:rFonts w:hint="eastAsia"/>
          <w:color w:val="000000"/>
          <w:szCs w:val="21"/>
          <w:lang w:bidi="ar"/>
        </w:rPr>
      </w:pPr>
      <w:r>
        <w:rPr>
          <w:rFonts w:hint="eastAsia"/>
          <w:color w:val="000000"/>
          <w:szCs w:val="21"/>
          <w:lang w:bidi="ar"/>
        </w:rPr>
        <w:t>其中：k表示不同的考核方式，i表示不同的分课程目标；</w:t>
      </w:r>
    </w:p>
    <w:p>
      <w:pPr>
        <w:adjustRightInd w:val="0"/>
        <w:snapToGrid w:val="0"/>
        <w:spacing w:line="360" w:lineRule="auto"/>
        <w:ind w:firstLine="420" w:firstLineChars="200"/>
        <w:rPr>
          <w:rFonts w:hint="eastAsia"/>
          <w:color w:val="000000"/>
          <w:szCs w:val="21"/>
          <w:lang w:bidi="ar"/>
        </w:rPr>
      </w:pPr>
      <w:r>
        <w:rPr>
          <w:rFonts w:hint="eastAsia"/>
          <w:color w:val="000000"/>
          <w:szCs w:val="21"/>
          <w:lang w:bidi="ar"/>
        </w:rPr>
        <w:object>
          <v:shape id="_x0000_i1202" o:spt="75" type="#_x0000_t75" style="height:16.05pt;width:13.3pt;" o:ole="t" filled="f" o:preferrelative="t" stroked="f" coordsize="21600,21600">
            <v:path/>
            <v:fill on="f" focussize="0,0"/>
            <v:stroke on="f"/>
            <v:imagedata r:id="rId300" o:title=""/>
            <o:lock v:ext="edit" aspectratio="t"/>
            <w10:wrap type="none"/>
            <w10:anchorlock/>
          </v:shape>
          <o:OLEObject Type="Embed" ProgID="Equation.3" ShapeID="_x0000_i1202" DrawAspect="Content" ObjectID="_1468075902" r:id="rId350">
            <o:LockedField>false</o:LockedField>
          </o:OLEObject>
        </w:object>
      </w:r>
      <w:r>
        <w:rPr>
          <w:rFonts w:hint="eastAsia"/>
          <w:color w:val="000000"/>
          <w:szCs w:val="21"/>
          <w:lang w:bidi="ar"/>
        </w:rPr>
        <w:t>表示第i个课程目标中第k种考核方式在总成绩中的占比；</w:t>
      </w:r>
    </w:p>
    <w:p>
      <w:pPr>
        <w:adjustRightInd w:val="0"/>
        <w:snapToGrid w:val="0"/>
        <w:spacing w:line="360" w:lineRule="auto"/>
        <w:ind w:firstLine="420" w:firstLineChars="200"/>
        <w:rPr>
          <w:rFonts w:hint="eastAsia"/>
          <w:color w:val="000000"/>
          <w:szCs w:val="21"/>
          <w:lang w:bidi="ar"/>
        </w:rPr>
      </w:pPr>
      <w:r>
        <w:rPr>
          <w:rFonts w:hint="eastAsia"/>
          <w:color w:val="000000"/>
          <w:szCs w:val="21"/>
          <w:lang w:bidi="ar"/>
        </w:rPr>
        <w:object>
          <v:shape id="_x0000_i1203" o:spt="75" type="#_x0000_t75" style="height:15.15pt;width:10.65pt;" o:ole="t" filled="f" o:preferrelative="t" stroked="f" coordsize="21600,21600">
            <v:path/>
            <v:fill on="f" focussize="0,0"/>
            <v:stroke on="f"/>
            <v:imagedata r:id="rId155" o:title=""/>
            <o:lock v:ext="edit" aspectratio="t"/>
            <w10:wrap type="none"/>
            <w10:anchorlock/>
          </v:shape>
          <o:OLEObject Type="Embed" ProgID="Equation.3" ShapeID="_x0000_i1203" DrawAspect="Content" ObjectID="_1468075903" r:id="rId351">
            <o:LockedField>false</o:LockedField>
          </o:OLEObject>
        </w:object>
      </w:r>
      <w:r>
        <w:rPr>
          <w:rFonts w:hint="eastAsia"/>
          <w:color w:val="000000"/>
          <w:szCs w:val="21"/>
          <w:lang w:bidi="ar"/>
        </w:rPr>
        <w:t>表示第i个课程目标在课程总评价中的占比；</w:t>
      </w:r>
    </w:p>
    <w:p>
      <w:pPr>
        <w:adjustRightInd w:val="0"/>
        <w:snapToGrid w:val="0"/>
        <w:spacing w:line="360" w:lineRule="auto"/>
        <w:ind w:firstLine="420" w:firstLineChars="200"/>
        <w:rPr>
          <w:rFonts w:hint="eastAsia"/>
          <w:color w:val="000000"/>
          <w:szCs w:val="21"/>
          <w:lang w:bidi="ar"/>
        </w:rPr>
      </w:pPr>
      <w:r>
        <w:rPr>
          <w:rFonts w:hint="eastAsia"/>
          <w:color w:val="000000"/>
          <w:szCs w:val="21"/>
          <w:lang w:bidi="ar"/>
        </w:rPr>
        <w:t>Gik表示第k种考核方式支撑第i个课程目标的达成度（第k种考核方式支撑第i个课程目标的学生得分平均值除以第k种考核方式支撑第i个课程目标的总分值）。</w:t>
      </w:r>
    </w:p>
    <w:p>
      <w:pPr>
        <w:adjustRightInd w:val="0"/>
        <w:snapToGrid w:val="0"/>
        <w:spacing w:line="360" w:lineRule="auto"/>
        <w:ind w:firstLine="422" w:firstLineChars="200"/>
        <w:rPr>
          <w:rFonts w:hint="eastAsia"/>
          <w:b/>
          <w:bCs/>
          <w:szCs w:val="21"/>
          <w:lang w:bidi="ar"/>
        </w:rPr>
      </w:pPr>
      <w:r>
        <w:rPr>
          <w:rFonts w:hint="eastAsia"/>
          <w:b/>
          <w:bCs/>
          <w:szCs w:val="21"/>
          <w:lang w:bidi="ar"/>
        </w:rPr>
        <w:t>3、定性评价</w:t>
      </w:r>
    </w:p>
    <w:p>
      <w:pPr>
        <w:adjustRightInd w:val="0"/>
        <w:snapToGrid w:val="0"/>
        <w:spacing w:line="360" w:lineRule="auto"/>
        <w:ind w:firstLine="420" w:firstLineChars="200"/>
        <w:rPr>
          <w:rFonts w:hint="eastAsia"/>
          <w:color w:val="000000"/>
          <w:szCs w:val="21"/>
          <w:lang w:bidi="ar"/>
        </w:rPr>
      </w:pPr>
      <w:r>
        <w:rPr>
          <w:rFonts w:hint="eastAsia"/>
          <w:color w:val="000000"/>
          <w:szCs w:val="21"/>
          <w:lang w:bidi="ar"/>
        </w:rPr>
        <w:t>针对本课程的课程目标，直接设计问题，并要求学生明确给出目标能力达到的程度“很好（0.95）、较好（0.75）、中（0.60）、较差（0.45）、很差（0.25）”，根据各区段统计比例与括号中的目标分值加权后求和得出定性评价的结果。</w:t>
      </w:r>
    </w:p>
    <w:p>
      <w:pPr>
        <w:adjustRightInd w:val="0"/>
        <w:snapToGrid w:val="0"/>
        <w:spacing w:line="360" w:lineRule="auto"/>
        <w:ind w:firstLine="422" w:firstLineChars="200"/>
        <w:rPr>
          <w:b/>
          <w:bCs/>
          <w:szCs w:val="21"/>
          <w:lang w:bidi="ar"/>
        </w:rPr>
      </w:pPr>
      <w:r>
        <w:rPr>
          <w:rFonts w:hint="eastAsia"/>
          <w:b/>
          <w:bCs/>
          <w:szCs w:val="21"/>
          <w:lang w:bidi="ar"/>
        </w:rPr>
        <w:t>4、定性评价和定量评价结果的综合</w:t>
      </w:r>
    </w:p>
    <w:p>
      <w:pPr>
        <w:adjustRightInd w:val="0"/>
        <w:snapToGrid w:val="0"/>
        <w:spacing w:line="360" w:lineRule="auto"/>
        <w:ind w:firstLine="420" w:firstLineChars="200"/>
        <w:rPr>
          <w:rFonts w:hint="eastAsia"/>
          <w:szCs w:val="21"/>
          <w:lang w:bidi="ar"/>
        </w:rPr>
      </w:pPr>
      <w:r>
        <w:rPr>
          <w:rFonts w:hint="eastAsia"/>
          <w:szCs w:val="21"/>
          <w:lang w:bidi="ar"/>
        </w:rPr>
        <w:t>同一课程目标的评价，取定性评价和定量评价的平均值，作为最终评价结果。</w:t>
      </w:r>
    </w:p>
    <w:p>
      <w:pPr>
        <w:adjustRightInd w:val="0"/>
        <w:snapToGrid w:val="0"/>
        <w:spacing w:before="156" w:beforeLines="50" w:line="360" w:lineRule="auto"/>
        <w:rPr>
          <w:rFonts w:hint="eastAsia" w:eastAsia="黑体"/>
          <w:color w:val="000000"/>
          <w:szCs w:val="21"/>
        </w:rPr>
      </w:pPr>
      <w:r>
        <w:rPr>
          <w:rFonts w:hint="eastAsia" w:eastAsia="黑体"/>
          <w:color w:val="000000"/>
          <w:szCs w:val="21"/>
        </w:rPr>
        <w:t>七、评价标准：</w:t>
      </w:r>
    </w:p>
    <w:p>
      <w:pPr>
        <w:adjustRightInd w:val="0"/>
        <w:snapToGrid w:val="0"/>
        <w:spacing w:line="360" w:lineRule="auto"/>
        <w:ind w:firstLine="420" w:firstLineChars="200"/>
        <w:rPr>
          <w:rFonts w:hint="eastAsia"/>
          <w:szCs w:val="21"/>
          <w:lang w:bidi="ar"/>
        </w:rPr>
      </w:pPr>
      <w:r>
        <w:rPr>
          <w:rFonts w:hint="eastAsia"/>
          <w:szCs w:val="21"/>
          <w:lang w:bidi="ar"/>
        </w:rPr>
        <w:t>本课程允许教师在各评价环节根据具体情况采取多样化、个性化的考核手段，其评价标准应当在《SIE-CT-01：授课计划》中明确并向学生公布，教学过程中的考核评价应当严格按照标准完成。</w:t>
      </w:r>
    </w:p>
    <w:p>
      <w:pPr>
        <w:adjustRightInd w:val="0"/>
        <w:snapToGrid w:val="0"/>
        <w:spacing w:before="156" w:beforeLines="50" w:line="360" w:lineRule="auto"/>
        <w:rPr>
          <w:rFonts w:hint="eastAsia" w:eastAsia="黑体"/>
          <w:color w:val="000000"/>
          <w:szCs w:val="21"/>
        </w:rPr>
      </w:pPr>
      <w:r>
        <w:rPr>
          <w:rFonts w:hint="eastAsia" w:eastAsia="黑体"/>
          <w:color w:val="000000"/>
          <w:szCs w:val="21"/>
        </w:rPr>
        <w:t>八、课程目标达成评价结果用于持续改进</w:t>
      </w:r>
    </w:p>
    <w:p>
      <w:pPr>
        <w:adjustRightInd w:val="0"/>
        <w:snapToGrid w:val="0"/>
        <w:spacing w:line="360" w:lineRule="auto"/>
        <w:ind w:firstLine="420" w:firstLineChars="200"/>
        <w:rPr>
          <w:rFonts w:hint="eastAsia"/>
          <w:szCs w:val="21"/>
          <w:lang w:bidi="ar"/>
        </w:rPr>
      </w:pPr>
      <w:r>
        <w:rPr>
          <w:rFonts w:hint="eastAsia"/>
          <w:szCs w:val="21"/>
          <w:lang w:bidi="ar"/>
        </w:rPr>
        <w:t>课程目标达成评价结果将用于后续教学过程的持续改进。</w:t>
      </w:r>
    </w:p>
    <w:p>
      <w:pPr>
        <w:adjustRightInd w:val="0"/>
        <w:snapToGrid w:val="0"/>
        <w:spacing w:line="360" w:lineRule="auto"/>
        <w:ind w:firstLine="420" w:firstLineChars="200"/>
        <w:rPr>
          <w:rFonts w:hint="eastAsia"/>
          <w:szCs w:val="21"/>
          <w:lang w:bidi="ar"/>
        </w:rPr>
      </w:pPr>
      <w:r>
        <w:rPr>
          <w:rFonts w:hint="eastAsia"/>
          <w:szCs w:val="21"/>
          <w:lang w:bidi="ar"/>
        </w:rPr>
        <w:t>针对课程目标达成评价中发现的问题与不足，重点是达成值相对较低的项，在本次授课总结中应由授课教师分析具体原因，并给出改进建议。后续任课教师应当针对以前的问题和建议，在授课计划中做好落实改进计划，并在授课过程中予以落实。</w:t>
      </w:r>
    </w:p>
    <w:p>
      <w:pPr>
        <w:adjustRightInd w:val="0"/>
        <w:snapToGrid w:val="0"/>
        <w:spacing w:before="156" w:beforeLines="50" w:line="360" w:lineRule="auto"/>
        <w:rPr>
          <w:rFonts w:hint="eastAsia" w:eastAsia="黑体"/>
          <w:color w:val="000000"/>
          <w:szCs w:val="21"/>
        </w:rPr>
      </w:pPr>
      <w:r>
        <w:rPr>
          <w:rFonts w:hint="eastAsia" w:eastAsia="黑体"/>
          <w:color w:val="000000"/>
          <w:szCs w:val="21"/>
        </w:rPr>
        <w:t>九、参考书目及学习资料</w:t>
      </w:r>
    </w:p>
    <w:p>
      <w:pPr>
        <w:spacing w:line="360" w:lineRule="auto"/>
        <w:ind w:firstLine="420" w:firstLineChars="200"/>
        <w:jc w:val="left"/>
        <w:rPr>
          <w:color w:val="000000"/>
          <w:szCs w:val="21"/>
        </w:rPr>
      </w:pPr>
      <w:r>
        <w:rPr>
          <w:color w:val="000000"/>
          <w:szCs w:val="21"/>
        </w:rPr>
        <w:t>1、</w:t>
      </w:r>
      <w:r>
        <w:rPr>
          <w:rFonts w:hint="eastAsia"/>
          <w:color w:val="000000"/>
          <w:szCs w:val="21"/>
        </w:rPr>
        <w:t>王万良，</w:t>
      </w:r>
      <w:r>
        <w:rPr>
          <w:color w:val="000000"/>
          <w:szCs w:val="21"/>
        </w:rPr>
        <w:t>《</w:t>
      </w:r>
      <w:r>
        <w:rPr>
          <w:color w:val="000000"/>
          <w:szCs w:val="20"/>
        </w:rPr>
        <w:t>人工智能导论</w:t>
      </w:r>
      <w:r>
        <w:rPr>
          <w:color w:val="000000"/>
          <w:szCs w:val="21"/>
        </w:rPr>
        <w:t>》</w:t>
      </w:r>
      <w:r>
        <w:rPr>
          <w:color w:val="000000"/>
          <w:szCs w:val="20"/>
        </w:rPr>
        <w:t>（第5版）</w:t>
      </w:r>
      <w:r>
        <w:rPr>
          <w:rFonts w:hint="eastAsia"/>
          <w:color w:val="000000"/>
          <w:szCs w:val="21"/>
        </w:rPr>
        <w:t xml:space="preserve">，ISBN </w:t>
      </w:r>
      <w:r>
        <w:rPr>
          <w:color w:val="000000"/>
          <w:szCs w:val="20"/>
        </w:rPr>
        <w:t>9787040551532</w:t>
      </w:r>
      <w:r>
        <w:rPr>
          <w:rFonts w:hint="eastAsia" w:ascii="Arial" w:hAnsi="Arial" w:cs="Arial"/>
          <w:color w:val="000000"/>
          <w:sz w:val="18"/>
          <w:szCs w:val="18"/>
          <w:shd w:val="clear" w:color="auto" w:fill="FFFFFF"/>
        </w:rPr>
        <w:t>，</w:t>
      </w:r>
      <w:r>
        <w:rPr>
          <w:rFonts w:hint="eastAsia"/>
          <w:color w:val="000000"/>
          <w:szCs w:val="21"/>
        </w:rPr>
        <w:t>高等教育出版社。</w:t>
      </w:r>
    </w:p>
    <w:p>
      <w:pPr>
        <w:spacing w:line="360" w:lineRule="auto"/>
        <w:ind w:firstLine="420" w:firstLineChars="200"/>
        <w:jc w:val="left"/>
        <w:rPr>
          <w:color w:val="000000"/>
          <w:szCs w:val="21"/>
        </w:rPr>
      </w:pPr>
      <w:r>
        <w:rPr>
          <w:rFonts w:hint="eastAsia"/>
          <w:color w:val="000000"/>
          <w:szCs w:val="21"/>
        </w:rPr>
        <w:t>2</w:t>
      </w:r>
      <w:r>
        <w:rPr>
          <w:color w:val="000000"/>
          <w:szCs w:val="21"/>
        </w:rPr>
        <w:t>、</w:t>
      </w:r>
      <w:r>
        <w:rPr>
          <w:rFonts w:hint="eastAsia"/>
          <w:color w:val="000000"/>
          <w:szCs w:val="21"/>
        </w:rPr>
        <w:t>廉师友，</w:t>
      </w:r>
      <w:r>
        <w:rPr>
          <w:color w:val="000000"/>
          <w:szCs w:val="21"/>
        </w:rPr>
        <w:t>《</w:t>
      </w:r>
      <w:r>
        <w:rPr>
          <w:rFonts w:hint="eastAsia"/>
          <w:color w:val="000000"/>
          <w:szCs w:val="21"/>
        </w:rPr>
        <w:t>人工智能导论</w:t>
      </w:r>
      <w:r>
        <w:rPr>
          <w:color w:val="000000"/>
          <w:szCs w:val="21"/>
        </w:rPr>
        <w:t>》</w:t>
      </w:r>
      <w:r>
        <w:rPr>
          <w:rFonts w:hint="eastAsia"/>
          <w:color w:val="000000"/>
          <w:szCs w:val="21"/>
        </w:rPr>
        <w:t xml:space="preserve">，ISBN </w:t>
      </w:r>
      <w:r>
        <w:rPr>
          <w:color w:val="000000"/>
          <w:szCs w:val="20"/>
        </w:rPr>
        <w:t>9787302556039</w:t>
      </w:r>
      <w:r>
        <w:rPr>
          <w:rFonts w:hint="eastAsia"/>
          <w:color w:val="000000"/>
          <w:szCs w:val="21"/>
        </w:rPr>
        <w:t>，清华大学出版社。</w:t>
      </w:r>
    </w:p>
    <w:p>
      <w:pPr>
        <w:spacing w:line="360" w:lineRule="auto"/>
        <w:ind w:firstLine="420" w:firstLineChars="200"/>
        <w:jc w:val="left"/>
        <w:rPr>
          <w:color w:val="000000"/>
          <w:szCs w:val="21"/>
        </w:rPr>
      </w:pPr>
      <w:r>
        <w:rPr>
          <w:rFonts w:hint="eastAsia"/>
          <w:color w:val="000000"/>
          <w:szCs w:val="21"/>
        </w:rPr>
        <w:t>3</w:t>
      </w:r>
      <w:r>
        <w:rPr>
          <w:color w:val="000000"/>
          <w:szCs w:val="21"/>
        </w:rPr>
        <w:t>、</w:t>
      </w:r>
      <w:r>
        <w:rPr>
          <w:rFonts w:hint="eastAsia"/>
          <w:color w:val="000000"/>
          <w:szCs w:val="21"/>
        </w:rPr>
        <w:t>莫宏伟，</w:t>
      </w:r>
      <w:r>
        <w:rPr>
          <w:color w:val="000000"/>
          <w:szCs w:val="21"/>
        </w:rPr>
        <w:t>《</w:t>
      </w:r>
      <w:r>
        <w:rPr>
          <w:rFonts w:hint="eastAsia"/>
          <w:color w:val="000000"/>
          <w:szCs w:val="21"/>
        </w:rPr>
        <w:t>人工智能导论</w:t>
      </w:r>
      <w:r>
        <w:rPr>
          <w:color w:val="000000"/>
          <w:szCs w:val="21"/>
        </w:rPr>
        <w:t>》</w:t>
      </w:r>
      <w:r>
        <w:rPr>
          <w:rFonts w:hint="eastAsia"/>
          <w:color w:val="000000"/>
          <w:szCs w:val="21"/>
        </w:rPr>
        <w:t>，</w:t>
      </w:r>
      <w:r>
        <w:rPr>
          <w:color w:val="000000"/>
          <w:szCs w:val="21"/>
        </w:rPr>
        <w:t>ISBN</w:t>
      </w:r>
      <w:r>
        <w:rPr>
          <w:rFonts w:hint="eastAsia"/>
          <w:color w:val="000000"/>
          <w:szCs w:val="21"/>
        </w:rPr>
        <w:t xml:space="preserve"> </w:t>
      </w:r>
      <w:r>
        <w:rPr>
          <w:color w:val="000000"/>
          <w:szCs w:val="21"/>
        </w:rPr>
        <w:t>9787115495303</w:t>
      </w:r>
      <w:r>
        <w:rPr>
          <w:rFonts w:hint="eastAsia"/>
          <w:color w:val="000000"/>
          <w:szCs w:val="21"/>
        </w:rPr>
        <w:t>，人民邮电出版社。</w:t>
      </w:r>
    </w:p>
    <w:p>
      <w:pPr>
        <w:spacing w:line="360" w:lineRule="auto"/>
        <w:ind w:firstLine="420" w:firstLineChars="200"/>
        <w:jc w:val="left"/>
        <w:rPr>
          <w:color w:val="000000"/>
          <w:szCs w:val="21"/>
        </w:rPr>
      </w:pPr>
      <w:r>
        <w:rPr>
          <w:rFonts w:hint="eastAsia"/>
          <w:color w:val="000000"/>
          <w:szCs w:val="21"/>
        </w:rPr>
        <w:t>4、周志华，《机器学习》，</w:t>
      </w:r>
      <w:r>
        <w:rPr>
          <w:color w:val="000000"/>
          <w:szCs w:val="21"/>
        </w:rPr>
        <w:t>ISBN 978-7-302-206853-6</w:t>
      </w:r>
      <w:r>
        <w:rPr>
          <w:rFonts w:hint="eastAsia"/>
          <w:color w:val="000000"/>
          <w:szCs w:val="21"/>
        </w:rPr>
        <w:t>，清华大学出版社。</w:t>
      </w:r>
    </w:p>
    <w:p>
      <w:pPr>
        <w:spacing w:line="360" w:lineRule="auto"/>
        <w:ind w:firstLine="420" w:firstLineChars="200"/>
        <w:jc w:val="left"/>
        <w:rPr>
          <w:color w:val="000000"/>
          <w:szCs w:val="21"/>
        </w:rPr>
      </w:pPr>
      <w:r>
        <w:rPr>
          <w:rFonts w:hint="eastAsia"/>
          <w:color w:val="000000"/>
          <w:szCs w:val="21"/>
        </w:rPr>
        <w:t>5、李航，《统计学习方法》，ISBN 9787302517276，清华大学出版社。</w:t>
      </w:r>
    </w:p>
    <w:p>
      <w:pPr>
        <w:spacing w:line="360" w:lineRule="auto"/>
        <w:ind w:left="630" w:leftChars="200" w:hanging="210" w:hangingChars="100"/>
        <w:jc w:val="left"/>
        <w:rPr>
          <w:rFonts w:hint="eastAsia"/>
          <w:color w:val="000000"/>
          <w:szCs w:val="21"/>
        </w:rPr>
      </w:pPr>
      <w:r>
        <w:rPr>
          <w:rFonts w:hint="eastAsia"/>
          <w:color w:val="000000"/>
          <w:szCs w:val="21"/>
        </w:rPr>
        <w:t>6、RichardS.Sutton &amp; AndrewG.Barto 著，俞凯 译，《强化学习（第2版）》，ISBN 9787121295164， 电子工业出版社。</w:t>
      </w:r>
    </w:p>
    <w:p>
      <w:pPr>
        <w:adjustRightInd w:val="0"/>
        <w:snapToGrid w:val="0"/>
        <w:spacing w:line="360" w:lineRule="auto"/>
        <w:ind w:firstLine="420" w:firstLineChars="200"/>
        <w:rPr>
          <w:rFonts w:hint="eastAsia"/>
          <w:color w:val="000000"/>
          <w:szCs w:val="21"/>
          <w:lang w:bidi="ar"/>
        </w:rPr>
      </w:pPr>
      <w:r>
        <w:rPr>
          <w:color w:val="000000"/>
          <w:szCs w:val="21"/>
          <w:lang w:bidi="ar"/>
        </w:rPr>
        <w:t>7</w:t>
      </w:r>
      <w:r>
        <w:rPr>
          <w:rFonts w:hint="eastAsia"/>
          <w:color w:val="000000"/>
          <w:szCs w:val="21"/>
          <w:lang w:bidi="ar"/>
        </w:rPr>
        <w:t>、网上资源：</w:t>
      </w:r>
    </w:p>
    <w:p>
      <w:pPr>
        <w:adjustRightInd w:val="0"/>
        <w:snapToGrid w:val="0"/>
        <w:spacing w:line="360" w:lineRule="auto"/>
        <w:ind w:left="1155" w:leftChars="300" w:hanging="525" w:hangingChars="250"/>
        <w:jc w:val="left"/>
        <w:rPr>
          <w:color w:val="000000"/>
        </w:rPr>
      </w:pPr>
      <w:r>
        <w:rPr>
          <w:rFonts w:hint="eastAsia" w:cs="宋体"/>
          <w:color w:val="000000"/>
          <w:szCs w:val="21"/>
          <w:lang w:bidi="ar"/>
        </w:rPr>
        <w:t>（</w:t>
      </w:r>
      <w:r>
        <w:rPr>
          <w:color w:val="000000"/>
          <w:szCs w:val="21"/>
          <w:lang w:bidi="ar"/>
        </w:rPr>
        <w:t>1</w:t>
      </w:r>
      <w:r>
        <w:rPr>
          <w:rFonts w:hint="eastAsia" w:cs="宋体"/>
          <w:color w:val="000000"/>
          <w:szCs w:val="21"/>
          <w:lang w:bidi="ar"/>
        </w:rPr>
        <w:t>）</w:t>
      </w:r>
      <w:r>
        <w:rPr>
          <w:rFonts w:cs="宋体"/>
          <w:color w:val="000000"/>
          <w:szCs w:val="21"/>
          <w:lang w:bidi="ar"/>
        </w:rPr>
        <w:t>University of California, Berkeley</w:t>
      </w:r>
      <w:r>
        <w:rPr>
          <w:rFonts w:hint="eastAsia" w:cs="宋体"/>
          <w:color w:val="000000"/>
          <w:szCs w:val="21"/>
          <w:lang w:bidi="ar"/>
        </w:rPr>
        <w:t>，</w:t>
      </w:r>
      <w:r>
        <w:rPr>
          <w:rFonts w:cs="宋体"/>
          <w:color w:val="000000"/>
          <w:szCs w:val="21"/>
          <w:lang w:bidi="ar"/>
        </w:rPr>
        <w:t>Pieter Abbeel &amp; Dan Klein</w:t>
      </w:r>
      <w:r>
        <w:rPr>
          <w:rFonts w:hint="eastAsia" w:cs="宋体"/>
          <w:color w:val="000000"/>
          <w:szCs w:val="21"/>
          <w:lang w:bidi="ar"/>
        </w:rPr>
        <w:t>，</w:t>
      </w:r>
      <w:r>
        <w:rPr>
          <w:color w:val="000000"/>
          <w:szCs w:val="21"/>
          <w:lang w:bidi="ar"/>
        </w:rPr>
        <w:t>Introduction to Artificial Intelligence</w:t>
      </w:r>
      <w:r>
        <w:rPr>
          <w:rFonts w:hint="eastAsia" w:cs="宋体"/>
          <w:color w:val="000000"/>
          <w:szCs w:val="21"/>
          <w:lang w:bidi="ar"/>
        </w:rPr>
        <w:t>视频教程，</w:t>
      </w:r>
      <w:r>
        <w:rPr>
          <w:color w:val="000000"/>
          <w:szCs w:val="20"/>
          <w:lang w:bidi="ar"/>
        </w:rPr>
        <w:t>https://inst.eecs.berkeley.edu/~cs188/fa18/</w:t>
      </w:r>
      <w:r>
        <w:rPr>
          <w:rFonts w:hint="eastAsia" w:cs="宋体"/>
          <w:color w:val="000000"/>
          <w:szCs w:val="21"/>
          <w:lang w:bidi="ar"/>
        </w:rPr>
        <w:t>。</w:t>
      </w:r>
    </w:p>
    <w:p>
      <w:pPr>
        <w:spacing w:line="360" w:lineRule="auto"/>
        <w:ind w:left="210" w:leftChars="50" w:hanging="105" w:hangingChars="50"/>
        <w:rPr>
          <w:b/>
          <w:bCs/>
          <w:szCs w:val="21"/>
        </w:rPr>
      </w:pPr>
    </w:p>
    <w:p>
      <w:pPr>
        <w:spacing w:line="360" w:lineRule="auto"/>
        <w:ind w:left="210" w:leftChars="100"/>
        <w:jc w:val="center"/>
        <w:rPr>
          <w:rFonts w:hint="eastAsia" w:eastAsia="宋体"/>
          <w:szCs w:val="21"/>
          <w:lang w:eastAsia="zh-CN"/>
        </w:rPr>
      </w:pPr>
      <w:r>
        <w:rPr>
          <w:rFonts w:hint="eastAsia"/>
          <w:b/>
          <w:bCs/>
          <w:szCs w:val="21"/>
          <w:lang w:val="en-US" w:eastAsia="zh-CN"/>
        </w:rPr>
        <w:t xml:space="preserve">             </w:t>
      </w:r>
      <w:r>
        <w:rPr>
          <w:rFonts w:hint="eastAsia"/>
          <w:b/>
          <w:bCs/>
          <w:szCs w:val="21"/>
        </w:rPr>
        <w:t>制定人</w:t>
      </w:r>
      <w:r>
        <w:rPr>
          <w:rFonts w:hint="eastAsia"/>
          <w:szCs w:val="21"/>
        </w:rPr>
        <w:t xml:space="preserve">：李秀源        </w:t>
      </w:r>
      <w:r>
        <w:rPr>
          <w:rFonts w:hint="eastAsia"/>
          <w:b/>
          <w:bCs/>
          <w:szCs w:val="21"/>
        </w:rPr>
        <w:t>审定人</w:t>
      </w:r>
      <w:r>
        <w:rPr>
          <w:rFonts w:hint="eastAsia"/>
          <w:szCs w:val="21"/>
        </w:rPr>
        <w:t>：</w:t>
      </w:r>
      <w:r>
        <w:rPr>
          <w:rFonts w:hint="eastAsia"/>
          <w:szCs w:val="21"/>
          <w:lang w:eastAsia="zh-CN"/>
        </w:rPr>
        <w:t>刘文耀</w:t>
      </w:r>
      <w:r>
        <w:rPr>
          <w:rFonts w:hint="eastAsia"/>
          <w:szCs w:val="21"/>
        </w:rPr>
        <w:t xml:space="preserve">        </w:t>
      </w:r>
      <w:r>
        <w:rPr>
          <w:rFonts w:hint="eastAsia"/>
          <w:b/>
          <w:bCs/>
          <w:szCs w:val="21"/>
        </w:rPr>
        <w:t>批准人</w:t>
      </w:r>
      <w:r>
        <w:rPr>
          <w:rFonts w:hint="eastAsia"/>
          <w:szCs w:val="21"/>
        </w:rPr>
        <w:t>：</w:t>
      </w:r>
      <w:r>
        <w:rPr>
          <w:rFonts w:hint="eastAsia"/>
          <w:szCs w:val="21"/>
          <w:lang w:eastAsia="zh-CN"/>
        </w:rPr>
        <w:t>刘文怡</w:t>
      </w:r>
    </w:p>
    <w:p>
      <w:pPr>
        <w:spacing w:line="440" w:lineRule="exact"/>
        <w:ind w:right="480" w:firstLine="5670" w:firstLineChars="2700"/>
        <w:jc w:val="right"/>
        <w:rPr>
          <w:rFonts w:hint="eastAsia"/>
          <w:b/>
          <w:spacing w:val="20"/>
          <w:szCs w:val="21"/>
        </w:rPr>
      </w:pPr>
      <w:r>
        <w:rPr>
          <w:szCs w:val="21"/>
        </w:rPr>
        <w:t>202</w:t>
      </w:r>
      <w:r>
        <w:rPr>
          <w:rFonts w:hint="eastAsia"/>
          <w:szCs w:val="21"/>
          <w:lang w:val="en-US" w:eastAsia="zh-CN"/>
        </w:rPr>
        <w:t>1</w:t>
      </w:r>
      <w:r>
        <w:rPr>
          <w:szCs w:val="21"/>
        </w:rPr>
        <w:t xml:space="preserve">年 </w:t>
      </w:r>
      <w:r>
        <w:rPr>
          <w:rFonts w:hint="eastAsia"/>
          <w:szCs w:val="21"/>
          <w:lang w:val="en-US" w:eastAsia="zh-CN"/>
        </w:rPr>
        <w:t>12</w:t>
      </w:r>
      <w:r>
        <w:rPr>
          <w:szCs w:val="21"/>
        </w:rPr>
        <w:t xml:space="preserve"> 月 1 日</w:t>
      </w:r>
    </w:p>
    <w:p>
      <w:pPr>
        <w:spacing w:line="360" w:lineRule="auto"/>
        <w:ind w:left="210" w:leftChars="100"/>
        <w:jc w:val="center"/>
        <w:rPr>
          <w:rFonts w:hint="eastAsia"/>
          <w:szCs w:val="21"/>
        </w:rPr>
      </w:pPr>
    </w:p>
    <w:p>
      <w:pPr>
        <w:spacing w:line="360" w:lineRule="auto"/>
        <w:ind w:left="210" w:leftChars="100"/>
        <w:jc w:val="center"/>
        <w:rPr>
          <w:rFonts w:hint="default" w:eastAsia="宋体"/>
          <w:szCs w:val="21"/>
          <w:lang w:val="en-US" w:eastAsia="zh-CN"/>
        </w:rPr>
      </w:pPr>
      <w:r>
        <w:rPr>
          <w:rFonts w:hint="eastAsia"/>
          <w:szCs w:val="21"/>
          <w:lang w:val="en-US" w:eastAsia="zh-CN"/>
        </w:rPr>
        <w:t xml:space="preserve">                 </w:t>
      </w:r>
    </w:p>
    <w:p>
      <w:pPr>
        <w:rPr>
          <w:rFonts w:hint="eastAsia"/>
        </w:rPr>
      </w:pPr>
    </w:p>
    <w:p>
      <w:pPr>
        <w:rPr>
          <w:rFonts w:hint="eastAsia"/>
        </w:rPr>
      </w:pPr>
    </w:p>
    <w:p>
      <w:pPr>
        <w:pStyle w:val="9"/>
        <w:rPr>
          <w:rFonts w:hint="eastAsia"/>
        </w:rPr>
      </w:pPr>
    </w:p>
    <w:sectPr>
      <w:headerReference r:id="rId139" w:type="first"/>
      <w:footerReference r:id="rId142" w:type="first"/>
      <w:headerReference r:id="rId137" w:type="default"/>
      <w:footerReference r:id="rId140" w:type="default"/>
      <w:headerReference r:id="rId138" w:type="even"/>
      <w:footerReference r:id="rId141" w:type="even"/>
      <w:pgSz w:w="11906" w:h="16838"/>
      <w:pgMar w:top="1440" w:right="1418" w:bottom="1440" w:left="141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Hiragino Sans GB">
    <w:altName w:val="Segoe Print"/>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auto"/>
    <w:pitch w:val="default"/>
    <w:sig w:usb0="00000000" w:usb1="00000000" w:usb2="00000000" w:usb3="00000000" w:csb0="00040000"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-215265</wp:posOffset>
              </wp:positionV>
              <wp:extent cx="114935" cy="131445"/>
              <wp:effectExtent l="0" t="0" r="12065" b="14605"/>
              <wp:wrapNone/>
              <wp:docPr id="110" name="文本框 110"/>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6.95pt;height:10.35pt;width:9.05pt;mso-position-horizontal:center;mso-position-horizontal-relative:margin;mso-wrap-style:none;z-index:251666432;mso-width-relative:page;mso-height-relative:page;" filled="f" stroked="f" coordsize="21600,21600" o:gfxdata="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GWpYp1AAAAAcBAAAPAAAAAAAAAAEAIAAAACIAAABkcnMvZG93bnJldi54bWxQSwEC&#10;FAAUAAAACACHTuJATx0OeTECAABXBAAADgAAAAAAAAABACAAAAAjAQAAZHJzL2Uyb0RvYy54bWxQ&#10;SwUGAAAAAAYABgBZAQAAxgUAAAAA&#10;">
              <v:fill on="f" focussize="0,0"/>
              <v:stroke on="f" weight="0.5pt"/>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v:textbox>
            </v:shape>
          </w:pict>
        </mc:Fallback>
      </mc:AlternateContent>
    </w:r>
  </w:p>
  <w:p>
    <w:pPr>
      <w:pStyle w:val="15"/>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-215265</wp:posOffset>
              </wp:positionV>
              <wp:extent cx="180975" cy="161925"/>
              <wp:effectExtent l="0" t="0" r="9525" b="9525"/>
              <wp:wrapNone/>
              <wp:docPr id="111" name="文本框 111"/>
              <wp:cNvGraphicFramePr/>
              <a:graphic xmlns:a="http://schemas.openxmlformats.org/drawingml/2006/main">
                <a:graphicData uri="http://schemas.microsoft.com/office/word/2010/wordprocessingShape">
                  <wps:wsp>
                    <wps:cNvSpPr txBox="1"/>
                    <wps:spPr>
                      <a:xfrm>
                        <a:off x="0" y="0"/>
                        <a:ext cx="180975" cy="1619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16.95pt;height:12.75pt;width:14.25pt;mso-position-horizontal:center;mso-position-horizontal-relative:margin;z-index:251667456;mso-width-relative:page;mso-height-relative:page;" filled="f" stroked="f" coordsize="21600,21600" o:gfxdata="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VWRhVtYAAAAGAQAADwAAAAAAAAABACAAAAAiAAAAZHJzL2Rvd25yZXYueG1s&#10;UEsBAhQAFAAAAAgAh07iQOkZELczAgAAWQQAAA4AAAAAAAAAAQAgAAAAJQEAAGRycy9lMm9Eb2Mu&#10;eG1sUEsFBgAAAAAGAAYAWQEAAMoFAAAAAA==&#10;">
              <v:fill on="f" focussize="0,0"/>
              <v:stroke on="f" weight="0.5pt"/>
              <v:imagedata o:title=""/>
              <o:lock v:ext="edit" aspectratio="f"/>
              <v:textbox inset="0mm,0mm,0mm,0mm">
                <w:txbxContent>
                  <w:p>
                    <w:pPr>
                      <w:pStyle w:val="15"/>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v:textbox>
            </v:shape>
          </w:pict>
        </mc:Fallback>
      </mc:AlternateContent>
    </w:r>
  </w:p>
  <w:p>
    <w:pPr>
      <w:pStyle w:val="15"/>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-215265</wp:posOffset>
              </wp:positionV>
              <wp:extent cx="114935" cy="131445"/>
              <wp:effectExtent l="0" t="0" r="12065" b="14605"/>
              <wp:wrapNone/>
              <wp:docPr id="112" name="文本框 11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42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6.95pt;height:10.35pt;width:9.05pt;mso-position-horizontal:center;mso-position-horizontal-relative:margin;mso-wrap-style:none;z-index:251668480;mso-width-relative:page;mso-height-relative:page;" filled="f" stroked="f" coordsize="21600,21600" o:gfxdata="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GWpYp1AAAAAcBAAAPAAAAAAAAAAEAIAAAACIAAABkcnMvZG93bnJldi54bWxQSwEC&#10;FAAUAAAACACHTuJAlw+N+DECAABXBAAADgAAAAAAAAABACAAAAAjAQAAZHJzL2Uyb0RvYy54bWxQ&#10;SwUGAAAAAAYABgBZAQAAxgUAAAAA&#10;">
              <v:fill on="f" focussize="0,0"/>
              <v:stroke on="f" weight="0.5pt"/>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42</w:t>
                    </w:r>
                    <w:r>
                      <w:rPr>
                        <w:rFonts w:hint="eastAsia"/>
                      </w:rPr>
                      <w:fldChar w:fldCharType="end"/>
                    </w:r>
                  </w:p>
                </w:txbxContent>
              </v:textbox>
            </v:shape>
          </w:pict>
        </mc:Fallback>
      </mc:AlternateContent>
    </w:r>
  </w:p>
  <w:p>
    <w:pPr>
      <w:pStyle w:val="15"/>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-215265</wp:posOffset>
              </wp:positionV>
              <wp:extent cx="114935" cy="131445"/>
              <wp:effectExtent l="0" t="0" r="12065" b="14605"/>
              <wp:wrapNone/>
              <wp:docPr id="113" name="文本框 113"/>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50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6.95pt;height:10.35pt;width:9.05pt;mso-position-horizontal:center;mso-position-horizontal-relative:margin;mso-wrap-style:none;z-index:251669504;mso-width-relative:page;mso-height-relative:page;" filled="f" stroked="f" coordsize="21600,21600" o:gfxdata="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GWpYp1AAAAAcBAAAPAAAAAAAAAAEAIAAAACIAAABkcnMvZG93bnJldi54bWxQSwEC&#10;FAAUAAAACACHTuJA+4ZMuDECAABXBAAADgAAAAAAAAABACAAAAAjAQAAZHJzL2Uyb0RvYy54bWxQ&#10;SwUGAAAAAAYABgBZAQAAxgUAAAAA&#10;">
              <v:fill on="f" focussize="0,0"/>
              <v:stroke on="f" weight="0.5pt"/>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50</w:t>
                    </w:r>
                    <w:r>
                      <w:rPr>
                        <w:rFonts w:hint="eastAsia"/>
                      </w:rPr>
                      <w:fldChar w:fldCharType="end"/>
                    </w:r>
                  </w:p>
                </w:txbxContent>
              </v:textbox>
            </v:shape>
          </w:pict>
        </mc:Fallback>
      </mc:AlternateContent>
    </w:r>
  </w:p>
  <w:p>
    <w:pPr>
      <w:pStyle w:val="15"/>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-215265</wp:posOffset>
              </wp:positionV>
              <wp:extent cx="114935" cy="131445"/>
              <wp:effectExtent l="0" t="0" r="12065" b="14605"/>
              <wp:wrapNone/>
              <wp:docPr id="114" name="文本框 114"/>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60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6.95pt;height:10.35pt;width:9.05pt;mso-position-horizontal:center;mso-position-horizontal-relative:margin;mso-wrap-style:none;z-index:251670528;mso-width-relative:page;mso-height-relative:page;" filled="f" stroked="f" coordsize="21600,21600" o:gfxdata="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GWpYp1AAAAAcBAAAPAAAAAAAAAAEAIAAAACIAAABkcnMvZG93bnJldi54bWxQSwEC&#10;FAAUAAAACACHTuJAvj55oTECAABXBAAADgAAAAAAAAABACAAAAAjAQAAZHJzL2Uyb0RvYy54bWxQ&#10;SwUGAAAAAAYABgBZAQAAxgUAAAAA&#10;">
              <v:fill on="f" focussize="0,0"/>
              <v:stroke on="f" weight="0.5pt"/>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60</w:t>
                    </w:r>
                    <w:r>
                      <w:rPr>
                        <w:rFonts w:hint="eastAsia"/>
                      </w:rPr>
                      <w:fldChar w:fldCharType="end"/>
                    </w:r>
                  </w:p>
                </w:txbxContent>
              </v:textbox>
            </v:shape>
          </w:pict>
        </mc:Fallback>
      </mc:AlternateContent>
    </w:r>
  </w:p>
  <w:p>
    <w:pPr>
      <w:pStyle w:val="15"/>
      <w:suppressLineNumber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-215265</wp:posOffset>
              </wp:positionV>
              <wp:extent cx="114935" cy="131445"/>
              <wp:effectExtent l="0" t="0" r="12065" b="14605"/>
              <wp:wrapNone/>
              <wp:docPr id="115" name="文本框 115"/>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71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6.95pt;height:10.35pt;width:9.05pt;mso-position-horizontal:center;mso-position-horizontal-relative:margin;mso-wrap-style:none;z-index:251671552;mso-width-relative:page;mso-height-relative:page;" filled="f" stroked="f" coordsize="21600,21600" o:gfxdata="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hlqWKdQAAAAHAQAADwAAAAAAAAABACAAAAAiAAAAZHJzL2Rvd25yZXYueG1sUEsBAhQA&#10;FAAAAAgAh07iQNK3uOEvAgAAVwQAAA4AAAAAAAAAAQAgAAAAIwEAAGRycy9lMm9Eb2MueG1sUEsF&#10;BgAAAAAGAAYAWQEAAMQFAAAAAA==&#10;">
              <v:fill on="f" focussize="0,0"/>
              <v:stroke on="f" weight="0.5pt"/>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71</w:t>
                    </w:r>
                    <w:r>
                      <w:rPr>
                        <w:rFonts w:hint="eastAsia"/>
                      </w:rPr>
                      <w:fldChar w:fldCharType="end"/>
                    </w:r>
                  </w:p>
                </w:txbxContent>
              </v:textbox>
            </v:shape>
          </w:pict>
        </mc:Fallback>
      </mc:AlternateContent>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pPr>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-215265</wp:posOffset>
              </wp:positionV>
              <wp:extent cx="257175" cy="209550"/>
              <wp:effectExtent l="0" t="0" r="9525" b="0"/>
              <wp:wrapNone/>
              <wp:docPr id="118" name="文本框 118"/>
              <wp:cNvGraphicFramePr/>
              <a:graphic xmlns:a="http://schemas.openxmlformats.org/drawingml/2006/main">
                <a:graphicData uri="http://schemas.microsoft.com/office/word/2010/wordprocessingShape">
                  <wps:wsp>
                    <wps:cNvSpPr txBox="1"/>
                    <wps:spPr>
                      <a:xfrm>
                        <a:off x="0" y="0"/>
                        <a:ext cx="257175" cy="209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jc w:val="center"/>
                          </w:pPr>
                          <w:r>
                            <w:rPr>
                              <w:rFonts w:hint="eastAsia"/>
                            </w:rPr>
                            <w:fldChar w:fldCharType="begin"/>
                          </w:r>
                          <w:r>
                            <w:rPr>
                              <w:rFonts w:hint="eastAsia"/>
                            </w:rPr>
                            <w:instrText xml:space="preserve"> PAGE  \* MERGEFORMAT </w:instrText>
                          </w:r>
                          <w:r>
                            <w:rPr>
                              <w:rFonts w:hint="eastAsia"/>
                            </w:rPr>
                            <w:fldChar w:fldCharType="separate"/>
                          </w:r>
                          <w:r>
                            <w:t>91</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16.95pt;height:16.5pt;width:20.25pt;mso-position-horizontal:center;mso-position-horizontal-relative:margin;z-index:251672576;mso-width-relative:page;mso-height-relative:page;" filled="f" stroked="f" coordsize="21600,21600" o:gfxdata="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eAxhIdQAAAAFAQAADwAAAAAAAAABACAAAAAiAAAAZHJzL2Rvd25yZXYueG1sUEsB&#10;AhQAFAAAAAgAh07iQGF5H5cyAgAAWQQAAA4AAAAAAAAAAQAgAAAAIwEAAGRycy9lMm9Eb2MueG1s&#10;UEsFBgAAAAAGAAYAWQEAAMcFAAAAAA==&#10;">
              <v:fill on="f" focussize="0,0"/>
              <v:stroke on="f" weight="0.5pt"/>
              <v:imagedata o:title=""/>
              <o:lock v:ext="edit" aspectratio="f"/>
              <v:textbox inset="0mm,0mm,0mm,0mm">
                <w:txbxContent>
                  <w:p>
                    <w:pPr>
                      <w:pStyle w:val="15"/>
                      <w:jc w:val="center"/>
                    </w:pPr>
                    <w:r>
                      <w:rPr>
                        <w:rFonts w:hint="eastAsia"/>
                      </w:rPr>
                      <w:fldChar w:fldCharType="begin"/>
                    </w:r>
                    <w:r>
                      <w:rPr>
                        <w:rFonts w:hint="eastAsia"/>
                      </w:rPr>
                      <w:instrText xml:space="preserve"> PAGE  \* MERGEFORMAT </w:instrText>
                    </w:r>
                    <w:r>
                      <w:rPr>
                        <w:rFonts w:hint="eastAsia"/>
                      </w:rPr>
                      <w:fldChar w:fldCharType="separate"/>
                    </w:r>
                    <w:r>
                      <w:t>91</w:t>
                    </w:r>
                    <w:r>
                      <w:rPr>
                        <w:rFonts w:hint="eastAsia"/>
                      </w:rP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-215265</wp:posOffset>
              </wp:positionV>
              <wp:extent cx="314325" cy="131445"/>
              <wp:effectExtent l="0" t="0" r="9525" b="14605"/>
              <wp:wrapNone/>
              <wp:docPr id="119" name="文本框 119"/>
              <wp:cNvGraphicFramePr/>
              <a:graphic xmlns:a="http://schemas.openxmlformats.org/drawingml/2006/main">
                <a:graphicData uri="http://schemas.microsoft.com/office/word/2010/wordprocessingShape">
                  <wps:wsp>
                    <wps:cNvSpPr txBox="1"/>
                    <wps:spPr>
                      <a:xfrm>
                        <a:off x="0" y="0"/>
                        <a:ext cx="314325" cy="131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100</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6.95pt;height:10.35pt;width:24.75pt;mso-position-horizontal:center;mso-position-horizontal-relative:margin;z-index:251673600;mso-width-relative:page;mso-height-relative:page;" filled="f" stroked="f" coordsize="21600,21600" o:gfxdata="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jaPNYAAAAHAQAADwAAAAAAAAABACAAAAAiAAAAZHJzL2Rvd25yZXYueG1s&#10;UEsBAhQAFAAAAAgAh07iQMiMbcMzAgAAWQQAAA4AAAAAAAAAAQAgAAAAJQEAAGRycy9lMm9Eb2Mu&#10;eG1sUEsFBgAAAAAGAAYAWQEAAMoFAAAAAA==&#10;">
              <v:fill on="f" focussize="0,0"/>
              <v:stroke on="f" weight="0.5pt"/>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100</w:t>
                    </w:r>
                    <w:r>
                      <w:rPr>
                        <w:rFonts w:hint="eastAsia"/>
                      </w:rPr>
                      <w:fldChar w:fldCharType="end"/>
                    </w:r>
                  </w:p>
                </w:txbxContent>
              </v:textbox>
            </v:shape>
          </w:pict>
        </mc:Fallback>
      </mc:AlternateContent>
    </w:r>
  </w:p>
  <w:p>
    <w:pPr>
      <w:pStyle w:val="15"/>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-215265</wp:posOffset>
              </wp:positionV>
              <wp:extent cx="172085" cy="131445"/>
              <wp:effectExtent l="0" t="0" r="12065" b="14605"/>
              <wp:wrapNone/>
              <wp:docPr id="120" name="文本框 120"/>
              <wp:cNvGraphicFramePr/>
              <a:graphic xmlns:a="http://schemas.openxmlformats.org/drawingml/2006/main">
                <a:graphicData uri="http://schemas.microsoft.com/office/word/2010/wordprocessingShape">
                  <wps:wsp>
                    <wps:cNvSpPr txBox="1"/>
                    <wps:spPr>
                      <a:xfrm>
                        <a:off x="0" y="0"/>
                        <a:ext cx="172085" cy="131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101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6.95pt;height:10.35pt;width:13.55pt;mso-position-horizontal:center;mso-position-horizontal-relative:margin;mso-wrap-style:none;z-index:251674624;mso-width-relative:page;mso-height-relative:page;" filled="f" stroked="f" coordsize="21600,21600" o:gfxdata="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gbONMdUAAAAHAQAADwAAAAAAAAABACAAAAAiAAAAZHJzL2Rvd25yZXYueG1sUEsB&#10;AhQAFAAAAAgAh07iQE5Tv48xAgAAVwQAAA4AAAAAAAAAAQAgAAAAJAEAAGRycy9lMm9Eb2MueG1s&#10;UEsFBgAAAAAGAAYAWQEAAMcFAAAAAA==&#10;">
              <v:fill on="f" focussize="0,0"/>
              <v:stroke on="f" weight="0.5pt"/>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101</w:t>
                    </w:r>
                    <w:r>
                      <w:rPr>
                        <w:rFonts w:hint="eastAsia"/>
                      </w:rPr>
                      <w:fldChar w:fldCharType="end"/>
                    </w:r>
                  </w:p>
                </w:txbxContent>
              </v:textbox>
            </v:shape>
          </w:pict>
        </mc:Fallback>
      </mc:AlternateContent>
    </w:r>
  </w:p>
  <w:p>
    <w:pPr>
      <w:pStyle w:val="15"/>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-215265</wp:posOffset>
              </wp:positionV>
              <wp:extent cx="172085" cy="131445"/>
              <wp:effectExtent l="0" t="0" r="12065" b="14605"/>
              <wp:wrapNone/>
              <wp:docPr id="121" name="文本框 121"/>
              <wp:cNvGraphicFramePr/>
              <a:graphic xmlns:a="http://schemas.openxmlformats.org/drawingml/2006/main">
                <a:graphicData uri="http://schemas.microsoft.com/office/word/2010/wordprocessingShape">
                  <wps:wsp>
                    <wps:cNvSpPr txBox="1"/>
                    <wps:spPr>
                      <a:xfrm>
                        <a:off x="0" y="0"/>
                        <a:ext cx="172085" cy="131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110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6.95pt;height:10.35pt;width:13.55pt;mso-position-horizontal:center;mso-position-horizontal-relative:margin;mso-wrap-style:none;z-index:251675648;mso-width-relative:page;mso-height-relative:page;" filled="f" stroked="f" coordsize="21600,21600" o:gfxdata="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GzjTHVAAAABwEAAA8AAAAAAAAAAQAgAAAAIgAAAGRycy9kb3ducmV2LnhtbFBL&#10;AQIUABQAAAAIAIdO4kAi2n7PMgIAAFcEAAAOAAAAAAAAAAEAIAAAACQBAABkcnMvZTJvRG9jLnht&#10;bFBLBQYAAAAABgAGAFkBAADIBQAAAAA=&#10;">
              <v:fill on="f" focussize="0,0"/>
              <v:stroke on="f" weight="0.5pt"/>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110</w:t>
                    </w:r>
                    <w:r>
                      <w:rPr>
                        <w:rFonts w:hint="eastAsia"/>
                      </w:rPr>
                      <w:fldChar w:fldCharType="end"/>
                    </w:r>
                  </w:p>
                </w:txbxContent>
              </v:textbox>
            </v:shape>
          </w:pict>
        </mc:Fallback>
      </mc:AlternateContent>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-215265</wp:posOffset>
              </wp:positionV>
              <wp:extent cx="238125" cy="171450"/>
              <wp:effectExtent l="0" t="0" r="9525" b="0"/>
              <wp:wrapNone/>
              <wp:docPr id="107" name="文本框 107"/>
              <wp:cNvGraphicFramePr/>
              <a:graphic xmlns:a="http://schemas.openxmlformats.org/drawingml/2006/main">
                <a:graphicData uri="http://schemas.microsoft.com/office/word/2010/wordprocessingShape">
                  <wps:wsp>
                    <wps:cNvSpPr txBox="1"/>
                    <wps:spPr>
                      <a:xfrm>
                        <a:off x="0" y="0"/>
                        <a:ext cx="238125" cy="171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16.95pt;height:13.5pt;width:18.75pt;mso-position-horizontal:center;mso-position-horizontal-relative:margin;z-index:251663360;mso-width-relative:page;mso-height-relative:page;" filled="f" stroked="f" coordsize="21600,21600" o:gfxdata="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J9ExLWAAAABgEAAA8AAAAAAAAAAQAgAAAAIgAAAGRycy9kb3ducmV2Lnht&#10;bFBLAQIUABQAAAAIAIdO4kBhCupSNAIAAFkEAAAOAAAAAAAAAAEAIAAAACUBAABkcnMvZTJvRG9j&#10;LnhtbFBLBQYAAAAABgAGAFkBAADLBQAAAAA=&#10;">
              <v:fill on="f" focussize="0,0"/>
              <v:stroke on="f" weight="0.5pt"/>
              <v:imagedata o:title=""/>
              <o:lock v:ext="edit" aspectratio="f"/>
              <v:textbox inset="0mm,0mm,0mm,0mm">
                <w:txbxContent>
                  <w:p>
                    <w:pPr>
                      <w:pStyle w:val="15"/>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-215265</wp:posOffset>
              </wp:positionV>
              <wp:extent cx="172085" cy="131445"/>
              <wp:effectExtent l="0" t="0" r="12065" b="14605"/>
              <wp:wrapNone/>
              <wp:docPr id="38" name="文本框 35"/>
              <wp:cNvGraphicFramePr/>
              <a:graphic xmlns:a="http://schemas.openxmlformats.org/drawingml/2006/main">
                <a:graphicData uri="http://schemas.microsoft.com/office/word/2010/wordprocessingShape">
                  <wps:wsp>
                    <wps:cNvSpPr txBox="1"/>
                    <wps:spPr>
                      <a:xfrm>
                        <a:off x="0" y="0"/>
                        <a:ext cx="172085" cy="131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119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35" o:spid="_x0000_s1026" o:spt="202" type="#_x0000_t202" style="position:absolute;left:0pt;margin-top:-16.95pt;height:10.35pt;width:13.55pt;mso-position-horizontal:center;mso-position-horizontal-relative:margin;mso-wrap-style:none;z-index:251693056;mso-width-relative:page;mso-height-relative:page;" filled="f" stroked="f" coordsize="21600,21600" o:gfxdata="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GzjTHVAAAABwEAAA8AAAAAAAAAAQAgAAAAIgAAAGRycy9kb3ducmV2LnhtbFBL&#10;AQIUABQAAAAIAIdO4kC4dwztMgIAAFUEAAAOAAAAAAAAAAEAIAAAACQBAABkcnMvZTJvRG9jLnht&#10;bFBLBQYAAAAABgAGAFkBAADIBQAAAAA=&#10;">
              <v:fill on="f" focussize="0,0"/>
              <v:stroke on="f" weight="0.5pt"/>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119</w:t>
                    </w:r>
                    <w:r>
                      <w:rPr>
                        <w:rFonts w:hint="eastAsia"/>
                      </w:rPr>
                      <w:fldChar w:fldCharType="end"/>
                    </w:r>
                  </w:p>
                </w:txbxContent>
              </v:textbox>
            </v:shape>
          </w:pict>
        </mc:Fallback>
      </mc:AlternateContent>
    </w:r>
  </w:p>
  <w:p>
    <w:pPr>
      <w:pStyle w:val="15"/>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-215265</wp:posOffset>
              </wp:positionV>
              <wp:extent cx="285750" cy="123825"/>
              <wp:effectExtent l="0" t="0" r="0" b="9525"/>
              <wp:wrapNone/>
              <wp:docPr id="122" name="文本框 122"/>
              <wp:cNvGraphicFramePr/>
              <a:graphic xmlns:a="http://schemas.openxmlformats.org/drawingml/2006/main">
                <a:graphicData uri="http://schemas.microsoft.com/office/word/2010/wordprocessingShape">
                  <wps:wsp>
                    <wps:cNvSpPr txBox="1"/>
                    <wps:spPr>
                      <a:xfrm>
                        <a:off x="0" y="0"/>
                        <a:ext cx="285750" cy="1238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129</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16.95pt;height:9.75pt;width:22.5pt;mso-position-horizontal:center;mso-position-horizontal-relative:margin;z-index:251676672;mso-width-relative:page;mso-height-relative:page;" filled="f" stroked="f" coordsize="21600,21600" o:gfxdata="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mM3UTWAAAABwEAAA8AAAAAAAAAAQAgAAAAIgAAAGRycy9kb3ducmV2LnhtbFBL&#10;AQIUABQAAAAIAIdO4kA4DwwWMQIAAFkEAAAOAAAAAAAAAAEAIAAAACUBAABkcnMvZTJvRG9jLnht&#10;bFBLBQYAAAAABgAGAFkBAADIBQAAAAA=&#10;">
              <v:fill on="f" focussize="0,0"/>
              <v:stroke on="f" weight="0.5pt"/>
              <v:imagedata o:title=""/>
              <o:lock v:ext="edit" aspectratio="f"/>
              <v:textbox inset="0mm,0mm,0mm,0mm">
                <w:txbxContent>
                  <w:p>
                    <w:pPr>
                      <w:pStyle w:val="15"/>
                    </w:pPr>
                    <w:r>
                      <w:rPr>
                        <w:rFonts w:hint="eastAsia"/>
                      </w:rPr>
                      <w:fldChar w:fldCharType="begin"/>
                    </w:r>
                    <w:r>
                      <w:rPr>
                        <w:rFonts w:hint="eastAsia"/>
                      </w:rPr>
                      <w:instrText xml:space="preserve"> PAGE  \* MERGEFORMAT </w:instrText>
                    </w:r>
                    <w:r>
                      <w:rPr>
                        <w:rFonts w:hint="eastAsia"/>
                      </w:rPr>
                      <w:fldChar w:fldCharType="separate"/>
                    </w:r>
                    <w:r>
                      <w:t>129</w:t>
                    </w:r>
                    <w:r>
                      <w:rPr>
                        <w:rFonts w:hint="eastAsia"/>
                      </w:rPr>
                      <w:fldChar w:fldCharType="end"/>
                    </w:r>
                  </w:p>
                </w:txbxContent>
              </v:textbox>
            </v:shape>
          </w:pict>
        </mc:Fallback>
      </mc:AlternateContent>
    </w:r>
  </w:p>
  <w:p>
    <w:pPr>
      <w:pStyle w:val="15"/>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-215265</wp:posOffset>
              </wp:positionV>
              <wp:extent cx="400685" cy="211455"/>
              <wp:effectExtent l="1905" t="0" r="0" b="0"/>
              <wp:wrapNone/>
              <wp:docPr id="37" name="文本框 124"/>
              <wp:cNvGraphicFramePr/>
              <a:graphic xmlns:a="http://schemas.openxmlformats.org/drawingml/2006/main">
                <a:graphicData uri="http://schemas.microsoft.com/office/word/2010/wordprocessingShape">
                  <wps:wsp>
                    <wps:cNvSpPr txBox="1">
                      <a:spLocks noChangeArrowheads="1"/>
                    </wps:cNvSpPr>
                    <wps:spPr bwMode="auto">
                      <a:xfrm>
                        <a:off x="0" y="0"/>
                        <a:ext cx="400685" cy="211455"/>
                      </a:xfrm>
                      <a:prstGeom prst="rect">
                        <a:avLst/>
                      </a:prstGeom>
                      <a:noFill/>
                      <a:ln>
                        <a:noFill/>
                      </a:ln>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137</w:t>
                          </w:r>
                          <w:r>
                            <w:rPr>
                              <w:rFonts w:hint="eastAsia"/>
                            </w:rPr>
                            <w:fldChar w:fldCharType="end"/>
                          </w:r>
                        </w:p>
                      </w:txbxContent>
                    </wps:txbx>
                    <wps:bodyPr rot="0" vert="horz" wrap="square" lIns="0" tIns="0" rIns="0" bIns="0" anchor="t" anchorCtr="0" upright="1">
                      <a:noAutofit/>
                    </wps:bodyPr>
                  </wps:wsp>
                </a:graphicData>
              </a:graphic>
            </wp:anchor>
          </w:drawing>
        </mc:Choice>
        <mc:Fallback>
          <w:pict>
            <v:shape id="文本框 124" o:spid="_x0000_s1026" o:spt="202" type="#_x0000_t202" style="position:absolute;left:0pt;margin-top:-16.95pt;height:16.65pt;width:31.55pt;mso-position-horizontal:center;mso-position-horizontal-relative:margin;z-index:251677696;mso-width-relative:page;mso-height-relative:page;" filled="f" stroked="f" coordsize="21600,21600" o:gfxdata="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0ZTQbUAAAABQEAAA8AAAAAAAAAAQAgAAAA&#10;IgAAAGRycy9kb3ducmV2LnhtbFBLAQIUABQAAAAIAIdO4kCre5mWDwIAAAcEAAAOAAAAAAAAAAEA&#10;IAAAACMBAABkcnMvZTJvRG9jLnhtbFBLBQYAAAAABgAGAFkBAACkBQAAAAA=&#10;">
              <v:fill on="f" focussize="0,0"/>
              <v:stroke on="f"/>
              <v:imagedata o:title=""/>
              <o:lock v:ext="edit" aspectratio="f"/>
              <v:textbox inset="0mm,0mm,0mm,0mm">
                <w:txbxContent>
                  <w:p>
                    <w:pPr>
                      <w:pStyle w:val="15"/>
                    </w:pPr>
                    <w:r>
                      <w:rPr>
                        <w:rFonts w:hint="eastAsia"/>
                      </w:rPr>
                      <w:fldChar w:fldCharType="begin"/>
                    </w:r>
                    <w:r>
                      <w:rPr>
                        <w:rFonts w:hint="eastAsia"/>
                      </w:rPr>
                      <w:instrText xml:space="preserve"> PAGE  \* MERGEFORMAT </w:instrText>
                    </w:r>
                    <w:r>
                      <w:rPr>
                        <w:rFonts w:hint="eastAsia"/>
                      </w:rPr>
                      <w:fldChar w:fldCharType="separate"/>
                    </w:r>
                    <w:r>
                      <w:t>137</w:t>
                    </w:r>
                    <w:r>
                      <w:rPr>
                        <w:rFonts w:hint="eastAsia"/>
                      </w:rPr>
                      <w:fldChar w:fldCharType="end"/>
                    </w:r>
                  </w:p>
                </w:txbxContent>
              </v:textbox>
            </v:shape>
          </w:pict>
        </mc:Fallback>
      </mc:AlternateContent>
    </w:r>
  </w:p>
  <w:p>
    <w:pPr>
      <w:pStyle w:val="15"/>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-215265</wp:posOffset>
              </wp:positionV>
              <wp:extent cx="172085" cy="131445"/>
              <wp:effectExtent l="0" t="0" r="12065" b="14605"/>
              <wp:wrapNone/>
              <wp:docPr id="125" name="文本框 125"/>
              <wp:cNvGraphicFramePr/>
              <a:graphic xmlns:a="http://schemas.openxmlformats.org/drawingml/2006/main">
                <a:graphicData uri="http://schemas.microsoft.com/office/word/2010/wordprocessingShape">
                  <wps:wsp>
                    <wps:cNvSpPr txBox="1"/>
                    <wps:spPr>
                      <a:xfrm>
                        <a:off x="0" y="0"/>
                        <a:ext cx="172085" cy="131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145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6.95pt;height:10.35pt;width:13.55pt;mso-position-horizontal:center;mso-position-horizontal-relative:margin;mso-wrap-style:none;z-index:251678720;mso-width-relative:page;mso-height-relative:page;" filled="f" stroked="f" coordsize="21600,21600" o:gfxdata="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IGzjTHVAAAABwEAAA8AAAAAAAAAAQAgAAAAIgAAAGRycy9kb3ducmV2LnhtbFBLAQIU&#10;ABQAAAAIAIdO4kDT+QkXLwIAAFcEAAAOAAAAAAAAAAEAIAAAACQBAABkcnMvZTJvRG9jLnhtbFBL&#10;BQYAAAAABgAGAFkBAADFBQAAAAA=&#10;">
              <v:fill on="f" focussize="0,0"/>
              <v:stroke on="f" weight="0.5pt"/>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145</w:t>
                    </w:r>
                    <w:r>
                      <w:rPr>
                        <w:rFonts w:hint="eastAsia"/>
                      </w:rPr>
                      <w:fldChar w:fldCharType="end"/>
                    </w:r>
                  </w:p>
                </w:txbxContent>
              </v:textbox>
            </v:shape>
          </w:pict>
        </mc:Fallback>
      </mc:AlternateContent>
    </w:r>
  </w:p>
  <w:p>
    <w:pPr>
      <w:pStyle w:val="15"/>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-215265</wp:posOffset>
              </wp:positionV>
              <wp:extent cx="172085" cy="131445"/>
              <wp:effectExtent l="0" t="0" r="12065" b="14605"/>
              <wp:wrapNone/>
              <wp:docPr id="127" name="文本框 127"/>
              <wp:cNvGraphicFramePr/>
              <a:graphic xmlns:a="http://schemas.openxmlformats.org/drawingml/2006/main">
                <a:graphicData uri="http://schemas.microsoft.com/office/word/2010/wordprocessingShape">
                  <wps:wsp>
                    <wps:cNvSpPr txBox="1"/>
                    <wps:spPr>
                      <a:xfrm>
                        <a:off x="0" y="0"/>
                        <a:ext cx="172085" cy="131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152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6.95pt;height:10.35pt;width:13.55pt;mso-position-horizontal:center;mso-position-horizontal-relative:margin;mso-wrap-style:none;z-index:251679744;mso-width-relative:page;mso-height-relative:page;" filled="f" stroked="f" coordsize="21600,21600" o:gfxdata="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GzjTHVAAAABwEAAA8AAAAAAAAAAQAgAAAAIgAAAGRycy9kb3ducmV2LnhtbFBL&#10;AQIUABQAAAAIAIdO4kAL64qWMgIAAFcEAAAOAAAAAAAAAAEAIAAAACQBAABkcnMvZTJvRG9jLnht&#10;bFBLBQYAAAAABgAGAFkBAADIBQAAAAA=&#10;">
              <v:fill on="f" focussize="0,0"/>
              <v:stroke on="f" weight="0.5pt"/>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152</w:t>
                    </w:r>
                    <w:r>
                      <w:rPr>
                        <w:rFonts w:hint="eastAsia"/>
                      </w:rPr>
                      <w:fldChar w:fldCharType="end"/>
                    </w:r>
                  </w:p>
                </w:txbxContent>
              </v:textbox>
            </v:shape>
          </w:pict>
        </mc:Fallback>
      </mc:AlternateContent>
    </w:r>
  </w:p>
  <w:p>
    <w:pPr>
      <w:pStyle w:val="15"/>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-215265</wp:posOffset>
              </wp:positionV>
              <wp:extent cx="266700" cy="200025"/>
              <wp:effectExtent l="0" t="0" r="0" b="9525"/>
              <wp:wrapNone/>
              <wp:docPr id="128" name="文本框 128"/>
              <wp:cNvGraphicFramePr/>
              <a:graphic xmlns:a="http://schemas.openxmlformats.org/drawingml/2006/main">
                <a:graphicData uri="http://schemas.microsoft.com/office/word/2010/wordprocessingShape">
                  <wps:wsp>
                    <wps:cNvSpPr txBox="1"/>
                    <wps:spPr>
                      <a:xfrm>
                        <a:off x="0" y="0"/>
                        <a:ext cx="266700" cy="2000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160</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16.95pt;height:15.75pt;width:21pt;mso-position-horizontal:center;mso-position-horizontal-relative:margin;z-index:251680768;mso-width-relative:page;mso-height-relative:page;" filled="f" stroked="f" coordsize="21600,21600" o:gfxdata="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JHYckdUAAAAGAQAADwAAAAAAAAABACAAAAAiAAAAZHJzL2Rvd25yZXYueG1sUEsB&#10;AhQAFAAAAAgAh07iQA9Yx+AxAgAAWQQAAA4AAAAAAAAAAQAgAAAAJAEAAGRycy9lMm9Eb2MueG1s&#10;UEsFBgAAAAAGAAYAWQEAAMcFAAAAAA==&#10;">
              <v:fill on="f" focussize="0,0"/>
              <v:stroke on="f" weight="0.5pt"/>
              <v:imagedata o:title=""/>
              <o:lock v:ext="edit" aspectratio="f"/>
              <v:textbox inset="0mm,0mm,0mm,0mm">
                <w:txbxContent>
                  <w:p>
                    <w:pPr>
                      <w:pStyle w:val="15"/>
                    </w:pPr>
                    <w:r>
                      <w:rPr>
                        <w:rFonts w:hint="eastAsia"/>
                      </w:rPr>
                      <w:fldChar w:fldCharType="begin"/>
                    </w:r>
                    <w:r>
                      <w:rPr>
                        <w:rFonts w:hint="eastAsia"/>
                      </w:rPr>
                      <w:instrText xml:space="preserve"> PAGE  \* MERGEFORMAT </w:instrText>
                    </w:r>
                    <w:r>
                      <w:rPr>
                        <w:rFonts w:hint="eastAsia"/>
                      </w:rPr>
                      <w:fldChar w:fldCharType="separate"/>
                    </w:r>
                    <w:r>
                      <w:t>160</w:t>
                    </w:r>
                    <w:r>
                      <w:rPr>
                        <w:rFonts w:hint="eastAsia"/>
                      </w:rPr>
                      <w:fldChar w:fldCharType="end"/>
                    </w:r>
                  </w:p>
                </w:txbxContent>
              </v:textbox>
            </v:shape>
          </w:pict>
        </mc:Fallback>
      </mc:AlternateContent>
    </w:r>
  </w:p>
  <w:p>
    <w:pPr>
      <w:pStyle w:val="15"/>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-215265</wp:posOffset>
              </wp:positionV>
              <wp:extent cx="362585" cy="236220"/>
              <wp:effectExtent l="1905" t="0" r="0" b="1905"/>
              <wp:wrapNone/>
              <wp:docPr id="35" name="文本框 130"/>
              <wp:cNvGraphicFramePr/>
              <a:graphic xmlns:a="http://schemas.openxmlformats.org/drawingml/2006/main">
                <a:graphicData uri="http://schemas.microsoft.com/office/word/2010/wordprocessingShape">
                  <wps:wsp>
                    <wps:cNvSpPr txBox="1">
                      <a:spLocks noChangeArrowheads="1"/>
                    </wps:cNvSpPr>
                    <wps:spPr bwMode="auto">
                      <a:xfrm>
                        <a:off x="0" y="0"/>
                        <a:ext cx="362585" cy="236220"/>
                      </a:xfrm>
                      <a:prstGeom prst="rect">
                        <a:avLst/>
                      </a:prstGeom>
                      <a:noFill/>
                      <a:ln>
                        <a:noFill/>
                      </a:ln>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166</w:t>
                          </w:r>
                          <w:r>
                            <w:rPr>
                              <w:rFonts w:hint="eastAsia"/>
                            </w:rPr>
                            <w:fldChar w:fldCharType="end"/>
                          </w:r>
                        </w:p>
                      </w:txbxContent>
                    </wps:txbx>
                    <wps:bodyPr rot="0" vert="horz" wrap="square" lIns="0" tIns="0" rIns="0" bIns="0" anchor="t" anchorCtr="0" upright="1">
                      <a:noAutofit/>
                    </wps:bodyPr>
                  </wps:wsp>
                </a:graphicData>
              </a:graphic>
            </wp:anchor>
          </w:drawing>
        </mc:Choice>
        <mc:Fallback>
          <w:pict>
            <v:shape id="文本框 130" o:spid="_x0000_s1026" o:spt="202" type="#_x0000_t202" style="position:absolute;left:0pt;margin-top:-16.95pt;height:18.6pt;width:28.55pt;mso-position-horizontal:center;mso-position-horizontal-relative:margin;z-index:251682816;mso-width-relative:page;mso-height-relative:page;" filled="f" stroked="f" coordsize="21600,21600" o:gfxdata="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cYZqLVAAAABQEAAA8AAAAAAAAAAQAgAAAA&#10;IgAAAGRycy9kb3ducmV2LnhtbFBLAQIUABQAAAAIAIdO4kCvhBl/DgIAAAcEAAAOAAAAAAAAAAEA&#10;IAAAACQBAABkcnMvZTJvRG9jLnhtbFBLBQYAAAAABgAGAFkBAACkBQAAAAA=&#10;">
              <v:fill on="f" focussize="0,0"/>
              <v:stroke on="f"/>
              <v:imagedata o:title=""/>
              <o:lock v:ext="edit" aspectratio="f"/>
              <v:textbox inset="0mm,0mm,0mm,0mm">
                <w:txbxContent>
                  <w:p>
                    <w:pPr>
                      <w:pStyle w:val="15"/>
                    </w:pPr>
                    <w:r>
                      <w:rPr>
                        <w:rFonts w:hint="eastAsia"/>
                      </w:rPr>
                      <w:fldChar w:fldCharType="begin"/>
                    </w:r>
                    <w:r>
                      <w:rPr>
                        <w:rFonts w:hint="eastAsia"/>
                      </w:rPr>
                      <w:instrText xml:space="preserve"> PAGE  \* MERGEFORMAT </w:instrText>
                    </w:r>
                    <w:r>
                      <w:rPr>
                        <w:rFonts w:hint="eastAsia"/>
                      </w:rPr>
                      <w:fldChar w:fldCharType="separate"/>
                    </w:r>
                    <w:r>
                      <w:t>166</w:t>
                    </w:r>
                    <w:r>
                      <w:rPr>
                        <w:rFonts w:hint="eastAsia"/>
                      </w:rPr>
                      <w:fldChar w:fldCharType="end"/>
                    </w:r>
                  </w:p>
                </w:txbxContent>
              </v:textbox>
            </v:shape>
          </w:pict>
        </mc:Fallback>
      </mc:AlternateContent>
    </w:r>
  </w:p>
  <w:p>
    <w:pPr>
      <w:pStyle w:val="15"/>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-215265</wp:posOffset>
              </wp:positionV>
              <wp:extent cx="257810" cy="198120"/>
              <wp:effectExtent l="0" t="0" r="1905" b="1905"/>
              <wp:wrapNone/>
              <wp:docPr id="24" name="文本框 140"/>
              <wp:cNvGraphicFramePr/>
              <a:graphic xmlns:a="http://schemas.openxmlformats.org/drawingml/2006/main">
                <a:graphicData uri="http://schemas.microsoft.com/office/word/2010/wordprocessingShape">
                  <wps:wsp>
                    <wps:cNvSpPr txBox="1">
                      <a:spLocks noChangeArrowheads="1"/>
                    </wps:cNvSpPr>
                    <wps:spPr bwMode="auto">
                      <a:xfrm>
                        <a:off x="0" y="0"/>
                        <a:ext cx="257810" cy="198120"/>
                      </a:xfrm>
                      <a:prstGeom prst="rect">
                        <a:avLst/>
                      </a:prstGeom>
                      <a:noFill/>
                      <a:ln>
                        <a:noFill/>
                      </a:ln>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172</w:t>
                          </w:r>
                          <w:r>
                            <w:rPr>
                              <w:rFonts w:hint="eastAsia"/>
                            </w:rPr>
                            <w:fldChar w:fldCharType="end"/>
                          </w:r>
                        </w:p>
                      </w:txbxContent>
                    </wps:txbx>
                    <wps:bodyPr rot="0" vert="horz" wrap="square" lIns="0" tIns="0" rIns="0" bIns="0" anchor="t" anchorCtr="0" upright="1">
                      <a:noAutofit/>
                    </wps:bodyPr>
                  </wps:wsp>
                </a:graphicData>
              </a:graphic>
            </wp:anchor>
          </w:drawing>
        </mc:Choice>
        <mc:Fallback>
          <w:pict>
            <v:shape id="文本框 140" o:spid="_x0000_s1026" o:spt="202" type="#_x0000_t202" style="position:absolute;left:0pt;margin-top:-16.95pt;height:15.6pt;width:20.3pt;mso-position-horizontal:center;mso-position-horizontal-relative:margin;z-index:251684864;mso-width-relative:page;mso-height-relative:page;" filled="f" stroked="f" coordsize="21600,21600" o:gfxdata="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VwUU/WAAAABgEAAA8AAAAAAAAAAQAg&#10;AAAAIgAAAGRycy9kb3ducmV2LnhtbFBLAQIUABQAAAAIAIdO4kCYZqn4EAIAAAcEAAAOAAAAAAAA&#10;AAEAIAAAACUBAABkcnMvZTJvRG9jLnhtbFBLBQYAAAAABgAGAFkBAACnBQAAAAA=&#10;">
              <v:fill on="f" focussize="0,0"/>
              <v:stroke on="f"/>
              <v:imagedata o:title=""/>
              <o:lock v:ext="edit" aspectratio="f"/>
              <v:textbox inset="0mm,0mm,0mm,0mm">
                <w:txbxContent>
                  <w:p>
                    <w:pPr>
                      <w:pStyle w:val="15"/>
                    </w:pPr>
                    <w:r>
                      <w:rPr>
                        <w:rFonts w:hint="eastAsia"/>
                      </w:rPr>
                      <w:fldChar w:fldCharType="begin"/>
                    </w:r>
                    <w:r>
                      <w:rPr>
                        <w:rFonts w:hint="eastAsia"/>
                      </w:rPr>
                      <w:instrText xml:space="preserve"> PAGE  \* MERGEFORMAT </w:instrText>
                    </w:r>
                    <w:r>
                      <w:rPr>
                        <w:rFonts w:hint="eastAsia"/>
                      </w:rPr>
                      <w:fldChar w:fldCharType="separate"/>
                    </w:r>
                    <w:r>
                      <w:t>172</w:t>
                    </w:r>
                    <w:r>
                      <w:rPr>
                        <w:rFonts w:hint="eastAsia"/>
                      </w:rPr>
                      <w:fldChar w:fldCharType="end"/>
                    </w:r>
                  </w:p>
                </w:txbxContent>
              </v:textbox>
            </v:shape>
          </w:pict>
        </mc:Fallback>
      </mc:AlternateContent>
    </w:r>
  </w:p>
  <w:p>
    <w:pPr>
      <w:pStyle w:val="15"/>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-215265</wp:posOffset>
              </wp:positionV>
              <wp:extent cx="334010" cy="150495"/>
              <wp:effectExtent l="3175" t="0" r="0" b="3810"/>
              <wp:wrapNone/>
              <wp:docPr id="23" name="文本框 141"/>
              <wp:cNvGraphicFramePr/>
              <a:graphic xmlns:a="http://schemas.openxmlformats.org/drawingml/2006/main">
                <a:graphicData uri="http://schemas.microsoft.com/office/word/2010/wordprocessingShape">
                  <wps:wsp>
                    <wps:cNvSpPr txBox="1">
                      <a:spLocks noChangeArrowheads="1"/>
                    </wps:cNvSpPr>
                    <wps:spPr bwMode="auto">
                      <a:xfrm>
                        <a:off x="0" y="0"/>
                        <a:ext cx="334010" cy="150495"/>
                      </a:xfrm>
                      <a:prstGeom prst="rect">
                        <a:avLst/>
                      </a:prstGeom>
                      <a:noFill/>
                      <a:ln>
                        <a:noFill/>
                      </a:ln>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180</w:t>
                          </w:r>
                          <w:r>
                            <w:rPr>
                              <w:rFonts w:hint="eastAsia"/>
                            </w:rPr>
                            <w:fldChar w:fldCharType="end"/>
                          </w:r>
                        </w:p>
                      </w:txbxContent>
                    </wps:txbx>
                    <wps:bodyPr rot="0" vert="horz" wrap="square" lIns="0" tIns="0" rIns="0" bIns="0" anchor="t" anchorCtr="0" upright="1">
                      <a:noAutofit/>
                    </wps:bodyPr>
                  </wps:wsp>
                </a:graphicData>
              </a:graphic>
            </wp:anchor>
          </w:drawing>
        </mc:Choice>
        <mc:Fallback>
          <w:pict>
            <v:shape id="文本框 141" o:spid="_x0000_s1026" o:spt="202" type="#_x0000_t202" style="position:absolute;left:0pt;margin-top:-16.95pt;height:11.85pt;width:26.3pt;mso-position-horizontal:center;mso-position-horizontal-relative:margin;z-index:251685888;mso-width-relative:page;mso-height-relative:page;" filled="f" stroked="f" coordsize="21600,21600" o:gfxdata="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YNExh1wAAAAcBAAAPAAAAAAAAAAEAIAAA&#10;ACIAAABkcnMvZG93bnJldi54bWxQSwECFAAUAAAACACHTuJApHmNNg0CAAAHBAAADgAAAAAAAAAB&#10;ACAAAAAmAQAAZHJzL2Uyb0RvYy54bWxQSwUGAAAAAAYABgBZAQAApQUAAAAA&#10;">
              <v:fill on="f" focussize="0,0"/>
              <v:stroke on="f"/>
              <v:imagedata o:title=""/>
              <o:lock v:ext="edit" aspectratio="f"/>
              <v:textbox inset="0mm,0mm,0mm,0mm">
                <w:txbxContent>
                  <w:p>
                    <w:pPr>
                      <w:pStyle w:val="15"/>
                    </w:pPr>
                    <w:r>
                      <w:rPr>
                        <w:rFonts w:hint="eastAsia"/>
                      </w:rPr>
                      <w:fldChar w:fldCharType="begin"/>
                    </w:r>
                    <w:r>
                      <w:rPr>
                        <w:rFonts w:hint="eastAsia"/>
                      </w:rPr>
                      <w:instrText xml:space="preserve"> PAGE  \* MERGEFORMAT </w:instrText>
                    </w:r>
                    <w:r>
                      <w:rPr>
                        <w:rFonts w:hint="eastAsia"/>
                      </w:rPr>
                      <w:fldChar w:fldCharType="separate"/>
                    </w:r>
                    <w:r>
                      <w:t>180</w:t>
                    </w:r>
                    <w:r>
                      <w:rPr>
                        <w:rFonts w:hint="eastAsia"/>
                      </w:rPr>
                      <w:fldChar w:fldCharType="end"/>
                    </w:r>
                  </w:p>
                </w:txbxContent>
              </v:textbox>
            </v:shape>
          </w:pict>
        </mc:Fallback>
      </mc:AlternateContent>
    </w:r>
  </w:p>
  <w:p>
    <w:pPr>
      <w:pStyle w:val="15"/>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-215265</wp:posOffset>
              </wp:positionV>
              <wp:extent cx="238760" cy="179070"/>
              <wp:effectExtent l="3175" t="0" r="0" b="3810"/>
              <wp:wrapNone/>
              <wp:docPr id="22" name="文本框 142"/>
              <wp:cNvGraphicFramePr/>
              <a:graphic xmlns:a="http://schemas.openxmlformats.org/drawingml/2006/main">
                <a:graphicData uri="http://schemas.microsoft.com/office/word/2010/wordprocessingShape">
                  <wps:wsp>
                    <wps:cNvSpPr txBox="1">
                      <a:spLocks noChangeArrowheads="1"/>
                    </wps:cNvSpPr>
                    <wps:spPr bwMode="auto">
                      <a:xfrm>
                        <a:off x="0" y="0"/>
                        <a:ext cx="238760" cy="179070"/>
                      </a:xfrm>
                      <a:prstGeom prst="rect">
                        <a:avLst/>
                      </a:prstGeom>
                      <a:noFill/>
                      <a:ln>
                        <a:noFill/>
                      </a:ln>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181</w:t>
                          </w:r>
                          <w:r>
                            <w:rPr>
                              <w:rFonts w:hint="eastAsia"/>
                            </w:rPr>
                            <w:fldChar w:fldCharType="end"/>
                          </w:r>
                        </w:p>
                      </w:txbxContent>
                    </wps:txbx>
                    <wps:bodyPr rot="0" vert="horz" wrap="square" lIns="0" tIns="0" rIns="0" bIns="0" anchor="t" anchorCtr="0" upright="1">
                      <a:noAutofit/>
                    </wps:bodyPr>
                  </wps:wsp>
                </a:graphicData>
              </a:graphic>
            </wp:anchor>
          </w:drawing>
        </mc:Choice>
        <mc:Fallback>
          <w:pict>
            <v:shape id="文本框 142" o:spid="_x0000_s1026" o:spt="202" type="#_x0000_t202" style="position:absolute;left:0pt;margin-top:-16.95pt;height:14.1pt;width:18.8pt;mso-position-horizontal:center;mso-position-horizontal-relative:margin;z-index:251686912;mso-width-relative:page;mso-height-relative:page;" filled="f" stroked="f" coordsize="21600,21600" o:gfxdata="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gseljWAAAABgEAAA8AAAAAAAAAAQAg&#10;AAAAIgAAAGRycy9kb3ducmV2LnhtbFBLAQIUABQAAAAIAIdO4kCGAOk9EAIAAAcEAAAOAAAAAAAA&#10;AAEAIAAAACUBAABkcnMvZTJvRG9jLnhtbFBLBQYAAAAABgAGAFkBAACnBQAAAAA=&#10;">
              <v:fill on="f" focussize="0,0"/>
              <v:stroke on="f"/>
              <v:imagedata o:title=""/>
              <o:lock v:ext="edit" aspectratio="f"/>
              <v:textbox inset="0mm,0mm,0mm,0mm">
                <w:txbxContent>
                  <w:p>
                    <w:pPr>
                      <w:pStyle w:val="15"/>
                    </w:pPr>
                    <w:r>
                      <w:rPr>
                        <w:rFonts w:hint="eastAsia"/>
                      </w:rPr>
                      <w:fldChar w:fldCharType="begin"/>
                    </w:r>
                    <w:r>
                      <w:rPr>
                        <w:rFonts w:hint="eastAsia"/>
                      </w:rPr>
                      <w:instrText xml:space="preserve"> PAGE  \* MERGEFORMAT </w:instrText>
                    </w:r>
                    <w:r>
                      <w:rPr>
                        <w:rFonts w:hint="eastAsia"/>
                      </w:rPr>
                      <w:fldChar w:fldCharType="separate"/>
                    </w:r>
                    <w:r>
                      <w:t>181</w:t>
                    </w:r>
                    <w:r>
                      <w:rPr>
                        <w:rFonts w:hint="eastAsia"/>
                      </w:rPr>
                      <w:fldChar w:fldCharType="end"/>
                    </w:r>
                  </w:p>
                </w:txbxContent>
              </v:textbox>
            </v:shape>
          </w:pict>
        </mc:Fallback>
      </mc:AlternateContent>
    </w:r>
  </w:p>
  <w:p>
    <w:pPr>
      <w:pStyle w:val="15"/>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-215265</wp:posOffset>
              </wp:positionV>
              <wp:extent cx="229235" cy="160020"/>
              <wp:effectExtent l="1905" t="0" r="0" b="1905"/>
              <wp:wrapNone/>
              <wp:docPr id="21" name="文本框 143"/>
              <wp:cNvGraphicFramePr/>
              <a:graphic xmlns:a="http://schemas.openxmlformats.org/drawingml/2006/main">
                <a:graphicData uri="http://schemas.microsoft.com/office/word/2010/wordprocessingShape">
                  <wps:wsp>
                    <wps:cNvSpPr txBox="1">
                      <a:spLocks noChangeArrowheads="1"/>
                    </wps:cNvSpPr>
                    <wps:spPr bwMode="auto">
                      <a:xfrm>
                        <a:off x="0" y="0"/>
                        <a:ext cx="229235" cy="160020"/>
                      </a:xfrm>
                      <a:prstGeom prst="rect">
                        <a:avLst/>
                      </a:prstGeom>
                      <a:noFill/>
                      <a:ln>
                        <a:noFill/>
                      </a:ln>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189</w:t>
                          </w:r>
                          <w:r>
                            <w:rPr>
                              <w:rFonts w:hint="eastAsia"/>
                            </w:rPr>
                            <w:fldChar w:fldCharType="end"/>
                          </w:r>
                        </w:p>
                      </w:txbxContent>
                    </wps:txbx>
                    <wps:bodyPr rot="0" vert="horz" wrap="square" lIns="0" tIns="0" rIns="0" bIns="0" anchor="t" anchorCtr="0" upright="1">
                      <a:noAutofit/>
                    </wps:bodyPr>
                  </wps:wsp>
                </a:graphicData>
              </a:graphic>
            </wp:anchor>
          </w:drawing>
        </mc:Choice>
        <mc:Fallback>
          <w:pict>
            <v:shape id="文本框 143" o:spid="_x0000_s1026" o:spt="202" type="#_x0000_t202" style="position:absolute;left:0pt;margin-top:-16.95pt;height:12.6pt;width:18.05pt;mso-position-horizontal:center;mso-position-horizontal-relative:margin;z-index:251687936;mso-width-relative:page;mso-height-relative:page;" filled="f" stroked="f" coordsize="21600,21600" o:gfxdata="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pFLPdYAAAAGAQAADwAAAAAAAAABACAA&#10;AAAiAAAAZHJzL2Rvd25yZXYueG1sUEsBAhQAFAAAAAgAh07iQPAaCicPAgAABwQAAA4AAAAAAAAA&#10;AQAgAAAAJQEAAGRycy9lMm9Eb2MueG1sUEsFBgAAAAAGAAYAWQEAAKYFAAAAAA==&#10;">
              <v:fill on="f" focussize="0,0"/>
              <v:stroke on="f"/>
              <v:imagedata o:title=""/>
              <o:lock v:ext="edit" aspectratio="f"/>
              <v:textbox inset="0mm,0mm,0mm,0mm">
                <w:txbxContent>
                  <w:p>
                    <w:pPr>
                      <w:pStyle w:val="15"/>
                    </w:pPr>
                    <w:r>
                      <w:rPr>
                        <w:rFonts w:hint="eastAsia"/>
                      </w:rPr>
                      <w:fldChar w:fldCharType="begin"/>
                    </w:r>
                    <w:r>
                      <w:rPr>
                        <w:rFonts w:hint="eastAsia"/>
                      </w:rPr>
                      <w:instrText xml:space="preserve"> PAGE  \* MERGEFORMAT </w:instrText>
                    </w:r>
                    <w:r>
                      <w:rPr>
                        <w:rFonts w:hint="eastAsia"/>
                      </w:rPr>
                      <w:fldChar w:fldCharType="separate"/>
                    </w:r>
                    <w:r>
                      <w:t>189</w:t>
                    </w:r>
                    <w:r>
                      <w:rPr>
                        <w:rFonts w:hint="eastAsia"/>
                      </w:rPr>
                      <w:fldChar w:fldCharType="end"/>
                    </w:r>
                  </w:p>
                </w:txbxContent>
              </v:textbox>
            </v:shape>
          </w:pict>
        </mc:Fallback>
      </mc:AlternateContent>
    </w:r>
  </w:p>
  <w:p>
    <w:pPr>
      <w:pStyle w:val="15"/>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-215265</wp:posOffset>
              </wp:positionV>
              <wp:extent cx="248285" cy="179070"/>
              <wp:effectExtent l="1905" t="0" r="0" b="1905"/>
              <wp:wrapNone/>
              <wp:docPr id="19" name="文本框 145"/>
              <wp:cNvGraphicFramePr/>
              <a:graphic xmlns:a="http://schemas.openxmlformats.org/drawingml/2006/main">
                <a:graphicData uri="http://schemas.microsoft.com/office/word/2010/wordprocessingShape">
                  <wps:wsp>
                    <wps:cNvSpPr txBox="1">
                      <a:spLocks noChangeArrowheads="1"/>
                    </wps:cNvSpPr>
                    <wps:spPr bwMode="auto">
                      <a:xfrm>
                        <a:off x="0" y="0"/>
                        <a:ext cx="248285" cy="179070"/>
                      </a:xfrm>
                      <a:prstGeom prst="rect">
                        <a:avLst/>
                      </a:prstGeom>
                      <a:noFill/>
                      <a:ln>
                        <a:noFill/>
                      </a:ln>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198</w:t>
                          </w:r>
                          <w:r>
                            <w:rPr>
                              <w:rFonts w:hint="eastAsia"/>
                            </w:rPr>
                            <w:fldChar w:fldCharType="end"/>
                          </w:r>
                        </w:p>
                      </w:txbxContent>
                    </wps:txbx>
                    <wps:bodyPr rot="0" vert="horz" wrap="square" lIns="0" tIns="0" rIns="0" bIns="0" anchor="t" anchorCtr="0" upright="1">
                      <a:noAutofit/>
                    </wps:bodyPr>
                  </wps:wsp>
                </a:graphicData>
              </a:graphic>
            </wp:anchor>
          </w:drawing>
        </mc:Choice>
        <mc:Fallback>
          <w:pict>
            <v:shape id="文本框 145" o:spid="_x0000_s1026" o:spt="202" type="#_x0000_t202" style="position:absolute;left:0pt;margin-top:-16.95pt;height:14.1pt;width:19.55pt;mso-position-horizontal:center;mso-position-horizontal-relative:margin;z-index:251688960;mso-width-relative:page;mso-height-relative:page;" filled="f" stroked="f" coordsize="21600,21600" o:gfxdata="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iMvILWAAAABgEAAA8AAAAAAAAAAQAg&#10;AAAAIgAAAGRycy9kb3ducmV2LnhtbFBLAQIUABQAAAAIAIdO4kA2Y6htEAIAAAcEAAAOAAAAAAAA&#10;AAEAIAAAACUBAABkcnMvZTJvRG9jLnhtbFBLBQYAAAAABgAGAFkBAACnBQAAAAA=&#10;">
              <v:fill on="f" focussize="0,0"/>
              <v:stroke on="f"/>
              <v:imagedata o:title=""/>
              <o:lock v:ext="edit" aspectratio="f"/>
              <v:textbox inset="0mm,0mm,0mm,0mm">
                <w:txbxContent>
                  <w:p>
                    <w:pPr>
                      <w:pStyle w:val="15"/>
                    </w:pPr>
                    <w:r>
                      <w:rPr>
                        <w:rFonts w:hint="eastAsia"/>
                      </w:rPr>
                      <w:fldChar w:fldCharType="begin"/>
                    </w:r>
                    <w:r>
                      <w:rPr>
                        <w:rFonts w:hint="eastAsia"/>
                      </w:rPr>
                      <w:instrText xml:space="preserve"> PAGE  \* MERGEFORMAT </w:instrText>
                    </w:r>
                    <w:r>
                      <w:rPr>
                        <w:rFonts w:hint="eastAsia"/>
                      </w:rPr>
                      <w:fldChar w:fldCharType="separate"/>
                    </w:r>
                    <w:r>
                      <w:t>198</w:t>
                    </w:r>
                    <w:r>
                      <w:rPr>
                        <w:rFonts w:hint="eastAsia"/>
                      </w:rPr>
                      <w:fldChar w:fldCharType="end"/>
                    </w:r>
                  </w:p>
                </w:txbxContent>
              </v:textbox>
            </v:shape>
          </w:pict>
        </mc:Fallback>
      </mc:AlternateContent>
    </w:r>
  </w:p>
  <w:p>
    <w:pPr>
      <w:pStyle w:val="1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-215265</wp:posOffset>
              </wp:positionV>
              <wp:extent cx="114935" cy="131445"/>
              <wp:effectExtent l="0" t="0" r="12065" b="14605"/>
              <wp:wrapNone/>
              <wp:docPr id="108" name="文本框 108"/>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6.95pt;height:10.35pt;width:9.05pt;mso-position-horizontal:center;mso-position-horizontal-relative:margin;mso-wrap-style:none;z-index:251664384;mso-width-relative:page;mso-height-relative:page;" filled="f" stroked="f" coordsize="21600,21600" o:gfxdata="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GWpYp1AAAAAcBAAAPAAAAAAAAAAEAIAAAACIAAABkcnMvZG93bnJldi54bWxQSwEC&#10;FAAUAAAACACHTuJAFrDVVjECAABXBAAADgAAAAAAAAABACAAAAAjAQAAZHJzL2Uyb0RvYy54bWxQ&#10;SwUGAAAAAAYABgBZAQAAxgUAAAAA&#10;">
              <v:fill on="f" focussize="0,0"/>
              <v:stroke on="f" weight="0.5pt"/>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p>
    <w:pPr>
      <w:pStyle w:val="15"/>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-215265</wp:posOffset>
              </wp:positionV>
              <wp:extent cx="248285" cy="226695"/>
              <wp:effectExtent l="1905" t="0" r="0" b="1905"/>
              <wp:wrapNone/>
              <wp:docPr id="18" name="文本框 146"/>
              <wp:cNvGraphicFramePr/>
              <a:graphic xmlns:a="http://schemas.openxmlformats.org/drawingml/2006/main">
                <a:graphicData uri="http://schemas.microsoft.com/office/word/2010/wordprocessingShape">
                  <wps:wsp>
                    <wps:cNvSpPr txBox="1">
                      <a:spLocks noChangeArrowheads="1"/>
                    </wps:cNvSpPr>
                    <wps:spPr bwMode="auto">
                      <a:xfrm>
                        <a:off x="0" y="0"/>
                        <a:ext cx="248285" cy="226695"/>
                      </a:xfrm>
                      <a:prstGeom prst="rect">
                        <a:avLst/>
                      </a:prstGeom>
                      <a:noFill/>
                      <a:ln>
                        <a:noFill/>
                      </a:ln>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204</w:t>
                          </w:r>
                          <w:r>
                            <w:rPr>
                              <w:rFonts w:hint="eastAsia"/>
                            </w:rPr>
                            <w:fldChar w:fldCharType="end"/>
                          </w:r>
                        </w:p>
                      </w:txbxContent>
                    </wps:txbx>
                    <wps:bodyPr rot="0" vert="horz" wrap="square" lIns="0" tIns="0" rIns="0" bIns="0" anchor="t" anchorCtr="0" upright="1">
                      <a:noAutofit/>
                    </wps:bodyPr>
                  </wps:wsp>
                </a:graphicData>
              </a:graphic>
            </wp:anchor>
          </w:drawing>
        </mc:Choice>
        <mc:Fallback>
          <w:pict>
            <v:shape id="文本框 146" o:spid="_x0000_s1026" o:spt="202" type="#_x0000_t202" style="position:absolute;left:0pt;margin-top:-16.95pt;height:17.85pt;width:19.55pt;mso-position-horizontal:center;mso-position-horizontal-relative:margin;z-index:251689984;mso-width-relative:page;mso-height-relative:page;" filled="f" stroked="f" coordsize="21600,21600" o:gfxdata="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UcDi51QAAAAUBAAAPAAAAAAAAAAEAIAAA&#10;ACIAAABkcnMvZG93bnJldi54bWxQSwECFAAUAAAACACHTuJAPXDclQ8CAAAHBAAADgAAAAAAAAAB&#10;ACAAAAAkAQAAZHJzL2Uyb0RvYy54bWxQSwUGAAAAAAYABgBZAQAApQUAAAAA&#10;">
              <v:fill on="f" focussize="0,0"/>
              <v:stroke on="f"/>
              <v:imagedata o:title=""/>
              <o:lock v:ext="edit" aspectratio="f"/>
              <v:textbox inset="0mm,0mm,0mm,0mm">
                <w:txbxContent>
                  <w:p>
                    <w:pPr>
                      <w:pStyle w:val="15"/>
                    </w:pPr>
                    <w:r>
                      <w:rPr>
                        <w:rFonts w:hint="eastAsia"/>
                      </w:rPr>
                      <w:fldChar w:fldCharType="begin"/>
                    </w:r>
                    <w:r>
                      <w:rPr>
                        <w:rFonts w:hint="eastAsia"/>
                      </w:rPr>
                      <w:instrText xml:space="preserve"> PAGE  \* MERGEFORMAT </w:instrText>
                    </w:r>
                    <w:r>
                      <w:rPr>
                        <w:rFonts w:hint="eastAsia"/>
                      </w:rPr>
                      <w:fldChar w:fldCharType="separate"/>
                    </w:r>
                    <w:r>
                      <w:t>204</w:t>
                    </w:r>
                    <w:r>
                      <w:rPr>
                        <w:rFonts w:hint="eastAsia"/>
                      </w:rPr>
                      <w:fldChar w:fldCharType="end"/>
                    </w:r>
                  </w:p>
                </w:txbxContent>
              </v:textbox>
            </v:shape>
          </w:pict>
        </mc:Fallback>
      </mc:AlternateContent>
    </w:r>
  </w:p>
  <w:p>
    <w:pPr>
      <w:pStyle w:val="15"/>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-215265</wp:posOffset>
              </wp:positionV>
              <wp:extent cx="219710" cy="226695"/>
              <wp:effectExtent l="0" t="0" r="1905" b="3810"/>
              <wp:wrapNone/>
              <wp:docPr id="17" name="文本框 147"/>
              <wp:cNvGraphicFramePr/>
              <a:graphic xmlns:a="http://schemas.openxmlformats.org/drawingml/2006/main">
                <a:graphicData uri="http://schemas.microsoft.com/office/word/2010/wordprocessingShape">
                  <wps:wsp>
                    <wps:cNvSpPr txBox="1">
                      <a:spLocks noChangeArrowheads="1"/>
                    </wps:cNvSpPr>
                    <wps:spPr bwMode="auto">
                      <a:xfrm>
                        <a:off x="0" y="0"/>
                        <a:ext cx="219710" cy="226695"/>
                      </a:xfrm>
                      <a:prstGeom prst="rect">
                        <a:avLst/>
                      </a:prstGeom>
                      <a:noFill/>
                      <a:ln>
                        <a:noFill/>
                      </a:ln>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266</w:t>
                          </w:r>
                          <w:r>
                            <w:rPr>
                              <w:rFonts w:hint="eastAsia"/>
                            </w:rPr>
                            <w:fldChar w:fldCharType="end"/>
                          </w:r>
                        </w:p>
                      </w:txbxContent>
                    </wps:txbx>
                    <wps:bodyPr rot="0" vert="horz" wrap="square" lIns="0" tIns="0" rIns="0" bIns="0" anchor="t" anchorCtr="0" upright="1">
                      <a:noAutofit/>
                    </wps:bodyPr>
                  </wps:wsp>
                </a:graphicData>
              </a:graphic>
            </wp:anchor>
          </w:drawing>
        </mc:Choice>
        <mc:Fallback>
          <w:pict>
            <v:shape id="文本框 147" o:spid="_x0000_s1026" o:spt="202" type="#_x0000_t202" style="position:absolute;left:0pt;margin-top:-16.95pt;height:17.85pt;width:17.3pt;mso-position-horizontal:center;mso-position-horizontal-relative:margin;z-index:251691008;mso-width-relative:page;mso-height-relative:page;" filled="f" stroked="f" coordsize="21600,21600" o:gfxdata="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yttKzVAAAABQEAAA8AAAAAAAAAAQAgAAAA&#10;IgAAAGRycy9kb3ducmV2LnhtbFBLAQIUABQAAAAIAIdO4kBjBdT3DgIAAAcEAAAOAAAAAAAAAAEA&#10;IAAAACQBAABkcnMvZTJvRG9jLnhtbFBLBQYAAAAABgAGAFkBAACkBQAAAAA=&#10;">
              <v:fill on="f" focussize="0,0"/>
              <v:stroke on="f"/>
              <v:imagedata o:title=""/>
              <o:lock v:ext="edit" aspectratio="f"/>
              <v:textbox inset="0mm,0mm,0mm,0mm">
                <w:txbxContent>
                  <w:p>
                    <w:pPr>
                      <w:pStyle w:val="15"/>
                    </w:pPr>
                    <w:r>
                      <w:rPr>
                        <w:rFonts w:hint="eastAsia"/>
                      </w:rPr>
                      <w:fldChar w:fldCharType="begin"/>
                    </w:r>
                    <w:r>
                      <w:rPr>
                        <w:rFonts w:hint="eastAsia"/>
                      </w:rPr>
                      <w:instrText xml:space="preserve"> PAGE  \* MERGEFORMAT </w:instrText>
                    </w:r>
                    <w:r>
                      <w:rPr>
                        <w:rFonts w:hint="eastAsia"/>
                      </w:rPr>
                      <w:fldChar w:fldCharType="separate"/>
                    </w:r>
                    <w:r>
                      <w:t>266</w:t>
                    </w:r>
                    <w:r>
                      <w:rPr>
                        <w:rFonts w:hint="eastAsia"/>
                      </w:rPr>
                      <w:fldChar w:fldCharType="end"/>
                    </w:r>
                  </w:p>
                </w:txbxContent>
              </v:textbox>
            </v:shape>
          </w:pict>
        </mc:Fallback>
      </mc:AlternateConten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-215265</wp:posOffset>
              </wp:positionV>
              <wp:extent cx="114935" cy="131445"/>
              <wp:effectExtent l="0" t="0" r="12065" b="14605"/>
              <wp:wrapNone/>
              <wp:docPr id="109" name="文本框 109"/>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6.95pt;height:10.35pt;width:9.05pt;mso-position-horizontal:center;mso-position-horizontal-relative:margin;mso-wrap-style:none;z-index:251665408;mso-width-relative:page;mso-height-relative:page;" filled="f" stroked="f" coordsize="21600,21600" o:gfxdata="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lqWKdQAAAAHAQAADwAAAAAAAAABACAAAAAiAAAAZHJzL2Rvd25yZXYueG1sUEsB&#10;AhQAFAAAAAgAh07iQHo5FBYyAgAAVwQAAA4AAAAAAAAAAQAgAAAAIwEAAGRycy9lMm9Eb2MueG1s&#10;UEsFBgAAAAAGAAYAWQEAAMcFAAAAAA==&#10;">
              <v:fill on="f" focussize="0,0"/>
              <v:stroke on="f" weight="0.5pt"/>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v:textbox>
            </v:shape>
          </w:pict>
        </mc:Fallback>
      </mc:AlternateContent>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10"/>
    <w:multiLevelType w:val="singleLevel"/>
    <w:tmpl w:val="00000010"/>
    <w:lvl w:ilvl="0" w:tentative="0">
      <w:start w:val="1"/>
      <w:numFmt w:val="decimal"/>
      <w:suff w:val="nothing"/>
      <w:lvlText w:val="%1、"/>
      <w:lvlJc w:val="left"/>
    </w:lvl>
  </w:abstractNum>
  <w:abstractNum w:abstractNumId="2">
    <w:nsid w:val="00000012"/>
    <w:multiLevelType w:val="multilevel"/>
    <w:tmpl w:val="00000012"/>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00000013"/>
    <w:multiLevelType w:val="multilevel"/>
    <w:tmpl w:val="00000013"/>
    <w:lvl w:ilvl="0" w:tentative="0">
      <w:start w:val="1"/>
      <w:numFmt w:val="japaneseCounting"/>
      <w:lvlText w:val="%1、"/>
      <w:lvlJc w:val="left"/>
      <w:pPr>
        <w:tabs>
          <w:tab w:val="left" w:pos="420"/>
        </w:tabs>
        <w:ind w:left="420" w:hanging="420"/>
      </w:pPr>
      <w:rPr>
        <w:rFonts w:hint="eastAsia" w:ascii="黑体" w:hAnsi="黑体"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4"/>
    <w:multiLevelType w:val="multilevel"/>
    <w:tmpl w:val="00000014"/>
    <w:lvl w:ilvl="0" w:tentative="0">
      <w:start w:val="1"/>
      <w:numFmt w:val="japaneseCounting"/>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5"/>
    <w:multiLevelType w:val="multilevel"/>
    <w:tmpl w:val="00000015"/>
    <w:lvl w:ilvl="0" w:tentative="0">
      <w:start w:val="1"/>
      <w:numFmt w:val="japaneseCounting"/>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8"/>
    <w:multiLevelType w:val="multilevel"/>
    <w:tmpl w:val="00000018"/>
    <w:lvl w:ilvl="0" w:tentative="0">
      <w:start w:val="1"/>
      <w:numFmt w:val="none"/>
      <w:lvlText w:val="一、"/>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163B6F3"/>
    <w:multiLevelType w:val="singleLevel"/>
    <w:tmpl w:val="0163B6F3"/>
    <w:lvl w:ilvl="0" w:tentative="0">
      <w:start w:val="2"/>
      <w:numFmt w:val="chineseCounting"/>
      <w:suff w:val="nothing"/>
      <w:lvlText w:val="%1、"/>
      <w:lvlJc w:val="left"/>
      <w:rPr>
        <w:rFonts w:hint="eastAsia"/>
      </w:rPr>
    </w:lvl>
  </w:abstractNum>
  <w:abstractNum w:abstractNumId="8">
    <w:nsid w:val="033045BB"/>
    <w:multiLevelType w:val="singleLevel"/>
    <w:tmpl w:val="033045BB"/>
    <w:lvl w:ilvl="0" w:tentative="0">
      <w:start w:val="3"/>
      <w:numFmt w:val="decimal"/>
      <w:suff w:val="space"/>
      <w:lvlText w:val="%1."/>
      <w:lvlJc w:val="left"/>
    </w:lvl>
  </w:abstractNum>
  <w:abstractNum w:abstractNumId="9">
    <w:nsid w:val="0DC20DA4"/>
    <w:multiLevelType w:val="multilevel"/>
    <w:tmpl w:val="0DC20DA4"/>
    <w:lvl w:ilvl="0" w:tentative="0">
      <w:start w:val="1"/>
      <w:numFmt w:val="japaneseCounting"/>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A4A4C8F"/>
    <w:multiLevelType w:val="multilevel"/>
    <w:tmpl w:val="1A4A4C8F"/>
    <w:lvl w:ilvl="0" w:tentative="0">
      <w:start w:val="1"/>
      <w:numFmt w:val="japaneseCounting"/>
      <w:lvlText w:val="%1、"/>
      <w:lvlJc w:val="left"/>
      <w:pPr>
        <w:tabs>
          <w:tab w:val="left" w:pos="562"/>
        </w:tabs>
        <w:ind w:left="562" w:hanging="420"/>
      </w:pPr>
      <w:rPr>
        <w:rFonts w:hint="eastAsia" w:ascii="黑体" w:hAnsi="黑体"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218B0582"/>
    <w:multiLevelType w:val="multilevel"/>
    <w:tmpl w:val="218B0582"/>
    <w:lvl w:ilvl="0" w:tentative="0">
      <w:start w:val="1"/>
      <w:numFmt w:val="decimal"/>
      <w:lvlText w:val="%1、"/>
      <w:lvlJc w:val="left"/>
      <w:pPr>
        <w:tabs>
          <w:tab w:val="left" w:pos="765"/>
        </w:tabs>
        <w:ind w:left="765" w:hanging="375"/>
      </w:pPr>
      <w:rPr>
        <w:rFonts w:ascii="宋体" w:hAnsi="宋体" w:eastAsia="宋体" w:cs="宋体"/>
      </w:rPr>
    </w:lvl>
    <w:lvl w:ilvl="1" w:tentative="0">
      <w:start w:val="1"/>
      <w:numFmt w:val="lowerLetter"/>
      <w:lvlText w:val="%2)"/>
      <w:lvlJc w:val="left"/>
      <w:pPr>
        <w:tabs>
          <w:tab w:val="left" w:pos="1230"/>
        </w:tabs>
        <w:ind w:left="1230" w:hanging="420"/>
      </w:pPr>
    </w:lvl>
    <w:lvl w:ilvl="2" w:tentative="0">
      <w:start w:val="1"/>
      <w:numFmt w:val="lowerRoman"/>
      <w:lvlText w:val="%3."/>
      <w:lvlJc w:val="right"/>
      <w:pPr>
        <w:tabs>
          <w:tab w:val="left" w:pos="1650"/>
        </w:tabs>
        <w:ind w:left="1650" w:hanging="420"/>
      </w:pPr>
    </w:lvl>
    <w:lvl w:ilvl="3" w:tentative="0">
      <w:start w:val="1"/>
      <w:numFmt w:val="decimal"/>
      <w:lvlText w:val="%4."/>
      <w:lvlJc w:val="left"/>
      <w:pPr>
        <w:tabs>
          <w:tab w:val="left" w:pos="2070"/>
        </w:tabs>
        <w:ind w:left="2070" w:hanging="420"/>
      </w:pPr>
    </w:lvl>
    <w:lvl w:ilvl="4" w:tentative="0">
      <w:start w:val="1"/>
      <w:numFmt w:val="lowerLetter"/>
      <w:lvlText w:val="%5)"/>
      <w:lvlJc w:val="left"/>
      <w:pPr>
        <w:tabs>
          <w:tab w:val="left" w:pos="2490"/>
        </w:tabs>
        <w:ind w:left="2490" w:hanging="420"/>
      </w:pPr>
    </w:lvl>
    <w:lvl w:ilvl="5" w:tentative="0">
      <w:start w:val="1"/>
      <w:numFmt w:val="lowerRoman"/>
      <w:lvlText w:val="%6."/>
      <w:lvlJc w:val="right"/>
      <w:pPr>
        <w:tabs>
          <w:tab w:val="left" w:pos="2910"/>
        </w:tabs>
        <w:ind w:left="2910" w:hanging="420"/>
      </w:pPr>
    </w:lvl>
    <w:lvl w:ilvl="6" w:tentative="0">
      <w:start w:val="1"/>
      <w:numFmt w:val="decimal"/>
      <w:lvlText w:val="%7."/>
      <w:lvlJc w:val="left"/>
      <w:pPr>
        <w:tabs>
          <w:tab w:val="left" w:pos="3330"/>
        </w:tabs>
        <w:ind w:left="3330" w:hanging="420"/>
      </w:pPr>
    </w:lvl>
    <w:lvl w:ilvl="7" w:tentative="0">
      <w:start w:val="1"/>
      <w:numFmt w:val="lowerLetter"/>
      <w:lvlText w:val="%8)"/>
      <w:lvlJc w:val="left"/>
      <w:pPr>
        <w:tabs>
          <w:tab w:val="left" w:pos="3750"/>
        </w:tabs>
        <w:ind w:left="3750" w:hanging="420"/>
      </w:pPr>
    </w:lvl>
    <w:lvl w:ilvl="8" w:tentative="0">
      <w:start w:val="1"/>
      <w:numFmt w:val="lowerRoman"/>
      <w:lvlText w:val="%9."/>
      <w:lvlJc w:val="right"/>
      <w:pPr>
        <w:tabs>
          <w:tab w:val="left" w:pos="4170"/>
        </w:tabs>
        <w:ind w:left="4170" w:hanging="420"/>
      </w:pPr>
    </w:lvl>
  </w:abstractNum>
  <w:abstractNum w:abstractNumId="12">
    <w:nsid w:val="3C6615C2"/>
    <w:multiLevelType w:val="singleLevel"/>
    <w:tmpl w:val="3C6615C2"/>
    <w:lvl w:ilvl="0" w:tentative="0">
      <w:start w:val="2"/>
      <w:numFmt w:val="chineseCounting"/>
      <w:suff w:val="nothing"/>
      <w:lvlText w:val="%1、"/>
      <w:lvlJc w:val="left"/>
      <w:rPr>
        <w:rFonts w:hint="eastAsia"/>
      </w:rPr>
    </w:lvl>
  </w:abstractNum>
  <w:abstractNum w:abstractNumId="13">
    <w:nsid w:val="6445E337"/>
    <w:multiLevelType w:val="singleLevel"/>
    <w:tmpl w:val="6445E337"/>
    <w:lvl w:ilvl="0" w:tentative="0">
      <w:start w:val="2"/>
      <w:numFmt w:val="decimal"/>
      <w:suff w:val="space"/>
      <w:lvlText w:val="%1."/>
      <w:lvlJc w:val="left"/>
    </w:lvl>
  </w:abstractNum>
  <w:abstractNum w:abstractNumId="14">
    <w:nsid w:val="67EB8AA7"/>
    <w:multiLevelType w:val="singleLevel"/>
    <w:tmpl w:val="67EB8AA7"/>
    <w:lvl w:ilvl="0" w:tentative="0">
      <w:start w:val="7"/>
      <w:numFmt w:val="chineseCounting"/>
      <w:suff w:val="nothing"/>
      <w:lvlText w:val="%1、"/>
      <w:lvlJc w:val="left"/>
      <w:rPr>
        <w:rFonts w:hint="eastAsia"/>
      </w:rPr>
    </w:lvl>
  </w:abstractNum>
  <w:abstractNum w:abstractNumId="15">
    <w:nsid w:val="6B625CCB"/>
    <w:multiLevelType w:val="multilevel"/>
    <w:tmpl w:val="6B625CCB"/>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7991E255"/>
    <w:multiLevelType w:val="singleLevel"/>
    <w:tmpl w:val="7991E255"/>
    <w:lvl w:ilvl="0" w:tentative="0">
      <w:start w:val="1"/>
      <w:numFmt w:val="decimal"/>
      <w:suff w:val="space"/>
      <w:lvlText w:val="[%1]"/>
      <w:lvlJc w:val="left"/>
    </w:lvl>
  </w:abstractNum>
  <w:num w:numId="1">
    <w:abstractNumId w:val="3"/>
  </w:num>
  <w:num w:numId="2">
    <w:abstractNumId w:val="4"/>
  </w:num>
  <w:num w:numId="3">
    <w:abstractNumId w:val="5"/>
  </w:num>
  <w:num w:numId="4">
    <w:abstractNumId w:val="0"/>
  </w:num>
  <w:num w:numId="5">
    <w:abstractNumId w:val="7"/>
  </w:num>
  <w:num w:numId="6">
    <w:abstractNumId w:val="11"/>
  </w:num>
  <w:num w:numId="7">
    <w:abstractNumId w:val="6"/>
  </w:num>
  <w:num w:numId="8">
    <w:abstractNumId w:val="10"/>
  </w:num>
  <w:num w:numId="9">
    <w:abstractNumId w:val="9"/>
  </w:num>
  <w:num w:numId="10">
    <w:abstractNumId w:val="15"/>
  </w:num>
  <w:num w:numId="11">
    <w:abstractNumId w:val="2"/>
  </w:num>
  <w:num w:numId="12">
    <w:abstractNumId w:val="1"/>
  </w:num>
  <w:num w:numId="13">
    <w:abstractNumId w:val="12"/>
  </w:num>
  <w:num w:numId="14">
    <w:abstractNumId w:val="13"/>
  </w:num>
  <w:num w:numId="15">
    <w:abstractNumId w:val="8"/>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RlZTcwYTI0MDdmYzlmNTc0YmM2ZTk3ZWE4Y2RlYWMifQ=="/>
  </w:docVars>
  <w:rsids>
    <w:rsidRoot w:val="00C12953"/>
    <w:rsid w:val="00020169"/>
    <w:rsid w:val="00034CE4"/>
    <w:rsid w:val="0006207F"/>
    <w:rsid w:val="000752B9"/>
    <w:rsid w:val="00075948"/>
    <w:rsid w:val="00095262"/>
    <w:rsid w:val="000A751A"/>
    <w:rsid w:val="000D10FA"/>
    <w:rsid w:val="000D151F"/>
    <w:rsid w:val="000D1DBA"/>
    <w:rsid w:val="000D53A4"/>
    <w:rsid w:val="000E06A6"/>
    <w:rsid w:val="000E1E91"/>
    <w:rsid w:val="000E7640"/>
    <w:rsid w:val="000F04F1"/>
    <w:rsid w:val="000F4C98"/>
    <w:rsid w:val="000F7930"/>
    <w:rsid w:val="0010221E"/>
    <w:rsid w:val="00114700"/>
    <w:rsid w:val="00130D0D"/>
    <w:rsid w:val="00131A88"/>
    <w:rsid w:val="001337F2"/>
    <w:rsid w:val="001400AB"/>
    <w:rsid w:val="00140532"/>
    <w:rsid w:val="001432A4"/>
    <w:rsid w:val="001512E3"/>
    <w:rsid w:val="00156511"/>
    <w:rsid w:val="001635A0"/>
    <w:rsid w:val="0016787B"/>
    <w:rsid w:val="00181233"/>
    <w:rsid w:val="00187C7D"/>
    <w:rsid w:val="00193ED8"/>
    <w:rsid w:val="001944DA"/>
    <w:rsid w:val="001A30FE"/>
    <w:rsid w:val="001A604A"/>
    <w:rsid w:val="001A6D27"/>
    <w:rsid w:val="001A78FD"/>
    <w:rsid w:val="001B18A1"/>
    <w:rsid w:val="001B3815"/>
    <w:rsid w:val="001C35D3"/>
    <w:rsid w:val="001D111A"/>
    <w:rsid w:val="001D18A1"/>
    <w:rsid w:val="001F0272"/>
    <w:rsid w:val="001F08AD"/>
    <w:rsid w:val="00202D7D"/>
    <w:rsid w:val="00204C5B"/>
    <w:rsid w:val="002077B5"/>
    <w:rsid w:val="002113E2"/>
    <w:rsid w:val="00214C50"/>
    <w:rsid w:val="00241F9B"/>
    <w:rsid w:val="00243F4C"/>
    <w:rsid w:val="00246013"/>
    <w:rsid w:val="002617D0"/>
    <w:rsid w:val="00266C0B"/>
    <w:rsid w:val="0026705B"/>
    <w:rsid w:val="00271794"/>
    <w:rsid w:val="002913A1"/>
    <w:rsid w:val="0029408B"/>
    <w:rsid w:val="00294BB7"/>
    <w:rsid w:val="002A4986"/>
    <w:rsid w:val="002B00DB"/>
    <w:rsid w:val="002D128E"/>
    <w:rsid w:val="002D3E8F"/>
    <w:rsid w:val="002F48D3"/>
    <w:rsid w:val="00304010"/>
    <w:rsid w:val="00305313"/>
    <w:rsid w:val="00316727"/>
    <w:rsid w:val="00327ADC"/>
    <w:rsid w:val="003416A5"/>
    <w:rsid w:val="00347CDB"/>
    <w:rsid w:val="0035458B"/>
    <w:rsid w:val="003715AF"/>
    <w:rsid w:val="003722FB"/>
    <w:rsid w:val="00383551"/>
    <w:rsid w:val="00384B9A"/>
    <w:rsid w:val="00386CFD"/>
    <w:rsid w:val="003A02BE"/>
    <w:rsid w:val="003A7FE6"/>
    <w:rsid w:val="003B0192"/>
    <w:rsid w:val="003B3DEB"/>
    <w:rsid w:val="003B5A88"/>
    <w:rsid w:val="003B6B26"/>
    <w:rsid w:val="003C55A4"/>
    <w:rsid w:val="003D3867"/>
    <w:rsid w:val="003D4EBA"/>
    <w:rsid w:val="003D5AEF"/>
    <w:rsid w:val="003D624E"/>
    <w:rsid w:val="003E0E6E"/>
    <w:rsid w:val="00405735"/>
    <w:rsid w:val="00412D22"/>
    <w:rsid w:val="00425D84"/>
    <w:rsid w:val="00433F95"/>
    <w:rsid w:val="00441D4A"/>
    <w:rsid w:val="004457D8"/>
    <w:rsid w:val="004600A0"/>
    <w:rsid w:val="00462C8C"/>
    <w:rsid w:val="0047599B"/>
    <w:rsid w:val="004770AB"/>
    <w:rsid w:val="00485010"/>
    <w:rsid w:val="00493651"/>
    <w:rsid w:val="00494EC1"/>
    <w:rsid w:val="00495489"/>
    <w:rsid w:val="00495B91"/>
    <w:rsid w:val="004965D1"/>
    <w:rsid w:val="004A51D9"/>
    <w:rsid w:val="004B4C8C"/>
    <w:rsid w:val="004C7115"/>
    <w:rsid w:val="004D1254"/>
    <w:rsid w:val="004D4A13"/>
    <w:rsid w:val="004D6A36"/>
    <w:rsid w:val="004E4ACE"/>
    <w:rsid w:val="004E5CC2"/>
    <w:rsid w:val="004E70AF"/>
    <w:rsid w:val="004F7881"/>
    <w:rsid w:val="00502A3E"/>
    <w:rsid w:val="00506530"/>
    <w:rsid w:val="005128E6"/>
    <w:rsid w:val="00515B32"/>
    <w:rsid w:val="005209B2"/>
    <w:rsid w:val="00521A1F"/>
    <w:rsid w:val="00522DD5"/>
    <w:rsid w:val="005238B5"/>
    <w:rsid w:val="00530D25"/>
    <w:rsid w:val="005315D4"/>
    <w:rsid w:val="005411E6"/>
    <w:rsid w:val="00553161"/>
    <w:rsid w:val="00564D7C"/>
    <w:rsid w:val="00571374"/>
    <w:rsid w:val="00582117"/>
    <w:rsid w:val="00587D1F"/>
    <w:rsid w:val="00594BF2"/>
    <w:rsid w:val="00597BCC"/>
    <w:rsid w:val="005B5D87"/>
    <w:rsid w:val="005D2DAC"/>
    <w:rsid w:val="005D7092"/>
    <w:rsid w:val="005F1318"/>
    <w:rsid w:val="005F54B0"/>
    <w:rsid w:val="00601D78"/>
    <w:rsid w:val="0060226C"/>
    <w:rsid w:val="006056D6"/>
    <w:rsid w:val="00617235"/>
    <w:rsid w:val="006227CA"/>
    <w:rsid w:val="00625D11"/>
    <w:rsid w:val="006313AC"/>
    <w:rsid w:val="00636CEC"/>
    <w:rsid w:val="0065620C"/>
    <w:rsid w:val="0068574F"/>
    <w:rsid w:val="0068640E"/>
    <w:rsid w:val="00690052"/>
    <w:rsid w:val="00691614"/>
    <w:rsid w:val="006A4E56"/>
    <w:rsid w:val="006A52B0"/>
    <w:rsid w:val="006A5424"/>
    <w:rsid w:val="006B0D63"/>
    <w:rsid w:val="006C7588"/>
    <w:rsid w:val="006D6B95"/>
    <w:rsid w:val="006E4E47"/>
    <w:rsid w:val="006F1BBD"/>
    <w:rsid w:val="00726D36"/>
    <w:rsid w:val="007336E3"/>
    <w:rsid w:val="007452E4"/>
    <w:rsid w:val="00754611"/>
    <w:rsid w:val="00756CAB"/>
    <w:rsid w:val="00777810"/>
    <w:rsid w:val="00783E53"/>
    <w:rsid w:val="0079200D"/>
    <w:rsid w:val="0079727F"/>
    <w:rsid w:val="007A08A0"/>
    <w:rsid w:val="007A268E"/>
    <w:rsid w:val="007A58CF"/>
    <w:rsid w:val="007C14E2"/>
    <w:rsid w:val="007D69E1"/>
    <w:rsid w:val="007D7D2E"/>
    <w:rsid w:val="007E2FAE"/>
    <w:rsid w:val="007E667A"/>
    <w:rsid w:val="007E78C6"/>
    <w:rsid w:val="007F0B71"/>
    <w:rsid w:val="007F3145"/>
    <w:rsid w:val="007F35D4"/>
    <w:rsid w:val="00806C6A"/>
    <w:rsid w:val="00812046"/>
    <w:rsid w:val="00813430"/>
    <w:rsid w:val="008134E9"/>
    <w:rsid w:val="00817E25"/>
    <w:rsid w:val="00823B8B"/>
    <w:rsid w:val="0083139F"/>
    <w:rsid w:val="00841A87"/>
    <w:rsid w:val="00852E0B"/>
    <w:rsid w:val="00860310"/>
    <w:rsid w:val="00865F42"/>
    <w:rsid w:val="0088311A"/>
    <w:rsid w:val="00893D92"/>
    <w:rsid w:val="008B2DEC"/>
    <w:rsid w:val="008B5021"/>
    <w:rsid w:val="008C2A15"/>
    <w:rsid w:val="008D3874"/>
    <w:rsid w:val="008D3BBD"/>
    <w:rsid w:val="008D5F11"/>
    <w:rsid w:val="008E44F4"/>
    <w:rsid w:val="008E54E9"/>
    <w:rsid w:val="00902BE4"/>
    <w:rsid w:val="00930221"/>
    <w:rsid w:val="0093275F"/>
    <w:rsid w:val="00941570"/>
    <w:rsid w:val="00950BD8"/>
    <w:rsid w:val="00964D19"/>
    <w:rsid w:val="009776C7"/>
    <w:rsid w:val="0098284B"/>
    <w:rsid w:val="00985EDC"/>
    <w:rsid w:val="00987764"/>
    <w:rsid w:val="0099379F"/>
    <w:rsid w:val="009A1106"/>
    <w:rsid w:val="009A138D"/>
    <w:rsid w:val="009D1835"/>
    <w:rsid w:val="009D64FF"/>
    <w:rsid w:val="009E0C70"/>
    <w:rsid w:val="009E2031"/>
    <w:rsid w:val="009E5E61"/>
    <w:rsid w:val="009F2A78"/>
    <w:rsid w:val="009F7942"/>
    <w:rsid w:val="00A03F9D"/>
    <w:rsid w:val="00A057F3"/>
    <w:rsid w:val="00A11E19"/>
    <w:rsid w:val="00A14130"/>
    <w:rsid w:val="00A171E1"/>
    <w:rsid w:val="00A30B99"/>
    <w:rsid w:val="00A35226"/>
    <w:rsid w:val="00A5097D"/>
    <w:rsid w:val="00A60992"/>
    <w:rsid w:val="00A635A1"/>
    <w:rsid w:val="00A8131A"/>
    <w:rsid w:val="00A81FF1"/>
    <w:rsid w:val="00A85D8C"/>
    <w:rsid w:val="00A91925"/>
    <w:rsid w:val="00A927CF"/>
    <w:rsid w:val="00AA2F7A"/>
    <w:rsid w:val="00AA5494"/>
    <w:rsid w:val="00AB7FF7"/>
    <w:rsid w:val="00AC031C"/>
    <w:rsid w:val="00AC2D0E"/>
    <w:rsid w:val="00AD52AB"/>
    <w:rsid w:val="00AF6486"/>
    <w:rsid w:val="00B077C6"/>
    <w:rsid w:val="00B12119"/>
    <w:rsid w:val="00B13FF6"/>
    <w:rsid w:val="00B16D6A"/>
    <w:rsid w:val="00B23332"/>
    <w:rsid w:val="00B304CA"/>
    <w:rsid w:val="00B32DBE"/>
    <w:rsid w:val="00B34A86"/>
    <w:rsid w:val="00B411CE"/>
    <w:rsid w:val="00B455D9"/>
    <w:rsid w:val="00B45AC6"/>
    <w:rsid w:val="00B51447"/>
    <w:rsid w:val="00B54866"/>
    <w:rsid w:val="00B6507D"/>
    <w:rsid w:val="00B76367"/>
    <w:rsid w:val="00B7686F"/>
    <w:rsid w:val="00B84078"/>
    <w:rsid w:val="00B870B1"/>
    <w:rsid w:val="00B92856"/>
    <w:rsid w:val="00BA6C32"/>
    <w:rsid w:val="00BE1772"/>
    <w:rsid w:val="00BE35BD"/>
    <w:rsid w:val="00C12953"/>
    <w:rsid w:val="00C1747B"/>
    <w:rsid w:val="00C369D4"/>
    <w:rsid w:val="00C40845"/>
    <w:rsid w:val="00C4319F"/>
    <w:rsid w:val="00C4419D"/>
    <w:rsid w:val="00C45B58"/>
    <w:rsid w:val="00C54D39"/>
    <w:rsid w:val="00C60297"/>
    <w:rsid w:val="00C60867"/>
    <w:rsid w:val="00C612BF"/>
    <w:rsid w:val="00C73954"/>
    <w:rsid w:val="00C83CE1"/>
    <w:rsid w:val="00C904D2"/>
    <w:rsid w:val="00C94B63"/>
    <w:rsid w:val="00C96DDD"/>
    <w:rsid w:val="00CA028C"/>
    <w:rsid w:val="00CB6C7A"/>
    <w:rsid w:val="00CC310C"/>
    <w:rsid w:val="00CC6861"/>
    <w:rsid w:val="00CD1247"/>
    <w:rsid w:val="00CD39E0"/>
    <w:rsid w:val="00CE1425"/>
    <w:rsid w:val="00CE39D5"/>
    <w:rsid w:val="00CF1FB7"/>
    <w:rsid w:val="00CF46F7"/>
    <w:rsid w:val="00CF53C0"/>
    <w:rsid w:val="00D00F43"/>
    <w:rsid w:val="00D026C8"/>
    <w:rsid w:val="00D0488E"/>
    <w:rsid w:val="00D30D3B"/>
    <w:rsid w:val="00D411BE"/>
    <w:rsid w:val="00D46558"/>
    <w:rsid w:val="00D5624D"/>
    <w:rsid w:val="00D63E2C"/>
    <w:rsid w:val="00D734E0"/>
    <w:rsid w:val="00D90D52"/>
    <w:rsid w:val="00D92677"/>
    <w:rsid w:val="00D9298F"/>
    <w:rsid w:val="00D93712"/>
    <w:rsid w:val="00DA7892"/>
    <w:rsid w:val="00DB4F1C"/>
    <w:rsid w:val="00DC42CC"/>
    <w:rsid w:val="00DD0B68"/>
    <w:rsid w:val="00DD75CC"/>
    <w:rsid w:val="00DF55DE"/>
    <w:rsid w:val="00E00F47"/>
    <w:rsid w:val="00E0381F"/>
    <w:rsid w:val="00E03DF5"/>
    <w:rsid w:val="00E248C4"/>
    <w:rsid w:val="00E2623E"/>
    <w:rsid w:val="00E2697A"/>
    <w:rsid w:val="00E9003A"/>
    <w:rsid w:val="00E97697"/>
    <w:rsid w:val="00EA4F83"/>
    <w:rsid w:val="00EB1F60"/>
    <w:rsid w:val="00EB37FA"/>
    <w:rsid w:val="00EC51F6"/>
    <w:rsid w:val="00ED1533"/>
    <w:rsid w:val="00ED5F1B"/>
    <w:rsid w:val="00EE14FD"/>
    <w:rsid w:val="00EF3974"/>
    <w:rsid w:val="00F167E7"/>
    <w:rsid w:val="00F21A38"/>
    <w:rsid w:val="00F2484A"/>
    <w:rsid w:val="00F24FD8"/>
    <w:rsid w:val="00F27079"/>
    <w:rsid w:val="00F332CB"/>
    <w:rsid w:val="00F4483E"/>
    <w:rsid w:val="00F449EF"/>
    <w:rsid w:val="00F44E5F"/>
    <w:rsid w:val="00F5364A"/>
    <w:rsid w:val="00F57501"/>
    <w:rsid w:val="00F67D2C"/>
    <w:rsid w:val="00F72F3B"/>
    <w:rsid w:val="00F76190"/>
    <w:rsid w:val="00F876BE"/>
    <w:rsid w:val="00F90747"/>
    <w:rsid w:val="00F92E58"/>
    <w:rsid w:val="00F94727"/>
    <w:rsid w:val="00FA7885"/>
    <w:rsid w:val="00FB29D5"/>
    <w:rsid w:val="00FB51CF"/>
    <w:rsid w:val="00FB68FC"/>
    <w:rsid w:val="00FB70D9"/>
    <w:rsid w:val="00FD2643"/>
    <w:rsid w:val="00FD7722"/>
    <w:rsid w:val="00FD795B"/>
    <w:rsid w:val="00FE16AD"/>
    <w:rsid w:val="00FE37B4"/>
    <w:rsid w:val="00FE3F45"/>
    <w:rsid w:val="00FF6219"/>
    <w:rsid w:val="05476ED2"/>
    <w:rsid w:val="05DD06BF"/>
    <w:rsid w:val="06B41085"/>
    <w:rsid w:val="0F930041"/>
    <w:rsid w:val="10BD720D"/>
    <w:rsid w:val="121A2353"/>
    <w:rsid w:val="126C21EF"/>
    <w:rsid w:val="2FA6164C"/>
    <w:rsid w:val="30C508CB"/>
    <w:rsid w:val="320103AF"/>
    <w:rsid w:val="322637B0"/>
    <w:rsid w:val="35417A73"/>
    <w:rsid w:val="360375D0"/>
    <w:rsid w:val="40F050C2"/>
    <w:rsid w:val="41445EB4"/>
    <w:rsid w:val="43AC4C52"/>
    <w:rsid w:val="45A73C62"/>
    <w:rsid w:val="467311CC"/>
    <w:rsid w:val="488E0DCA"/>
    <w:rsid w:val="49317C73"/>
    <w:rsid w:val="4A4D3134"/>
    <w:rsid w:val="4F1A2242"/>
    <w:rsid w:val="521060B6"/>
    <w:rsid w:val="54F621D1"/>
    <w:rsid w:val="563B5030"/>
    <w:rsid w:val="58FB6CF6"/>
    <w:rsid w:val="5922291B"/>
    <w:rsid w:val="5F6B0EBF"/>
    <w:rsid w:val="650F142E"/>
    <w:rsid w:val="691E480E"/>
    <w:rsid w:val="69FA7C16"/>
    <w:rsid w:val="6DCA10D6"/>
    <w:rsid w:val="70134C80"/>
    <w:rsid w:val="724C2BB7"/>
    <w:rsid w:val="78ED0BBF"/>
    <w:rsid w:val="7B5835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6"/>
    <w:autoRedefine/>
    <w:qFormat/>
    <w:uiPriority w:val="0"/>
    <w:pPr>
      <w:widowControl/>
      <w:spacing w:before="100" w:beforeAutospacing="1" w:after="100" w:afterAutospacing="1"/>
      <w:jc w:val="left"/>
      <w:outlineLvl w:val="0"/>
    </w:pPr>
    <w:rPr>
      <w:rFonts w:ascii="宋体" w:hAnsi="宋体"/>
      <w:b/>
      <w:bCs/>
      <w:kern w:val="36"/>
      <w:sz w:val="48"/>
      <w:szCs w:val="48"/>
      <w:lang w:val="zh-CN"/>
    </w:rPr>
  </w:style>
  <w:style w:type="paragraph" w:styleId="3">
    <w:name w:val="heading 2"/>
    <w:basedOn w:val="1"/>
    <w:next w:val="1"/>
    <w:link w:val="38"/>
    <w:autoRedefine/>
    <w:unhideWhenUsed/>
    <w:qFormat/>
    <w:uiPriority w:val="0"/>
    <w:pPr>
      <w:keepNext/>
      <w:keepLines/>
      <w:spacing w:before="260" w:after="260" w:line="416" w:lineRule="auto"/>
      <w:outlineLvl w:val="1"/>
    </w:pPr>
    <w:rPr>
      <w:rFonts w:ascii="Calibri Light" w:hAnsi="Calibri Light"/>
      <w:b/>
      <w:bCs/>
      <w:sz w:val="32"/>
      <w:szCs w:val="32"/>
      <w:lang w:val="zh-CN"/>
    </w:rPr>
  </w:style>
  <w:style w:type="paragraph" w:styleId="4">
    <w:name w:val="heading 3"/>
    <w:basedOn w:val="1"/>
    <w:next w:val="1"/>
    <w:link w:val="27"/>
    <w:autoRedefine/>
    <w:qFormat/>
    <w:uiPriority w:val="0"/>
    <w:pPr>
      <w:keepNext/>
      <w:keepLines/>
      <w:spacing w:before="260" w:after="260" w:line="413" w:lineRule="auto"/>
      <w:outlineLvl w:val="2"/>
    </w:pPr>
    <w:rPr>
      <w:rFonts w:ascii="Calibri" w:hAnsi="Calibri" w:cs="宋体"/>
      <w:b/>
      <w:sz w:val="32"/>
      <w:szCs w:val="22"/>
    </w:rPr>
  </w:style>
  <w:style w:type="paragraph" w:styleId="5">
    <w:name w:val="heading 4"/>
    <w:basedOn w:val="1"/>
    <w:next w:val="1"/>
    <w:link w:val="55"/>
    <w:autoRedefine/>
    <w:semiHidden/>
    <w:unhideWhenUsed/>
    <w:qFormat/>
    <w:uiPriority w:val="0"/>
    <w:pPr>
      <w:keepNext/>
      <w:keepLines/>
      <w:spacing w:before="280" w:after="290" w:line="376" w:lineRule="auto"/>
      <w:outlineLvl w:val="3"/>
    </w:pPr>
    <w:rPr>
      <w:rFonts w:ascii="等线 Light" w:hAnsi="等线 Light" w:eastAsia="等线 Light"/>
      <w:b/>
      <w:bCs/>
      <w:sz w:val="28"/>
      <w:szCs w:val="28"/>
    </w:rPr>
  </w:style>
  <w:style w:type="character" w:default="1" w:styleId="21">
    <w:name w:val="Default Paragraph Font"/>
    <w:autoRedefine/>
    <w:semiHidden/>
    <w:unhideWhenUsed/>
    <w:qFormat/>
    <w:uiPriority w:val="1"/>
  </w:style>
  <w:style w:type="table" w:default="1" w:styleId="19">
    <w:name w:val="Normal Table"/>
    <w:autoRedefine/>
    <w:semiHidden/>
    <w:unhideWhenUsed/>
    <w:qFormat/>
    <w:uiPriority w:val="99"/>
    <w:tblPr>
      <w:tblCellMar>
        <w:top w:w="0" w:type="dxa"/>
        <w:left w:w="108" w:type="dxa"/>
        <w:bottom w:w="0" w:type="dxa"/>
        <w:right w:w="108" w:type="dxa"/>
      </w:tblCellMar>
    </w:tblPr>
  </w:style>
  <w:style w:type="paragraph" w:styleId="6">
    <w:name w:val="Document Map"/>
    <w:basedOn w:val="1"/>
    <w:link w:val="54"/>
    <w:autoRedefine/>
    <w:qFormat/>
    <w:uiPriority w:val="0"/>
    <w:rPr>
      <w:rFonts w:ascii="宋体"/>
      <w:sz w:val="18"/>
      <w:szCs w:val="18"/>
    </w:rPr>
  </w:style>
  <w:style w:type="paragraph" w:styleId="7">
    <w:name w:val="annotation text"/>
    <w:basedOn w:val="1"/>
    <w:link w:val="52"/>
    <w:autoRedefine/>
    <w:unhideWhenUsed/>
    <w:qFormat/>
    <w:uiPriority w:val="99"/>
    <w:pPr>
      <w:jc w:val="left"/>
    </w:pPr>
  </w:style>
  <w:style w:type="paragraph" w:styleId="8">
    <w:name w:val="Salutation"/>
    <w:basedOn w:val="1"/>
    <w:next w:val="1"/>
    <w:link w:val="57"/>
    <w:autoRedefine/>
    <w:qFormat/>
    <w:uiPriority w:val="0"/>
    <w:rPr>
      <w:rFonts w:ascii="宋体" w:hAnsi="Calibri"/>
      <w:sz w:val="24"/>
    </w:rPr>
  </w:style>
  <w:style w:type="paragraph" w:styleId="9">
    <w:name w:val="Body Text"/>
    <w:basedOn w:val="1"/>
    <w:autoRedefine/>
    <w:qFormat/>
    <w:uiPriority w:val="99"/>
    <w:rPr>
      <w:rFonts w:hint="eastAsia" w:ascii="宋体" w:hAnsi="宋体"/>
      <w:sz w:val="15"/>
      <w:szCs w:val="24"/>
    </w:rPr>
  </w:style>
  <w:style w:type="paragraph" w:styleId="10">
    <w:name w:val="Body Text Indent"/>
    <w:basedOn w:val="1"/>
    <w:link w:val="33"/>
    <w:autoRedefine/>
    <w:qFormat/>
    <w:uiPriority w:val="0"/>
    <w:pPr>
      <w:ind w:firstLine="420"/>
    </w:pPr>
  </w:style>
  <w:style w:type="paragraph" w:styleId="11">
    <w:name w:val="toc 3"/>
    <w:basedOn w:val="1"/>
    <w:next w:val="1"/>
    <w:autoRedefine/>
    <w:unhideWhenUsed/>
    <w:qFormat/>
    <w:uiPriority w:val="39"/>
    <w:pPr>
      <w:ind w:left="840" w:leftChars="400"/>
    </w:pPr>
    <w:rPr>
      <w:rFonts w:asciiTheme="minorHAnsi" w:hAnsiTheme="minorHAnsi" w:eastAsiaTheme="minorEastAsia" w:cstheme="minorBidi"/>
      <w:szCs w:val="22"/>
    </w:rPr>
  </w:style>
  <w:style w:type="paragraph" w:styleId="12">
    <w:name w:val="Plain Text"/>
    <w:basedOn w:val="1"/>
    <w:link w:val="29"/>
    <w:autoRedefine/>
    <w:qFormat/>
    <w:uiPriority w:val="0"/>
    <w:rPr>
      <w:rFonts w:ascii="宋体" w:hAnsi="Courier New"/>
    </w:rPr>
  </w:style>
  <w:style w:type="paragraph" w:styleId="13">
    <w:name w:val="Date"/>
    <w:basedOn w:val="1"/>
    <w:next w:val="1"/>
    <w:link w:val="56"/>
    <w:autoRedefine/>
    <w:qFormat/>
    <w:uiPriority w:val="0"/>
    <w:pPr>
      <w:ind w:left="100" w:leftChars="2500"/>
    </w:pPr>
    <w:rPr>
      <w:rFonts w:ascii="Calibri" w:hAnsi="Calibri"/>
      <w:b/>
      <w:bCs/>
      <w:sz w:val="36"/>
      <w:szCs w:val="24"/>
    </w:rPr>
  </w:style>
  <w:style w:type="paragraph" w:styleId="14">
    <w:name w:val="Balloon Text"/>
    <w:basedOn w:val="1"/>
    <w:link w:val="42"/>
    <w:autoRedefine/>
    <w:unhideWhenUsed/>
    <w:qFormat/>
    <w:uiPriority w:val="0"/>
    <w:rPr>
      <w:sz w:val="18"/>
      <w:szCs w:val="18"/>
      <w:lang w:val="zh-CN"/>
    </w:rPr>
  </w:style>
  <w:style w:type="paragraph" w:styleId="15">
    <w:name w:val="footer"/>
    <w:basedOn w:val="1"/>
    <w:link w:val="25"/>
    <w:autoRedefine/>
    <w:qFormat/>
    <w:uiPriority w:val="0"/>
    <w:pPr>
      <w:tabs>
        <w:tab w:val="center" w:pos="4153"/>
        <w:tab w:val="right" w:pos="8306"/>
      </w:tabs>
      <w:snapToGrid w:val="0"/>
      <w:jc w:val="left"/>
    </w:pPr>
    <w:rPr>
      <w:sz w:val="18"/>
      <w:szCs w:val="18"/>
    </w:rPr>
  </w:style>
  <w:style w:type="paragraph" w:styleId="16">
    <w:name w:val="header"/>
    <w:basedOn w:val="1"/>
    <w:link w:val="24"/>
    <w:autoRedefine/>
    <w:qFormat/>
    <w:uiPriority w:val="0"/>
    <w:pPr>
      <w:pBdr>
        <w:bottom w:val="single" w:color="auto" w:sz="6" w:space="1"/>
      </w:pBdr>
      <w:tabs>
        <w:tab w:val="center" w:pos="4153"/>
        <w:tab w:val="right" w:pos="8306"/>
      </w:tabs>
      <w:snapToGrid w:val="0"/>
      <w:jc w:val="center"/>
    </w:pPr>
    <w:rPr>
      <w:sz w:val="18"/>
      <w:szCs w:val="18"/>
    </w:rPr>
  </w:style>
  <w:style w:type="paragraph" w:styleId="17">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18">
    <w:name w:val="Title"/>
    <w:basedOn w:val="1"/>
    <w:next w:val="1"/>
    <w:link w:val="48"/>
    <w:autoRedefine/>
    <w:qFormat/>
    <w:uiPriority w:val="0"/>
    <w:pPr>
      <w:spacing w:beforeLines="100" w:afterLines="150"/>
      <w:jc w:val="center"/>
      <w:outlineLvl w:val="2"/>
    </w:pPr>
    <w:rPr>
      <w:rFonts w:eastAsia="黑体" w:asciiTheme="majorHAnsi" w:hAnsiTheme="majorHAnsi" w:cstheme="majorBidi"/>
      <w:bCs/>
      <w:sz w:val="28"/>
      <w:szCs w:val="32"/>
    </w:rPr>
  </w:style>
  <w:style w:type="table" w:styleId="20">
    <w:name w:val="Table Grid"/>
    <w:basedOn w:val="19"/>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Hyperlink"/>
    <w:autoRedefine/>
    <w:unhideWhenUsed/>
    <w:qFormat/>
    <w:uiPriority w:val="99"/>
    <w:rPr>
      <w:color w:val="0000FF"/>
      <w:u w:val="single"/>
    </w:rPr>
  </w:style>
  <w:style w:type="character" w:styleId="23">
    <w:name w:val="annotation reference"/>
    <w:basedOn w:val="21"/>
    <w:autoRedefine/>
    <w:qFormat/>
    <w:uiPriority w:val="0"/>
    <w:rPr>
      <w:sz w:val="21"/>
      <w:szCs w:val="21"/>
    </w:rPr>
  </w:style>
  <w:style w:type="character" w:customStyle="1" w:styleId="24">
    <w:name w:val="页眉 字符"/>
    <w:basedOn w:val="21"/>
    <w:link w:val="16"/>
    <w:autoRedefine/>
    <w:qFormat/>
    <w:uiPriority w:val="0"/>
    <w:rPr>
      <w:kern w:val="2"/>
      <w:sz w:val="18"/>
      <w:szCs w:val="18"/>
    </w:rPr>
  </w:style>
  <w:style w:type="character" w:customStyle="1" w:styleId="25">
    <w:name w:val="页脚 字符"/>
    <w:basedOn w:val="21"/>
    <w:link w:val="15"/>
    <w:autoRedefine/>
    <w:qFormat/>
    <w:uiPriority w:val="0"/>
    <w:rPr>
      <w:kern w:val="2"/>
      <w:sz w:val="18"/>
      <w:szCs w:val="18"/>
    </w:rPr>
  </w:style>
  <w:style w:type="paragraph" w:styleId="26">
    <w:name w:val="List Paragraph"/>
    <w:basedOn w:val="1"/>
    <w:autoRedefine/>
    <w:qFormat/>
    <w:uiPriority w:val="34"/>
    <w:pPr>
      <w:ind w:firstLine="420" w:firstLineChars="200"/>
    </w:pPr>
  </w:style>
  <w:style w:type="character" w:customStyle="1" w:styleId="27">
    <w:name w:val="标题 3 字符"/>
    <w:basedOn w:val="21"/>
    <w:link w:val="4"/>
    <w:autoRedefine/>
    <w:qFormat/>
    <w:uiPriority w:val="0"/>
    <w:rPr>
      <w:rFonts w:ascii="Calibri" w:hAnsi="Calibri" w:cs="宋体"/>
      <w:b/>
      <w:kern w:val="2"/>
      <w:sz w:val="32"/>
      <w:szCs w:val="22"/>
    </w:rPr>
  </w:style>
  <w:style w:type="paragraph" w:customStyle="1" w:styleId="28">
    <w:name w:val="msolistparagraph"/>
    <w:basedOn w:val="1"/>
    <w:autoRedefine/>
    <w:qFormat/>
    <w:uiPriority w:val="0"/>
    <w:pPr>
      <w:ind w:firstLine="420" w:firstLineChars="200"/>
    </w:pPr>
  </w:style>
  <w:style w:type="character" w:customStyle="1" w:styleId="29">
    <w:name w:val="纯文本 字符"/>
    <w:basedOn w:val="21"/>
    <w:link w:val="12"/>
    <w:autoRedefine/>
    <w:qFormat/>
    <w:uiPriority w:val="0"/>
    <w:rPr>
      <w:rFonts w:ascii="宋体" w:hAnsi="Courier New"/>
      <w:kern w:val="2"/>
      <w:sz w:val="21"/>
    </w:rPr>
  </w:style>
  <w:style w:type="paragraph" w:customStyle="1" w:styleId="30">
    <w:name w:val="reader-word-layer"/>
    <w:basedOn w:val="1"/>
    <w:autoRedefine/>
    <w:qFormat/>
    <w:uiPriority w:val="0"/>
    <w:pPr>
      <w:widowControl/>
      <w:spacing w:before="100" w:beforeAutospacing="1" w:after="100" w:afterAutospacing="1"/>
      <w:jc w:val="left"/>
    </w:pPr>
    <w:rPr>
      <w:rFonts w:ascii="宋体" w:hAnsi="宋体" w:cs="宋体"/>
      <w:kern w:val="0"/>
      <w:sz w:val="24"/>
      <w:szCs w:val="24"/>
    </w:rPr>
  </w:style>
  <w:style w:type="character" w:customStyle="1" w:styleId="31">
    <w:name w:val="标题 1 字符"/>
    <w:basedOn w:val="21"/>
    <w:autoRedefine/>
    <w:qFormat/>
    <w:uiPriority w:val="0"/>
    <w:rPr>
      <w:b/>
      <w:bCs/>
      <w:kern w:val="44"/>
      <w:sz w:val="44"/>
      <w:szCs w:val="44"/>
    </w:rPr>
  </w:style>
  <w:style w:type="character" w:customStyle="1" w:styleId="32">
    <w:name w:val="标题 2 字符"/>
    <w:basedOn w:val="21"/>
    <w:autoRedefine/>
    <w:qFormat/>
    <w:uiPriority w:val="9"/>
    <w:rPr>
      <w:rFonts w:asciiTheme="majorHAnsi" w:hAnsiTheme="majorHAnsi" w:eastAsiaTheme="majorEastAsia" w:cstheme="majorBidi"/>
      <w:b/>
      <w:bCs/>
      <w:kern w:val="2"/>
      <w:sz w:val="32"/>
      <w:szCs w:val="32"/>
    </w:rPr>
  </w:style>
  <w:style w:type="character" w:customStyle="1" w:styleId="33">
    <w:name w:val="正文文本缩进 字符"/>
    <w:basedOn w:val="21"/>
    <w:link w:val="10"/>
    <w:autoRedefine/>
    <w:qFormat/>
    <w:uiPriority w:val="0"/>
    <w:rPr>
      <w:kern w:val="2"/>
      <w:sz w:val="21"/>
    </w:rPr>
  </w:style>
  <w:style w:type="character" w:customStyle="1" w:styleId="34">
    <w:name w:val="页眉 Char"/>
    <w:autoRedefine/>
    <w:qFormat/>
    <w:uiPriority w:val="0"/>
    <w:rPr>
      <w:kern w:val="2"/>
      <w:sz w:val="18"/>
      <w:szCs w:val="18"/>
    </w:rPr>
  </w:style>
  <w:style w:type="character" w:customStyle="1" w:styleId="35">
    <w:name w:val="页脚 Char"/>
    <w:autoRedefine/>
    <w:qFormat/>
    <w:uiPriority w:val="0"/>
    <w:rPr>
      <w:kern w:val="2"/>
      <w:sz w:val="18"/>
      <w:szCs w:val="18"/>
    </w:rPr>
  </w:style>
  <w:style w:type="character" w:customStyle="1" w:styleId="36">
    <w:name w:val="标题 1 字符1"/>
    <w:link w:val="2"/>
    <w:autoRedefine/>
    <w:qFormat/>
    <w:uiPriority w:val="9"/>
    <w:rPr>
      <w:rFonts w:ascii="宋体" w:hAnsi="宋体"/>
      <w:b/>
      <w:bCs/>
      <w:kern w:val="36"/>
      <w:sz w:val="48"/>
      <w:szCs w:val="48"/>
      <w:lang w:val="zh-CN" w:eastAsia="zh-CN"/>
    </w:rPr>
  </w:style>
  <w:style w:type="character" w:customStyle="1" w:styleId="37">
    <w:name w:val="apple-converted-space"/>
    <w:basedOn w:val="21"/>
    <w:autoRedefine/>
    <w:qFormat/>
    <w:uiPriority w:val="0"/>
  </w:style>
  <w:style w:type="character" w:customStyle="1" w:styleId="38">
    <w:name w:val="标题 2 字符1"/>
    <w:link w:val="3"/>
    <w:autoRedefine/>
    <w:semiHidden/>
    <w:qFormat/>
    <w:uiPriority w:val="9"/>
    <w:rPr>
      <w:rFonts w:ascii="Calibri Light" w:hAnsi="Calibri Light"/>
      <w:b/>
      <w:bCs/>
      <w:kern w:val="2"/>
      <w:sz w:val="32"/>
      <w:szCs w:val="32"/>
      <w:lang w:val="zh-CN" w:eastAsia="zh-CN"/>
    </w:rPr>
  </w:style>
  <w:style w:type="character" w:customStyle="1" w:styleId="39">
    <w:name w:val="a-size-large"/>
    <w:autoRedefine/>
    <w:qFormat/>
    <w:uiPriority w:val="0"/>
  </w:style>
  <w:style w:type="paragraph" w:customStyle="1" w:styleId="40">
    <w:name w:val="1"/>
    <w:basedOn w:val="1"/>
    <w:next w:val="26"/>
    <w:autoRedefine/>
    <w:qFormat/>
    <w:uiPriority w:val="34"/>
    <w:pPr>
      <w:ind w:firstLine="420" w:firstLineChars="200"/>
    </w:pPr>
  </w:style>
  <w:style w:type="character" w:customStyle="1" w:styleId="41">
    <w:name w:val="批注框文本 字符"/>
    <w:basedOn w:val="21"/>
    <w:autoRedefine/>
    <w:qFormat/>
    <w:uiPriority w:val="0"/>
    <w:rPr>
      <w:kern w:val="2"/>
      <w:sz w:val="18"/>
      <w:szCs w:val="18"/>
    </w:rPr>
  </w:style>
  <w:style w:type="character" w:customStyle="1" w:styleId="42">
    <w:name w:val="批注框文本 字符1"/>
    <w:link w:val="14"/>
    <w:autoRedefine/>
    <w:qFormat/>
    <w:uiPriority w:val="0"/>
    <w:rPr>
      <w:kern w:val="2"/>
      <w:sz w:val="18"/>
      <w:szCs w:val="18"/>
      <w:lang w:val="zh-CN" w:eastAsia="zh-CN"/>
    </w:rPr>
  </w:style>
  <w:style w:type="character" w:customStyle="1" w:styleId="43">
    <w:name w:val="标题 3 Char"/>
    <w:autoRedefine/>
    <w:qFormat/>
    <w:uiPriority w:val="9"/>
    <w:rPr>
      <w:rFonts w:ascii="Calibri" w:hAnsi="Calibri" w:cs="宋体"/>
      <w:b/>
      <w:kern w:val="2"/>
      <w:sz w:val="32"/>
      <w:szCs w:val="22"/>
    </w:rPr>
  </w:style>
  <w:style w:type="paragraph" w:customStyle="1" w:styleId="44">
    <w:name w:val="列表段落1"/>
    <w:basedOn w:val="1"/>
    <w:autoRedefine/>
    <w:qFormat/>
    <w:uiPriority w:val="34"/>
    <w:pPr>
      <w:ind w:firstLine="420" w:firstLineChars="200"/>
    </w:pPr>
  </w:style>
  <w:style w:type="paragraph" w:customStyle="1" w:styleId="45">
    <w:name w:val="列出段落1"/>
    <w:basedOn w:val="1"/>
    <w:autoRedefine/>
    <w:qFormat/>
    <w:uiPriority w:val="34"/>
    <w:pPr>
      <w:ind w:firstLine="420" w:firstLineChars="200"/>
    </w:pPr>
  </w:style>
  <w:style w:type="paragraph" w:customStyle="1" w:styleId="46">
    <w:name w:val="页眉与页脚"/>
    <w:autoRedefine/>
    <w:qFormat/>
    <w:uiPriority w:val="0"/>
    <w:pPr>
      <w:framePr w:wrap="around" w:vAnchor="margin" w:hAnchor="text" w:y="1"/>
      <w:tabs>
        <w:tab w:val="right" w:pos="9020"/>
      </w:tabs>
    </w:pPr>
    <w:rPr>
      <w:rFonts w:ascii="Helvetica" w:hAnsi="Helvetica" w:eastAsia="Arial Unicode MS" w:cs="Arial Unicode MS"/>
      <w:color w:val="000000"/>
      <w:sz w:val="24"/>
      <w:szCs w:val="24"/>
      <w:lang w:val="en-US" w:eastAsia="zh-CN" w:bidi="ar-SA"/>
    </w:rPr>
  </w:style>
  <w:style w:type="paragraph" w:customStyle="1" w:styleId="47">
    <w:name w:val="p0"/>
    <w:basedOn w:val="1"/>
    <w:autoRedefine/>
    <w:qFormat/>
    <w:uiPriority w:val="0"/>
    <w:pPr>
      <w:widowControl/>
    </w:pPr>
    <w:rPr>
      <w:kern w:val="0"/>
      <w:szCs w:val="21"/>
    </w:rPr>
  </w:style>
  <w:style w:type="character" w:customStyle="1" w:styleId="48">
    <w:name w:val="标题 字符"/>
    <w:basedOn w:val="21"/>
    <w:link w:val="18"/>
    <w:autoRedefine/>
    <w:qFormat/>
    <w:uiPriority w:val="0"/>
    <w:rPr>
      <w:rFonts w:eastAsia="黑体" w:asciiTheme="majorHAnsi" w:hAnsiTheme="majorHAnsi" w:cstheme="majorBidi"/>
      <w:bCs/>
      <w:kern w:val="2"/>
      <w:sz w:val="28"/>
      <w:szCs w:val="32"/>
    </w:rPr>
  </w:style>
  <w:style w:type="paragraph" w:customStyle="1" w:styleId="49">
    <w:name w:val="List Paragraph1"/>
    <w:basedOn w:val="1"/>
    <w:autoRedefine/>
    <w:qFormat/>
    <w:uiPriority w:val="99"/>
    <w:pPr>
      <w:ind w:firstLine="420" w:firstLineChars="200"/>
    </w:pPr>
  </w:style>
  <w:style w:type="character" w:customStyle="1" w:styleId="50">
    <w:name w:val="未处理的提及1"/>
    <w:basedOn w:val="21"/>
    <w:autoRedefine/>
    <w:semiHidden/>
    <w:unhideWhenUsed/>
    <w:qFormat/>
    <w:uiPriority w:val="99"/>
    <w:rPr>
      <w:color w:val="605E5C"/>
      <w:shd w:val="clear" w:color="auto" w:fill="E1DFDD"/>
    </w:rPr>
  </w:style>
  <w:style w:type="paragraph" w:customStyle="1" w:styleId="51">
    <w:name w:val="列出段落11"/>
    <w:basedOn w:val="1"/>
    <w:autoRedefine/>
    <w:qFormat/>
    <w:uiPriority w:val="0"/>
    <w:pPr>
      <w:ind w:firstLine="420" w:firstLineChars="200"/>
    </w:pPr>
  </w:style>
  <w:style w:type="character" w:customStyle="1" w:styleId="52">
    <w:name w:val="批注文字 字符"/>
    <w:basedOn w:val="21"/>
    <w:link w:val="7"/>
    <w:autoRedefine/>
    <w:qFormat/>
    <w:uiPriority w:val="99"/>
    <w:rPr>
      <w:kern w:val="2"/>
      <w:sz w:val="21"/>
    </w:rPr>
  </w:style>
  <w:style w:type="character" w:customStyle="1" w:styleId="53">
    <w:name w:val="fontstyle01"/>
    <w:basedOn w:val="21"/>
    <w:autoRedefine/>
    <w:qFormat/>
    <w:uiPriority w:val="0"/>
    <w:rPr>
      <w:rFonts w:hint="eastAsia" w:ascii="宋体" w:hAnsi="宋体" w:eastAsia="宋体"/>
      <w:color w:val="000000"/>
      <w:sz w:val="22"/>
      <w:szCs w:val="22"/>
    </w:rPr>
  </w:style>
  <w:style w:type="character" w:customStyle="1" w:styleId="54">
    <w:name w:val="文档结构图 字符"/>
    <w:basedOn w:val="21"/>
    <w:link w:val="6"/>
    <w:autoRedefine/>
    <w:qFormat/>
    <w:uiPriority w:val="0"/>
    <w:rPr>
      <w:rFonts w:ascii="宋体"/>
      <w:kern w:val="2"/>
      <w:sz w:val="18"/>
      <w:szCs w:val="18"/>
    </w:rPr>
  </w:style>
  <w:style w:type="character" w:customStyle="1" w:styleId="55">
    <w:name w:val="标题 4 字符"/>
    <w:basedOn w:val="21"/>
    <w:link w:val="5"/>
    <w:autoRedefine/>
    <w:semiHidden/>
    <w:qFormat/>
    <w:uiPriority w:val="0"/>
    <w:rPr>
      <w:rFonts w:ascii="等线 Light" w:hAnsi="等线 Light" w:eastAsia="等线 Light"/>
      <w:b/>
      <w:bCs/>
      <w:kern w:val="2"/>
      <w:sz w:val="28"/>
      <w:szCs w:val="28"/>
    </w:rPr>
  </w:style>
  <w:style w:type="character" w:customStyle="1" w:styleId="56">
    <w:name w:val="日期 字符"/>
    <w:basedOn w:val="21"/>
    <w:link w:val="13"/>
    <w:autoRedefine/>
    <w:qFormat/>
    <w:uiPriority w:val="0"/>
    <w:rPr>
      <w:rFonts w:ascii="Calibri" w:hAnsi="Calibri"/>
      <w:b/>
      <w:bCs/>
      <w:kern w:val="2"/>
      <w:sz w:val="36"/>
      <w:szCs w:val="24"/>
    </w:rPr>
  </w:style>
  <w:style w:type="character" w:customStyle="1" w:styleId="57">
    <w:name w:val="称呼 字符"/>
    <w:basedOn w:val="21"/>
    <w:link w:val="8"/>
    <w:autoRedefine/>
    <w:qFormat/>
    <w:uiPriority w:val="0"/>
    <w:rPr>
      <w:rFonts w:ascii="宋体" w:hAnsi="Calibri"/>
      <w:kern w:val="2"/>
      <w:sz w:val="24"/>
    </w:rPr>
  </w:style>
  <w:style w:type="paragraph" w:customStyle="1" w:styleId="58">
    <w:name w:val="在表格内文字"/>
    <w:basedOn w:val="1"/>
    <w:autoRedefine/>
    <w:qFormat/>
    <w:uiPriority w:val="0"/>
    <w:rPr>
      <w:rFonts w:ascii="Calibri" w:hAnsi="Calibri" w:eastAsia="楷体"/>
      <w:szCs w:val="24"/>
    </w:rPr>
  </w:style>
  <w:style w:type="paragraph" w:customStyle="1" w:styleId="59">
    <w:name w:val="_Style 57"/>
    <w:basedOn w:val="1"/>
    <w:next w:val="26"/>
    <w:autoRedefine/>
    <w:qFormat/>
    <w:uiPriority w:val="34"/>
    <w:pPr>
      <w:ind w:firstLine="420" w:firstLineChars="200"/>
    </w:pPr>
    <w:rPr>
      <w:rFonts w:ascii="Calibri" w:hAnsi="Calibri"/>
      <w:szCs w:val="24"/>
    </w:rPr>
  </w:style>
  <w:style w:type="character" w:customStyle="1" w:styleId="60">
    <w:name w:val="批注框文本 Char"/>
    <w:autoRedefine/>
    <w:qFormat/>
    <w:uiPriority w:val="0"/>
    <w:rPr>
      <w:kern w:val="2"/>
      <w:sz w:val="18"/>
      <w:szCs w:val="18"/>
    </w:rPr>
  </w:style>
  <w:style w:type="character" w:customStyle="1" w:styleId="61">
    <w:name w:val="文档结构图 Char"/>
    <w:autoRedefine/>
    <w:qFormat/>
    <w:uiPriority w:val="0"/>
    <w:rPr>
      <w:rFonts w:ascii="宋体"/>
      <w:kern w:val="2"/>
      <w:sz w:val="18"/>
      <w:szCs w:val="18"/>
    </w:rPr>
  </w:style>
  <w:style w:type="character" w:customStyle="1" w:styleId="62">
    <w:name w:val="页脚 字符1"/>
    <w:basedOn w:val="21"/>
    <w:autoRedefine/>
    <w:semiHidden/>
    <w:qFormat/>
    <w:uiPriority w:val="0"/>
    <w:rPr>
      <w:kern w:val="2"/>
      <w:sz w:val="18"/>
      <w:szCs w:val="18"/>
    </w:rPr>
  </w:style>
  <w:style w:type="character" w:customStyle="1" w:styleId="63">
    <w:name w:val="文档结构图 字符1"/>
    <w:basedOn w:val="21"/>
    <w:autoRedefine/>
    <w:semiHidden/>
    <w:qFormat/>
    <w:uiPriority w:val="0"/>
    <w:rPr>
      <w:rFonts w:ascii="Microsoft YaHei UI" w:eastAsia="Microsoft YaHei UI"/>
      <w:kern w:val="2"/>
      <w:sz w:val="18"/>
      <w:szCs w:val="18"/>
    </w:rPr>
  </w:style>
  <w:style w:type="character" w:customStyle="1" w:styleId="64">
    <w:name w:val="页眉 字符1"/>
    <w:basedOn w:val="21"/>
    <w:autoRedefine/>
    <w:semiHidden/>
    <w:qFormat/>
    <w:uiPriority w:val="0"/>
    <w:rPr>
      <w:kern w:val="2"/>
      <w:sz w:val="18"/>
      <w:szCs w:val="18"/>
    </w:rPr>
  </w:style>
</w:styles>
</file>

<file path=word/_rels/document.xml.rels><?xml version="1.0" encoding="UTF-8" standalone="yes"?>
<Relationships xmlns="http://schemas.openxmlformats.org/package/2006/relationships"><Relationship Id="rId99" Type="http://schemas.openxmlformats.org/officeDocument/2006/relationships/footer" Target="footer52.xml"/><Relationship Id="rId98" Type="http://schemas.openxmlformats.org/officeDocument/2006/relationships/footer" Target="footer51.xml"/><Relationship Id="rId97" Type="http://schemas.openxmlformats.org/officeDocument/2006/relationships/footer" Target="footer50.xml"/><Relationship Id="rId96" Type="http://schemas.openxmlformats.org/officeDocument/2006/relationships/header" Target="header45.xml"/><Relationship Id="rId95" Type="http://schemas.openxmlformats.org/officeDocument/2006/relationships/header" Target="header44.xml"/><Relationship Id="rId94" Type="http://schemas.openxmlformats.org/officeDocument/2006/relationships/header" Target="header43.xml"/><Relationship Id="rId93" Type="http://schemas.openxmlformats.org/officeDocument/2006/relationships/footer" Target="footer49.xml"/><Relationship Id="rId92" Type="http://schemas.openxmlformats.org/officeDocument/2006/relationships/footer" Target="footer48.xml"/><Relationship Id="rId91" Type="http://schemas.openxmlformats.org/officeDocument/2006/relationships/footer" Target="footer47.xml"/><Relationship Id="rId90" Type="http://schemas.openxmlformats.org/officeDocument/2006/relationships/header" Target="header42.xml"/><Relationship Id="rId9" Type="http://schemas.openxmlformats.org/officeDocument/2006/relationships/footer" Target="footer3.xml"/><Relationship Id="rId89" Type="http://schemas.openxmlformats.org/officeDocument/2006/relationships/header" Target="header41.xml"/><Relationship Id="rId88" Type="http://schemas.openxmlformats.org/officeDocument/2006/relationships/header" Target="header40.xml"/><Relationship Id="rId87" Type="http://schemas.openxmlformats.org/officeDocument/2006/relationships/footer" Target="footer46.xml"/><Relationship Id="rId86" Type="http://schemas.openxmlformats.org/officeDocument/2006/relationships/footer" Target="footer45.xml"/><Relationship Id="rId85" Type="http://schemas.openxmlformats.org/officeDocument/2006/relationships/footer" Target="footer44.xml"/><Relationship Id="rId84" Type="http://schemas.openxmlformats.org/officeDocument/2006/relationships/header" Target="header39.xml"/><Relationship Id="rId83" Type="http://schemas.openxmlformats.org/officeDocument/2006/relationships/header" Target="header38.xml"/><Relationship Id="rId82" Type="http://schemas.openxmlformats.org/officeDocument/2006/relationships/header" Target="header37.xml"/><Relationship Id="rId81" Type="http://schemas.openxmlformats.org/officeDocument/2006/relationships/footer" Target="footer43.xml"/><Relationship Id="rId80" Type="http://schemas.openxmlformats.org/officeDocument/2006/relationships/footer" Target="footer42.xml"/><Relationship Id="rId8" Type="http://schemas.openxmlformats.org/officeDocument/2006/relationships/header" Target="header4.xml"/><Relationship Id="rId79" Type="http://schemas.openxmlformats.org/officeDocument/2006/relationships/footer" Target="footer41.xml"/><Relationship Id="rId78" Type="http://schemas.openxmlformats.org/officeDocument/2006/relationships/footer" Target="footer40.xml"/><Relationship Id="rId77" Type="http://schemas.openxmlformats.org/officeDocument/2006/relationships/header" Target="header36.xml"/><Relationship Id="rId76" Type="http://schemas.openxmlformats.org/officeDocument/2006/relationships/header" Target="header35.xml"/><Relationship Id="rId75" Type="http://schemas.openxmlformats.org/officeDocument/2006/relationships/header" Target="header34.xml"/><Relationship Id="rId74" Type="http://schemas.openxmlformats.org/officeDocument/2006/relationships/footer" Target="footer39.xml"/><Relationship Id="rId73" Type="http://schemas.openxmlformats.org/officeDocument/2006/relationships/footer" Target="footer38.xml"/><Relationship Id="rId72" Type="http://schemas.openxmlformats.org/officeDocument/2006/relationships/footer" Target="footer37.xml"/><Relationship Id="rId71" Type="http://schemas.openxmlformats.org/officeDocument/2006/relationships/header" Target="header33.xml"/><Relationship Id="rId70" Type="http://schemas.openxmlformats.org/officeDocument/2006/relationships/header" Target="header32.xml"/><Relationship Id="rId7" Type="http://schemas.openxmlformats.org/officeDocument/2006/relationships/header" Target="header3.xml"/><Relationship Id="rId69" Type="http://schemas.openxmlformats.org/officeDocument/2006/relationships/header" Target="header31.xml"/><Relationship Id="rId68" Type="http://schemas.openxmlformats.org/officeDocument/2006/relationships/footer" Target="footer36.xml"/><Relationship Id="rId67" Type="http://schemas.openxmlformats.org/officeDocument/2006/relationships/footer" Target="footer35.xml"/><Relationship Id="rId66" Type="http://schemas.openxmlformats.org/officeDocument/2006/relationships/footer" Target="footer34.xml"/><Relationship Id="rId65" Type="http://schemas.openxmlformats.org/officeDocument/2006/relationships/header" Target="header30.xml"/><Relationship Id="rId64" Type="http://schemas.openxmlformats.org/officeDocument/2006/relationships/header" Target="header29.xml"/><Relationship Id="rId63" Type="http://schemas.openxmlformats.org/officeDocument/2006/relationships/header" Target="header28.xml"/><Relationship Id="rId62" Type="http://schemas.openxmlformats.org/officeDocument/2006/relationships/footer" Target="footer33.xml"/><Relationship Id="rId61" Type="http://schemas.openxmlformats.org/officeDocument/2006/relationships/footer" Target="footer32.xml"/><Relationship Id="rId60" Type="http://schemas.openxmlformats.org/officeDocument/2006/relationships/footer" Target="footer31.xml"/><Relationship Id="rId6" Type="http://schemas.openxmlformats.org/officeDocument/2006/relationships/header" Target="header2.xml"/><Relationship Id="rId59" Type="http://schemas.openxmlformats.org/officeDocument/2006/relationships/footer" Target="footer30.xml"/><Relationship Id="rId58" Type="http://schemas.openxmlformats.org/officeDocument/2006/relationships/footer" Target="footer29.xml"/><Relationship Id="rId57" Type="http://schemas.openxmlformats.org/officeDocument/2006/relationships/header" Target="header27.xml"/><Relationship Id="rId56" Type="http://schemas.openxmlformats.org/officeDocument/2006/relationships/header" Target="header26.xml"/><Relationship Id="rId55" Type="http://schemas.openxmlformats.org/officeDocument/2006/relationships/header" Target="header25.xml"/><Relationship Id="rId54" Type="http://schemas.openxmlformats.org/officeDocument/2006/relationships/footer" Target="footer28.xml"/><Relationship Id="rId53" Type="http://schemas.openxmlformats.org/officeDocument/2006/relationships/footer" Target="footer27.xml"/><Relationship Id="rId52" Type="http://schemas.openxmlformats.org/officeDocument/2006/relationships/footer" Target="footer26.xml"/><Relationship Id="rId51" Type="http://schemas.openxmlformats.org/officeDocument/2006/relationships/footer" Target="footer25.xml"/><Relationship Id="rId50" Type="http://schemas.openxmlformats.org/officeDocument/2006/relationships/header" Target="header24.xml"/><Relationship Id="rId5" Type="http://schemas.openxmlformats.org/officeDocument/2006/relationships/footer" Target="footer2.xml"/><Relationship Id="rId49" Type="http://schemas.openxmlformats.org/officeDocument/2006/relationships/header" Target="header23.xml"/><Relationship Id="rId48" Type="http://schemas.openxmlformats.org/officeDocument/2006/relationships/header" Target="header22.xml"/><Relationship Id="rId47" Type="http://schemas.openxmlformats.org/officeDocument/2006/relationships/footer" Target="footer24.xml"/><Relationship Id="rId46" Type="http://schemas.openxmlformats.org/officeDocument/2006/relationships/footer" Target="footer23.xml"/><Relationship Id="rId45" Type="http://schemas.openxmlformats.org/officeDocument/2006/relationships/footer" Target="footer22.xml"/><Relationship Id="rId44" Type="http://schemas.openxmlformats.org/officeDocument/2006/relationships/header" Target="header21.xml"/><Relationship Id="rId43" Type="http://schemas.openxmlformats.org/officeDocument/2006/relationships/header" Target="header20.xml"/><Relationship Id="rId42" Type="http://schemas.openxmlformats.org/officeDocument/2006/relationships/header" Target="header19.xml"/><Relationship Id="rId41" Type="http://schemas.openxmlformats.org/officeDocument/2006/relationships/footer" Target="footer21.xml"/><Relationship Id="rId405" Type="http://schemas.openxmlformats.org/officeDocument/2006/relationships/fontTable" Target="fontTable.xml"/><Relationship Id="rId404" Type="http://schemas.openxmlformats.org/officeDocument/2006/relationships/customXml" Target="../customXml/item52.xml"/><Relationship Id="rId403" Type="http://schemas.openxmlformats.org/officeDocument/2006/relationships/customXml" Target="../customXml/item51.xml"/><Relationship Id="rId402" Type="http://schemas.openxmlformats.org/officeDocument/2006/relationships/customXml" Target="../customXml/item50.xml"/><Relationship Id="rId401" Type="http://schemas.openxmlformats.org/officeDocument/2006/relationships/customXml" Target="../customXml/item49.xml"/><Relationship Id="rId400" Type="http://schemas.openxmlformats.org/officeDocument/2006/relationships/customXml" Target="../customXml/item48.xml"/><Relationship Id="rId40" Type="http://schemas.openxmlformats.org/officeDocument/2006/relationships/footer" Target="footer20.xml"/><Relationship Id="rId4" Type="http://schemas.openxmlformats.org/officeDocument/2006/relationships/footer" Target="footer1.xml"/><Relationship Id="rId399" Type="http://schemas.openxmlformats.org/officeDocument/2006/relationships/customXml" Target="../customXml/item47.xml"/><Relationship Id="rId398" Type="http://schemas.openxmlformats.org/officeDocument/2006/relationships/customXml" Target="../customXml/item46.xml"/><Relationship Id="rId397" Type="http://schemas.openxmlformats.org/officeDocument/2006/relationships/customXml" Target="../customXml/item45.xml"/><Relationship Id="rId396" Type="http://schemas.openxmlformats.org/officeDocument/2006/relationships/customXml" Target="../customXml/item44.xml"/><Relationship Id="rId395" Type="http://schemas.openxmlformats.org/officeDocument/2006/relationships/customXml" Target="../customXml/item43.xml"/><Relationship Id="rId394" Type="http://schemas.openxmlformats.org/officeDocument/2006/relationships/customXml" Target="../customXml/item42.xml"/><Relationship Id="rId393" Type="http://schemas.openxmlformats.org/officeDocument/2006/relationships/customXml" Target="../customXml/item41.xml"/><Relationship Id="rId392" Type="http://schemas.openxmlformats.org/officeDocument/2006/relationships/customXml" Target="../customXml/item40.xml"/><Relationship Id="rId391" Type="http://schemas.openxmlformats.org/officeDocument/2006/relationships/customXml" Target="../customXml/item39.xml"/><Relationship Id="rId390" Type="http://schemas.openxmlformats.org/officeDocument/2006/relationships/customXml" Target="../customXml/item38.xml"/><Relationship Id="rId39" Type="http://schemas.openxmlformats.org/officeDocument/2006/relationships/footer" Target="footer19.xml"/><Relationship Id="rId389" Type="http://schemas.openxmlformats.org/officeDocument/2006/relationships/customXml" Target="../customXml/item37.xml"/><Relationship Id="rId388" Type="http://schemas.openxmlformats.org/officeDocument/2006/relationships/customXml" Target="../customXml/item36.xml"/><Relationship Id="rId387" Type="http://schemas.openxmlformats.org/officeDocument/2006/relationships/customXml" Target="../customXml/item35.xml"/><Relationship Id="rId386" Type="http://schemas.openxmlformats.org/officeDocument/2006/relationships/customXml" Target="../customXml/item34.xml"/><Relationship Id="rId385" Type="http://schemas.openxmlformats.org/officeDocument/2006/relationships/customXml" Target="../customXml/item33.xml"/><Relationship Id="rId384" Type="http://schemas.openxmlformats.org/officeDocument/2006/relationships/customXml" Target="../customXml/item32.xml"/><Relationship Id="rId383" Type="http://schemas.openxmlformats.org/officeDocument/2006/relationships/customXml" Target="../customXml/item31.xml"/><Relationship Id="rId382" Type="http://schemas.openxmlformats.org/officeDocument/2006/relationships/customXml" Target="../customXml/item30.xml"/><Relationship Id="rId381" Type="http://schemas.openxmlformats.org/officeDocument/2006/relationships/customXml" Target="../customXml/item29.xml"/><Relationship Id="rId380" Type="http://schemas.openxmlformats.org/officeDocument/2006/relationships/customXml" Target="../customXml/item28.xml"/><Relationship Id="rId38" Type="http://schemas.openxmlformats.org/officeDocument/2006/relationships/header" Target="header18.xml"/><Relationship Id="rId379" Type="http://schemas.openxmlformats.org/officeDocument/2006/relationships/customXml" Target="../customXml/item27.xml"/><Relationship Id="rId378" Type="http://schemas.openxmlformats.org/officeDocument/2006/relationships/customXml" Target="../customXml/item26.xml"/><Relationship Id="rId377" Type="http://schemas.openxmlformats.org/officeDocument/2006/relationships/customXml" Target="../customXml/item25.xml"/><Relationship Id="rId376" Type="http://schemas.openxmlformats.org/officeDocument/2006/relationships/customXml" Target="../customXml/item24.xml"/><Relationship Id="rId375" Type="http://schemas.openxmlformats.org/officeDocument/2006/relationships/customXml" Target="../customXml/item23.xml"/><Relationship Id="rId374" Type="http://schemas.openxmlformats.org/officeDocument/2006/relationships/customXml" Target="../customXml/item22.xml"/><Relationship Id="rId373" Type="http://schemas.openxmlformats.org/officeDocument/2006/relationships/customXml" Target="../customXml/item21.xml"/><Relationship Id="rId372" Type="http://schemas.openxmlformats.org/officeDocument/2006/relationships/customXml" Target="../customXml/item20.xml"/><Relationship Id="rId371" Type="http://schemas.openxmlformats.org/officeDocument/2006/relationships/customXml" Target="../customXml/item19.xml"/><Relationship Id="rId370" Type="http://schemas.openxmlformats.org/officeDocument/2006/relationships/customXml" Target="../customXml/item18.xml"/><Relationship Id="rId37" Type="http://schemas.openxmlformats.org/officeDocument/2006/relationships/header" Target="header17.xml"/><Relationship Id="rId369" Type="http://schemas.openxmlformats.org/officeDocument/2006/relationships/customXml" Target="../customXml/item17.xml"/><Relationship Id="rId368" Type="http://schemas.openxmlformats.org/officeDocument/2006/relationships/customXml" Target="../customXml/item16.xml"/><Relationship Id="rId367" Type="http://schemas.openxmlformats.org/officeDocument/2006/relationships/customXml" Target="../customXml/item15.xml"/><Relationship Id="rId366" Type="http://schemas.openxmlformats.org/officeDocument/2006/relationships/customXml" Target="../customXml/item14.xml"/><Relationship Id="rId365" Type="http://schemas.openxmlformats.org/officeDocument/2006/relationships/customXml" Target="../customXml/item13.xml"/><Relationship Id="rId364" Type="http://schemas.openxmlformats.org/officeDocument/2006/relationships/customXml" Target="../customXml/item12.xml"/><Relationship Id="rId363" Type="http://schemas.openxmlformats.org/officeDocument/2006/relationships/customXml" Target="../customXml/item11.xml"/><Relationship Id="rId362" Type="http://schemas.openxmlformats.org/officeDocument/2006/relationships/customXml" Target="../customXml/item10.xml"/><Relationship Id="rId361" Type="http://schemas.openxmlformats.org/officeDocument/2006/relationships/customXml" Target="../customXml/item9.xml"/><Relationship Id="rId360" Type="http://schemas.openxmlformats.org/officeDocument/2006/relationships/customXml" Target="../customXml/item8.xml"/><Relationship Id="rId36" Type="http://schemas.openxmlformats.org/officeDocument/2006/relationships/header" Target="header16.xml"/><Relationship Id="rId359" Type="http://schemas.openxmlformats.org/officeDocument/2006/relationships/customXml" Target="../customXml/item7.xml"/><Relationship Id="rId358" Type="http://schemas.openxmlformats.org/officeDocument/2006/relationships/customXml" Target="../customXml/item6.xml"/><Relationship Id="rId357" Type="http://schemas.openxmlformats.org/officeDocument/2006/relationships/customXml" Target="../customXml/item5.xml"/><Relationship Id="rId356" Type="http://schemas.openxmlformats.org/officeDocument/2006/relationships/customXml" Target="../customXml/item4.xml"/><Relationship Id="rId355" Type="http://schemas.openxmlformats.org/officeDocument/2006/relationships/customXml" Target="../customXml/item3.xml"/><Relationship Id="rId354" Type="http://schemas.openxmlformats.org/officeDocument/2006/relationships/customXml" Target="../customXml/item2.xml"/><Relationship Id="rId353" Type="http://schemas.openxmlformats.org/officeDocument/2006/relationships/numbering" Target="numbering.xml"/><Relationship Id="rId352" Type="http://schemas.openxmlformats.org/officeDocument/2006/relationships/customXml" Target="../customXml/item1.xml"/><Relationship Id="rId351" Type="http://schemas.openxmlformats.org/officeDocument/2006/relationships/oleObject" Target="embeddings/oleObject179.bin"/><Relationship Id="rId350" Type="http://schemas.openxmlformats.org/officeDocument/2006/relationships/oleObject" Target="embeddings/oleObject178.bin"/><Relationship Id="rId35" Type="http://schemas.openxmlformats.org/officeDocument/2006/relationships/footer" Target="footer18.xml"/><Relationship Id="rId349" Type="http://schemas.openxmlformats.org/officeDocument/2006/relationships/oleObject" Target="embeddings/oleObject177.bin"/><Relationship Id="rId348" Type="http://schemas.openxmlformats.org/officeDocument/2006/relationships/oleObject" Target="embeddings/oleObject176.bin"/><Relationship Id="rId347" Type="http://schemas.openxmlformats.org/officeDocument/2006/relationships/oleObject" Target="embeddings/oleObject175.bin"/><Relationship Id="rId346" Type="http://schemas.openxmlformats.org/officeDocument/2006/relationships/oleObject" Target="embeddings/oleObject174.bin"/><Relationship Id="rId345" Type="http://schemas.openxmlformats.org/officeDocument/2006/relationships/oleObject" Target="embeddings/oleObject173.bin"/><Relationship Id="rId344" Type="http://schemas.openxmlformats.org/officeDocument/2006/relationships/image" Target="media/image29.wmf"/><Relationship Id="rId343" Type="http://schemas.openxmlformats.org/officeDocument/2006/relationships/oleObject" Target="embeddings/oleObject172.bin"/><Relationship Id="rId342" Type="http://schemas.openxmlformats.org/officeDocument/2006/relationships/oleObject" Target="embeddings/oleObject171.bin"/><Relationship Id="rId341" Type="http://schemas.openxmlformats.org/officeDocument/2006/relationships/image" Target="media/image28.wmf"/><Relationship Id="rId340" Type="http://schemas.openxmlformats.org/officeDocument/2006/relationships/oleObject" Target="embeddings/oleObject170.bin"/><Relationship Id="rId34" Type="http://schemas.openxmlformats.org/officeDocument/2006/relationships/footer" Target="footer17.xml"/><Relationship Id="rId339" Type="http://schemas.openxmlformats.org/officeDocument/2006/relationships/oleObject" Target="embeddings/oleObject169.bin"/><Relationship Id="rId338" Type="http://schemas.openxmlformats.org/officeDocument/2006/relationships/oleObject" Target="embeddings/oleObject168.bin"/><Relationship Id="rId337" Type="http://schemas.openxmlformats.org/officeDocument/2006/relationships/oleObject" Target="embeddings/oleObject167.bin"/><Relationship Id="rId336" Type="http://schemas.openxmlformats.org/officeDocument/2006/relationships/oleObject" Target="embeddings/oleObject166.bin"/><Relationship Id="rId335" Type="http://schemas.openxmlformats.org/officeDocument/2006/relationships/oleObject" Target="embeddings/oleObject165.bin"/><Relationship Id="rId334" Type="http://schemas.openxmlformats.org/officeDocument/2006/relationships/oleObject" Target="embeddings/oleObject164.bin"/><Relationship Id="rId333" Type="http://schemas.openxmlformats.org/officeDocument/2006/relationships/image" Target="media/image27.wmf"/><Relationship Id="rId332" Type="http://schemas.openxmlformats.org/officeDocument/2006/relationships/oleObject" Target="embeddings/oleObject163.bin"/><Relationship Id="rId331" Type="http://schemas.openxmlformats.org/officeDocument/2006/relationships/image" Target="media/image26.wmf"/><Relationship Id="rId330" Type="http://schemas.openxmlformats.org/officeDocument/2006/relationships/oleObject" Target="embeddings/oleObject162.bin"/><Relationship Id="rId33" Type="http://schemas.openxmlformats.org/officeDocument/2006/relationships/footer" Target="footer16.xml"/><Relationship Id="rId329" Type="http://schemas.openxmlformats.org/officeDocument/2006/relationships/image" Target="media/image25.wmf"/><Relationship Id="rId328" Type="http://schemas.openxmlformats.org/officeDocument/2006/relationships/oleObject" Target="embeddings/oleObject161.bin"/><Relationship Id="rId327" Type="http://schemas.openxmlformats.org/officeDocument/2006/relationships/oleObject" Target="embeddings/oleObject160.bin"/><Relationship Id="rId326" Type="http://schemas.openxmlformats.org/officeDocument/2006/relationships/oleObject" Target="embeddings/oleObject159.bin"/><Relationship Id="rId325" Type="http://schemas.openxmlformats.org/officeDocument/2006/relationships/image" Target="media/image24.wmf"/><Relationship Id="rId324" Type="http://schemas.openxmlformats.org/officeDocument/2006/relationships/oleObject" Target="embeddings/oleObject158.bin"/><Relationship Id="rId323" Type="http://schemas.openxmlformats.org/officeDocument/2006/relationships/oleObject" Target="embeddings/oleObject157.bin"/><Relationship Id="rId322" Type="http://schemas.openxmlformats.org/officeDocument/2006/relationships/oleObject" Target="embeddings/oleObject156.bin"/><Relationship Id="rId321" Type="http://schemas.openxmlformats.org/officeDocument/2006/relationships/oleObject" Target="embeddings/oleObject155.bin"/><Relationship Id="rId320" Type="http://schemas.openxmlformats.org/officeDocument/2006/relationships/oleObject" Target="embeddings/oleObject154.bin"/><Relationship Id="rId32" Type="http://schemas.openxmlformats.org/officeDocument/2006/relationships/header" Target="header15.xml"/><Relationship Id="rId319" Type="http://schemas.openxmlformats.org/officeDocument/2006/relationships/oleObject" Target="embeddings/oleObject153.bin"/><Relationship Id="rId318" Type="http://schemas.openxmlformats.org/officeDocument/2006/relationships/oleObject" Target="embeddings/oleObject152.bin"/><Relationship Id="rId317" Type="http://schemas.openxmlformats.org/officeDocument/2006/relationships/oleObject" Target="embeddings/oleObject151.bin"/><Relationship Id="rId316" Type="http://schemas.openxmlformats.org/officeDocument/2006/relationships/oleObject" Target="embeddings/oleObject150.bin"/><Relationship Id="rId315" Type="http://schemas.openxmlformats.org/officeDocument/2006/relationships/oleObject" Target="embeddings/oleObject149.bin"/><Relationship Id="rId314" Type="http://schemas.openxmlformats.org/officeDocument/2006/relationships/oleObject" Target="embeddings/oleObject148.bin"/><Relationship Id="rId313" Type="http://schemas.openxmlformats.org/officeDocument/2006/relationships/oleObject" Target="embeddings/oleObject147.bin"/><Relationship Id="rId312" Type="http://schemas.openxmlformats.org/officeDocument/2006/relationships/oleObject" Target="embeddings/oleObject146.bin"/><Relationship Id="rId311" Type="http://schemas.openxmlformats.org/officeDocument/2006/relationships/oleObject" Target="embeddings/oleObject145.bin"/><Relationship Id="rId310" Type="http://schemas.openxmlformats.org/officeDocument/2006/relationships/oleObject" Target="embeddings/oleObject144.bin"/><Relationship Id="rId31" Type="http://schemas.openxmlformats.org/officeDocument/2006/relationships/header" Target="header14.xml"/><Relationship Id="rId309" Type="http://schemas.openxmlformats.org/officeDocument/2006/relationships/oleObject" Target="embeddings/oleObject143.bin"/><Relationship Id="rId308" Type="http://schemas.openxmlformats.org/officeDocument/2006/relationships/oleObject" Target="embeddings/oleObject142.bin"/><Relationship Id="rId307" Type="http://schemas.openxmlformats.org/officeDocument/2006/relationships/oleObject" Target="embeddings/oleObject141.bin"/><Relationship Id="rId306" Type="http://schemas.openxmlformats.org/officeDocument/2006/relationships/image" Target="media/image23.png"/><Relationship Id="rId305" Type="http://schemas.openxmlformats.org/officeDocument/2006/relationships/oleObject" Target="embeddings/oleObject140.bin"/><Relationship Id="rId304" Type="http://schemas.openxmlformats.org/officeDocument/2006/relationships/oleObject" Target="embeddings/oleObject139.bin"/><Relationship Id="rId303" Type="http://schemas.openxmlformats.org/officeDocument/2006/relationships/oleObject" Target="embeddings/oleObject138.bin"/><Relationship Id="rId302" Type="http://schemas.openxmlformats.org/officeDocument/2006/relationships/oleObject" Target="embeddings/oleObject137.bin"/><Relationship Id="rId301" Type="http://schemas.openxmlformats.org/officeDocument/2006/relationships/oleObject" Target="embeddings/oleObject136.bin"/><Relationship Id="rId300" Type="http://schemas.openxmlformats.org/officeDocument/2006/relationships/image" Target="media/image22.wmf"/><Relationship Id="rId30" Type="http://schemas.openxmlformats.org/officeDocument/2006/relationships/header" Target="header13.xml"/><Relationship Id="rId3" Type="http://schemas.openxmlformats.org/officeDocument/2006/relationships/header" Target="header1.xml"/><Relationship Id="rId299" Type="http://schemas.openxmlformats.org/officeDocument/2006/relationships/oleObject" Target="embeddings/oleObject135.bin"/><Relationship Id="rId298" Type="http://schemas.openxmlformats.org/officeDocument/2006/relationships/image" Target="media/image21.wmf"/><Relationship Id="rId297" Type="http://schemas.openxmlformats.org/officeDocument/2006/relationships/oleObject" Target="embeddings/oleObject134.bin"/><Relationship Id="rId296" Type="http://schemas.openxmlformats.org/officeDocument/2006/relationships/image" Target="media/image20.wmf"/><Relationship Id="rId295" Type="http://schemas.openxmlformats.org/officeDocument/2006/relationships/oleObject" Target="embeddings/oleObject133.bin"/><Relationship Id="rId294" Type="http://schemas.openxmlformats.org/officeDocument/2006/relationships/oleObject" Target="embeddings/oleObject132.bin"/><Relationship Id="rId293" Type="http://schemas.openxmlformats.org/officeDocument/2006/relationships/oleObject" Target="embeddings/oleObject131.bin"/><Relationship Id="rId292" Type="http://schemas.openxmlformats.org/officeDocument/2006/relationships/oleObject" Target="embeddings/oleObject130.bin"/><Relationship Id="rId291" Type="http://schemas.openxmlformats.org/officeDocument/2006/relationships/oleObject" Target="embeddings/oleObject129.bin"/><Relationship Id="rId290" Type="http://schemas.openxmlformats.org/officeDocument/2006/relationships/oleObject" Target="embeddings/oleObject128.bin"/><Relationship Id="rId29" Type="http://schemas.openxmlformats.org/officeDocument/2006/relationships/footer" Target="footer15.xml"/><Relationship Id="rId289" Type="http://schemas.openxmlformats.org/officeDocument/2006/relationships/oleObject" Target="embeddings/oleObject127.bin"/><Relationship Id="rId288" Type="http://schemas.openxmlformats.org/officeDocument/2006/relationships/oleObject" Target="embeddings/oleObject126.bin"/><Relationship Id="rId287" Type="http://schemas.openxmlformats.org/officeDocument/2006/relationships/oleObject" Target="embeddings/oleObject125.bin"/><Relationship Id="rId286" Type="http://schemas.openxmlformats.org/officeDocument/2006/relationships/oleObject" Target="embeddings/oleObject124.bin"/><Relationship Id="rId285" Type="http://schemas.openxmlformats.org/officeDocument/2006/relationships/oleObject" Target="embeddings/oleObject123.bin"/><Relationship Id="rId284" Type="http://schemas.openxmlformats.org/officeDocument/2006/relationships/oleObject" Target="embeddings/oleObject122.bin"/><Relationship Id="rId283" Type="http://schemas.openxmlformats.org/officeDocument/2006/relationships/oleObject" Target="embeddings/oleObject121.bin"/><Relationship Id="rId282" Type="http://schemas.openxmlformats.org/officeDocument/2006/relationships/oleObject" Target="embeddings/oleObject120.bin"/><Relationship Id="rId281" Type="http://schemas.openxmlformats.org/officeDocument/2006/relationships/oleObject" Target="embeddings/oleObject119.bin"/><Relationship Id="rId280" Type="http://schemas.openxmlformats.org/officeDocument/2006/relationships/oleObject" Target="embeddings/oleObject118.bin"/><Relationship Id="rId28" Type="http://schemas.openxmlformats.org/officeDocument/2006/relationships/footer" Target="footer14.xml"/><Relationship Id="rId279" Type="http://schemas.openxmlformats.org/officeDocument/2006/relationships/oleObject" Target="embeddings/oleObject117.bin"/><Relationship Id="rId278" Type="http://schemas.openxmlformats.org/officeDocument/2006/relationships/oleObject" Target="embeddings/oleObject116.bin"/><Relationship Id="rId277" Type="http://schemas.openxmlformats.org/officeDocument/2006/relationships/oleObject" Target="embeddings/oleObject115.bin"/><Relationship Id="rId276" Type="http://schemas.openxmlformats.org/officeDocument/2006/relationships/oleObject" Target="embeddings/oleObject114.bin"/><Relationship Id="rId275" Type="http://schemas.openxmlformats.org/officeDocument/2006/relationships/oleObject" Target="embeddings/oleObject113.bin"/><Relationship Id="rId274" Type="http://schemas.openxmlformats.org/officeDocument/2006/relationships/oleObject" Target="embeddings/oleObject112.bin"/><Relationship Id="rId273" Type="http://schemas.openxmlformats.org/officeDocument/2006/relationships/oleObject" Target="embeddings/oleObject111.bin"/><Relationship Id="rId272" Type="http://schemas.openxmlformats.org/officeDocument/2006/relationships/oleObject" Target="embeddings/oleObject110.bin"/><Relationship Id="rId271" Type="http://schemas.openxmlformats.org/officeDocument/2006/relationships/oleObject" Target="embeddings/oleObject109.bin"/><Relationship Id="rId270" Type="http://schemas.openxmlformats.org/officeDocument/2006/relationships/oleObject" Target="embeddings/oleObject108.bin"/><Relationship Id="rId27" Type="http://schemas.openxmlformats.org/officeDocument/2006/relationships/footer" Target="footer13.xml"/><Relationship Id="rId269" Type="http://schemas.openxmlformats.org/officeDocument/2006/relationships/oleObject" Target="embeddings/oleObject107.bin"/><Relationship Id="rId268" Type="http://schemas.openxmlformats.org/officeDocument/2006/relationships/oleObject" Target="embeddings/oleObject106.bin"/><Relationship Id="rId267" Type="http://schemas.openxmlformats.org/officeDocument/2006/relationships/oleObject" Target="embeddings/oleObject105.bin"/><Relationship Id="rId266" Type="http://schemas.openxmlformats.org/officeDocument/2006/relationships/oleObject" Target="embeddings/oleObject104.bin"/><Relationship Id="rId265" Type="http://schemas.openxmlformats.org/officeDocument/2006/relationships/oleObject" Target="embeddings/oleObject103.bin"/><Relationship Id="rId264" Type="http://schemas.openxmlformats.org/officeDocument/2006/relationships/oleObject" Target="embeddings/oleObject102.bin"/><Relationship Id="rId263" Type="http://schemas.openxmlformats.org/officeDocument/2006/relationships/oleObject" Target="embeddings/oleObject101.bin"/><Relationship Id="rId262" Type="http://schemas.openxmlformats.org/officeDocument/2006/relationships/oleObject" Target="embeddings/oleObject100.bin"/><Relationship Id="rId261" Type="http://schemas.openxmlformats.org/officeDocument/2006/relationships/oleObject" Target="embeddings/oleObject99.bin"/><Relationship Id="rId260" Type="http://schemas.openxmlformats.org/officeDocument/2006/relationships/oleObject" Target="embeddings/oleObject98.bin"/><Relationship Id="rId26" Type="http://schemas.openxmlformats.org/officeDocument/2006/relationships/header" Target="header12.xml"/><Relationship Id="rId259" Type="http://schemas.openxmlformats.org/officeDocument/2006/relationships/oleObject" Target="embeddings/oleObject97.bin"/><Relationship Id="rId258" Type="http://schemas.openxmlformats.org/officeDocument/2006/relationships/oleObject" Target="embeddings/oleObject96.bin"/><Relationship Id="rId257" Type="http://schemas.openxmlformats.org/officeDocument/2006/relationships/oleObject" Target="embeddings/oleObject95.bin"/><Relationship Id="rId256" Type="http://schemas.openxmlformats.org/officeDocument/2006/relationships/oleObject" Target="embeddings/oleObject94.bin"/><Relationship Id="rId255" Type="http://schemas.openxmlformats.org/officeDocument/2006/relationships/oleObject" Target="embeddings/oleObject93.bin"/><Relationship Id="rId254" Type="http://schemas.openxmlformats.org/officeDocument/2006/relationships/oleObject" Target="embeddings/oleObject92.bin"/><Relationship Id="rId253" Type="http://schemas.openxmlformats.org/officeDocument/2006/relationships/oleObject" Target="embeddings/oleObject91.bin"/><Relationship Id="rId252" Type="http://schemas.openxmlformats.org/officeDocument/2006/relationships/image" Target="media/image19.png"/><Relationship Id="rId251" Type="http://schemas.openxmlformats.org/officeDocument/2006/relationships/oleObject" Target="embeddings/oleObject90.bin"/><Relationship Id="rId250" Type="http://schemas.openxmlformats.org/officeDocument/2006/relationships/oleObject" Target="embeddings/oleObject89.bin"/><Relationship Id="rId25" Type="http://schemas.openxmlformats.org/officeDocument/2006/relationships/header" Target="header11.xml"/><Relationship Id="rId249" Type="http://schemas.openxmlformats.org/officeDocument/2006/relationships/oleObject" Target="embeddings/oleObject88.bin"/><Relationship Id="rId248" Type="http://schemas.openxmlformats.org/officeDocument/2006/relationships/oleObject" Target="embeddings/oleObject87.bin"/><Relationship Id="rId247" Type="http://schemas.openxmlformats.org/officeDocument/2006/relationships/oleObject" Target="embeddings/oleObject86.bin"/><Relationship Id="rId246" Type="http://schemas.openxmlformats.org/officeDocument/2006/relationships/oleObject" Target="embeddings/oleObject85.bin"/><Relationship Id="rId245" Type="http://schemas.openxmlformats.org/officeDocument/2006/relationships/image" Target="media/image18.png"/><Relationship Id="rId244" Type="http://schemas.openxmlformats.org/officeDocument/2006/relationships/image" Target="media/image17.png"/><Relationship Id="rId243" Type="http://schemas.openxmlformats.org/officeDocument/2006/relationships/oleObject" Target="embeddings/oleObject84.bin"/><Relationship Id="rId242" Type="http://schemas.openxmlformats.org/officeDocument/2006/relationships/oleObject" Target="embeddings/oleObject83.bin"/><Relationship Id="rId241" Type="http://schemas.openxmlformats.org/officeDocument/2006/relationships/oleObject" Target="embeddings/oleObject82.bin"/><Relationship Id="rId240" Type="http://schemas.openxmlformats.org/officeDocument/2006/relationships/oleObject" Target="embeddings/oleObject81.bin"/><Relationship Id="rId24" Type="http://schemas.openxmlformats.org/officeDocument/2006/relationships/header" Target="header10.xml"/><Relationship Id="rId239" Type="http://schemas.openxmlformats.org/officeDocument/2006/relationships/oleObject" Target="embeddings/oleObject80.bin"/><Relationship Id="rId238" Type="http://schemas.openxmlformats.org/officeDocument/2006/relationships/oleObject" Target="embeddings/oleObject79.bin"/><Relationship Id="rId237" Type="http://schemas.openxmlformats.org/officeDocument/2006/relationships/oleObject" Target="embeddings/oleObject78.bin"/><Relationship Id="rId236" Type="http://schemas.openxmlformats.org/officeDocument/2006/relationships/oleObject" Target="embeddings/oleObject77.bin"/><Relationship Id="rId235" Type="http://schemas.openxmlformats.org/officeDocument/2006/relationships/oleObject" Target="embeddings/oleObject76.bin"/><Relationship Id="rId234" Type="http://schemas.openxmlformats.org/officeDocument/2006/relationships/oleObject" Target="embeddings/oleObject75.bin"/><Relationship Id="rId233" Type="http://schemas.openxmlformats.org/officeDocument/2006/relationships/oleObject" Target="embeddings/oleObject74.bin"/><Relationship Id="rId232" Type="http://schemas.openxmlformats.org/officeDocument/2006/relationships/oleObject" Target="embeddings/oleObject73.bin"/><Relationship Id="rId231" Type="http://schemas.openxmlformats.org/officeDocument/2006/relationships/image" Target="media/image16.png"/><Relationship Id="rId230" Type="http://schemas.openxmlformats.org/officeDocument/2006/relationships/oleObject" Target="embeddings/oleObject72.bin"/><Relationship Id="rId23" Type="http://schemas.openxmlformats.org/officeDocument/2006/relationships/footer" Target="footer12.xml"/><Relationship Id="rId229" Type="http://schemas.openxmlformats.org/officeDocument/2006/relationships/oleObject" Target="embeddings/oleObject71.bin"/><Relationship Id="rId228" Type="http://schemas.openxmlformats.org/officeDocument/2006/relationships/oleObject" Target="embeddings/oleObject70.bin"/><Relationship Id="rId227" Type="http://schemas.openxmlformats.org/officeDocument/2006/relationships/oleObject" Target="embeddings/oleObject69.bin"/><Relationship Id="rId226" Type="http://schemas.openxmlformats.org/officeDocument/2006/relationships/oleObject" Target="embeddings/oleObject68.bin"/><Relationship Id="rId225" Type="http://schemas.openxmlformats.org/officeDocument/2006/relationships/oleObject" Target="embeddings/oleObject67.bin"/><Relationship Id="rId224" Type="http://schemas.openxmlformats.org/officeDocument/2006/relationships/oleObject" Target="embeddings/oleObject66.bin"/><Relationship Id="rId223" Type="http://schemas.openxmlformats.org/officeDocument/2006/relationships/oleObject" Target="embeddings/oleObject65.bin"/><Relationship Id="rId222" Type="http://schemas.openxmlformats.org/officeDocument/2006/relationships/oleObject" Target="embeddings/oleObject64.bin"/><Relationship Id="rId221" Type="http://schemas.openxmlformats.org/officeDocument/2006/relationships/oleObject" Target="embeddings/oleObject63.bin"/><Relationship Id="rId220" Type="http://schemas.openxmlformats.org/officeDocument/2006/relationships/oleObject" Target="embeddings/oleObject62.bin"/><Relationship Id="rId22" Type="http://schemas.openxmlformats.org/officeDocument/2006/relationships/header" Target="header9.xml"/><Relationship Id="rId219" Type="http://schemas.openxmlformats.org/officeDocument/2006/relationships/oleObject" Target="embeddings/oleObject61.bin"/><Relationship Id="rId218" Type="http://schemas.openxmlformats.org/officeDocument/2006/relationships/oleObject" Target="embeddings/oleObject60.bin"/><Relationship Id="rId217" Type="http://schemas.openxmlformats.org/officeDocument/2006/relationships/oleObject" Target="embeddings/oleObject59.bin"/><Relationship Id="rId216" Type="http://schemas.openxmlformats.org/officeDocument/2006/relationships/oleObject" Target="embeddings/oleObject58.bin"/><Relationship Id="rId215" Type="http://schemas.openxmlformats.org/officeDocument/2006/relationships/oleObject" Target="embeddings/oleObject57.bin"/><Relationship Id="rId214" Type="http://schemas.openxmlformats.org/officeDocument/2006/relationships/oleObject" Target="embeddings/oleObject56.bin"/><Relationship Id="rId213" Type="http://schemas.openxmlformats.org/officeDocument/2006/relationships/oleObject" Target="embeddings/oleObject55.bin"/><Relationship Id="rId212" Type="http://schemas.openxmlformats.org/officeDocument/2006/relationships/image" Target="media/image15.png"/><Relationship Id="rId211" Type="http://schemas.openxmlformats.org/officeDocument/2006/relationships/image" Target="media/image14.png"/><Relationship Id="rId210" Type="http://schemas.openxmlformats.org/officeDocument/2006/relationships/image" Target="media/image13.png"/><Relationship Id="rId21" Type="http://schemas.openxmlformats.org/officeDocument/2006/relationships/header" Target="header8.xml"/><Relationship Id="rId209" Type="http://schemas.openxmlformats.org/officeDocument/2006/relationships/oleObject" Target="embeddings/oleObject54.bin"/><Relationship Id="rId208" Type="http://schemas.openxmlformats.org/officeDocument/2006/relationships/oleObject" Target="embeddings/oleObject53.bin"/><Relationship Id="rId207" Type="http://schemas.openxmlformats.org/officeDocument/2006/relationships/oleObject" Target="embeddings/oleObject52.bin"/><Relationship Id="rId206" Type="http://schemas.openxmlformats.org/officeDocument/2006/relationships/oleObject" Target="embeddings/oleObject51.bin"/><Relationship Id="rId205" Type="http://schemas.openxmlformats.org/officeDocument/2006/relationships/oleObject" Target="embeddings/oleObject50.bin"/><Relationship Id="rId204" Type="http://schemas.openxmlformats.org/officeDocument/2006/relationships/oleObject" Target="embeddings/oleObject49.bin"/><Relationship Id="rId203" Type="http://schemas.openxmlformats.org/officeDocument/2006/relationships/oleObject" Target="embeddings/oleObject48.bin"/><Relationship Id="rId202" Type="http://schemas.openxmlformats.org/officeDocument/2006/relationships/oleObject" Target="embeddings/oleObject47.bin"/><Relationship Id="rId201" Type="http://schemas.openxmlformats.org/officeDocument/2006/relationships/oleObject" Target="embeddings/oleObject46.bin"/><Relationship Id="rId200" Type="http://schemas.openxmlformats.org/officeDocument/2006/relationships/oleObject" Target="embeddings/oleObject45.bin"/><Relationship Id="rId20" Type="http://schemas.openxmlformats.org/officeDocument/2006/relationships/footer" Target="footer11.xml"/><Relationship Id="rId2" Type="http://schemas.openxmlformats.org/officeDocument/2006/relationships/settings" Target="settings.xml"/><Relationship Id="rId199" Type="http://schemas.openxmlformats.org/officeDocument/2006/relationships/oleObject" Target="embeddings/oleObject44.bin"/><Relationship Id="rId198" Type="http://schemas.openxmlformats.org/officeDocument/2006/relationships/oleObject" Target="embeddings/oleObject43.bin"/><Relationship Id="rId197" Type="http://schemas.openxmlformats.org/officeDocument/2006/relationships/oleObject" Target="embeddings/oleObject42.bin"/><Relationship Id="rId196" Type="http://schemas.openxmlformats.org/officeDocument/2006/relationships/oleObject" Target="embeddings/oleObject41.bin"/><Relationship Id="rId195" Type="http://schemas.openxmlformats.org/officeDocument/2006/relationships/oleObject" Target="embeddings/oleObject40.bin"/><Relationship Id="rId194" Type="http://schemas.openxmlformats.org/officeDocument/2006/relationships/oleObject" Target="embeddings/oleObject39.bin"/><Relationship Id="rId193" Type="http://schemas.openxmlformats.org/officeDocument/2006/relationships/oleObject" Target="embeddings/oleObject38.bin"/><Relationship Id="rId192" Type="http://schemas.openxmlformats.org/officeDocument/2006/relationships/oleObject" Target="embeddings/oleObject37.bin"/><Relationship Id="rId191" Type="http://schemas.openxmlformats.org/officeDocument/2006/relationships/oleObject" Target="embeddings/oleObject36.bin"/><Relationship Id="rId190" Type="http://schemas.openxmlformats.org/officeDocument/2006/relationships/oleObject" Target="embeddings/oleObject35.bin"/><Relationship Id="rId19" Type="http://schemas.openxmlformats.org/officeDocument/2006/relationships/footer" Target="footer10.xml"/><Relationship Id="rId189" Type="http://schemas.openxmlformats.org/officeDocument/2006/relationships/oleObject" Target="embeddings/oleObject34.bin"/><Relationship Id="rId188" Type="http://schemas.openxmlformats.org/officeDocument/2006/relationships/oleObject" Target="embeddings/oleObject33.bin"/><Relationship Id="rId187" Type="http://schemas.openxmlformats.org/officeDocument/2006/relationships/oleObject" Target="embeddings/oleObject32.bin"/><Relationship Id="rId186" Type="http://schemas.openxmlformats.org/officeDocument/2006/relationships/oleObject" Target="embeddings/oleObject31.bin"/><Relationship Id="rId185" Type="http://schemas.openxmlformats.org/officeDocument/2006/relationships/oleObject" Target="embeddings/oleObject30.bin"/><Relationship Id="rId184" Type="http://schemas.openxmlformats.org/officeDocument/2006/relationships/oleObject" Target="embeddings/oleObject29.bin"/><Relationship Id="rId183" Type="http://schemas.openxmlformats.org/officeDocument/2006/relationships/oleObject" Target="embeddings/oleObject28.bin"/><Relationship Id="rId182" Type="http://schemas.openxmlformats.org/officeDocument/2006/relationships/oleObject" Target="embeddings/oleObject27.bin"/><Relationship Id="rId181" Type="http://schemas.openxmlformats.org/officeDocument/2006/relationships/oleObject" Target="embeddings/oleObject26.bin"/><Relationship Id="rId180" Type="http://schemas.openxmlformats.org/officeDocument/2006/relationships/oleObject" Target="embeddings/oleObject25.bin"/><Relationship Id="rId18" Type="http://schemas.openxmlformats.org/officeDocument/2006/relationships/footer" Target="footer9.xml"/><Relationship Id="rId179" Type="http://schemas.openxmlformats.org/officeDocument/2006/relationships/image" Target="media/image12.png"/><Relationship Id="rId178" Type="http://schemas.openxmlformats.org/officeDocument/2006/relationships/image" Target="media/image11.wmf"/><Relationship Id="rId177" Type="http://schemas.openxmlformats.org/officeDocument/2006/relationships/image" Target="media/image10.png"/><Relationship Id="rId176" Type="http://schemas.openxmlformats.org/officeDocument/2006/relationships/image" Target="media/image9.png"/><Relationship Id="rId175" Type="http://schemas.openxmlformats.org/officeDocument/2006/relationships/image" Target="media/image8.png"/><Relationship Id="rId174" Type="http://schemas.openxmlformats.org/officeDocument/2006/relationships/image" Target="media/image7.png"/><Relationship Id="rId173" Type="http://schemas.openxmlformats.org/officeDocument/2006/relationships/oleObject" Target="embeddings/oleObject24.bin"/><Relationship Id="rId172" Type="http://schemas.openxmlformats.org/officeDocument/2006/relationships/oleObject" Target="embeddings/oleObject23.bin"/><Relationship Id="rId171" Type="http://schemas.openxmlformats.org/officeDocument/2006/relationships/oleObject" Target="embeddings/oleObject22.bin"/><Relationship Id="rId170" Type="http://schemas.openxmlformats.org/officeDocument/2006/relationships/oleObject" Target="embeddings/oleObject21.bin"/><Relationship Id="rId17" Type="http://schemas.openxmlformats.org/officeDocument/2006/relationships/footer" Target="footer8.xml"/><Relationship Id="rId169" Type="http://schemas.openxmlformats.org/officeDocument/2006/relationships/oleObject" Target="embeddings/oleObject20.bin"/><Relationship Id="rId168" Type="http://schemas.openxmlformats.org/officeDocument/2006/relationships/oleObject" Target="embeddings/oleObject19.bin"/><Relationship Id="rId167" Type="http://schemas.openxmlformats.org/officeDocument/2006/relationships/oleObject" Target="embeddings/oleObject18.bin"/><Relationship Id="rId166" Type="http://schemas.openxmlformats.org/officeDocument/2006/relationships/oleObject" Target="embeddings/oleObject17.bin"/><Relationship Id="rId165" Type="http://schemas.openxmlformats.org/officeDocument/2006/relationships/oleObject" Target="embeddings/oleObject16.bin"/><Relationship Id="rId164" Type="http://schemas.openxmlformats.org/officeDocument/2006/relationships/oleObject" Target="embeddings/oleObject15.bin"/><Relationship Id="rId163" Type="http://schemas.openxmlformats.org/officeDocument/2006/relationships/oleObject" Target="embeddings/oleObject14.bin"/><Relationship Id="rId162" Type="http://schemas.openxmlformats.org/officeDocument/2006/relationships/oleObject" Target="embeddings/oleObject13.bin"/><Relationship Id="rId161" Type="http://schemas.openxmlformats.org/officeDocument/2006/relationships/oleObject" Target="embeddings/oleObject12.bin"/><Relationship Id="rId160" Type="http://schemas.openxmlformats.org/officeDocument/2006/relationships/oleObject" Target="embeddings/oleObject11.bin"/><Relationship Id="rId16" Type="http://schemas.openxmlformats.org/officeDocument/2006/relationships/footer" Target="footer7.xml"/><Relationship Id="rId159" Type="http://schemas.openxmlformats.org/officeDocument/2006/relationships/oleObject" Target="embeddings/oleObject10.bin"/><Relationship Id="rId158" Type="http://schemas.openxmlformats.org/officeDocument/2006/relationships/oleObject" Target="embeddings/oleObject9.bin"/><Relationship Id="rId157" Type="http://schemas.openxmlformats.org/officeDocument/2006/relationships/oleObject" Target="embeddings/oleObject8.bin"/><Relationship Id="rId156" Type="http://schemas.openxmlformats.org/officeDocument/2006/relationships/oleObject" Target="embeddings/oleObject7.bin"/><Relationship Id="rId155" Type="http://schemas.openxmlformats.org/officeDocument/2006/relationships/image" Target="media/image6.wmf"/><Relationship Id="rId154" Type="http://schemas.openxmlformats.org/officeDocument/2006/relationships/oleObject" Target="embeddings/oleObject6.bin"/><Relationship Id="rId153" Type="http://schemas.openxmlformats.org/officeDocument/2006/relationships/image" Target="media/image5.wmf"/><Relationship Id="rId152" Type="http://schemas.openxmlformats.org/officeDocument/2006/relationships/oleObject" Target="embeddings/oleObject5.bin"/><Relationship Id="rId151" Type="http://schemas.openxmlformats.org/officeDocument/2006/relationships/image" Target="media/image4.wmf"/><Relationship Id="rId150" Type="http://schemas.openxmlformats.org/officeDocument/2006/relationships/oleObject" Target="embeddings/oleObject4.bin"/><Relationship Id="rId15" Type="http://schemas.openxmlformats.org/officeDocument/2006/relationships/footer" Target="footer6.xml"/><Relationship Id="rId149" Type="http://schemas.openxmlformats.org/officeDocument/2006/relationships/image" Target="media/image3.wmf"/><Relationship Id="rId148" Type="http://schemas.openxmlformats.org/officeDocument/2006/relationships/oleObject" Target="embeddings/oleObject3.bin"/><Relationship Id="rId147" Type="http://schemas.openxmlformats.org/officeDocument/2006/relationships/image" Target="media/image2.wmf"/><Relationship Id="rId146" Type="http://schemas.openxmlformats.org/officeDocument/2006/relationships/oleObject" Target="embeddings/oleObject2.bin"/><Relationship Id="rId145" Type="http://schemas.openxmlformats.org/officeDocument/2006/relationships/image" Target="media/image1.wmf"/><Relationship Id="rId144" Type="http://schemas.openxmlformats.org/officeDocument/2006/relationships/oleObject" Target="embeddings/oleObject1.bin"/><Relationship Id="rId143" Type="http://schemas.openxmlformats.org/officeDocument/2006/relationships/theme" Target="theme/theme1.xml"/><Relationship Id="rId142" Type="http://schemas.openxmlformats.org/officeDocument/2006/relationships/footer" Target="footer70.xml"/><Relationship Id="rId141" Type="http://schemas.openxmlformats.org/officeDocument/2006/relationships/footer" Target="footer69.xml"/><Relationship Id="rId140" Type="http://schemas.openxmlformats.org/officeDocument/2006/relationships/footer" Target="footer68.xml"/><Relationship Id="rId14" Type="http://schemas.openxmlformats.org/officeDocument/2006/relationships/header" Target="header7.xml"/><Relationship Id="rId139" Type="http://schemas.openxmlformats.org/officeDocument/2006/relationships/header" Target="header70.xml"/><Relationship Id="rId138" Type="http://schemas.openxmlformats.org/officeDocument/2006/relationships/header" Target="header69.xml"/><Relationship Id="rId137" Type="http://schemas.openxmlformats.org/officeDocument/2006/relationships/header" Target="header68.xml"/><Relationship Id="rId136" Type="http://schemas.openxmlformats.org/officeDocument/2006/relationships/header" Target="header67.xml"/><Relationship Id="rId135" Type="http://schemas.openxmlformats.org/officeDocument/2006/relationships/header" Target="header66.xml"/><Relationship Id="rId134" Type="http://schemas.openxmlformats.org/officeDocument/2006/relationships/header" Target="header65.xml"/><Relationship Id="rId133" Type="http://schemas.openxmlformats.org/officeDocument/2006/relationships/header" Target="header64.xml"/><Relationship Id="rId132" Type="http://schemas.openxmlformats.org/officeDocument/2006/relationships/header" Target="header63.xml"/><Relationship Id="rId131" Type="http://schemas.openxmlformats.org/officeDocument/2006/relationships/header" Target="header62.xml"/><Relationship Id="rId130" Type="http://schemas.openxmlformats.org/officeDocument/2006/relationships/header" Target="header61.xml"/><Relationship Id="rId13" Type="http://schemas.openxmlformats.org/officeDocument/2006/relationships/header" Target="header6.xml"/><Relationship Id="rId129" Type="http://schemas.openxmlformats.org/officeDocument/2006/relationships/footer" Target="footer67.xml"/><Relationship Id="rId128" Type="http://schemas.openxmlformats.org/officeDocument/2006/relationships/footer" Target="footer66.xml"/><Relationship Id="rId127" Type="http://schemas.openxmlformats.org/officeDocument/2006/relationships/footer" Target="footer65.xml"/><Relationship Id="rId126" Type="http://schemas.openxmlformats.org/officeDocument/2006/relationships/header" Target="header60.xml"/><Relationship Id="rId125" Type="http://schemas.openxmlformats.org/officeDocument/2006/relationships/header" Target="header59.xml"/><Relationship Id="rId124" Type="http://schemas.openxmlformats.org/officeDocument/2006/relationships/header" Target="header58.xml"/><Relationship Id="rId123" Type="http://schemas.openxmlformats.org/officeDocument/2006/relationships/footer" Target="footer64.xml"/><Relationship Id="rId122" Type="http://schemas.openxmlformats.org/officeDocument/2006/relationships/footer" Target="footer63.xml"/><Relationship Id="rId121" Type="http://schemas.openxmlformats.org/officeDocument/2006/relationships/footer" Target="footer62.xml"/><Relationship Id="rId120" Type="http://schemas.openxmlformats.org/officeDocument/2006/relationships/header" Target="header57.xml"/><Relationship Id="rId12" Type="http://schemas.openxmlformats.org/officeDocument/2006/relationships/header" Target="header5.xml"/><Relationship Id="rId119" Type="http://schemas.openxmlformats.org/officeDocument/2006/relationships/header" Target="header56.xml"/><Relationship Id="rId118" Type="http://schemas.openxmlformats.org/officeDocument/2006/relationships/header" Target="header55.xml"/><Relationship Id="rId117" Type="http://schemas.openxmlformats.org/officeDocument/2006/relationships/footer" Target="footer61.xml"/><Relationship Id="rId116" Type="http://schemas.openxmlformats.org/officeDocument/2006/relationships/footer" Target="footer60.xml"/><Relationship Id="rId115" Type="http://schemas.openxmlformats.org/officeDocument/2006/relationships/footer" Target="footer59.xml"/><Relationship Id="rId114" Type="http://schemas.openxmlformats.org/officeDocument/2006/relationships/header" Target="header54.xml"/><Relationship Id="rId113" Type="http://schemas.openxmlformats.org/officeDocument/2006/relationships/header" Target="header53.xml"/><Relationship Id="rId112" Type="http://schemas.openxmlformats.org/officeDocument/2006/relationships/header" Target="header52.xml"/><Relationship Id="rId111" Type="http://schemas.openxmlformats.org/officeDocument/2006/relationships/footer" Target="footer58.xml"/><Relationship Id="rId110" Type="http://schemas.openxmlformats.org/officeDocument/2006/relationships/footer" Target="footer57.xml"/><Relationship Id="rId11" Type="http://schemas.openxmlformats.org/officeDocument/2006/relationships/footer" Target="footer5.xml"/><Relationship Id="rId109" Type="http://schemas.openxmlformats.org/officeDocument/2006/relationships/footer" Target="footer56.xml"/><Relationship Id="rId108" Type="http://schemas.openxmlformats.org/officeDocument/2006/relationships/header" Target="header51.xml"/><Relationship Id="rId107" Type="http://schemas.openxmlformats.org/officeDocument/2006/relationships/header" Target="header50.xml"/><Relationship Id="rId106" Type="http://schemas.openxmlformats.org/officeDocument/2006/relationships/header" Target="header49.xml"/><Relationship Id="rId105" Type="http://schemas.openxmlformats.org/officeDocument/2006/relationships/footer" Target="footer55.xml"/><Relationship Id="rId104" Type="http://schemas.openxmlformats.org/officeDocument/2006/relationships/footer" Target="footer54.xml"/><Relationship Id="rId103" Type="http://schemas.openxmlformats.org/officeDocument/2006/relationships/footer" Target="footer53.xml"/><Relationship Id="rId102" Type="http://schemas.openxmlformats.org/officeDocument/2006/relationships/header" Target="header48.xml"/><Relationship Id="rId101" Type="http://schemas.openxmlformats.org/officeDocument/2006/relationships/header" Target="header47.xml"/><Relationship Id="rId100" Type="http://schemas.openxmlformats.org/officeDocument/2006/relationships/header" Target="header46.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10.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6"/>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19282 32273 141,'12'40'345</inkml:trace>
</inkml:ink>
</file>

<file path=customXml/item11.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7"/>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9494 55362 229,'30'0'403,"3"0"-1243</inkml:trace>
</inkml:ink>
</file>

<file path=customXml/item12.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8"/>
    </inkml:context>
    <inkml:brush xml:id="br0">
      <inkml:brushProperty name="width" value="0.026" units="cm"/>
      <inkml:brushProperty name="height" value="0.026" units="cm"/>
      <inkml:brushProperty name="color" value="#FF0000"/>
      <inkml:brushProperty name="fitToCurve" value="1"/>
    </inkml:brush>
  </inkml:definitions>
  <inkml:trace contextRef="#ctx0" brushRef="#br0">0 0 136,'54'15'246,"-7"-1"-397,9-2 88,21 3 75,-23-5-26,9 0-16,2 32-132</inkml:trace>
</inkml:ink>
</file>

<file path=customXml/item13.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7"/>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13861 112816 136,'58'-56'469,"9"37"-1020,-34 76 494</inkml:trace>
</inkml:ink>
</file>

<file path=customXml/item14.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7"/>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19012 15729 136,'51'-2'67,"6"-28"-106,-2-32 47,-29 8-26,3 4 22,-10 1-9,-18-5-9,-50 39 30,-3 70-5,26-5-26,11 13 23,20-3-15,31-9 3,15-53 20,13-40-70,-6 6 29,-4 1-4,-6-1-112</inkml:trace>
</inkml:ink>
</file>

<file path=customXml/item15.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7"/>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4 0 136,'-4'48'-5</inkml:trace>
</inkml:ink>
</file>

<file path=customXml/item16.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8"/>
    </inkml:context>
    <inkml:brush xml:id="br0">
      <inkml:brushProperty name="width" value="0.026" units="cm"/>
      <inkml:brushProperty name="height" value="0.026" units="cm"/>
      <inkml:brushProperty name="color" value="#FF0000"/>
      <inkml:brushProperty name="fitToCurve" value="1"/>
    </inkml:brush>
  </inkml:definitions>
  <inkml:trace contextRef="#ctx0" brushRef="#br0">8 0 136,'-8'35'55</inkml:trace>
</inkml:ink>
</file>

<file path=customXml/item17.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6"/>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18217 34404 173,'-47'52'346,"22"-2"-660,9 14 305,3-14-3,1-2-18,-5 3-138</inkml:trace>
</inkml:ink>
</file>

<file path=customXml/item18.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6"/>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15940 20650 136,'10'-50'0</inkml:trace>
</inkml:ink>
</file>

<file path=customXml/item19.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6"/>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17680 34690 197,'43'-67'393,"20"23"-774,-80 96 222,-3-5 294,6 2-115,-2 16 14,64-70 29,-10-48-142,-6 7 52,-3-4-10,-2-7-1,-14 11 44,-1-7 8,-8 3 7,7 1-9,46 58 122,-1 0-166,8-49 1,-30-30-3,-24 21-7,0 1 22,-14-1 21,-8 0 5,-35 114 109,44 3-177,-8-19 21,10 12-23,1-12 59,0 4 45,7 8 26,-1-7-64,6 2-12,6 21 19,-5-24-8,12 15 36,27-23-28,16-48-30,-8-45-36,-20-21-17,-30 15 39,-8 5-164</inkml:trace>
</inkml:ink>
</file>

<file path=customXml/item2.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8"/>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19160 14090 136,'37'-50'556,"14"54"-1051,-62 59 450,3-7-63,37-6-273</inkml:trace>
</inkml:ink>
</file>

<file path=customXml/item20.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6"/>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19203 33064 136,'6'74'586,"-23"-10"-1144,-3 33 548,-3-6 2,-10-10 4,4-10 5,2-14-2,79-39 14,5-45-17,-3-1 1,9 2 1,10-9-4,-21-5-151</inkml:trace>
</inkml:ink>
</file>

<file path=customXml/item21.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7"/>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19151 15663 136,'51'-24'33,"0"-9"-39,-11-22 5,1-7 7,-20 5-12,-9 9-5,-28 2 12,-43 61 0,1 52 0,26-13-1,17 2 8,48-8 9,21-44-63,10-16 7,-10-1 23,2-1-39</inkml:trace>
</inkml:ink>
</file>

<file path=customXml/item22.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7"/>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17254 71359 140,'-4'37'564</inkml:trace>
</inkml:ink>
</file>

<file path=customXml/item23.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6"/>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17596 34143 163,'-7'63'222,"3"-10"-411,52-48 242,-17-62-122,3 122 33,-39 7 53,-1 1-13,-2 12-3,4 7 1,1-33-3,-3 9 3,2-5-3,1-8 2,0 11 5,-2 4 18,9-122-93,-4 1 46,0-9 36,7-4 1,2 1 2,-2 13-9,8-31-13,-3 32 8,13-7 16,28 40 24,6 43-36,5 54-13,-41-33-35,9 29 47,-11-29-5,-11 9 6,-8-2-41,-24-9-28</inkml:trace>
</inkml:ink>
</file>

<file path=customXml/item24.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6"/>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19081 33125 136,'12'52'547,"-12"9"-1011,0 4 402,0-9-15</inkml:trace>
</inkml:ink>
</file>

<file path=customXml/item25.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7"/>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17411 118668 136,'35'63'351,"11"-23"-653,3-94 167</inkml:trace>
</inkml:ink>
</file>

<file path=customXml/item26.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8"/>
    </inkml:context>
    <inkml:brush xml:id="br0">
      <inkml:brushProperty name="width" value="0.026" units="cm"/>
      <inkml:brushProperty name="height" value="0.026" units="cm"/>
      <inkml:brushProperty name="color" value="#FF0000"/>
      <inkml:brushProperty name="fitToCurve" value="1"/>
    </inkml:brush>
  </inkml:definitions>
  <inkml:trace contextRef="#ctx0" brushRef="#br0">5 0 432,'-5'36'-217</inkml:trace>
</inkml:ink>
</file>

<file path=customXml/item27.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6"/>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18855 32412 136,'64'17'542,"1"4"-1046,-2-7 487,0-1 18,-10 3-20</inkml:trace>
</inkml:ink>
</file>

<file path=customXml/item28.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6"/>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11756 6926 136,'-45'22'-28</inkml:trace>
</inkml:ink>
</file>

<file path=customXml/item29.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7"/>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16697 121635 136,'57'13'401,"-4"-13"-794,-3 0 312,3-5-144</inkml:trace>
</inkml:ink>
</file>

<file path=customXml/item3.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7"/>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10217 14324 137,'36'38'284,"-17"1"-985</inkml:trace>
</inkml:ink>
</file>

<file path=customXml/item30.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8"/>
    </inkml:context>
    <inkml:brush xml:id="br0">
      <inkml:brushProperty name="width" value="0.026" units="cm"/>
      <inkml:brushProperty name="height" value="0.026" units="cm"/>
      <inkml:brushProperty name="color" value="#FF0000"/>
      <inkml:brushProperty name="fitToCurve" value="1"/>
    </inkml:brush>
  </inkml:definitions>
  <inkml:trace contextRef="#ctx0" brushRef="#br0">0 0 136,'35'41'245,"-27"-1"-740</inkml:trace>
</inkml:ink>
</file>

<file path=customXml/item31.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6"/>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7422 15218 136,'21'57'460,"45"-71"-1035</inkml:trace>
</inkml:ink>
</file>

<file path=customXml/item32.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6"/>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18403 17933 136,'50'5'267</inkml:trace>
</inkml:ink>
</file>

<file path=customXml/item33.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7"/>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18709 55383 136,'17'73'628,"-41"-25"-1447</inkml:trace>
</inkml:ink>
</file>

<file path=customXml/item34.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7"/>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18464 55392 136,'4'36'549,"-23"2"-1777</inkml:trace>
</inkml:ink>
</file>

<file path=customXml/item35.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6"/>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7422 15218 136,'21'57'460,"45"-71"-1035</inkml:trace>
</inkml:ink>
</file>

<file path=customXml/item36.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8"/>
    </inkml:context>
    <inkml:brush xml:id="br0">
      <inkml:brushProperty name="width" value="0.026" units="cm"/>
      <inkml:brushProperty name="height" value="0.026" units="cm"/>
      <inkml:brushProperty name="color" value="#FF0000"/>
      <inkml:brushProperty name="fitToCurve" value="1"/>
    </inkml:brush>
  </inkml:definitions>
  <inkml:trace contextRef="#ctx0" brushRef="#br0">0 29 136,'37'-29'21</inkml:trace>
</inkml:ink>
</file>

<file path=customXml/item37.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8"/>
    </inkml:context>
    <inkml:brush xml:id="br0">
      <inkml:brushProperty name="width" value="0.026" units="cm"/>
      <inkml:brushProperty name="height" value="0.026" units="cm"/>
      <inkml:brushProperty name="color" value="#FF0000"/>
      <inkml:brushProperty name="fitToCurve" value="1"/>
    </inkml:brush>
  </inkml:definitions>
  <inkml:trace contextRef="#ctx0" brushRef="#br0">0 0 136,'52'-14'397,"2"56"-680,-44 17-87</inkml:trace>
</inkml:ink>
</file>

<file path=customXml/item38.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7"/>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18272 55479 136,'18'38'575,"-37"-1"-1192</inkml:trace>
</inkml:ink>
</file>

<file path=customXml/item39.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8"/>
    </inkml:context>
    <inkml:brush xml:id="br0">
      <inkml:brushProperty name="width" value="0.026" units="cm"/>
      <inkml:brushProperty name="height" value="0.026" units="cm"/>
      <inkml:brushProperty name="color" value="#FF0000"/>
      <inkml:brushProperty name="fitToCurve" value="1"/>
    </inkml:brush>
  </inkml:definitions>
  <inkml:trace contextRef="#ctx0" brushRef="#br0">0 0 136,'0'79'204</inkml:trace>
</inkml:ink>
</file>

<file path=customXml/item4.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8"/>
    </inkml:context>
    <inkml:brush xml:id="br0">
      <inkml:brushProperty name="width" value="0.026" units="cm"/>
      <inkml:brushProperty name="height" value="0.026" units="cm"/>
      <inkml:brushProperty name="color" value="#FF0000"/>
      <inkml:brushProperty name="fitToCurve" value="1"/>
    </inkml:brush>
  </inkml:definitions>
  <inkml:trace contextRef="#ctx0" brushRef="#br0">0 0 136,'45'77'350</inkml:trace>
</inkml:ink>
</file>

<file path=customXml/item40.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7"/>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9597 12555 136,'0'46'6</inkml:trace>
</inkml:ink>
</file>

<file path=customXml/item41.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6"/>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18368 34388 189,'53'-60'360,"18"30"-675,-16 26 304,-1 22 11,-8 56 3,-51 21-29,1-43 19,-7 15 13,-7-5-5,-47-21-163,30-90-69</inkml:trace>
</inkml:ink>
</file>

<file path=customXml/item42.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7"/>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4 0 136,'-4'48'-5</inkml:trace>
</inkml:ink>
</file>

<file path=customXml/item43.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7"/>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9494 55362 229,'30'0'403,"3"0"-1243</inkml:trace>
</inkml:ink>
</file>

<file path=customXml/item44.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6"/>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12495 21753 145,'-4'47'366</inkml:trace>
</inkml:ink>
</file>

<file path=customXml/item45.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6"/>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17093 34378 169,'-44'64'329,"13"-15"-631,1 15 297,8-11-14,2-1-12,11 7-69,61-71 117,-5 37 133,-29 31-156,1 1 18,-2 5 6,-5-121 5,-9 7-126,3 2 105,5-1-6,8-8-2,31 90 23,-35 33 3,-6-17-21,-3 20 1,-6-7-21,21-122 85,-12 4-126,1 9 60,2-8 0,0 8-1,10-10-2,25 23 7,27 44 14,-26 11-11,12 43-9,-5 6 2,-15-12 2,-24-9 2,-46 7-6,-20-30 30,-9-34-1,43-57-63,28 13 33,12 7-6,19-24-62,-5 19-170</inkml:trace>
</inkml:ink>
</file>

<file path=customXml/item46.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7"/>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4 0 136,'-4'48'-5</inkml:trace>
</inkml:ink>
</file>

<file path=customXml/item47.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7"/>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12216 56706 136,'20'52'287,"6"7"-459,18-6 144,23-18-33,-20-63-249</inkml:trace>
</inkml:ink>
</file>

<file path=customXml/item48.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6"/>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20404 145572 136,'-3'36'431,"-34"-24"-1165</inkml:trace>
</inkml:ink>
</file>

<file path=customXml/item49.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7"/>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4 0 136,'-4'48'-5</inkml:trace>
</inkml:ink>
</file>

<file path=customXml/item5.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7"/>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10217 14324 137,'36'38'284,"-17"1"-985</inkml:trace>
</inkml:ink>
</file>

<file path=customXml/item50.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7"/>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16500 20401 136,'36'27'421</inkml:trace>
</inkml:ink>
</file>

<file path=customXml/item51.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7"/>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4 0 136,'-4'48'-5</inkml:trace>
</inkml:ink>
</file>

<file path=customXml/item52.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7"/>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11076 18316 136,'40'4'284</inkml:trace>
</inkml:in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6"/>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18612 34082 221,'-18'71'422,"-2"-4"-793,-12 44 323,3-1 48,14-30-2,6-29 2,-6 11 0,2 3-3,3-14 1,1 10-9,5-6-207</inkml:trace>
</inkml:ink>
</file>

<file path=customXml/item8.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7"/>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17228 99577 140,'44'57'648,"6"-30"-1402,2-6 514</inkml:trace>
</inkml:ink>
</file>

<file path=customXml/item9.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7-14T15:25:57"/>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16401 70810 136,'35'42'641,"1"-68"-1751</inkml:trace>
</inkml:ink>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48D2BBAF-CEE1-4170-8D3B-4BBD4AB73569}">
  <ds:schemaRefs/>
</ds:datastoreItem>
</file>

<file path=customXml/itemProps11.xml><?xml version="1.0" encoding="utf-8"?>
<ds:datastoreItem xmlns:ds="http://schemas.openxmlformats.org/officeDocument/2006/customXml" ds:itemID="{E14981DB-5874-4715-977A-1B4EB68E9591}">
  <ds:schemaRefs/>
</ds:datastoreItem>
</file>

<file path=customXml/itemProps12.xml><?xml version="1.0" encoding="utf-8"?>
<ds:datastoreItem xmlns:ds="http://schemas.openxmlformats.org/officeDocument/2006/customXml" ds:itemID="{51D3DDD6-6801-47A0-9528-716F8D21BBC1}">
  <ds:schemaRefs/>
</ds:datastoreItem>
</file>

<file path=customXml/itemProps13.xml><?xml version="1.0" encoding="utf-8"?>
<ds:datastoreItem xmlns:ds="http://schemas.openxmlformats.org/officeDocument/2006/customXml" ds:itemID="{29CE7FBC-A22C-49C2-B470-E0ACC9A0280B}">
  <ds:schemaRefs/>
</ds:datastoreItem>
</file>

<file path=customXml/itemProps14.xml><?xml version="1.0" encoding="utf-8"?>
<ds:datastoreItem xmlns:ds="http://schemas.openxmlformats.org/officeDocument/2006/customXml" ds:itemID="{EC22B2F6-4C6F-497F-B0CA-BACA93736E02}">
  <ds:schemaRefs/>
</ds:datastoreItem>
</file>

<file path=customXml/itemProps15.xml><?xml version="1.0" encoding="utf-8"?>
<ds:datastoreItem xmlns:ds="http://schemas.openxmlformats.org/officeDocument/2006/customXml" ds:itemID="{91318687-C722-443A-880F-24DA4880DE82}">
  <ds:schemaRefs/>
</ds:datastoreItem>
</file>

<file path=customXml/itemProps16.xml><?xml version="1.0" encoding="utf-8"?>
<ds:datastoreItem xmlns:ds="http://schemas.openxmlformats.org/officeDocument/2006/customXml" ds:itemID="{5875557A-AD16-4511-B356-AD3A806F4D51}">
  <ds:schemaRefs/>
</ds:datastoreItem>
</file>

<file path=customXml/itemProps17.xml><?xml version="1.0" encoding="utf-8"?>
<ds:datastoreItem xmlns:ds="http://schemas.openxmlformats.org/officeDocument/2006/customXml" ds:itemID="{1C350C17-878C-453C-83CA-D0E0197898CC}">
  <ds:schemaRefs/>
</ds:datastoreItem>
</file>

<file path=customXml/itemProps18.xml><?xml version="1.0" encoding="utf-8"?>
<ds:datastoreItem xmlns:ds="http://schemas.openxmlformats.org/officeDocument/2006/customXml" ds:itemID="{2A5F6782-5C32-42B7-9811-891A621AAD98}">
  <ds:schemaRefs/>
</ds:datastoreItem>
</file>

<file path=customXml/itemProps19.xml><?xml version="1.0" encoding="utf-8"?>
<ds:datastoreItem xmlns:ds="http://schemas.openxmlformats.org/officeDocument/2006/customXml" ds:itemID="{CB99CA8A-927A-47EF-882A-E31D3AB86469}">
  <ds:schemaRefs/>
</ds:datastoreItem>
</file>

<file path=customXml/itemProps2.xml><?xml version="1.0" encoding="utf-8"?>
<ds:datastoreItem xmlns:ds="http://schemas.openxmlformats.org/officeDocument/2006/customXml" ds:itemID="{F18C13B3-8731-47DA-ACB0-C1F10FFADFCC}">
  <ds:schemaRefs/>
</ds:datastoreItem>
</file>

<file path=customXml/itemProps20.xml><?xml version="1.0" encoding="utf-8"?>
<ds:datastoreItem xmlns:ds="http://schemas.openxmlformats.org/officeDocument/2006/customXml" ds:itemID="{DB1F5AD5-0897-468C-AF90-8692FCF0FC16}">
  <ds:schemaRefs/>
</ds:datastoreItem>
</file>

<file path=customXml/itemProps21.xml><?xml version="1.0" encoding="utf-8"?>
<ds:datastoreItem xmlns:ds="http://schemas.openxmlformats.org/officeDocument/2006/customXml" ds:itemID="{374AE084-5685-4EA9-A1FE-E1555902B72C}">
  <ds:schemaRefs/>
</ds:datastoreItem>
</file>

<file path=customXml/itemProps22.xml><?xml version="1.0" encoding="utf-8"?>
<ds:datastoreItem xmlns:ds="http://schemas.openxmlformats.org/officeDocument/2006/customXml" ds:itemID="{5D686C82-08B8-458D-834D-878505160142}">
  <ds:schemaRefs/>
</ds:datastoreItem>
</file>

<file path=customXml/itemProps23.xml><?xml version="1.0" encoding="utf-8"?>
<ds:datastoreItem xmlns:ds="http://schemas.openxmlformats.org/officeDocument/2006/customXml" ds:itemID="{F9A833D0-7ADC-4F74-9574-11820A361B9C}">
  <ds:schemaRefs/>
</ds:datastoreItem>
</file>

<file path=customXml/itemProps24.xml><?xml version="1.0" encoding="utf-8"?>
<ds:datastoreItem xmlns:ds="http://schemas.openxmlformats.org/officeDocument/2006/customXml" ds:itemID="{E6412384-D449-4E91-881F-D196B36FB3BD}">
  <ds:schemaRefs/>
</ds:datastoreItem>
</file>

<file path=customXml/itemProps25.xml><?xml version="1.0" encoding="utf-8"?>
<ds:datastoreItem xmlns:ds="http://schemas.openxmlformats.org/officeDocument/2006/customXml" ds:itemID="{A3290968-755E-4247-AB5F-3A3920E65674}">
  <ds:schemaRefs/>
</ds:datastoreItem>
</file>

<file path=customXml/itemProps26.xml><?xml version="1.0" encoding="utf-8"?>
<ds:datastoreItem xmlns:ds="http://schemas.openxmlformats.org/officeDocument/2006/customXml" ds:itemID="{52CBC627-2813-42EA-A153-52431B31DA74}">
  <ds:schemaRefs/>
</ds:datastoreItem>
</file>

<file path=customXml/itemProps27.xml><?xml version="1.0" encoding="utf-8"?>
<ds:datastoreItem xmlns:ds="http://schemas.openxmlformats.org/officeDocument/2006/customXml" ds:itemID="{B5386752-2F3B-467F-B93E-F3E44D564A2B}">
  <ds:schemaRefs/>
</ds:datastoreItem>
</file>

<file path=customXml/itemProps28.xml><?xml version="1.0" encoding="utf-8"?>
<ds:datastoreItem xmlns:ds="http://schemas.openxmlformats.org/officeDocument/2006/customXml" ds:itemID="{D8FF557A-F1AD-4F23-8335-02F594E5B2ED}">
  <ds:schemaRefs/>
</ds:datastoreItem>
</file>

<file path=customXml/itemProps29.xml><?xml version="1.0" encoding="utf-8"?>
<ds:datastoreItem xmlns:ds="http://schemas.openxmlformats.org/officeDocument/2006/customXml" ds:itemID="{494A22A3-77A2-42E4-8DE7-E6B37DE796D0}">
  <ds:schemaRefs/>
</ds:datastoreItem>
</file>

<file path=customXml/itemProps3.xml><?xml version="1.0" encoding="utf-8"?>
<ds:datastoreItem xmlns:ds="http://schemas.openxmlformats.org/officeDocument/2006/customXml" ds:itemID="{FA75740E-CB2B-4CF4-8FC4-6E9A730DD30C}">
  <ds:schemaRefs/>
</ds:datastoreItem>
</file>

<file path=customXml/itemProps30.xml><?xml version="1.0" encoding="utf-8"?>
<ds:datastoreItem xmlns:ds="http://schemas.openxmlformats.org/officeDocument/2006/customXml" ds:itemID="{2A776F44-07AB-4356-8881-3504C373764C}">
  <ds:schemaRefs/>
</ds:datastoreItem>
</file>

<file path=customXml/itemProps31.xml><?xml version="1.0" encoding="utf-8"?>
<ds:datastoreItem xmlns:ds="http://schemas.openxmlformats.org/officeDocument/2006/customXml" ds:itemID="{19A82343-442A-4F45-8F89-A986760924D0}">
  <ds:schemaRefs/>
</ds:datastoreItem>
</file>

<file path=customXml/itemProps32.xml><?xml version="1.0" encoding="utf-8"?>
<ds:datastoreItem xmlns:ds="http://schemas.openxmlformats.org/officeDocument/2006/customXml" ds:itemID="{A701A4AB-F3B9-42E8-BF7D-61F64B93BC31}">
  <ds:schemaRefs/>
</ds:datastoreItem>
</file>

<file path=customXml/itemProps33.xml><?xml version="1.0" encoding="utf-8"?>
<ds:datastoreItem xmlns:ds="http://schemas.openxmlformats.org/officeDocument/2006/customXml" ds:itemID="{20242A5E-54B9-4742-AB91-0AF1C45B6B9E}">
  <ds:schemaRefs/>
</ds:datastoreItem>
</file>

<file path=customXml/itemProps34.xml><?xml version="1.0" encoding="utf-8"?>
<ds:datastoreItem xmlns:ds="http://schemas.openxmlformats.org/officeDocument/2006/customXml" ds:itemID="{4F538098-B5BC-4B43-A9AF-C72C3059805E}">
  <ds:schemaRefs/>
</ds:datastoreItem>
</file>

<file path=customXml/itemProps35.xml><?xml version="1.0" encoding="utf-8"?>
<ds:datastoreItem xmlns:ds="http://schemas.openxmlformats.org/officeDocument/2006/customXml" ds:itemID="{EDF254EA-C181-45B9-8E44-79209EDBBF93}">
  <ds:schemaRefs/>
</ds:datastoreItem>
</file>

<file path=customXml/itemProps36.xml><?xml version="1.0" encoding="utf-8"?>
<ds:datastoreItem xmlns:ds="http://schemas.openxmlformats.org/officeDocument/2006/customXml" ds:itemID="{5764BE22-C26A-4732-A523-318788C3F9B5}">
  <ds:schemaRefs/>
</ds:datastoreItem>
</file>

<file path=customXml/itemProps37.xml><?xml version="1.0" encoding="utf-8"?>
<ds:datastoreItem xmlns:ds="http://schemas.openxmlformats.org/officeDocument/2006/customXml" ds:itemID="{3489EC77-B9DB-42E6-A164-5A73241573AA}">
  <ds:schemaRefs/>
</ds:datastoreItem>
</file>

<file path=customXml/itemProps38.xml><?xml version="1.0" encoding="utf-8"?>
<ds:datastoreItem xmlns:ds="http://schemas.openxmlformats.org/officeDocument/2006/customXml" ds:itemID="{8C539101-9B9B-4143-87F7-E030453CF166}">
  <ds:schemaRefs/>
</ds:datastoreItem>
</file>

<file path=customXml/itemProps39.xml><?xml version="1.0" encoding="utf-8"?>
<ds:datastoreItem xmlns:ds="http://schemas.openxmlformats.org/officeDocument/2006/customXml" ds:itemID="{F031E82C-733D-43F0-852D-EC4752FFB09C}">
  <ds:schemaRefs/>
</ds:datastoreItem>
</file>

<file path=customXml/itemProps4.xml><?xml version="1.0" encoding="utf-8"?>
<ds:datastoreItem xmlns:ds="http://schemas.openxmlformats.org/officeDocument/2006/customXml" ds:itemID="{1371C40E-27B7-4A0F-85A2-F0E41CBE1A3B}">
  <ds:schemaRefs/>
</ds:datastoreItem>
</file>

<file path=customXml/itemProps40.xml><?xml version="1.0" encoding="utf-8"?>
<ds:datastoreItem xmlns:ds="http://schemas.openxmlformats.org/officeDocument/2006/customXml" ds:itemID="{9AA2AA34-69B4-4BDE-9B2E-AF4F612F0A23}">
  <ds:schemaRefs/>
</ds:datastoreItem>
</file>

<file path=customXml/itemProps41.xml><?xml version="1.0" encoding="utf-8"?>
<ds:datastoreItem xmlns:ds="http://schemas.openxmlformats.org/officeDocument/2006/customXml" ds:itemID="{C647757D-2C22-4313-93B4-5CAA0AB17354}">
  <ds:schemaRefs/>
</ds:datastoreItem>
</file>

<file path=customXml/itemProps42.xml><?xml version="1.0" encoding="utf-8"?>
<ds:datastoreItem xmlns:ds="http://schemas.openxmlformats.org/officeDocument/2006/customXml" ds:itemID="{5A66DD73-8037-46A5-8430-80F984B56A59}">
  <ds:schemaRefs/>
</ds:datastoreItem>
</file>

<file path=customXml/itemProps43.xml><?xml version="1.0" encoding="utf-8"?>
<ds:datastoreItem xmlns:ds="http://schemas.openxmlformats.org/officeDocument/2006/customXml" ds:itemID="{C9981BA8-2937-48E3-B94D-ABA484B9BAF7}">
  <ds:schemaRefs/>
</ds:datastoreItem>
</file>

<file path=customXml/itemProps44.xml><?xml version="1.0" encoding="utf-8"?>
<ds:datastoreItem xmlns:ds="http://schemas.openxmlformats.org/officeDocument/2006/customXml" ds:itemID="{79D2C13E-8BC2-4B97-8CEC-B96E12B87692}">
  <ds:schemaRefs/>
</ds:datastoreItem>
</file>

<file path=customXml/itemProps45.xml><?xml version="1.0" encoding="utf-8"?>
<ds:datastoreItem xmlns:ds="http://schemas.openxmlformats.org/officeDocument/2006/customXml" ds:itemID="{A51A9A98-8D14-4467-8FBF-69AF5461654B}">
  <ds:schemaRefs/>
</ds:datastoreItem>
</file>

<file path=customXml/itemProps46.xml><?xml version="1.0" encoding="utf-8"?>
<ds:datastoreItem xmlns:ds="http://schemas.openxmlformats.org/officeDocument/2006/customXml" ds:itemID="{7D0D8948-454E-4CCB-9806-AC5C16C1F9D1}">
  <ds:schemaRefs/>
</ds:datastoreItem>
</file>

<file path=customXml/itemProps47.xml><?xml version="1.0" encoding="utf-8"?>
<ds:datastoreItem xmlns:ds="http://schemas.openxmlformats.org/officeDocument/2006/customXml" ds:itemID="{5C818C45-0FF3-49D1-B635-B31CF08C34B5}">
  <ds:schemaRefs/>
</ds:datastoreItem>
</file>

<file path=customXml/itemProps48.xml><?xml version="1.0" encoding="utf-8"?>
<ds:datastoreItem xmlns:ds="http://schemas.openxmlformats.org/officeDocument/2006/customXml" ds:itemID="{F1F178C6-5627-47D5-98DC-2B38D8B10E2A}">
  <ds:schemaRefs/>
</ds:datastoreItem>
</file>

<file path=customXml/itemProps49.xml><?xml version="1.0" encoding="utf-8"?>
<ds:datastoreItem xmlns:ds="http://schemas.openxmlformats.org/officeDocument/2006/customXml" ds:itemID="{EE8799CC-4A8D-4B66-955B-9681463559BA}">
  <ds:schemaRefs/>
</ds:datastoreItem>
</file>

<file path=customXml/itemProps5.xml><?xml version="1.0" encoding="utf-8"?>
<ds:datastoreItem xmlns:ds="http://schemas.openxmlformats.org/officeDocument/2006/customXml" ds:itemID="{FAF68B48-48E2-47B5-80BD-F12B3B885EF0}">
  <ds:schemaRefs/>
</ds:datastoreItem>
</file>

<file path=customXml/itemProps50.xml><?xml version="1.0" encoding="utf-8"?>
<ds:datastoreItem xmlns:ds="http://schemas.openxmlformats.org/officeDocument/2006/customXml" ds:itemID="{DA9F7694-6D7F-4CC4-8463-484C155E68B5}">
  <ds:schemaRefs/>
</ds:datastoreItem>
</file>

<file path=customXml/itemProps51.xml><?xml version="1.0" encoding="utf-8"?>
<ds:datastoreItem xmlns:ds="http://schemas.openxmlformats.org/officeDocument/2006/customXml" ds:itemID="{98BE7D38-1F98-4FD8-B4D0-CD92216498D1}">
  <ds:schemaRefs/>
</ds:datastoreItem>
</file>

<file path=customXml/itemProps52.xml><?xml version="1.0" encoding="utf-8"?>
<ds:datastoreItem xmlns:ds="http://schemas.openxmlformats.org/officeDocument/2006/customXml" ds:itemID="{D93AACFB-CE1C-46DC-9E27-A268A7138CAA}">
  <ds:schemaRefs/>
</ds:datastoreItem>
</file>

<file path=customXml/itemProps6.xml><?xml version="1.0" encoding="utf-8"?>
<ds:datastoreItem xmlns:ds="http://schemas.openxmlformats.org/officeDocument/2006/customXml" ds:itemID="{5403D397-4471-48FF-84FF-39712B4C0458}">
  <ds:schemaRefs/>
</ds:datastoreItem>
</file>

<file path=customXml/itemProps7.xml><?xml version="1.0" encoding="utf-8"?>
<ds:datastoreItem xmlns:ds="http://schemas.openxmlformats.org/officeDocument/2006/customXml" ds:itemID="{477CB93B-DFFF-40B7-83B8-9B03BADDCE9A}">
  <ds:schemaRefs/>
</ds:datastoreItem>
</file>

<file path=customXml/itemProps8.xml><?xml version="1.0" encoding="utf-8"?>
<ds:datastoreItem xmlns:ds="http://schemas.openxmlformats.org/officeDocument/2006/customXml" ds:itemID="{07702164-221C-4CBF-BBB2-CB4644EA7BD4}">
  <ds:schemaRefs/>
</ds:datastoreItem>
</file>

<file path=customXml/itemProps9.xml><?xml version="1.0" encoding="utf-8"?>
<ds:datastoreItem xmlns:ds="http://schemas.openxmlformats.org/officeDocument/2006/customXml" ds:itemID="{EDBD3EE7-DDA4-4893-9C46-93883625251C}">
  <ds:schemaRefs/>
</ds:datastoreItem>
</file>

<file path=docProps/app.xml><?xml version="1.0" encoding="utf-8"?>
<Properties xmlns="http://schemas.openxmlformats.org/officeDocument/2006/extended-properties" xmlns:vt="http://schemas.openxmlformats.org/officeDocument/2006/docPropsVTypes">
  <Template>Normal.dotm</Template>
  <Pages>307</Pages>
  <Words>199202</Words>
  <Characters>218799</Characters>
  <Lines>1718</Lines>
  <Paragraphs>483</Paragraphs>
  <TotalTime>48</TotalTime>
  <ScaleCrop>false</ScaleCrop>
  <LinksUpToDate>false</LinksUpToDate>
  <CharactersWithSpaces>231031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2020-11-06T01:26:00Z</dcterms:created>
  <dc:creator>lenovo</dc:creator>
  <cp:lastModifiedBy>柯馨</cp:lastModifiedBy>
  <cp:lastPrinted>2020-07-14T16:05:00Z</cp:lastPrinted>
  <dcterms:modified xsi:type="dcterms:W3CDTF">2024-03-14T08:32:00Z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_DocHome">
    <vt:i4>-1067478856</vt:i4>
  </property>
  <property fmtid="{D5CDD505-2E9C-101B-9397-08002B2CF9AE}" pid="4" name="ICV">
    <vt:lpwstr>4D4BFF5EF0744181B9B2FDA5A3567070_13</vt:lpwstr>
  </property>
</Properties>
</file>